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72544" w14:textId="1AF19A15" w:rsidR="00B978C3" w:rsidRPr="008223BC" w:rsidRDefault="00B978C3" w:rsidP="00B978C3">
      <w:pPr>
        <w:spacing w:after="120" w:line="480" w:lineRule="auto"/>
        <w:rPr>
          <w:rFonts w:cs="Times New Roman"/>
          <w:b/>
        </w:rPr>
      </w:pPr>
      <w:bookmarkStart w:id="0" w:name="_Hlk527022676"/>
      <w:bookmarkStart w:id="1" w:name="_GoBack"/>
      <w:r>
        <w:rPr>
          <w:rFonts w:cs="Times New Roman"/>
          <w:b/>
        </w:rPr>
        <w:t xml:space="preserve">Aetiology of invasive bacterial infection and antimicrobial resistance in </w:t>
      </w:r>
      <w:r w:rsidR="000A7572">
        <w:rPr>
          <w:rFonts w:cs="Times New Roman"/>
          <w:b/>
        </w:rPr>
        <w:t>neonates</w:t>
      </w:r>
      <w:r w:rsidR="000A7572" w:rsidRPr="008223BC">
        <w:rPr>
          <w:rFonts w:cs="Times New Roman"/>
          <w:b/>
        </w:rPr>
        <w:t xml:space="preserve"> </w:t>
      </w:r>
      <w:r w:rsidRPr="008223BC">
        <w:rPr>
          <w:rFonts w:cs="Times New Roman"/>
          <w:b/>
        </w:rPr>
        <w:t>in sub-Saharan Africa</w:t>
      </w:r>
      <w:r>
        <w:rPr>
          <w:rFonts w:cs="Times New Roman"/>
          <w:b/>
        </w:rPr>
        <w:t>: a systematic review and meta-analysis in line with the STROBE-NI reporting guidelines</w:t>
      </w:r>
    </w:p>
    <w:bookmarkEnd w:id="1"/>
    <w:p w14:paraId="2E9D4FA3" w14:textId="645F576D" w:rsidR="00B978C3" w:rsidRPr="00DB1805" w:rsidRDefault="00B978C3" w:rsidP="00B978C3">
      <w:pPr>
        <w:rPr>
          <w:rFonts w:cs="Times New Roman"/>
        </w:rPr>
      </w:pPr>
      <w:r w:rsidRPr="00DB1805">
        <w:rPr>
          <w:rFonts w:cs="Times New Roman"/>
        </w:rPr>
        <w:t>Uduak Okomo, Edem N.K. Akpalu, Kirsty Le Doare, Anna Roca, Simon Cousens, Alexander Jarde, Mike Sharland, Beate Kampmann</w:t>
      </w:r>
      <w:r w:rsidR="00421524">
        <w:rPr>
          <w:rFonts w:cs="Times New Roman"/>
        </w:rPr>
        <w:t>*</w:t>
      </w:r>
      <w:r w:rsidRPr="00DB1805">
        <w:rPr>
          <w:rFonts w:cs="Times New Roman"/>
        </w:rPr>
        <w:t>, Joy E Lawn</w:t>
      </w:r>
      <w:r w:rsidR="00421524">
        <w:rPr>
          <w:rFonts w:cs="Times New Roman"/>
        </w:rPr>
        <w:t>*</w:t>
      </w:r>
      <w:r w:rsidRPr="00DB1805">
        <w:rPr>
          <w:rFonts w:cs="Times New Roman"/>
        </w:rPr>
        <w:t>.</w:t>
      </w:r>
    </w:p>
    <w:p w14:paraId="6404E0F3" w14:textId="77777777" w:rsidR="00B978C3" w:rsidRDefault="00B978C3" w:rsidP="00B978C3">
      <w:pPr>
        <w:rPr>
          <w:rFonts w:cs="Times New Roman"/>
        </w:rPr>
      </w:pPr>
    </w:p>
    <w:p w14:paraId="2A36C815" w14:textId="24DE6B1F" w:rsidR="00B978C3" w:rsidRPr="005131E7" w:rsidRDefault="00B978C3" w:rsidP="00B978C3">
      <w:pPr>
        <w:spacing w:after="120"/>
        <w:rPr>
          <w:rFonts w:cs="Times New Roman"/>
          <w:sz w:val="21"/>
          <w:szCs w:val="20"/>
        </w:rPr>
      </w:pPr>
      <w:r w:rsidRPr="00DF4A82">
        <w:rPr>
          <w:rFonts w:cs="Times New Roman"/>
          <w:b/>
          <w:sz w:val="21"/>
          <w:szCs w:val="20"/>
        </w:rPr>
        <w:t>Vaccines &amp; Immunity Theme, Medical Research Council Unit The Gambia at London School of Hygiene and Tropical Medicine, Fajara, The Gambia</w:t>
      </w:r>
      <w:r w:rsidR="007473F0">
        <w:rPr>
          <w:rFonts w:cs="Times New Roman"/>
          <w:sz w:val="21"/>
          <w:szCs w:val="20"/>
        </w:rPr>
        <w:t xml:space="preserve"> </w:t>
      </w:r>
      <w:r w:rsidR="007473F0" w:rsidRPr="00DF4A82">
        <w:rPr>
          <w:rFonts w:cs="Times New Roman"/>
          <w:color w:val="2E74B5" w:themeColor="accent1" w:themeShade="BF"/>
          <w:sz w:val="21"/>
          <w:szCs w:val="20"/>
        </w:rPr>
        <w:t>(U Okomo PhD</w:t>
      </w:r>
      <w:r w:rsidR="00FD4901" w:rsidRPr="00DF4A82">
        <w:rPr>
          <w:rFonts w:cs="Times New Roman"/>
          <w:color w:val="2E74B5" w:themeColor="accent1" w:themeShade="BF"/>
          <w:sz w:val="21"/>
          <w:szCs w:val="20"/>
        </w:rPr>
        <w:t xml:space="preserve">, </w:t>
      </w:r>
      <w:r w:rsidR="00DE4A8B" w:rsidRPr="00DF4A82">
        <w:rPr>
          <w:rFonts w:cs="Times New Roman"/>
          <w:color w:val="2E74B5" w:themeColor="accent1" w:themeShade="BF"/>
          <w:sz w:val="21"/>
          <w:szCs w:val="20"/>
        </w:rPr>
        <w:t>Prof</w:t>
      </w:r>
      <w:r w:rsidR="00DF4A82" w:rsidRPr="00DF4A82">
        <w:rPr>
          <w:rFonts w:cs="Times New Roman"/>
          <w:color w:val="2E74B5" w:themeColor="accent1" w:themeShade="BF"/>
          <w:sz w:val="21"/>
          <w:szCs w:val="20"/>
        </w:rPr>
        <w:t xml:space="preserve"> </w:t>
      </w:r>
      <w:r w:rsidR="00002E92" w:rsidRPr="00DF4A82">
        <w:rPr>
          <w:rFonts w:cs="Times New Roman"/>
          <w:color w:val="2E74B5" w:themeColor="accent1" w:themeShade="BF"/>
          <w:sz w:val="21"/>
          <w:szCs w:val="20"/>
        </w:rPr>
        <w:t>B Kampmann FRCPCH</w:t>
      </w:r>
      <w:r w:rsidR="007473F0" w:rsidRPr="00DF4A82">
        <w:rPr>
          <w:rFonts w:cs="Times New Roman"/>
          <w:color w:val="2E74B5" w:themeColor="accent1" w:themeShade="BF"/>
          <w:sz w:val="21"/>
          <w:szCs w:val="20"/>
        </w:rPr>
        <w:t>)</w:t>
      </w:r>
      <w:r w:rsidR="00AA75D1">
        <w:rPr>
          <w:rFonts w:cs="Times New Roman"/>
          <w:color w:val="2E74B5" w:themeColor="accent1" w:themeShade="BF"/>
          <w:sz w:val="21"/>
          <w:szCs w:val="20"/>
        </w:rPr>
        <w:t>;</w:t>
      </w:r>
    </w:p>
    <w:p w14:paraId="652B1A05" w14:textId="547D4F28" w:rsidR="00666027" w:rsidRPr="00493291" w:rsidRDefault="00493291" w:rsidP="00B978C3">
      <w:pPr>
        <w:spacing w:after="120"/>
        <w:rPr>
          <w:rFonts w:cs="Times New Roman"/>
          <w:sz w:val="21"/>
          <w:szCs w:val="21"/>
          <w:lang w:val="fr-FR"/>
        </w:rPr>
      </w:pPr>
      <w:r w:rsidRPr="00DF4A82">
        <w:rPr>
          <w:rStyle w:val="Emphasis"/>
          <w:rFonts w:cs="Times New Roman"/>
          <w:b/>
          <w:bCs/>
          <w:i w:val="0"/>
          <w:iCs w:val="0"/>
          <w:sz w:val="21"/>
          <w:szCs w:val="21"/>
          <w:shd w:val="clear" w:color="auto" w:fill="FFFFFF"/>
          <w:lang w:val="fr-FR"/>
        </w:rPr>
        <w:t>Service de pédiatrie</w:t>
      </w:r>
      <w:r w:rsidRPr="00DF4A82">
        <w:rPr>
          <w:rFonts w:cs="Times New Roman"/>
          <w:b/>
          <w:sz w:val="21"/>
          <w:szCs w:val="21"/>
          <w:shd w:val="clear" w:color="auto" w:fill="FFFFFF"/>
          <w:lang w:val="fr-FR"/>
        </w:rPr>
        <w:t>, unité </w:t>
      </w:r>
      <w:r w:rsidRPr="00DF4A82">
        <w:rPr>
          <w:rStyle w:val="Emphasis"/>
          <w:rFonts w:cs="Times New Roman"/>
          <w:b/>
          <w:bCs/>
          <w:i w:val="0"/>
          <w:iCs w:val="0"/>
          <w:sz w:val="21"/>
          <w:szCs w:val="21"/>
          <w:shd w:val="clear" w:color="auto" w:fill="FFFFFF"/>
          <w:lang w:val="fr-FR"/>
        </w:rPr>
        <w:t>d</w:t>
      </w:r>
      <w:r w:rsidRPr="00DF4A82">
        <w:rPr>
          <w:rFonts w:cs="Times New Roman"/>
          <w:b/>
          <w:sz w:val="21"/>
          <w:szCs w:val="21"/>
          <w:shd w:val="clear" w:color="auto" w:fill="FFFFFF"/>
          <w:lang w:val="fr-FR"/>
        </w:rPr>
        <w:t>'infectiologie et </w:t>
      </w:r>
      <w:r w:rsidRPr="00DF4A82">
        <w:rPr>
          <w:rStyle w:val="Emphasis"/>
          <w:rFonts w:cs="Times New Roman"/>
          <w:b/>
          <w:bCs/>
          <w:i w:val="0"/>
          <w:iCs w:val="0"/>
          <w:sz w:val="21"/>
          <w:szCs w:val="21"/>
          <w:shd w:val="clear" w:color="auto" w:fill="FFFFFF"/>
          <w:lang w:val="fr-FR"/>
        </w:rPr>
        <w:t>d</w:t>
      </w:r>
      <w:r w:rsidRPr="00DF4A82">
        <w:rPr>
          <w:rFonts w:cs="Times New Roman"/>
          <w:b/>
          <w:sz w:val="21"/>
          <w:szCs w:val="21"/>
          <w:shd w:val="clear" w:color="auto" w:fill="FFFFFF"/>
          <w:lang w:val="fr-FR"/>
        </w:rPr>
        <w:t xml:space="preserve">'oncohématologie, </w:t>
      </w:r>
      <w:r w:rsidR="00681A65" w:rsidRPr="00DF4A82">
        <w:rPr>
          <w:rFonts w:cs="Times New Roman"/>
          <w:b/>
          <w:sz w:val="21"/>
          <w:szCs w:val="21"/>
          <w:shd w:val="clear" w:color="auto" w:fill="FFFFFF"/>
          <w:lang w:val="fr-FR"/>
        </w:rPr>
        <w:t>C</w:t>
      </w:r>
      <w:r w:rsidRPr="00DF4A82">
        <w:rPr>
          <w:rFonts w:cs="Times New Roman"/>
          <w:b/>
          <w:sz w:val="21"/>
          <w:szCs w:val="21"/>
          <w:shd w:val="clear" w:color="auto" w:fill="FFFFFF"/>
          <w:lang w:val="fr-FR"/>
        </w:rPr>
        <w:t xml:space="preserve">entre </w:t>
      </w:r>
      <w:r w:rsidR="00681A65" w:rsidRPr="00DF4A82">
        <w:rPr>
          <w:rFonts w:cs="Times New Roman"/>
          <w:b/>
          <w:sz w:val="21"/>
          <w:szCs w:val="21"/>
          <w:shd w:val="clear" w:color="auto" w:fill="FFFFFF"/>
          <w:lang w:val="fr-FR"/>
        </w:rPr>
        <w:t>H</w:t>
      </w:r>
      <w:r w:rsidRPr="00DF4A82">
        <w:rPr>
          <w:rFonts w:cs="Times New Roman"/>
          <w:b/>
          <w:sz w:val="21"/>
          <w:szCs w:val="21"/>
          <w:shd w:val="clear" w:color="auto" w:fill="FFFFFF"/>
          <w:lang w:val="fr-FR"/>
        </w:rPr>
        <w:t>ospitalier universitaire </w:t>
      </w:r>
      <w:r w:rsidRPr="00DF4A82">
        <w:rPr>
          <w:rStyle w:val="Emphasis"/>
          <w:rFonts w:cs="Times New Roman"/>
          <w:b/>
          <w:bCs/>
          <w:i w:val="0"/>
          <w:iCs w:val="0"/>
          <w:sz w:val="21"/>
          <w:szCs w:val="21"/>
          <w:shd w:val="clear" w:color="auto" w:fill="FFFFFF"/>
          <w:lang w:val="fr-FR"/>
        </w:rPr>
        <w:t>Sylvanus</w:t>
      </w:r>
      <w:r w:rsidRPr="00DF4A82">
        <w:rPr>
          <w:rFonts w:cs="Times New Roman"/>
          <w:b/>
          <w:sz w:val="21"/>
          <w:szCs w:val="21"/>
          <w:shd w:val="clear" w:color="auto" w:fill="FFFFFF"/>
          <w:lang w:val="fr-FR"/>
        </w:rPr>
        <w:t>-</w:t>
      </w:r>
      <w:r w:rsidRPr="00DF4A82">
        <w:rPr>
          <w:rStyle w:val="Emphasis"/>
          <w:rFonts w:cs="Times New Roman"/>
          <w:b/>
          <w:bCs/>
          <w:i w:val="0"/>
          <w:iCs w:val="0"/>
          <w:sz w:val="21"/>
          <w:szCs w:val="21"/>
          <w:shd w:val="clear" w:color="auto" w:fill="FFFFFF"/>
          <w:lang w:val="fr-FR"/>
        </w:rPr>
        <w:t>Olympio</w:t>
      </w:r>
      <w:r w:rsidRPr="00DF4A82">
        <w:rPr>
          <w:rFonts w:cs="Times New Roman"/>
          <w:b/>
          <w:sz w:val="21"/>
          <w:szCs w:val="21"/>
          <w:shd w:val="clear" w:color="auto" w:fill="FFFFFF"/>
          <w:lang w:val="fr-FR"/>
        </w:rPr>
        <w:t>, Tokoin Habitat, BP 81604 </w:t>
      </w:r>
      <w:r w:rsidRPr="00DF4A82">
        <w:rPr>
          <w:rStyle w:val="Emphasis"/>
          <w:rFonts w:cs="Times New Roman"/>
          <w:b/>
          <w:bCs/>
          <w:i w:val="0"/>
          <w:iCs w:val="0"/>
          <w:sz w:val="21"/>
          <w:szCs w:val="21"/>
          <w:shd w:val="clear" w:color="auto" w:fill="FFFFFF"/>
          <w:lang w:val="fr-FR"/>
        </w:rPr>
        <w:t>Lomé</w:t>
      </w:r>
      <w:r w:rsidRPr="00DF4A82">
        <w:rPr>
          <w:rFonts w:cs="Times New Roman"/>
          <w:b/>
          <w:sz w:val="21"/>
          <w:szCs w:val="21"/>
          <w:shd w:val="clear" w:color="auto" w:fill="FFFFFF"/>
          <w:lang w:val="fr-FR"/>
        </w:rPr>
        <w:t>, </w:t>
      </w:r>
      <w:r w:rsidRPr="00DF4A82">
        <w:rPr>
          <w:rStyle w:val="Emphasis"/>
          <w:rFonts w:cs="Times New Roman"/>
          <w:b/>
          <w:bCs/>
          <w:i w:val="0"/>
          <w:iCs w:val="0"/>
          <w:sz w:val="21"/>
          <w:szCs w:val="21"/>
          <w:shd w:val="clear" w:color="auto" w:fill="FFFFFF"/>
          <w:lang w:val="fr-FR"/>
        </w:rPr>
        <w:t>Togo</w:t>
      </w:r>
      <w:r w:rsidR="008F0D59">
        <w:rPr>
          <w:rStyle w:val="Emphasis"/>
          <w:rFonts w:cs="Times New Roman"/>
          <w:bCs/>
          <w:i w:val="0"/>
          <w:iCs w:val="0"/>
          <w:sz w:val="21"/>
          <w:szCs w:val="21"/>
          <w:shd w:val="clear" w:color="auto" w:fill="FFFFFF"/>
          <w:lang w:val="fr-FR"/>
        </w:rPr>
        <w:t xml:space="preserve"> </w:t>
      </w:r>
      <w:r w:rsidR="008F0D59" w:rsidRPr="00DF4A82">
        <w:rPr>
          <w:rStyle w:val="Emphasis"/>
          <w:rFonts w:cs="Times New Roman"/>
          <w:bCs/>
          <w:i w:val="0"/>
          <w:iCs w:val="0"/>
          <w:color w:val="2E74B5" w:themeColor="accent1" w:themeShade="BF"/>
          <w:sz w:val="21"/>
          <w:szCs w:val="21"/>
          <w:shd w:val="clear" w:color="auto" w:fill="FFFFFF"/>
          <w:lang w:val="fr-FR"/>
        </w:rPr>
        <w:t>(EN</w:t>
      </w:r>
      <w:r w:rsidR="00CC03B7" w:rsidRPr="00DF4A82">
        <w:rPr>
          <w:rStyle w:val="Emphasis"/>
          <w:rFonts w:cs="Times New Roman"/>
          <w:bCs/>
          <w:i w:val="0"/>
          <w:iCs w:val="0"/>
          <w:color w:val="2E74B5" w:themeColor="accent1" w:themeShade="BF"/>
          <w:sz w:val="21"/>
          <w:szCs w:val="21"/>
          <w:shd w:val="clear" w:color="auto" w:fill="FFFFFF"/>
          <w:lang w:val="fr-FR"/>
        </w:rPr>
        <w:t>K Akpalu MD</w:t>
      </w:r>
      <w:r w:rsidR="000055ED" w:rsidRPr="00DF4A82">
        <w:rPr>
          <w:rStyle w:val="Emphasis"/>
          <w:rFonts w:cs="Times New Roman"/>
          <w:bCs/>
          <w:i w:val="0"/>
          <w:iCs w:val="0"/>
          <w:color w:val="2E74B5" w:themeColor="accent1" w:themeShade="BF"/>
          <w:sz w:val="21"/>
          <w:szCs w:val="21"/>
          <w:shd w:val="clear" w:color="auto" w:fill="FFFFFF"/>
          <w:lang w:val="fr-FR"/>
        </w:rPr>
        <w:t>)</w:t>
      </w:r>
      <w:r w:rsidR="000055ED">
        <w:rPr>
          <w:rStyle w:val="Emphasis"/>
          <w:rFonts w:cs="Times New Roman"/>
          <w:bCs/>
          <w:i w:val="0"/>
          <w:iCs w:val="0"/>
          <w:color w:val="2E74B5" w:themeColor="accent1" w:themeShade="BF"/>
          <w:sz w:val="21"/>
          <w:szCs w:val="21"/>
          <w:shd w:val="clear" w:color="auto" w:fill="FFFFFF"/>
          <w:lang w:val="fr-FR"/>
        </w:rPr>
        <w:t xml:space="preserve"> ;</w:t>
      </w:r>
    </w:p>
    <w:p w14:paraId="611337F2" w14:textId="038B8025" w:rsidR="00B830E0" w:rsidRDefault="0043672B" w:rsidP="00B978C3">
      <w:pPr>
        <w:spacing w:after="120"/>
        <w:jc w:val="both"/>
        <w:rPr>
          <w:rFonts w:cstheme="majorHAnsi"/>
          <w:b/>
          <w:sz w:val="21"/>
          <w:szCs w:val="20"/>
        </w:rPr>
      </w:pPr>
      <w:r>
        <w:rPr>
          <w:rFonts w:cstheme="majorHAnsi"/>
          <w:b/>
          <w:sz w:val="21"/>
          <w:szCs w:val="20"/>
        </w:rPr>
        <w:t>Institute of Infection and Immunity, S</w:t>
      </w:r>
      <w:r w:rsidR="00D12A48">
        <w:rPr>
          <w:rFonts w:cstheme="majorHAnsi"/>
          <w:b/>
          <w:sz w:val="21"/>
          <w:szCs w:val="20"/>
        </w:rPr>
        <w:t>t</w:t>
      </w:r>
      <w:r w:rsidR="00D12A48" w:rsidRPr="00D12A48">
        <w:rPr>
          <w:rFonts w:cstheme="majorHAnsi"/>
          <w:b/>
          <w:sz w:val="21"/>
          <w:szCs w:val="20"/>
        </w:rPr>
        <w:t xml:space="preserve"> </w:t>
      </w:r>
      <w:r w:rsidR="00D12A48" w:rsidRPr="00AB44F6">
        <w:rPr>
          <w:rFonts w:cstheme="majorHAnsi"/>
          <w:b/>
          <w:sz w:val="21"/>
          <w:szCs w:val="20"/>
        </w:rPr>
        <w:t xml:space="preserve">George’s University of London, </w:t>
      </w:r>
      <w:r w:rsidR="00D12A48">
        <w:rPr>
          <w:rFonts w:cstheme="majorHAnsi"/>
          <w:b/>
          <w:sz w:val="21"/>
          <w:szCs w:val="20"/>
        </w:rPr>
        <w:t xml:space="preserve">Cranmer Terrace, </w:t>
      </w:r>
      <w:r w:rsidR="00D12A48" w:rsidRPr="00AB44F6">
        <w:rPr>
          <w:rFonts w:cstheme="majorHAnsi"/>
          <w:b/>
          <w:sz w:val="21"/>
          <w:szCs w:val="20"/>
        </w:rPr>
        <w:t>London, UK</w:t>
      </w:r>
      <w:r w:rsidR="00091E69">
        <w:rPr>
          <w:rFonts w:cstheme="majorHAnsi"/>
          <w:b/>
          <w:sz w:val="21"/>
          <w:szCs w:val="20"/>
        </w:rPr>
        <w:t xml:space="preserve"> </w:t>
      </w:r>
      <w:r w:rsidR="00091E69" w:rsidRPr="000E3F9C">
        <w:rPr>
          <w:rFonts w:cstheme="majorHAnsi"/>
          <w:color w:val="2E74B5" w:themeColor="accent1" w:themeShade="BF"/>
          <w:sz w:val="21"/>
          <w:szCs w:val="20"/>
        </w:rPr>
        <w:t>(</w:t>
      </w:r>
      <w:r w:rsidR="000E3F9C" w:rsidRPr="000E3F9C">
        <w:rPr>
          <w:rFonts w:cstheme="majorHAnsi"/>
          <w:color w:val="2E74B5" w:themeColor="accent1" w:themeShade="BF"/>
          <w:sz w:val="21"/>
          <w:szCs w:val="20"/>
        </w:rPr>
        <w:t>K Le Doare PhD)</w:t>
      </w:r>
    </w:p>
    <w:p w14:paraId="36F2B883" w14:textId="4DBC785B" w:rsidR="0043672B" w:rsidRDefault="00A82092" w:rsidP="0043672B">
      <w:pPr>
        <w:spacing w:after="120"/>
        <w:rPr>
          <w:rFonts w:cs="Times New Roman"/>
          <w:sz w:val="21"/>
          <w:szCs w:val="20"/>
          <w:vertAlign w:val="superscript"/>
        </w:rPr>
      </w:pPr>
      <w:r>
        <w:rPr>
          <w:rFonts w:cs="Times New Roman"/>
          <w:b/>
          <w:sz w:val="21"/>
          <w:szCs w:val="20"/>
        </w:rPr>
        <w:t xml:space="preserve"> </w:t>
      </w:r>
      <w:r w:rsidR="00CD5D76">
        <w:rPr>
          <w:rFonts w:cs="Times New Roman"/>
          <w:b/>
          <w:sz w:val="21"/>
          <w:szCs w:val="20"/>
        </w:rPr>
        <w:t xml:space="preserve"> </w:t>
      </w:r>
      <w:r w:rsidR="0043672B">
        <w:rPr>
          <w:rFonts w:cs="Times New Roman"/>
          <w:b/>
          <w:sz w:val="21"/>
          <w:szCs w:val="20"/>
        </w:rPr>
        <w:t>Disease Control &amp; Elimination Theme</w:t>
      </w:r>
      <w:r w:rsidR="0043672B" w:rsidRPr="00DF4A82">
        <w:rPr>
          <w:rFonts w:cs="Times New Roman"/>
          <w:b/>
          <w:sz w:val="21"/>
          <w:szCs w:val="20"/>
        </w:rPr>
        <w:t>, Medical Research Council Unit The Gambia at London School of Hygiene and Tropical Medicine, Fajara, The Gambia</w:t>
      </w:r>
      <w:r w:rsidR="0043672B">
        <w:rPr>
          <w:rFonts w:cs="Times New Roman"/>
          <w:b/>
          <w:sz w:val="21"/>
          <w:szCs w:val="20"/>
        </w:rPr>
        <w:t xml:space="preserve"> </w:t>
      </w:r>
      <w:r w:rsidR="0043672B" w:rsidRPr="005A01CA">
        <w:rPr>
          <w:rFonts w:cs="Times New Roman"/>
          <w:color w:val="2E74B5" w:themeColor="accent1" w:themeShade="BF"/>
          <w:sz w:val="21"/>
          <w:szCs w:val="20"/>
        </w:rPr>
        <w:t>(A Roca PhD, A Jarde PhD)</w:t>
      </w:r>
      <w:r w:rsidR="0043672B">
        <w:rPr>
          <w:rFonts w:cs="Times New Roman"/>
          <w:color w:val="2E74B5" w:themeColor="accent1" w:themeShade="BF"/>
          <w:sz w:val="21"/>
          <w:szCs w:val="20"/>
        </w:rPr>
        <w:t>;</w:t>
      </w:r>
    </w:p>
    <w:p w14:paraId="1E4E19F3" w14:textId="5B8D22BF" w:rsidR="00B978C3" w:rsidRPr="00AB44F6" w:rsidRDefault="00B978C3" w:rsidP="00B978C3">
      <w:pPr>
        <w:spacing w:after="120"/>
        <w:jc w:val="both"/>
        <w:rPr>
          <w:rFonts w:cstheme="majorHAnsi"/>
          <w:color w:val="2E74B5" w:themeColor="accent1" w:themeShade="BF"/>
          <w:sz w:val="21"/>
          <w:szCs w:val="20"/>
        </w:rPr>
      </w:pPr>
      <w:r w:rsidRPr="00AB44F6">
        <w:rPr>
          <w:rFonts w:cstheme="majorHAnsi"/>
          <w:b/>
          <w:sz w:val="21"/>
          <w:szCs w:val="20"/>
        </w:rPr>
        <w:t xml:space="preserve">Paediatric Infectious Disease Research Group, St George’s University of London, </w:t>
      </w:r>
      <w:r w:rsidR="00D12A48">
        <w:rPr>
          <w:rFonts w:cstheme="majorHAnsi"/>
          <w:b/>
          <w:sz w:val="21"/>
          <w:szCs w:val="20"/>
        </w:rPr>
        <w:t xml:space="preserve">Cranmer Terrace, </w:t>
      </w:r>
      <w:r w:rsidRPr="00AB44F6">
        <w:rPr>
          <w:rFonts w:cstheme="majorHAnsi"/>
          <w:b/>
          <w:sz w:val="21"/>
          <w:szCs w:val="20"/>
        </w:rPr>
        <w:t>London, UK</w:t>
      </w:r>
      <w:r w:rsidR="00DE4A8B">
        <w:rPr>
          <w:rFonts w:cstheme="majorHAnsi"/>
          <w:sz w:val="21"/>
          <w:szCs w:val="20"/>
        </w:rPr>
        <w:t xml:space="preserve"> </w:t>
      </w:r>
      <w:r w:rsidR="00DE4A8B" w:rsidRPr="00AB44F6">
        <w:rPr>
          <w:rFonts w:cstheme="majorHAnsi"/>
          <w:color w:val="2E74B5" w:themeColor="accent1" w:themeShade="BF"/>
          <w:sz w:val="21"/>
          <w:szCs w:val="20"/>
        </w:rPr>
        <w:t>(Prof M Sharland FRCPCH)</w:t>
      </w:r>
      <w:r w:rsidR="00AA75D1">
        <w:rPr>
          <w:rFonts w:cstheme="majorHAnsi"/>
          <w:color w:val="2E74B5" w:themeColor="accent1" w:themeShade="BF"/>
          <w:sz w:val="21"/>
          <w:szCs w:val="20"/>
        </w:rPr>
        <w:t>;</w:t>
      </w:r>
    </w:p>
    <w:p w14:paraId="634C2E4E" w14:textId="40CC3EE8" w:rsidR="00B978C3" w:rsidRPr="000055ED" w:rsidRDefault="00B978C3" w:rsidP="00B978C3">
      <w:pPr>
        <w:spacing w:after="120"/>
        <w:rPr>
          <w:rFonts w:cs="Times New Roman"/>
          <w:sz w:val="21"/>
          <w:szCs w:val="20"/>
          <w:vertAlign w:val="superscript"/>
        </w:rPr>
      </w:pPr>
      <w:r w:rsidRPr="00464C78">
        <w:rPr>
          <w:rFonts w:cs="Times New Roman"/>
          <w:b/>
          <w:sz w:val="21"/>
          <w:szCs w:val="20"/>
        </w:rPr>
        <w:t>Division of Maternal Fetal Medicine, McMaster University, Hamilton, Canada</w:t>
      </w:r>
      <w:r w:rsidR="00464C78">
        <w:rPr>
          <w:rFonts w:cs="Times New Roman"/>
          <w:sz w:val="21"/>
          <w:szCs w:val="20"/>
        </w:rPr>
        <w:t xml:space="preserve"> </w:t>
      </w:r>
      <w:r w:rsidR="00464C78">
        <w:rPr>
          <w:rFonts w:cs="Times New Roman"/>
          <w:color w:val="2E74B5" w:themeColor="accent1" w:themeShade="BF"/>
          <w:sz w:val="21"/>
          <w:szCs w:val="20"/>
        </w:rPr>
        <w:t>(A</w:t>
      </w:r>
      <w:r w:rsidR="00464C78" w:rsidRPr="005A01CA">
        <w:rPr>
          <w:rFonts w:cs="Times New Roman"/>
          <w:color w:val="2E74B5" w:themeColor="accent1" w:themeShade="BF"/>
          <w:sz w:val="21"/>
          <w:szCs w:val="20"/>
        </w:rPr>
        <w:t xml:space="preserve"> Jarde PhD)</w:t>
      </w:r>
      <w:r w:rsidR="00464C78">
        <w:rPr>
          <w:rFonts w:cs="Times New Roman"/>
          <w:color w:val="2E74B5" w:themeColor="accent1" w:themeShade="BF"/>
          <w:sz w:val="21"/>
          <w:szCs w:val="20"/>
        </w:rPr>
        <w:t>;</w:t>
      </w:r>
    </w:p>
    <w:p w14:paraId="5018F890" w14:textId="32A50767" w:rsidR="006B0AE6" w:rsidRDefault="00B978C3" w:rsidP="00B978C3">
      <w:pPr>
        <w:spacing w:after="120"/>
        <w:rPr>
          <w:rFonts w:cs="Times New Roman"/>
          <w:sz w:val="21"/>
          <w:szCs w:val="20"/>
        </w:rPr>
      </w:pPr>
      <w:r w:rsidRPr="00B31241">
        <w:rPr>
          <w:rFonts w:cs="Times New Roman"/>
          <w:b/>
          <w:sz w:val="21"/>
          <w:szCs w:val="20"/>
        </w:rPr>
        <w:t>Vaccine Centre, Faculty of Infectious and Tropical Diseases, London School of Hygiene and Tropical Medicine, London, UK</w:t>
      </w:r>
      <w:r w:rsidR="00B31241">
        <w:rPr>
          <w:rFonts w:cs="Times New Roman"/>
          <w:sz w:val="21"/>
          <w:szCs w:val="20"/>
        </w:rPr>
        <w:t xml:space="preserve"> </w:t>
      </w:r>
      <w:r w:rsidR="00B31241">
        <w:rPr>
          <w:rFonts w:cs="Times New Roman"/>
          <w:color w:val="2E74B5" w:themeColor="accent1" w:themeShade="BF"/>
          <w:sz w:val="21"/>
          <w:szCs w:val="20"/>
        </w:rPr>
        <w:t>(P</w:t>
      </w:r>
      <w:r w:rsidR="00B31241" w:rsidRPr="00DF4A82">
        <w:rPr>
          <w:rFonts w:cs="Times New Roman"/>
          <w:color w:val="2E74B5" w:themeColor="accent1" w:themeShade="BF"/>
          <w:sz w:val="21"/>
          <w:szCs w:val="20"/>
        </w:rPr>
        <w:t>rof B Kampmann FRCPCH)</w:t>
      </w:r>
      <w:r w:rsidR="00B31241">
        <w:rPr>
          <w:rFonts w:cs="Times New Roman"/>
          <w:color w:val="2E74B5" w:themeColor="accent1" w:themeShade="BF"/>
          <w:sz w:val="21"/>
          <w:szCs w:val="20"/>
        </w:rPr>
        <w:t>;</w:t>
      </w:r>
    </w:p>
    <w:p w14:paraId="22FFB951" w14:textId="45C87B03" w:rsidR="00B978C3" w:rsidRPr="00E27371" w:rsidRDefault="006B0AE6" w:rsidP="00B978C3">
      <w:pPr>
        <w:spacing w:after="120"/>
        <w:rPr>
          <w:rFonts w:cs="Times New Roman"/>
          <w:color w:val="2E74B5" w:themeColor="accent1" w:themeShade="BF"/>
          <w:sz w:val="21"/>
          <w:szCs w:val="20"/>
        </w:rPr>
      </w:pPr>
      <w:r w:rsidRPr="00E27371">
        <w:rPr>
          <w:rFonts w:cs="Times New Roman"/>
          <w:b/>
          <w:sz w:val="21"/>
          <w:szCs w:val="20"/>
        </w:rPr>
        <w:t>MARCH Centre</w:t>
      </w:r>
      <w:r w:rsidR="00B978C3" w:rsidRPr="00E27371">
        <w:rPr>
          <w:rFonts w:cs="Times New Roman"/>
          <w:b/>
          <w:sz w:val="21"/>
          <w:szCs w:val="20"/>
        </w:rPr>
        <w:t xml:space="preserve">, London School of Hygiene </w:t>
      </w:r>
      <w:r w:rsidR="00837D5C" w:rsidRPr="00E27371">
        <w:rPr>
          <w:rFonts w:cs="Times New Roman"/>
          <w:b/>
          <w:sz w:val="21"/>
          <w:szCs w:val="20"/>
        </w:rPr>
        <w:t>&amp;</w:t>
      </w:r>
      <w:r w:rsidR="00B978C3" w:rsidRPr="00E27371">
        <w:rPr>
          <w:rFonts w:cs="Times New Roman"/>
          <w:b/>
          <w:sz w:val="21"/>
          <w:szCs w:val="20"/>
        </w:rPr>
        <w:t xml:space="preserve"> Tropical Medicine, London, UK</w:t>
      </w:r>
      <w:r w:rsidR="00837D5C">
        <w:rPr>
          <w:rFonts w:cs="Times New Roman"/>
          <w:sz w:val="21"/>
          <w:szCs w:val="20"/>
        </w:rPr>
        <w:t xml:space="preserve"> </w:t>
      </w:r>
      <w:r w:rsidR="00837D5C" w:rsidRPr="00E27371">
        <w:rPr>
          <w:rFonts w:cs="Times New Roman"/>
          <w:color w:val="2E74B5" w:themeColor="accent1" w:themeShade="BF"/>
          <w:sz w:val="21"/>
          <w:szCs w:val="20"/>
        </w:rPr>
        <w:t>(</w:t>
      </w:r>
      <w:r w:rsidR="00CD101E" w:rsidRPr="00E27371">
        <w:rPr>
          <w:rFonts w:cs="Times New Roman"/>
          <w:color w:val="2E74B5" w:themeColor="accent1" w:themeShade="BF"/>
          <w:sz w:val="21"/>
          <w:szCs w:val="20"/>
        </w:rPr>
        <w:t>Prof S Cousens DipMathsStat</w:t>
      </w:r>
      <w:r w:rsidR="00E27371" w:rsidRPr="00E27371">
        <w:rPr>
          <w:rFonts w:cs="Times New Roman"/>
          <w:color w:val="2E74B5" w:themeColor="accent1" w:themeShade="BF"/>
          <w:sz w:val="21"/>
          <w:szCs w:val="20"/>
        </w:rPr>
        <w:t>, Prof J E Lawn F</w:t>
      </w:r>
      <w:r w:rsidR="000055ED">
        <w:rPr>
          <w:rFonts w:cs="Times New Roman"/>
          <w:color w:val="2E74B5" w:themeColor="accent1" w:themeShade="BF"/>
          <w:sz w:val="21"/>
          <w:szCs w:val="20"/>
        </w:rPr>
        <w:t>MedSCi</w:t>
      </w:r>
      <w:r w:rsidR="00E27371" w:rsidRPr="00E27371">
        <w:rPr>
          <w:rFonts w:cs="Times New Roman"/>
          <w:color w:val="2E74B5" w:themeColor="accent1" w:themeShade="BF"/>
          <w:sz w:val="21"/>
          <w:szCs w:val="20"/>
        </w:rPr>
        <w:t>)</w:t>
      </w:r>
    </w:p>
    <w:p w14:paraId="47752108" w14:textId="77777777" w:rsidR="00B978C3" w:rsidRDefault="00B978C3" w:rsidP="00B978C3">
      <w:pPr>
        <w:rPr>
          <w:rFonts w:cs="Times New Roman"/>
        </w:rPr>
      </w:pPr>
    </w:p>
    <w:p w14:paraId="40038289" w14:textId="77777777" w:rsidR="000F227B" w:rsidRDefault="00B978C3" w:rsidP="00B978C3">
      <w:pPr>
        <w:rPr>
          <w:rFonts w:cs="Times New Roman"/>
        </w:rPr>
      </w:pPr>
      <w:r>
        <w:rPr>
          <w:rFonts w:cs="Times New Roman"/>
        </w:rPr>
        <w:t>Correspondence</w:t>
      </w:r>
      <w:r w:rsidR="000F227B">
        <w:rPr>
          <w:rFonts w:cs="Times New Roman"/>
        </w:rPr>
        <w:t xml:space="preserve"> to</w:t>
      </w:r>
      <w:r>
        <w:rPr>
          <w:rFonts w:cs="Times New Roman"/>
        </w:rPr>
        <w:t>:</w:t>
      </w:r>
    </w:p>
    <w:p w14:paraId="73810A1E" w14:textId="6BC35793" w:rsidR="00B978C3" w:rsidRDefault="00B978C3" w:rsidP="00B978C3">
      <w:pPr>
        <w:rPr>
          <w:rFonts w:cs="Times New Roman"/>
        </w:rPr>
      </w:pPr>
      <w:r>
        <w:rPr>
          <w:rFonts w:cs="Times New Roman"/>
        </w:rPr>
        <w:t xml:space="preserve">Dr Uduak Okomo, Vaccines and Immunity Theme, Medical Research Council Unit The Gambia at London School of Hygiene and Tropical Medicine, Fajara, P.O. Box 273, Banjul, The Gambia. </w:t>
      </w:r>
      <w:hyperlink r:id="rId8" w:history="1">
        <w:r w:rsidRPr="0016031B">
          <w:rPr>
            <w:rStyle w:val="Hyperlink"/>
            <w:rFonts w:cs="Times New Roman"/>
            <w:b/>
          </w:rPr>
          <w:t>uokomo@mrc.gm</w:t>
        </w:r>
      </w:hyperlink>
    </w:p>
    <w:p w14:paraId="67969C07" w14:textId="77777777" w:rsidR="00421524" w:rsidRDefault="00421524" w:rsidP="00B978C3">
      <w:pPr>
        <w:rPr>
          <w:rFonts w:cs="Times New Roman"/>
        </w:rPr>
      </w:pPr>
    </w:p>
    <w:p w14:paraId="386E156A" w14:textId="38A9DD2B" w:rsidR="00B978C3" w:rsidRPr="00361209" w:rsidRDefault="00B978C3" w:rsidP="00B978C3">
      <w:pPr>
        <w:rPr>
          <w:rFonts w:cs="Times New Roman"/>
        </w:rPr>
      </w:pPr>
      <w:r w:rsidRPr="00421524">
        <w:rPr>
          <w:rFonts w:cs="Times New Roman"/>
        </w:rPr>
        <w:t>*</w:t>
      </w:r>
      <w:r w:rsidR="00195272">
        <w:rPr>
          <w:rFonts w:cs="Times New Roman"/>
        </w:rPr>
        <w:t xml:space="preserve">Joint  senior </w:t>
      </w:r>
      <w:r w:rsidRPr="00361209">
        <w:rPr>
          <w:rFonts w:cs="Times New Roman"/>
        </w:rPr>
        <w:t xml:space="preserve">authors </w:t>
      </w:r>
    </w:p>
    <w:p w14:paraId="3C03F607" w14:textId="7F023804" w:rsidR="00A50165" w:rsidRDefault="00A50165" w:rsidP="00063AC3">
      <w:pPr>
        <w:rPr>
          <w:rFonts w:cs="Times New Roman"/>
        </w:rPr>
      </w:pPr>
    </w:p>
    <w:bookmarkEnd w:id="0"/>
    <w:p w14:paraId="132BEA9E" w14:textId="16D457F0" w:rsidR="00A50165" w:rsidRDefault="00A50165" w:rsidP="00063AC3">
      <w:pPr>
        <w:rPr>
          <w:rFonts w:cs="Times New Roman"/>
        </w:rPr>
      </w:pPr>
    </w:p>
    <w:p w14:paraId="2C564B4B" w14:textId="77777777" w:rsidR="00490CAE" w:rsidRDefault="00490CAE" w:rsidP="00063AC3">
      <w:pPr>
        <w:rPr>
          <w:rFonts w:cs="Times New Roman"/>
        </w:rPr>
        <w:sectPr w:rsidR="00490CAE" w:rsidSect="0076253C">
          <w:headerReference w:type="default" r:id="rId9"/>
          <w:footerReference w:type="default" r:id="rId10"/>
          <w:pgSz w:w="11906" w:h="16838"/>
          <w:pgMar w:top="1440" w:right="1440" w:bottom="1440" w:left="1440" w:header="708" w:footer="708" w:gutter="0"/>
          <w:cols w:space="708"/>
          <w:docGrid w:linePitch="360"/>
        </w:sectPr>
      </w:pPr>
    </w:p>
    <w:p w14:paraId="34C00B16" w14:textId="17D64861" w:rsidR="00063AC3" w:rsidRPr="008223BC" w:rsidRDefault="00FF379F" w:rsidP="00C537B6">
      <w:pPr>
        <w:pStyle w:val="Heading2"/>
        <w:rPr>
          <w:lang w:val="en-GB"/>
        </w:rPr>
      </w:pPr>
      <w:r>
        <w:rPr>
          <w:lang w:val="en-GB"/>
        </w:rPr>
        <w:lastRenderedPageBreak/>
        <w:t>Summary</w:t>
      </w:r>
    </w:p>
    <w:p w14:paraId="74C7FA59" w14:textId="583CFF12" w:rsidR="00A87F29" w:rsidRDefault="00A87F29" w:rsidP="00A87F29">
      <w:pPr>
        <w:spacing w:line="480" w:lineRule="auto"/>
        <w:jc w:val="both"/>
        <w:rPr>
          <w:rFonts w:cs="Times New Roman"/>
        </w:rPr>
      </w:pPr>
      <w:r w:rsidRPr="00FF379F">
        <w:rPr>
          <w:rFonts w:cs="Times New Roman"/>
          <w:b/>
        </w:rPr>
        <w:t>Background:</w:t>
      </w:r>
      <w:r>
        <w:rPr>
          <w:rFonts w:cs="Times New Roman"/>
        </w:rPr>
        <w:t xml:space="preserve"> A</w:t>
      </w:r>
      <w:r w:rsidRPr="00134847">
        <w:rPr>
          <w:rFonts w:cs="Times New Roman"/>
        </w:rPr>
        <w:t>etiolog</w:t>
      </w:r>
      <w:r>
        <w:rPr>
          <w:rFonts w:cs="Times New Roman"/>
        </w:rPr>
        <w:t>ical</w:t>
      </w:r>
      <w:r w:rsidRPr="00134847">
        <w:rPr>
          <w:rFonts w:cs="Times New Roman"/>
        </w:rPr>
        <w:t xml:space="preserve"> data </w:t>
      </w:r>
      <w:r>
        <w:rPr>
          <w:rFonts w:cs="Times New Roman"/>
        </w:rPr>
        <w:t>for n</w:t>
      </w:r>
      <w:r w:rsidRPr="00134847">
        <w:rPr>
          <w:rFonts w:cs="Times New Roman"/>
        </w:rPr>
        <w:t>eonatal infection</w:t>
      </w:r>
      <w:r>
        <w:rPr>
          <w:rFonts w:cs="Times New Roman"/>
        </w:rPr>
        <w:t xml:space="preserve">s </w:t>
      </w:r>
      <w:r w:rsidRPr="00134847">
        <w:rPr>
          <w:rFonts w:cs="Times New Roman"/>
        </w:rPr>
        <w:t xml:space="preserve">are essential to inform policies and </w:t>
      </w:r>
      <w:r w:rsidR="00627161">
        <w:rPr>
          <w:rFonts w:cs="Times New Roman"/>
        </w:rPr>
        <w:t>programme</w:t>
      </w:r>
      <w:r w:rsidRPr="00134847">
        <w:rPr>
          <w:rFonts w:cs="Times New Roman"/>
        </w:rPr>
        <w:t xml:space="preserve"> strategies</w:t>
      </w:r>
      <w:r>
        <w:rPr>
          <w:rFonts w:cs="Times New Roman"/>
        </w:rPr>
        <w:t xml:space="preserve"> at </w:t>
      </w:r>
      <w:r w:rsidR="008A21B4">
        <w:rPr>
          <w:rFonts w:cs="Times New Roman"/>
        </w:rPr>
        <w:t>various</w:t>
      </w:r>
      <w:r>
        <w:rPr>
          <w:rFonts w:cs="Times New Roman"/>
        </w:rPr>
        <w:t xml:space="preserve"> level</w:t>
      </w:r>
      <w:r w:rsidR="008A21B4">
        <w:rPr>
          <w:rFonts w:cs="Times New Roman"/>
        </w:rPr>
        <w:t>s</w:t>
      </w:r>
      <w:r>
        <w:rPr>
          <w:rFonts w:cs="Times New Roman"/>
          <w:color w:val="000000" w:themeColor="text1"/>
        </w:rPr>
        <w:t>, but such data are scarce from sub-Saharan Africa</w:t>
      </w:r>
      <w:r w:rsidRPr="008223BC">
        <w:rPr>
          <w:rFonts w:cs="Times New Roman"/>
        </w:rPr>
        <w:t xml:space="preserve">. </w:t>
      </w:r>
      <w:r>
        <w:rPr>
          <w:rFonts w:cs="Times New Roman"/>
        </w:rPr>
        <w:t>We therefore conducted a systematic review and meta-analysis of available data from the African continent since 1980, with a focus on regional differences</w:t>
      </w:r>
      <w:r w:rsidR="00627161">
        <w:rPr>
          <w:rFonts w:cs="Times New Roman"/>
        </w:rPr>
        <w:t xml:space="preserve"> in aetiology and antimicrobial resistance</w:t>
      </w:r>
      <w:r>
        <w:rPr>
          <w:rFonts w:cs="Times New Roman"/>
        </w:rPr>
        <w:t xml:space="preserve"> </w:t>
      </w:r>
      <w:r w:rsidR="004B3F7B">
        <w:rPr>
          <w:rFonts w:cs="Times New Roman"/>
        </w:rPr>
        <w:t xml:space="preserve">(AMR) </w:t>
      </w:r>
      <w:r>
        <w:rPr>
          <w:rFonts w:cs="Times New Roman"/>
        </w:rPr>
        <w:t xml:space="preserve">in the last decade (2008 – 2018). </w:t>
      </w:r>
    </w:p>
    <w:p w14:paraId="36DC1DBF" w14:textId="21327DAE" w:rsidR="00A87F29" w:rsidRDefault="00A87F29" w:rsidP="00A87F29">
      <w:pPr>
        <w:spacing w:line="480" w:lineRule="auto"/>
        <w:jc w:val="both"/>
        <w:rPr>
          <w:rFonts w:cs="Times New Roman"/>
        </w:rPr>
      </w:pPr>
      <w:r w:rsidRPr="00FF379F">
        <w:rPr>
          <w:rFonts w:cs="Times New Roman"/>
          <w:b/>
        </w:rPr>
        <w:t>Methods:</w:t>
      </w:r>
      <w:r>
        <w:rPr>
          <w:rFonts w:cs="Times New Roman"/>
        </w:rPr>
        <w:t xml:space="preserve"> </w:t>
      </w:r>
      <w:r w:rsidRPr="008223BC">
        <w:rPr>
          <w:rFonts w:cs="Times New Roman"/>
        </w:rPr>
        <w:t xml:space="preserve">We </w:t>
      </w:r>
      <w:r>
        <w:rPr>
          <w:rFonts w:cs="Times New Roman"/>
        </w:rPr>
        <w:t xml:space="preserve">included data for </w:t>
      </w:r>
      <w:r w:rsidR="00E26150">
        <w:rPr>
          <w:rFonts w:cs="Times New Roman"/>
        </w:rPr>
        <w:t>microbiologically confirmed</w:t>
      </w:r>
      <w:r>
        <w:rPr>
          <w:rFonts w:cs="Times New Roman"/>
        </w:rPr>
        <w:t xml:space="preserve"> invasive bacterial infection including meningitis and </w:t>
      </w:r>
      <w:r w:rsidR="004B3F7B">
        <w:rPr>
          <w:rFonts w:cs="Times New Roman"/>
        </w:rPr>
        <w:t>AMR</w:t>
      </w:r>
      <w:r>
        <w:rPr>
          <w:rFonts w:cs="Times New Roman"/>
        </w:rPr>
        <w:t xml:space="preserve"> among neonates in sub-Saharan Africa and assessed the quality of scientific reporting according to Strengthening the Reporting of Observational Studies in Epidemiology for Newborn Infection (STROBE-NI) checklist. We calculated pooled proportions for reported bacterial isolates and </w:t>
      </w:r>
      <w:r w:rsidR="00D525A3">
        <w:rPr>
          <w:rFonts w:cs="Times New Roman"/>
        </w:rPr>
        <w:t>AMR</w:t>
      </w:r>
      <w:r>
        <w:rPr>
          <w:rFonts w:cs="Times New Roman"/>
        </w:rPr>
        <w:t xml:space="preserve">. </w:t>
      </w:r>
    </w:p>
    <w:p w14:paraId="356DF424" w14:textId="5026F604" w:rsidR="00A87F29" w:rsidRDefault="00A87F29" w:rsidP="00A87F29">
      <w:pPr>
        <w:spacing w:line="480" w:lineRule="auto"/>
        <w:jc w:val="both"/>
        <w:rPr>
          <w:rFonts w:cs="Times New Roman"/>
        </w:rPr>
      </w:pPr>
      <w:r w:rsidRPr="00FF379F">
        <w:rPr>
          <w:rFonts w:cs="Times New Roman"/>
          <w:b/>
        </w:rPr>
        <w:t>Findings:</w:t>
      </w:r>
      <w:r>
        <w:rPr>
          <w:rFonts w:cs="Times New Roman"/>
        </w:rPr>
        <w:t xml:space="preserve"> We included 151 studies comprising data from </w:t>
      </w:r>
      <w:r w:rsidR="004D369E">
        <w:rPr>
          <w:rFonts w:cs="Times New Roman"/>
        </w:rPr>
        <w:t>84534</w:t>
      </w:r>
      <w:r w:rsidR="004D369E" w:rsidRPr="008223BC">
        <w:rPr>
          <w:rFonts w:cs="Times New Roman"/>
        </w:rPr>
        <w:t xml:space="preserve"> </w:t>
      </w:r>
      <w:r w:rsidRPr="008223BC">
        <w:rPr>
          <w:rFonts w:cs="Times New Roman"/>
        </w:rPr>
        <w:t>neonates</w:t>
      </w:r>
      <w:r>
        <w:rPr>
          <w:rFonts w:cs="Times New Roman"/>
        </w:rPr>
        <w:t xml:space="preserve"> </w:t>
      </w:r>
      <w:r w:rsidRPr="008223BC">
        <w:rPr>
          <w:rFonts w:cs="Times New Roman"/>
        </w:rPr>
        <w:t>from 26</w:t>
      </w:r>
      <w:r>
        <w:rPr>
          <w:rFonts w:cs="Times New Roman"/>
        </w:rPr>
        <w:t xml:space="preserve"> countries</w:t>
      </w:r>
      <w:r w:rsidR="00627161">
        <w:rPr>
          <w:rFonts w:cs="Times New Roman"/>
        </w:rPr>
        <w:t xml:space="preserve">, </w:t>
      </w:r>
      <w:r w:rsidR="007B5978">
        <w:rPr>
          <w:rFonts w:cs="Times New Roman"/>
        </w:rPr>
        <w:t>almost</w:t>
      </w:r>
      <w:r w:rsidR="009E4917">
        <w:rPr>
          <w:rFonts w:cs="Times New Roman"/>
        </w:rPr>
        <w:t xml:space="preserve"> </w:t>
      </w:r>
      <w:r w:rsidR="00627161">
        <w:rPr>
          <w:rFonts w:cs="Times New Roman"/>
        </w:rPr>
        <w:t>all of which were hospital-based</w:t>
      </w:r>
      <w:r>
        <w:rPr>
          <w:rFonts w:cs="Times New Roman"/>
        </w:rPr>
        <w:t>. Of the 82 studies published between 2008 and 2018, insufficient detail</w:t>
      </w:r>
      <w:r w:rsidR="00627161">
        <w:rPr>
          <w:rFonts w:cs="Times New Roman"/>
        </w:rPr>
        <w:t>s</w:t>
      </w:r>
      <w:r>
        <w:rPr>
          <w:rFonts w:cs="Times New Roman"/>
        </w:rPr>
        <w:t xml:space="preserve"> w</w:t>
      </w:r>
      <w:r w:rsidR="00627161">
        <w:rPr>
          <w:rFonts w:cs="Times New Roman"/>
        </w:rPr>
        <w:t>ere</w:t>
      </w:r>
      <w:r w:rsidR="00103D05">
        <w:rPr>
          <w:rFonts w:cs="Times New Roman"/>
        </w:rPr>
        <w:t xml:space="preserve"> </w:t>
      </w:r>
      <w:r w:rsidR="00627161">
        <w:rPr>
          <w:rFonts w:cs="Times New Roman"/>
        </w:rPr>
        <w:t xml:space="preserve">reported regarding </w:t>
      </w:r>
      <w:r>
        <w:rPr>
          <w:rFonts w:cs="Times New Roman"/>
        </w:rPr>
        <w:t xml:space="preserve">most STROBE-NI items. </w:t>
      </w:r>
      <w:r w:rsidR="00627161">
        <w:rPr>
          <w:rFonts w:cs="Times New Roman"/>
        </w:rPr>
        <w:t xml:space="preserve">Regarding </w:t>
      </w:r>
      <w:r w:rsidR="00627161">
        <w:rPr>
          <w:rFonts w:cs="Times New Roman"/>
          <w:lang w:eastAsia="en-GB"/>
        </w:rPr>
        <w:t xml:space="preserve">culture positive </w:t>
      </w:r>
      <w:r w:rsidR="00627161">
        <w:rPr>
          <w:rFonts w:cs="Times New Roman"/>
        </w:rPr>
        <w:t>bacteraemia/sepsis,</w:t>
      </w:r>
      <w:r w:rsidR="00627161" w:rsidRPr="00D14CD0">
        <w:rPr>
          <w:rFonts w:cs="Times New Roman"/>
          <w:i/>
        </w:rPr>
        <w:t xml:space="preserve"> </w:t>
      </w:r>
      <w:r w:rsidRPr="00D14CD0">
        <w:rPr>
          <w:rFonts w:cs="Times New Roman"/>
          <w:i/>
        </w:rPr>
        <w:t>S</w:t>
      </w:r>
      <w:r>
        <w:rPr>
          <w:rFonts w:cs="Times New Roman"/>
          <w:i/>
        </w:rPr>
        <w:t xml:space="preserve"> </w:t>
      </w:r>
      <w:r w:rsidRPr="00D14CD0">
        <w:rPr>
          <w:rFonts w:cs="Times New Roman"/>
          <w:i/>
        </w:rPr>
        <w:t>aureus</w:t>
      </w:r>
      <w:r>
        <w:rPr>
          <w:rFonts w:cs="Times New Roman"/>
        </w:rPr>
        <w:t xml:space="preserve">, </w:t>
      </w:r>
      <w:r w:rsidRPr="00D14CD0">
        <w:rPr>
          <w:rFonts w:cs="Times New Roman"/>
          <w:i/>
        </w:rPr>
        <w:t>Klebsiella</w:t>
      </w:r>
      <w:r>
        <w:rPr>
          <w:rFonts w:cs="Times New Roman"/>
        </w:rPr>
        <w:t xml:space="preserve"> spp and </w:t>
      </w:r>
      <w:r w:rsidRPr="00382742">
        <w:rPr>
          <w:rFonts w:cs="Times New Roman"/>
          <w:i/>
        </w:rPr>
        <w:t>E coli</w:t>
      </w:r>
      <w:r>
        <w:rPr>
          <w:rFonts w:cs="Times New Roman"/>
        </w:rPr>
        <w:t xml:space="preserve"> accounted for 25% (</w:t>
      </w:r>
      <w:r w:rsidR="00576A95">
        <w:rPr>
          <w:rFonts w:cs="Times New Roman"/>
        </w:rPr>
        <w:t>95%</w:t>
      </w:r>
      <w:r>
        <w:rPr>
          <w:rFonts w:cs="Times New Roman"/>
        </w:rPr>
        <w:t xml:space="preserve"> CI 21 – 29%) 21%, (16 – 27%) and </w:t>
      </w:r>
      <w:r>
        <w:rPr>
          <w:rFonts w:cs="Times New Roman"/>
          <w:lang w:eastAsia="en-GB"/>
        </w:rPr>
        <w:t>10% (8 – 10%)</w:t>
      </w:r>
      <w:r w:rsidR="00627161">
        <w:rPr>
          <w:rFonts w:cs="Times New Roman"/>
          <w:lang w:eastAsia="en-GB"/>
        </w:rPr>
        <w:t xml:space="preserve"> respectively</w:t>
      </w:r>
      <w:r>
        <w:rPr>
          <w:rFonts w:cs="Times New Roman"/>
        </w:rPr>
        <w:t xml:space="preserve">. </w:t>
      </w:r>
      <w:r w:rsidR="00627161">
        <w:rPr>
          <w:rFonts w:cs="Times New Roman"/>
        </w:rPr>
        <w:t>For meningitis, t</w:t>
      </w:r>
      <w:r>
        <w:rPr>
          <w:rFonts w:cs="Times New Roman"/>
        </w:rPr>
        <w:t xml:space="preserve">he predominant </w:t>
      </w:r>
      <w:r w:rsidR="00627161">
        <w:rPr>
          <w:rFonts w:cs="Times New Roman"/>
        </w:rPr>
        <w:t xml:space="preserve">identified </w:t>
      </w:r>
      <w:r>
        <w:rPr>
          <w:rFonts w:cs="Times New Roman"/>
        </w:rPr>
        <w:t>causes were</w:t>
      </w:r>
      <w:r w:rsidRPr="0006794E">
        <w:rPr>
          <w:rFonts w:cs="Times New Roman"/>
        </w:rPr>
        <w:t xml:space="preserve"> </w:t>
      </w:r>
      <w:r>
        <w:rPr>
          <w:rFonts w:cs="Times New Roman"/>
        </w:rPr>
        <w:t xml:space="preserve">Group B </w:t>
      </w:r>
      <w:r w:rsidRPr="00D14CD0">
        <w:rPr>
          <w:rFonts w:cs="Times New Roman"/>
          <w:i/>
        </w:rPr>
        <w:t>streptococcus</w:t>
      </w:r>
      <w:r>
        <w:rPr>
          <w:rFonts w:cs="Times New Roman"/>
        </w:rPr>
        <w:t xml:space="preserve"> 25% (16 – 33%), </w:t>
      </w:r>
      <w:r w:rsidRPr="00D14CD0">
        <w:rPr>
          <w:rFonts w:cs="Times New Roman"/>
          <w:i/>
        </w:rPr>
        <w:t>S</w:t>
      </w:r>
      <w:r>
        <w:rPr>
          <w:rFonts w:cs="Times New Roman"/>
          <w:i/>
        </w:rPr>
        <w:t xml:space="preserve"> </w:t>
      </w:r>
      <w:r w:rsidRPr="00D14CD0">
        <w:rPr>
          <w:rFonts w:cs="Times New Roman"/>
          <w:i/>
        </w:rPr>
        <w:t>pneumonia</w:t>
      </w:r>
      <w:r w:rsidRPr="00D6463E">
        <w:rPr>
          <w:rFonts w:cs="Times New Roman"/>
          <w:i/>
        </w:rPr>
        <w:t>e</w:t>
      </w:r>
      <w:r>
        <w:rPr>
          <w:rFonts w:cs="Times New Roman"/>
        </w:rPr>
        <w:t xml:space="preserve"> 17% (9 – 26%), and </w:t>
      </w:r>
      <w:r w:rsidRPr="00D14CD0">
        <w:rPr>
          <w:rFonts w:cs="Times New Roman"/>
          <w:i/>
        </w:rPr>
        <w:t>S</w:t>
      </w:r>
      <w:r>
        <w:rPr>
          <w:rFonts w:cs="Times New Roman"/>
          <w:i/>
        </w:rPr>
        <w:t xml:space="preserve"> </w:t>
      </w:r>
      <w:r w:rsidRPr="00D14CD0">
        <w:rPr>
          <w:rFonts w:cs="Times New Roman"/>
          <w:i/>
        </w:rPr>
        <w:t>aureus</w:t>
      </w:r>
      <w:r>
        <w:rPr>
          <w:rFonts w:cs="Times New Roman"/>
        </w:rPr>
        <w:t xml:space="preserve"> 12% (3 – 25%). Resistance to </w:t>
      </w:r>
      <w:r w:rsidRPr="008223BC">
        <w:rPr>
          <w:rFonts w:cs="Times New Roman"/>
        </w:rPr>
        <w:t xml:space="preserve">WHO recommended β-lactams </w:t>
      </w:r>
      <w:r>
        <w:rPr>
          <w:rFonts w:cs="Times New Roman"/>
        </w:rPr>
        <w:t xml:space="preserve">was reported in </w:t>
      </w:r>
      <w:r w:rsidR="00627161">
        <w:rPr>
          <w:rFonts w:cs="Times New Roman"/>
        </w:rPr>
        <w:t>&gt;</w:t>
      </w:r>
      <w:r>
        <w:rPr>
          <w:rFonts w:cs="Times New Roman"/>
        </w:rPr>
        <w:t>68% of 904 cases and</w:t>
      </w:r>
      <w:r w:rsidRPr="008223BC">
        <w:rPr>
          <w:rFonts w:cs="Times New Roman"/>
        </w:rPr>
        <w:t xml:space="preserve"> </w:t>
      </w:r>
      <w:r w:rsidR="00627161">
        <w:rPr>
          <w:rFonts w:cs="Times New Roman"/>
        </w:rPr>
        <w:t xml:space="preserve">to </w:t>
      </w:r>
      <w:r w:rsidRPr="008223BC">
        <w:rPr>
          <w:rFonts w:cs="Times New Roman"/>
        </w:rPr>
        <w:t>aminoglycosides</w:t>
      </w:r>
      <w:r>
        <w:rPr>
          <w:rFonts w:cs="Times New Roman"/>
        </w:rPr>
        <w:t xml:space="preserve"> in 27% of 1176 cases</w:t>
      </w:r>
      <w:r w:rsidRPr="008223BC">
        <w:rPr>
          <w:rFonts w:cs="Times New Roman"/>
        </w:rPr>
        <w:t xml:space="preserve">. </w:t>
      </w:r>
    </w:p>
    <w:p w14:paraId="563BD50E" w14:textId="3C6DC50B" w:rsidR="00A87F29" w:rsidRDefault="00A87F29" w:rsidP="00A87F29">
      <w:pPr>
        <w:spacing w:line="480" w:lineRule="auto"/>
        <w:jc w:val="both"/>
        <w:rPr>
          <w:rFonts w:cs="Times New Roman"/>
        </w:rPr>
      </w:pPr>
      <w:r w:rsidRPr="00FF379F">
        <w:rPr>
          <w:rFonts w:cs="Times New Roman"/>
          <w:b/>
        </w:rPr>
        <w:t>Interpretation:</w:t>
      </w:r>
      <w:r>
        <w:rPr>
          <w:rFonts w:cs="Times New Roman"/>
        </w:rPr>
        <w:t xml:space="preserve"> </w:t>
      </w:r>
      <w:r w:rsidR="00627161">
        <w:rPr>
          <w:rFonts w:cs="Times New Roman"/>
        </w:rPr>
        <w:t>Hospital</w:t>
      </w:r>
      <w:r w:rsidR="00683F55">
        <w:rPr>
          <w:rFonts w:cs="Times New Roman"/>
        </w:rPr>
        <w:t>-</w:t>
      </w:r>
      <w:r w:rsidR="00627161">
        <w:rPr>
          <w:rFonts w:cs="Times New Roman"/>
        </w:rPr>
        <w:t>acquired neonatal infections</w:t>
      </w:r>
      <w:r w:rsidR="004B3F7B">
        <w:rPr>
          <w:rFonts w:cs="Times New Roman"/>
        </w:rPr>
        <w:t xml:space="preserve"> and AMR</w:t>
      </w:r>
      <w:r w:rsidR="00627161">
        <w:rPr>
          <w:rFonts w:cs="Times New Roman"/>
        </w:rPr>
        <w:t xml:space="preserve"> are a major burden</w:t>
      </w:r>
      <w:r w:rsidR="004B3F7B">
        <w:rPr>
          <w:rFonts w:cs="Times New Roman"/>
        </w:rPr>
        <w:t xml:space="preserve"> in Africa</w:t>
      </w:r>
      <w:r w:rsidR="00627161">
        <w:rPr>
          <w:rFonts w:cs="Times New Roman"/>
        </w:rPr>
        <w:t>, and  i</w:t>
      </w:r>
      <w:r>
        <w:rPr>
          <w:rFonts w:eastAsia="ScalaLancetPro" w:cs="Times New Roman"/>
        </w:rPr>
        <w:t xml:space="preserve">mproved surveillance is required. </w:t>
      </w:r>
      <w:r>
        <w:rPr>
          <w:rFonts w:cs="Times New Roman"/>
        </w:rPr>
        <w:t>More</w:t>
      </w:r>
      <w:r w:rsidRPr="008223BC">
        <w:rPr>
          <w:rFonts w:cs="Times New Roman"/>
        </w:rPr>
        <w:t xml:space="preserve"> population-based </w:t>
      </w:r>
      <w:r>
        <w:rPr>
          <w:rFonts w:cs="Times New Roman"/>
        </w:rPr>
        <w:t xml:space="preserve">neonatal infection </w:t>
      </w:r>
      <w:r w:rsidRPr="008223BC">
        <w:rPr>
          <w:rFonts w:cs="Times New Roman"/>
        </w:rPr>
        <w:t>studies</w:t>
      </w:r>
      <w:r w:rsidR="004B3F7B">
        <w:rPr>
          <w:rFonts w:cs="Times New Roman"/>
        </w:rPr>
        <w:t xml:space="preserve"> are also needed, and all studies</w:t>
      </w:r>
      <w:r>
        <w:rPr>
          <w:rFonts w:cs="Times New Roman"/>
        </w:rPr>
        <w:t xml:space="preserve"> should be reported </w:t>
      </w:r>
      <w:r w:rsidR="004B3F7B">
        <w:rPr>
          <w:rFonts w:cs="Times New Roman"/>
        </w:rPr>
        <w:t>according to</w:t>
      </w:r>
      <w:r w:rsidRPr="008223BC">
        <w:rPr>
          <w:rFonts w:cs="Times New Roman"/>
        </w:rPr>
        <w:t xml:space="preserve"> </w:t>
      </w:r>
      <w:r>
        <w:rPr>
          <w:rFonts w:cs="Times New Roman"/>
        </w:rPr>
        <w:t>standardised reporting guidelines</w:t>
      </w:r>
      <w:r w:rsidR="004B3F7B">
        <w:rPr>
          <w:rFonts w:cs="Times New Roman"/>
        </w:rPr>
        <w:t xml:space="preserve">, such as STROBE-NI </w:t>
      </w:r>
      <w:r>
        <w:rPr>
          <w:rFonts w:cs="Times New Roman"/>
        </w:rPr>
        <w:t xml:space="preserve">to aid comparability and </w:t>
      </w:r>
      <w:r w:rsidR="004B3F7B">
        <w:rPr>
          <w:rFonts w:cs="Times New Roman"/>
        </w:rPr>
        <w:t>reduce research wastage</w:t>
      </w:r>
      <w:r w:rsidRPr="008223BC">
        <w:rPr>
          <w:rFonts w:cs="Times New Roman"/>
        </w:rPr>
        <w:t>.</w:t>
      </w:r>
    </w:p>
    <w:p w14:paraId="74D3B09C" w14:textId="0BCD86B5" w:rsidR="00A87F29" w:rsidRDefault="00A87F29" w:rsidP="004F77D0">
      <w:pPr>
        <w:spacing w:line="480" w:lineRule="auto"/>
        <w:jc w:val="both"/>
        <w:rPr>
          <w:rFonts w:cs="Times New Roman"/>
        </w:rPr>
      </w:pPr>
      <w:r w:rsidRPr="00414AF0">
        <w:rPr>
          <w:rFonts w:cs="Times New Roman"/>
          <w:b/>
        </w:rPr>
        <w:t>Funding</w:t>
      </w:r>
      <w:r>
        <w:rPr>
          <w:rFonts w:cs="Times New Roman"/>
        </w:rPr>
        <w:t xml:space="preserve">: </w:t>
      </w:r>
      <w:r w:rsidRPr="008223BC">
        <w:t>U</w:t>
      </w:r>
      <w:r>
        <w:t>duak Okomo</w:t>
      </w:r>
      <w:r w:rsidRPr="008223BC">
        <w:t xml:space="preserve"> was supported by a Medical Research Council PhD Studentship</w:t>
      </w:r>
      <w:r>
        <w:rPr>
          <w:rFonts w:cs="Times New Roman"/>
        </w:rPr>
        <w:t xml:space="preserve"> </w:t>
      </w:r>
    </w:p>
    <w:p w14:paraId="579FB331" w14:textId="7E209690" w:rsidR="00E26195" w:rsidRPr="008223BC" w:rsidRDefault="00E26195">
      <w:pPr>
        <w:rPr>
          <w:rFonts w:cs="Times New Roman"/>
        </w:rPr>
        <w:sectPr w:rsidR="00E26195" w:rsidRPr="008223BC" w:rsidSect="003D4404">
          <w:pgSz w:w="11906" w:h="16838"/>
          <w:pgMar w:top="1135" w:right="1440" w:bottom="1440" w:left="1440" w:header="708" w:footer="708" w:gutter="0"/>
          <w:cols w:space="708"/>
          <w:docGrid w:linePitch="360"/>
        </w:sectPr>
      </w:pPr>
    </w:p>
    <w:p w14:paraId="59ED9C8B" w14:textId="77777777" w:rsidR="00AB0D24" w:rsidRPr="008223BC" w:rsidRDefault="00AB0D24" w:rsidP="00C537B6">
      <w:pPr>
        <w:pStyle w:val="Heading2"/>
        <w:rPr>
          <w:lang w:val="en-GB"/>
        </w:rPr>
      </w:pPr>
      <w:r w:rsidRPr="008223BC">
        <w:rPr>
          <w:lang w:val="en-GB"/>
        </w:rPr>
        <w:lastRenderedPageBreak/>
        <w:t>Introduction</w:t>
      </w:r>
    </w:p>
    <w:p w14:paraId="71B8B1EC" w14:textId="6593F4AE" w:rsidR="005C4483" w:rsidRPr="005C4483" w:rsidRDefault="00041198" w:rsidP="00947D41">
      <w:pPr>
        <w:spacing w:line="480" w:lineRule="auto"/>
        <w:jc w:val="both"/>
        <w:rPr>
          <w:rFonts w:cs="Times New Roman"/>
        </w:rPr>
      </w:pPr>
      <w:r w:rsidRPr="008223BC">
        <w:rPr>
          <w:rFonts w:cs="Times New Roman"/>
          <w:color w:val="000000"/>
          <w:shd w:val="clear" w:color="auto" w:fill="FFFFFF"/>
        </w:rPr>
        <w:t>A</w:t>
      </w:r>
      <w:r w:rsidRPr="008223BC">
        <w:rPr>
          <w:rFonts w:cs="Times New Roman"/>
        </w:rPr>
        <w:t>n estimated 2.</w:t>
      </w:r>
      <w:r>
        <w:rPr>
          <w:rFonts w:cs="Times New Roman"/>
        </w:rPr>
        <w:t>5</w:t>
      </w:r>
      <w:r w:rsidRPr="008223BC">
        <w:rPr>
          <w:rFonts w:cs="Times New Roman"/>
        </w:rPr>
        <w:t xml:space="preserve"> million neonatal deaths </w:t>
      </w:r>
      <w:r w:rsidR="00E042F0">
        <w:rPr>
          <w:rFonts w:cs="Times New Roman"/>
        </w:rPr>
        <w:t xml:space="preserve">(deaths in the first 28 days after birth) </w:t>
      </w:r>
      <w:r w:rsidRPr="008223BC">
        <w:rPr>
          <w:rFonts w:cs="Times New Roman"/>
        </w:rPr>
        <w:t>occur each year, representing almost half (4</w:t>
      </w:r>
      <w:r>
        <w:rPr>
          <w:rFonts w:cs="Times New Roman"/>
        </w:rPr>
        <w:t>7</w:t>
      </w:r>
      <w:r w:rsidRPr="008223BC">
        <w:rPr>
          <w:rFonts w:cs="Times New Roman"/>
        </w:rPr>
        <w:t>%) of all under-five deaths</w:t>
      </w:r>
      <w:r w:rsidRPr="008223BC">
        <w:rPr>
          <w:rFonts w:cs="Times New Roman"/>
          <w:color w:val="000000"/>
          <w:shd w:val="clear" w:color="auto" w:fill="FFFFFF"/>
        </w:rPr>
        <w:t xml:space="preserve"> globally</w:t>
      </w:r>
      <w:r w:rsidR="00B53CB1" w:rsidRPr="008223BC">
        <w:rPr>
          <w:rFonts w:cs="Times New Roman"/>
        </w:rPr>
        <w:t>.</w:t>
      </w:r>
      <w:r w:rsidR="00804731" w:rsidRPr="00804731">
        <w:rPr>
          <w:rFonts w:cs="Times New Roman"/>
          <w:noProof/>
          <w:vertAlign w:val="superscript"/>
        </w:rPr>
        <w:t>1</w:t>
      </w:r>
      <w:r w:rsidR="00A24CB2" w:rsidRPr="008223BC">
        <w:rPr>
          <w:rFonts w:cs="Times New Roman"/>
        </w:rPr>
        <w:t xml:space="preserve"> </w:t>
      </w:r>
      <w:r w:rsidR="00935A8E">
        <w:rPr>
          <w:rFonts w:cs="Times New Roman"/>
        </w:rPr>
        <w:t>Despite the</w:t>
      </w:r>
      <w:r w:rsidR="006F55D8">
        <w:rPr>
          <w:rFonts w:cs="Times New Roman"/>
        </w:rPr>
        <w:t xml:space="preserve"> continued global decline in</w:t>
      </w:r>
      <w:r w:rsidR="00D77AFB">
        <w:rPr>
          <w:rFonts w:cs="Times New Roman"/>
        </w:rPr>
        <w:t xml:space="preserve"> </w:t>
      </w:r>
      <w:r w:rsidR="006F55D8">
        <w:rPr>
          <w:rFonts w:cs="Times New Roman"/>
        </w:rPr>
        <w:t xml:space="preserve">neonatal </w:t>
      </w:r>
      <w:r w:rsidR="00F040BF">
        <w:rPr>
          <w:rFonts w:cs="Times New Roman"/>
        </w:rPr>
        <w:t>mortality levels</w:t>
      </w:r>
      <w:r w:rsidR="00D77AFB">
        <w:rPr>
          <w:rFonts w:cs="Times New Roman"/>
        </w:rPr>
        <w:t xml:space="preserve">, </w:t>
      </w:r>
      <w:r w:rsidR="0041048F">
        <w:rPr>
          <w:rFonts w:cs="Times New Roman"/>
        </w:rPr>
        <w:t>marked dispari</w:t>
      </w:r>
      <w:r w:rsidR="00A54DA0">
        <w:rPr>
          <w:rFonts w:cs="Times New Roman"/>
        </w:rPr>
        <w:t xml:space="preserve">ties in neonatal mortality </w:t>
      </w:r>
      <w:r w:rsidR="00755764">
        <w:rPr>
          <w:rFonts w:cs="Times New Roman"/>
        </w:rPr>
        <w:t xml:space="preserve">exist </w:t>
      </w:r>
      <w:r w:rsidR="00A54DA0">
        <w:rPr>
          <w:rFonts w:cs="Times New Roman"/>
        </w:rPr>
        <w:t xml:space="preserve">across </w:t>
      </w:r>
      <w:r w:rsidR="00350183">
        <w:rPr>
          <w:rFonts w:cs="Times New Roman"/>
        </w:rPr>
        <w:t xml:space="preserve">world </w:t>
      </w:r>
      <w:r w:rsidR="00A54DA0">
        <w:rPr>
          <w:rFonts w:cs="Times New Roman"/>
        </w:rPr>
        <w:t>regions a</w:t>
      </w:r>
      <w:r w:rsidR="00984A0A">
        <w:rPr>
          <w:rFonts w:cs="Times New Roman"/>
        </w:rPr>
        <w:t>nd countries</w:t>
      </w:r>
      <w:r w:rsidR="002F6C5F">
        <w:rPr>
          <w:rFonts w:cs="Times New Roman"/>
        </w:rPr>
        <w:t>.</w:t>
      </w:r>
      <w:r w:rsidR="00324967">
        <w:rPr>
          <w:rFonts w:cs="Times New Roman"/>
        </w:rPr>
        <w:t xml:space="preserve"> </w:t>
      </w:r>
      <w:r w:rsidR="00E042F0">
        <w:rPr>
          <w:rFonts w:cs="Times New Roman"/>
        </w:rPr>
        <w:t xml:space="preserve">The burden is highest in </w:t>
      </w:r>
      <w:r w:rsidR="005A1B3C">
        <w:rPr>
          <w:rFonts w:cs="Times New Roman"/>
        </w:rPr>
        <w:t>s</w:t>
      </w:r>
      <w:r w:rsidR="00185F34">
        <w:rPr>
          <w:rFonts w:cs="Times New Roman"/>
        </w:rPr>
        <w:t>ub-Saharan Africa</w:t>
      </w:r>
      <w:r w:rsidR="00185F34" w:rsidRPr="00185F34">
        <w:rPr>
          <w:rFonts w:cs="Times New Roman"/>
        </w:rPr>
        <w:t xml:space="preserve"> </w:t>
      </w:r>
      <w:r w:rsidR="00E042F0">
        <w:rPr>
          <w:rFonts w:cs="Times New Roman"/>
        </w:rPr>
        <w:t xml:space="preserve">with 39% of all newborn deaths and </w:t>
      </w:r>
      <w:r w:rsidR="00185F34">
        <w:rPr>
          <w:rFonts w:cs="Times New Roman"/>
          <w:color w:val="000000"/>
          <w:shd w:val="clear" w:color="auto" w:fill="FFFFFF"/>
        </w:rPr>
        <w:t>neonatal mortality</w:t>
      </w:r>
      <w:r w:rsidR="00B2106B">
        <w:rPr>
          <w:rFonts w:cs="Times New Roman"/>
          <w:color w:val="000000"/>
          <w:shd w:val="clear" w:color="auto" w:fill="FFFFFF"/>
        </w:rPr>
        <w:t xml:space="preserve"> rate</w:t>
      </w:r>
      <w:r w:rsidR="005128E5">
        <w:rPr>
          <w:rFonts w:cs="Times New Roman"/>
          <w:color w:val="000000"/>
          <w:shd w:val="clear" w:color="auto" w:fill="FFFFFF"/>
        </w:rPr>
        <w:t xml:space="preserve"> (NMR)</w:t>
      </w:r>
      <w:r w:rsidR="0023258A">
        <w:rPr>
          <w:rFonts w:cs="Times New Roman"/>
          <w:color w:val="000000"/>
          <w:shd w:val="clear" w:color="auto" w:fill="FFFFFF"/>
        </w:rPr>
        <w:t xml:space="preserve"> </w:t>
      </w:r>
      <w:r w:rsidR="005A1B3C">
        <w:rPr>
          <w:rFonts w:cs="Times New Roman"/>
          <w:color w:val="000000"/>
          <w:shd w:val="clear" w:color="auto" w:fill="FFFFFF"/>
        </w:rPr>
        <w:t>of</w:t>
      </w:r>
      <w:r w:rsidR="00141988">
        <w:rPr>
          <w:rFonts w:cs="Times New Roman"/>
          <w:color w:val="000000"/>
          <w:shd w:val="clear" w:color="auto" w:fill="FFFFFF"/>
        </w:rPr>
        <w:t xml:space="preserve"> 27</w:t>
      </w:r>
      <w:r w:rsidR="002F6C5F" w:rsidRPr="008223BC">
        <w:rPr>
          <w:rFonts w:cs="Times New Roman"/>
        </w:rPr>
        <w:t xml:space="preserve"> deaths per 1000 </w:t>
      </w:r>
      <w:r w:rsidR="00141988" w:rsidRPr="008223BC">
        <w:rPr>
          <w:rFonts w:cs="Times New Roman"/>
        </w:rPr>
        <w:t>livebirths</w:t>
      </w:r>
      <w:r w:rsidR="00A10EE3" w:rsidRPr="008223BC">
        <w:rPr>
          <w:rFonts w:cs="Times New Roman"/>
        </w:rPr>
        <w:t>.</w:t>
      </w:r>
      <w:r w:rsidR="003315DE" w:rsidRPr="003315DE">
        <w:rPr>
          <w:rFonts w:cs="Times New Roman"/>
          <w:noProof/>
          <w:vertAlign w:val="superscript"/>
        </w:rPr>
        <w:t>1</w:t>
      </w:r>
      <w:r w:rsidR="00A10EE3">
        <w:rPr>
          <w:rFonts w:cs="Times New Roman"/>
        </w:rPr>
        <w:t xml:space="preserve"> </w:t>
      </w:r>
      <w:r w:rsidR="00CC754B">
        <w:rPr>
          <w:rFonts w:cs="Times New Roman"/>
        </w:rPr>
        <w:t>Within sub-Saharan Africa, the burden of newborn deaths and NMRs are unevenly distributed geographically.</w:t>
      </w:r>
      <w:r w:rsidR="0082529F" w:rsidRPr="0082529F">
        <w:rPr>
          <w:rFonts w:cs="Times New Roman"/>
          <w:noProof/>
          <w:vertAlign w:val="superscript"/>
        </w:rPr>
        <w:t>2</w:t>
      </w:r>
      <w:r w:rsidR="00CC754B" w:rsidRPr="005128E5">
        <w:rPr>
          <w:rFonts w:cs="Times New Roman"/>
        </w:rPr>
        <w:t xml:space="preserve"> </w:t>
      </w:r>
      <w:r w:rsidR="00DB3879">
        <w:rPr>
          <w:rFonts w:cs="Times New Roman"/>
        </w:rPr>
        <w:t xml:space="preserve">Overall </w:t>
      </w:r>
      <w:r w:rsidR="005128E5">
        <w:rPr>
          <w:rFonts w:cs="Times New Roman"/>
        </w:rPr>
        <w:t xml:space="preserve">progress towards achieving </w:t>
      </w:r>
      <w:r w:rsidR="005128E5">
        <w:rPr>
          <w:rFonts w:cs="Times New Roman"/>
          <w:color w:val="000000"/>
          <w:shd w:val="clear" w:color="auto" w:fill="FFFFFF"/>
        </w:rPr>
        <w:t>t</w:t>
      </w:r>
      <w:r w:rsidR="005128E5" w:rsidRPr="008223BC">
        <w:rPr>
          <w:rFonts w:cs="Times New Roman"/>
          <w:color w:val="000000"/>
          <w:shd w:val="clear" w:color="auto" w:fill="FFFFFF"/>
        </w:rPr>
        <w:t>he Sustainable Development Goals</w:t>
      </w:r>
      <w:r w:rsidR="005128E5">
        <w:rPr>
          <w:rFonts w:cs="Times New Roman"/>
          <w:color w:val="000000"/>
          <w:shd w:val="clear" w:color="auto" w:fill="FFFFFF"/>
        </w:rPr>
        <w:t>’</w:t>
      </w:r>
      <w:r w:rsidR="005128E5" w:rsidRPr="008223BC">
        <w:rPr>
          <w:rFonts w:cs="Times New Roman"/>
          <w:color w:val="000000"/>
          <w:shd w:val="clear" w:color="auto" w:fill="FFFFFF"/>
        </w:rPr>
        <w:t xml:space="preserve"> (SDGs) </w:t>
      </w:r>
      <w:r w:rsidR="00FC3D70">
        <w:rPr>
          <w:rFonts w:cs="Times New Roman"/>
          <w:color w:val="000000"/>
          <w:shd w:val="clear" w:color="auto" w:fill="FFFFFF"/>
        </w:rPr>
        <w:t>NMR</w:t>
      </w:r>
      <w:r w:rsidR="005128E5" w:rsidRPr="008223BC">
        <w:rPr>
          <w:rFonts w:cs="Times New Roman"/>
          <w:color w:val="000000"/>
          <w:shd w:val="clear" w:color="auto" w:fill="FFFFFF"/>
        </w:rPr>
        <w:t xml:space="preserve"> </w:t>
      </w:r>
      <w:r w:rsidR="005128E5">
        <w:rPr>
          <w:rFonts w:cs="Times New Roman"/>
          <w:color w:val="000000"/>
          <w:shd w:val="clear" w:color="auto" w:fill="FFFFFF"/>
        </w:rPr>
        <w:t xml:space="preserve">target </w:t>
      </w:r>
      <w:r w:rsidR="005128E5" w:rsidRPr="008223BC">
        <w:rPr>
          <w:rFonts w:cs="Times New Roman"/>
          <w:color w:val="000000"/>
          <w:shd w:val="clear" w:color="auto" w:fill="FFFFFF"/>
        </w:rPr>
        <w:t xml:space="preserve">of </w:t>
      </w:r>
      <w:r w:rsidR="005128E5" w:rsidRPr="008223BC">
        <w:rPr>
          <w:rFonts w:cs="Times New Roman"/>
          <w:color w:val="000000"/>
          <w:u w:val="single"/>
          <w:shd w:val="clear" w:color="auto" w:fill="FFFFFF"/>
        </w:rPr>
        <w:t>&lt;</w:t>
      </w:r>
      <w:r w:rsidR="005128E5" w:rsidRPr="008223BC">
        <w:rPr>
          <w:rFonts w:cs="Times New Roman"/>
          <w:color w:val="000000"/>
          <w:shd w:val="clear" w:color="auto" w:fill="FFFFFF"/>
        </w:rPr>
        <w:t xml:space="preserve">12 deaths per 1000 livebirths </w:t>
      </w:r>
      <w:r w:rsidR="005128E5">
        <w:rPr>
          <w:rFonts w:cs="Times New Roman"/>
          <w:color w:val="000000"/>
          <w:shd w:val="clear" w:color="auto" w:fill="FFFFFF"/>
        </w:rPr>
        <w:t>by</w:t>
      </w:r>
      <w:r w:rsidR="005128E5" w:rsidRPr="008223BC">
        <w:rPr>
          <w:rFonts w:cs="Times New Roman"/>
          <w:color w:val="000000"/>
          <w:shd w:val="clear" w:color="auto" w:fill="FFFFFF"/>
        </w:rPr>
        <w:t xml:space="preserve"> 2030</w:t>
      </w:r>
      <w:r w:rsidR="00DB3879">
        <w:rPr>
          <w:rFonts w:cs="Times New Roman"/>
          <w:color w:val="000000"/>
          <w:shd w:val="clear" w:color="auto" w:fill="FFFFFF"/>
        </w:rPr>
        <w:t xml:space="preserve"> within the region is slow; however, </w:t>
      </w:r>
      <w:r w:rsidR="00CC754B">
        <w:rPr>
          <w:rFonts w:cs="Times New Roman"/>
          <w:color w:val="000000"/>
          <w:shd w:val="clear" w:color="auto" w:fill="FFFFFF"/>
        </w:rPr>
        <w:t xml:space="preserve">West and Central Africa </w:t>
      </w:r>
      <w:r w:rsidR="00061E76">
        <w:rPr>
          <w:rFonts w:cs="Univers LT Std 45 Light"/>
          <w:color w:val="000000"/>
        </w:rPr>
        <w:t>have</w:t>
      </w:r>
      <w:r w:rsidR="00061E76" w:rsidRPr="005C4483">
        <w:rPr>
          <w:rFonts w:cs="Univers LT Std 45 Light"/>
          <w:color w:val="000000"/>
        </w:rPr>
        <w:t xml:space="preserve"> the highest proportion of countries </w:t>
      </w:r>
      <w:r w:rsidR="009C0223">
        <w:rPr>
          <w:rFonts w:cs="Univers LT Std 45 Light"/>
          <w:color w:val="000000"/>
        </w:rPr>
        <w:t xml:space="preserve">requiring </w:t>
      </w:r>
      <w:r w:rsidR="00061E76" w:rsidRPr="008223BC">
        <w:rPr>
          <w:rFonts w:cs="Times New Roman"/>
        </w:rPr>
        <w:t xml:space="preserve">major shifts in their mortality </w:t>
      </w:r>
      <w:r w:rsidR="00061E76">
        <w:rPr>
          <w:rFonts w:cs="Times New Roman"/>
        </w:rPr>
        <w:t xml:space="preserve">rate </w:t>
      </w:r>
      <w:r w:rsidR="00061E76" w:rsidRPr="008223BC">
        <w:rPr>
          <w:rFonts w:cs="Times New Roman"/>
        </w:rPr>
        <w:t>reduction</w:t>
      </w:r>
      <w:r w:rsidR="00061E76">
        <w:rPr>
          <w:rFonts w:cs="Times New Roman"/>
        </w:rPr>
        <w:t xml:space="preserve"> to achieve this</w:t>
      </w:r>
      <w:r w:rsidR="00DB3879">
        <w:rPr>
          <w:rFonts w:cs="Times New Roman"/>
        </w:rPr>
        <w:t xml:space="preserve"> target</w:t>
      </w:r>
      <w:r w:rsidR="00061E76" w:rsidRPr="005C4483">
        <w:rPr>
          <w:rFonts w:cs="Univers LT Std 45 Light"/>
          <w:color w:val="000000"/>
        </w:rPr>
        <w:t>.</w:t>
      </w:r>
      <w:r w:rsidR="002220C3" w:rsidRPr="002220C3">
        <w:rPr>
          <w:rFonts w:cs="Univers LT Std 45 Light"/>
          <w:noProof/>
          <w:color w:val="000000"/>
          <w:vertAlign w:val="superscript"/>
        </w:rPr>
        <w:t>3,4</w:t>
      </w:r>
      <w:r w:rsidR="00061E76" w:rsidRPr="004E58F0">
        <w:rPr>
          <w:rFonts w:cs="Univers LT Std 45 Light"/>
          <w:color w:val="000000"/>
          <w:highlight w:val="yellow"/>
        </w:rPr>
        <w:t xml:space="preserve"> </w:t>
      </w:r>
      <w:r w:rsidR="00571F25">
        <w:rPr>
          <w:rFonts w:cs="Times New Roman"/>
        </w:rPr>
        <w:t xml:space="preserve"> </w:t>
      </w:r>
    </w:p>
    <w:p w14:paraId="50A875C0" w14:textId="6A4EBFF3" w:rsidR="001C2A58" w:rsidRPr="008223BC" w:rsidRDefault="00CB1D1E" w:rsidP="00947D41">
      <w:pPr>
        <w:spacing w:line="480" w:lineRule="auto"/>
        <w:jc w:val="both"/>
        <w:rPr>
          <w:rFonts w:eastAsia="ScalaLancetPro" w:cs="Times New Roman"/>
        </w:rPr>
      </w:pPr>
      <w:r>
        <w:t xml:space="preserve">Bacterial infections are a leading cause of </w:t>
      </w:r>
      <w:r w:rsidR="00185665">
        <w:t xml:space="preserve">global </w:t>
      </w:r>
      <w:r>
        <w:t xml:space="preserve">neonatal deaths with </w:t>
      </w:r>
      <w:r w:rsidR="005D5989">
        <w:t>a high burden of cases</w:t>
      </w:r>
      <w:r>
        <w:t xml:space="preserve"> in sub-Saharan </w:t>
      </w:r>
      <w:r w:rsidR="00874489">
        <w:rPr>
          <w:rFonts w:cs="Times New Roman"/>
        </w:rPr>
        <w:t>Africa</w:t>
      </w:r>
      <w:r w:rsidR="005B3FE8" w:rsidRPr="005B3FE8">
        <w:rPr>
          <w:rFonts w:cs="Times New Roman"/>
        </w:rPr>
        <w:t xml:space="preserve"> </w:t>
      </w:r>
      <w:r w:rsidR="005B3FE8">
        <w:rPr>
          <w:rFonts w:cs="Times New Roman"/>
        </w:rPr>
        <w:t>and a higher cause-specific mortality risk</w:t>
      </w:r>
      <w:r w:rsidR="00185665">
        <w:rPr>
          <w:rFonts w:cs="Times New Roman"/>
        </w:rPr>
        <w:t>,</w:t>
      </w:r>
      <w:r w:rsidR="002220C3" w:rsidRPr="002220C3">
        <w:rPr>
          <w:rFonts w:cs="Times New Roman"/>
          <w:noProof/>
          <w:vertAlign w:val="superscript"/>
        </w:rPr>
        <w:t>5</w:t>
      </w:r>
      <w:r w:rsidR="005B3FE8">
        <w:rPr>
          <w:rFonts w:cs="Times New Roman"/>
        </w:rPr>
        <w:t xml:space="preserve"> </w:t>
      </w:r>
      <w:r w:rsidR="005D5989">
        <w:rPr>
          <w:rFonts w:cs="Times New Roman"/>
        </w:rPr>
        <w:t xml:space="preserve">yet </w:t>
      </w:r>
      <w:r w:rsidR="007A6094" w:rsidRPr="008223BC">
        <w:rPr>
          <w:rFonts w:cs="Times New Roman"/>
        </w:rPr>
        <w:t xml:space="preserve">there is a significant gap in aetiology-specific data </w:t>
      </w:r>
      <w:r w:rsidR="00F60687">
        <w:rPr>
          <w:rFonts w:cs="Times New Roman"/>
        </w:rPr>
        <w:t>from</w:t>
      </w:r>
      <w:r w:rsidR="007A6094" w:rsidRPr="008223BC">
        <w:rPr>
          <w:rFonts w:cs="Times New Roman"/>
        </w:rPr>
        <w:t xml:space="preserve"> the </w:t>
      </w:r>
      <w:r w:rsidR="00450BA1">
        <w:rPr>
          <w:rFonts w:cs="Times New Roman"/>
        </w:rPr>
        <w:t>region</w:t>
      </w:r>
      <w:r w:rsidR="007A6094" w:rsidRPr="008223BC">
        <w:rPr>
          <w:rFonts w:cs="Times New Roman"/>
        </w:rPr>
        <w:t xml:space="preserve">, </w:t>
      </w:r>
      <w:r w:rsidR="005D5989">
        <w:rPr>
          <w:rFonts w:cs="Times New Roman"/>
        </w:rPr>
        <w:t>with no published</w:t>
      </w:r>
      <w:r w:rsidR="005D5989" w:rsidRPr="008223BC">
        <w:rPr>
          <w:rFonts w:cs="Times New Roman"/>
        </w:rPr>
        <w:t xml:space="preserve"> </w:t>
      </w:r>
      <w:r w:rsidR="007A6094" w:rsidRPr="008223BC">
        <w:rPr>
          <w:rFonts w:cs="Times New Roman"/>
        </w:rPr>
        <w:t xml:space="preserve">trends </w:t>
      </w:r>
      <w:r w:rsidR="005D5989">
        <w:rPr>
          <w:rFonts w:cs="Times New Roman"/>
        </w:rPr>
        <w:t>regarding</w:t>
      </w:r>
      <w:r w:rsidR="005D5989" w:rsidRPr="008223BC">
        <w:rPr>
          <w:rFonts w:cs="Times New Roman"/>
        </w:rPr>
        <w:t xml:space="preserve"> </w:t>
      </w:r>
      <w:r w:rsidR="007A6094" w:rsidRPr="008223BC">
        <w:rPr>
          <w:rFonts w:cs="Times New Roman"/>
        </w:rPr>
        <w:t>causative organisms</w:t>
      </w:r>
      <w:r w:rsidR="007A6094" w:rsidRPr="008223BC">
        <w:rPr>
          <w:rFonts w:eastAsia="ScalaLancetPro" w:cs="Times New Roman"/>
        </w:rPr>
        <w:t xml:space="preserve">. </w:t>
      </w:r>
      <w:r w:rsidR="00AE49C3">
        <w:rPr>
          <w:rFonts w:eastAsia="ScalaLancetPro" w:cs="Times New Roman"/>
        </w:rPr>
        <w:t>Across</w:t>
      </w:r>
      <w:r w:rsidR="00546C98">
        <w:rPr>
          <w:rFonts w:eastAsia="ScalaLancetPro" w:cs="Times New Roman"/>
        </w:rPr>
        <w:t xml:space="preserve"> the region, </w:t>
      </w:r>
      <w:r w:rsidR="00602ACE">
        <w:rPr>
          <w:rFonts w:eastAsia="ScalaLancetPro" w:cs="Times New Roman"/>
        </w:rPr>
        <w:t xml:space="preserve">geographical differences in </w:t>
      </w:r>
      <w:r w:rsidR="00546C98">
        <w:rPr>
          <w:rFonts w:eastAsia="ScalaLancetPro" w:cs="Times New Roman"/>
        </w:rPr>
        <w:t>causal pathogens</w:t>
      </w:r>
      <w:r w:rsidR="002A19DA">
        <w:rPr>
          <w:rFonts w:eastAsia="ScalaLancetPro" w:cs="Times New Roman"/>
        </w:rPr>
        <w:t xml:space="preserve"> may also exist</w:t>
      </w:r>
      <w:r w:rsidR="008777B7" w:rsidRPr="008223BC">
        <w:rPr>
          <w:rFonts w:cs="Times New Roman"/>
        </w:rPr>
        <w:t xml:space="preserve">, particularly </w:t>
      </w:r>
      <w:r w:rsidR="00AE49C3">
        <w:rPr>
          <w:rFonts w:cs="Times New Roman"/>
        </w:rPr>
        <w:t>given</w:t>
      </w:r>
      <w:r w:rsidR="00AE49C3" w:rsidRPr="008223BC">
        <w:rPr>
          <w:rFonts w:cs="Times New Roman"/>
        </w:rPr>
        <w:t xml:space="preserve"> </w:t>
      </w:r>
      <w:r w:rsidR="00AE49C3">
        <w:rPr>
          <w:rFonts w:cs="Times New Roman"/>
        </w:rPr>
        <w:t xml:space="preserve">the </w:t>
      </w:r>
      <w:r w:rsidR="00F60687">
        <w:rPr>
          <w:rFonts w:cs="Times New Roman"/>
        </w:rPr>
        <w:t xml:space="preserve">diverse </w:t>
      </w:r>
      <w:r w:rsidR="00D62808" w:rsidRPr="008223BC">
        <w:rPr>
          <w:rFonts w:cs="Times New Roman"/>
        </w:rPr>
        <w:t>prevalence</w:t>
      </w:r>
      <w:r w:rsidR="00B91A4F" w:rsidRPr="008223BC">
        <w:rPr>
          <w:rFonts w:cs="Times New Roman"/>
        </w:rPr>
        <w:t xml:space="preserve"> </w:t>
      </w:r>
      <w:r w:rsidR="008777B7" w:rsidRPr="008223BC">
        <w:rPr>
          <w:rFonts w:cs="Times New Roman"/>
        </w:rPr>
        <w:t xml:space="preserve">of </w:t>
      </w:r>
      <w:r w:rsidR="00AE49C3" w:rsidRPr="008223BC">
        <w:rPr>
          <w:rFonts w:cs="Times New Roman"/>
        </w:rPr>
        <w:t>maternal</w:t>
      </w:r>
      <w:r w:rsidR="00AE49C3">
        <w:rPr>
          <w:rFonts w:cs="Times New Roman"/>
        </w:rPr>
        <w:t xml:space="preserve"> risk factors</w:t>
      </w:r>
      <w:r w:rsidR="00AE49C3" w:rsidRPr="008223BC">
        <w:rPr>
          <w:rFonts w:cs="Times New Roman"/>
        </w:rPr>
        <w:t xml:space="preserve"> </w:t>
      </w:r>
      <w:r w:rsidR="00AE49C3">
        <w:rPr>
          <w:rFonts w:cs="Times New Roman"/>
        </w:rPr>
        <w:t>(</w:t>
      </w:r>
      <w:r w:rsidR="00AE49C3" w:rsidRPr="008223BC">
        <w:rPr>
          <w:rFonts w:cs="Times New Roman"/>
        </w:rPr>
        <w:t>HIV</w:t>
      </w:r>
      <w:r w:rsidR="00AE49C3">
        <w:rPr>
          <w:rFonts w:cs="Times New Roman"/>
        </w:rPr>
        <w:t>, UTI and other antenatal</w:t>
      </w:r>
      <w:r w:rsidR="00AE49C3" w:rsidRPr="008223BC">
        <w:rPr>
          <w:rFonts w:cs="Times New Roman"/>
        </w:rPr>
        <w:t xml:space="preserve"> infection</w:t>
      </w:r>
      <w:r w:rsidR="00AE49C3">
        <w:rPr>
          <w:rFonts w:cs="Times New Roman"/>
        </w:rPr>
        <w:t xml:space="preserve">s),  </w:t>
      </w:r>
      <w:r w:rsidR="00CB407E">
        <w:rPr>
          <w:rFonts w:cs="Times New Roman"/>
        </w:rPr>
        <w:t>neo</w:t>
      </w:r>
      <w:r w:rsidR="00444D3A">
        <w:rPr>
          <w:rFonts w:cs="Times New Roman"/>
        </w:rPr>
        <w:t xml:space="preserve">natal </w:t>
      </w:r>
      <w:r w:rsidR="008777B7" w:rsidRPr="008223BC">
        <w:rPr>
          <w:rFonts w:cs="Times New Roman"/>
        </w:rPr>
        <w:t xml:space="preserve">risk factors </w:t>
      </w:r>
      <w:r w:rsidR="00167BDD">
        <w:rPr>
          <w:rFonts w:cs="Times New Roman"/>
        </w:rPr>
        <w:t>(</w:t>
      </w:r>
      <w:r w:rsidR="008777B7" w:rsidRPr="008223BC">
        <w:rPr>
          <w:rFonts w:cs="Times New Roman"/>
        </w:rPr>
        <w:t>preterm birth</w:t>
      </w:r>
      <w:r w:rsidR="00B91A4F" w:rsidRPr="008223BC">
        <w:rPr>
          <w:rFonts w:cs="Times New Roman"/>
        </w:rPr>
        <w:t>, low birth weight</w:t>
      </w:r>
      <w:r w:rsidR="00444D3A">
        <w:rPr>
          <w:rFonts w:cs="Times New Roman"/>
        </w:rPr>
        <w:t>)</w:t>
      </w:r>
      <w:r w:rsidR="00AE49C3">
        <w:rPr>
          <w:rFonts w:cs="Times New Roman"/>
        </w:rPr>
        <w:t>,</w:t>
      </w:r>
      <w:r w:rsidR="008777B7" w:rsidRPr="008223BC">
        <w:rPr>
          <w:rFonts w:cs="Times New Roman"/>
        </w:rPr>
        <w:t xml:space="preserve"> and varying health system context</w:t>
      </w:r>
      <w:r w:rsidR="00214B03" w:rsidRPr="008223BC">
        <w:rPr>
          <w:rFonts w:cs="Times New Roman"/>
        </w:rPr>
        <w:t>s,</w:t>
      </w:r>
      <w:r w:rsidR="008777B7" w:rsidRPr="008223BC">
        <w:rPr>
          <w:rFonts w:cs="Times New Roman"/>
        </w:rPr>
        <w:t xml:space="preserve"> </w:t>
      </w:r>
      <w:r w:rsidR="002A19DA">
        <w:rPr>
          <w:rFonts w:cs="Times New Roman"/>
        </w:rPr>
        <w:t>including</w:t>
      </w:r>
      <w:r w:rsidR="00602ACE" w:rsidRPr="008223BC">
        <w:rPr>
          <w:rFonts w:cs="Times New Roman"/>
        </w:rPr>
        <w:t xml:space="preserve"> </w:t>
      </w:r>
      <w:r w:rsidR="002A19DA">
        <w:rPr>
          <w:rFonts w:cs="Times New Roman"/>
        </w:rPr>
        <w:t xml:space="preserve">differential rates of </w:t>
      </w:r>
      <w:r w:rsidR="008777B7" w:rsidRPr="008223BC">
        <w:rPr>
          <w:rFonts w:cs="Times New Roman"/>
        </w:rPr>
        <w:t>facility birth rates</w:t>
      </w:r>
      <w:r w:rsidR="004F75CC" w:rsidRPr="008223BC">
        <w:rPr>
          <w:rFonts w:cs="Times New Roman"/>
        </w:rPr>
        <w:t>.</w:t>
      </w:r>
      <w:r w:rsidR="002220C3" w:rsidRPr="002220C3">
        <w:rPr>
          <w:rFonts w:cs="Times New Roman"/>
          <w:noProof/>
          <w:vertAlign w:val="superscript"/>
        </w:rPr>
        <w:t>6</w:t>
      </w:r>
      <w:r w:rsidR="004F75CC" w:rsidRPr="008223BC">
        <w:rPr>
          <w:rFonts w:cs="Times New Roman"/>
        </w:rPr>
        <w:t xml:space="preserve"> </w:t>
      </w:r>
      <w:r w:rsidR="004A69A3">
        <w:rPr>
          <w:rFonts w:cs="Times New Roman"/>
        </w:rPr>
        <w:t xml:space="preserve"> </w:t>
      </w:r>
      <w:r w:rsidR="0086230A">
        <w:rPr>
          <w:rFonts w:cs="Times New Roman"/>
        </w:rPr>
        <w:t xml:space="preserve">The </w:t>
      </w:r>
      <w:r w:rsidR="007571D6" w:rsidRPr="008223BC">
        <w:rPr>
          <w:rFonts w:cs="Times New Roman"/>
        </w:rPr>
        <w:t xml:space="preserve">WHO guidelines for </w:t>
      </w:r>
      <w:r w:rsidR="00F60687">
        <w:rPr>
          <w:rFonts w:cs="Times New Roman"/>
        </w:rPr>
        <w:t xml:space="preserve">management of </w:t>
      </w:r>
      <w:r w:rsidR="00CA36C5">
        <w:rPr>
          <w:rFonts w:cs="Times New Roman"/>
        </w:rPr>
        <w:t>suspected neonatal infections</w:t>
      </w:r>
      <w:r w:rsidR="007571D6" w:rsidRPr="008223BC">
        <w:rPr>
          <w:rFonts w:cs="Times New Roman"/>
        </w:rPr>
        <w:t xml:space="preserve"> recommend empirical treatment with benzylpenicillin or ampicillin and </w:t>
      </w:r>
      <w:r w:rsidR="00B708FE">
        <w:rPr>
          <w:rFonts w:cs="Times New Roman"/>
        </w:rPr>
        <w:t>genta</w:t>
      </w:r>
      <w:r w:rsidR="005C5C21">
        <w:rPr>
          <w:rFonts w:cs="Times New Roman"/>
        </w:rPr>
        <w:t>micin</w:t>
      </w:r>
      <w:r w:rsidR="007571D6" w:rsidRPr="008223BC">
        <w:rPr>
          <w:rFonts w:cs="Times New Roman"/>
        </w:rPr>
        <w:t xml:space="preserve"> as first-line therapy, with a third-generation cephalosporin as second-line for non-responders or patients in whom drug-susceptibility testing of bacterial isolates indicates resistance to first-line therapy.</w:t>
      </w:r>
      <w:r w:rsidR="002220C3" w:rsidRPr="002220C3">
        <w:rPr>
          <w:rFonts w:cs="Times New Roman"/>
          <w:noProof/>
          <w:vertAlign w:val="superscript"/>
        </w:rPr>
        <w:t>7</w:t>
      </w:r>
      <w:r w:rsidR="007571D6" w:rsidRPr="008223BC">
        <w:rPr>
          <w:rFonts w:cs="Times New Roman"/>
        </w:rPr>
        <w:t xml:space="preserve"> </w:t>
      </w:r>
      <w:r w:rsidR="00167BDD">
        <w:rPr>
          <w:rFonts w:cs="Times New Roman"/>
        </w:rPr>
        <w:t xml:space="preserve">These guidelines do not take into account the </w:t>
      </w:r>
      <w:r w:rsidR="00161DC0">
        <w:rPr>
          <w:rFonts w:cs="Times New Roman"/>
        </w:rPr>
        <w:t>timing</w:t>
      </w:r>
      <w:r w:rsidR="00167BDD">
        <w:rPr>
          <w:rFonts w:cs="Times New Roman"/>
        </w:rPr>
        <w:t xml:space="preserve"> of infection </w:t>
      </w:r>
      <w:r w:rsidR="00161DC0">
        <w:rPr>
          <w:rFonts w:cs="Times New Roman"/>
        </w:rPr>
        <w:t xml:space="preserve">(early vs late) </w:t>
      </w:r>
      <w:r w:rsidR="00167BDD">
        <w:rPr>
          <w:rFonts w:cs="Times New Roman"/>
        </w:rPr>
        <w:t xml:space="preserve">or infants returning for admission from home. </w:t>
      </w:r>
      <w:r w:rsidR="00D26185" w:rsidRPr="008223BC">
        <w:rPr>
          <w:rFonts w:eastAsia="ScalaLancetPro" w:cs="Times New Roman"/>
        </w:rPr>
        <w:t xml:space="preserve">The </w:t>
      </w:r>
      <w:r w:rsidR="006F0116">
        <w:rPr>
          <w:rFonts w:eastAsia="ScalaLancetPro" w:cs="Times New Roman"/>
        </w:rPr>
        <w:t xml:space="preserve">rise and spread of </w:t>
      </w:r>
      <w:r w:rsidR="00D76066">
        <w:rPr>
          <w:rFonts w:eastAsia="ScalaLancetPro" w:cs="Times New Roman"/>
        </w:rPr>
        <w:t>antimicrobial resistance (</w:t>
      </w:r>
      <w:r w:rsidR="00985D19">
        <w:rPr>
          <w:rFonts w:eastAsia="ScalaLancetPro" w:cs="Times New Roman"/>
        </w:rPr>
        <w:t>AMR</w:t>
      </w:r>
      <w:r w:rsidR="00D76066">
        <w:rPr>
          <w:rFonts w:eastAsia="ScalaLancetPro" w:cs="Times New Roman"/>
        </w:rPr>
        <w:t>)</w:t>
      </w:r>
      <w:r w:rsidR="00AD4677" w:rsidRPr="008223BC">
        <w:rPr>
          <w:rFonts w:eastAsia="ScalaLancetPro" w:cs="Times New Roman"/>
        </w:rPr>
        <w:t xml:space="preserve"> </w:t>
      </w:r>
      <w:r w:rsidR="00AD4677">
        <w:rPr>
          <w:rFonts w:eastAsia="ScalaLancetPro" w:cs="Times New Roman"/>
        </w:rPr>
        <w:t xml:space="preserve">threatens </w:t>
      </w:r>
      <w:r w:rsidR="00D26185" w:rsidRPr="008223BC">
        <w:rPr>
          <w:rFonts w:eastAsia="ScalaLancetPro" w:cs="Times New Roman"/>
        </w:rPr>
        <w:t xml:space="preserve">treatment of neonatal infection, </w:t>
      </w:r>
      <w:r w:rsidR="005345FB">
        <w:rPr>
          <w:rFonts w:eastAsia="ScalaLancetPro" w:cs="Times New Roman"/>
        </w:rPr>
        <w:t xml:space="preserve">with the </w:t>
      </w:r>
      <w:r w:rsidR="00EB4A88">
        <w:rPr>
          <w:rFonts w:eastAsia="ScalaLancetPro" w:cs="Times New Roman"/>
        </w:rPr>
        <w:t xml:space="preserve">potential to erode the </w:t>
      </w:r>
      <w:r w:rsidR="00A80CFC">
        <w:rPr>
          <w:rFonts w:eastAsia="ScalaLancetPro" w:cs="Times New Roman"/>
        </w:rPr>
        <w:t xml:space="preserve">recent </w:t>
      </w:r>
      <w:r w:rsidR="00EB4A88">
        <w:rPr>
          <w:rFonts w:eastAsia="ScalaLancetPro" w:cs="Times New Roman"/>
        </w:rPr>
        <w:t xml:space="preserve">gains in </w:t>
      </w:r>
      <w:r w:rsidR="00D26185" w:rsidRPr="008223BC">
        <w:rPr>
          <w:rFonts w:eastAsia="ScalaLancetPro" w:cs="Times New Roman"/>
        </w:rPr>
        <w:t>neonatal survival</w:t>
      </w:r>
      <w:r w:rsidR="00971ECC" w:rsidRPr="008223BC">
        <w:rPr>
          <w:rFonts w:eastAsia="ScalaLancetPro" w:cs="Times New Roman"/>
        </w:rPr>
        <w:t>.</w:t>
      </w:r>
      <w:r w:rsidR="002220C3" w:rsidRPr="002220C3">
        <w:rPr>
          <w:rFonts w:eastAsia="ScalaLancetPro" w:cs="Times New Roman"/>
          <w:noProof/>
          <w:vertAlign w:val="superscript"/>
        </w:rPr>
        <w:t>8</w:t>
      </w:r>
      <w:r w:rsidR="001B00E7" w:rsidRPr="008223BC">
        <w:rPr>
          <w:rFonts w:cs="Times New Roman"/>
        </w:rPr>
        <w:t xml:space="preserve"> </w:t>
      </w:r>
      <w:r w:rsidR="008F610F">
        <w:rPr>
          <w:rFonts w:eastAsia="ScalaLancetPro" w:cs="Times New Roman"/>
        </w:rPr>
        <w:t xml:space="preserve">In sub-Saharan Africa, </w:t>
      </w:r>
      <w:r w:rsidR="00CC754B">
        <w:rPr>
          <w:rFonts w:eastAsia="ScalaLancetPro" w:cs="Times New Roman"/>
        </w:rPr>
        <w:t>resistance</w:t>
      </w:r>
      <w:r w:rsidR="008F610F">
        <w:rPr>
          <w:rFonts w:eastAsia="ScalaLancetPro" w:cs="Times New Roman"/>
        </w:rPr>
        <w:t xml:space="preserve"> to recommended empirical therapies</w:t>
      </w:r>
      <w:r w:rsidR="009673FF">
        <w:rPr>
          <w:rFonts w:eastAsia="ScalaLancetPro" w:cs="Times New Roman"/>
        </w:rPr>
        <w:t xml:space="preserve"> among neonat</w:t>
      </w:r>
      <w:r w:rsidR="00FC4C6A">
        <w:rPr>
          <w:rFonts w:eastAsia="ScalaLancetPro" w:cs="Times New Roman"/>
        </w:rPr>
        <w:t>al pathogens</w:t>
      </w:r>
      <w:r w:rsidR="009673FF">
        <w:rPr>
          <w:rFonts w:eastAsia="ScalaLancetPro" w:cs="Times New Roman"/>
        </w:rPr>
        <w:t xml:space="preserve"> has </w:t>
      </w:r>
      <w:r w:rsidR="00F85B39">
        <w:rPr>
          <w:rFonts w:eastAsia="ScalaLancetPro" w:cs="Times New Roman"/>
        </w:rPr>
        <w:t>previously been reported</w:t>
      </w:r>
      <w:r w:rsidR="0010352E">
        <w:rPr>
          <w:rFonts w:eastAsia="ScalaLancetPro" w:cs="Times New Roman"/>
        </w:rPr>
        <w:t>;</w:t>
      </w:r>
      <w:r w:rsidR="002220C3" w:rsidRPr="002220C3">
        <w:rPr>
          <w:rFonts w:cs="Times New Roman"/>
          <w:noProof/>
          <w:vertAlign w:val="superscript"/>
        </w:rPr>
        <w:t>9-12</w:t>
      </w:r>
      <w:r w:rsidR="00A7609D" w:rsidRPr="008223BC">
        <w:rPr>
          <w:rFonts w:cs="Times New Roman"/>
        </w:rPr>
        <w:t xml:space="preserve"> </w:t>
      </w:r>
      <w:r w:rsidR="0010352E">
        <w:rPr>
          <w:rFonts w:cs="Times New Roman"/>
        </w:rPr>
        <w:t xml:space="preserve">however, </w:t>
      </w:r>
      <w:r w:rsidR="00497E25">
        <w:rPr>
          <w:rFonts w:cs="Times New Roman"/>
        </w:rPr>
        <w:t xml:space="preserve">regional differences in the use </w:t>
      </w:r>
      <w:r w:rsidR="008E5081">
        <w:rPr>
          <w:rFonts w:cs="Times New Roman"/>
        </w:rPr>
        <w:t xml:space="preserve">of antibiotics </w:t>
      </w:r>
      <w:r w:rsidR="00497E25">
        <w:rPr>
          <w:rFonts w:cs="Times New Roman"/>
        </w:rPr>
        <w:t xml:space="preserve">and </w:t>
      </w:r>
      <w:r w:rsidR="00EF572F">
        <w:rPr>
          <w:rFonts w:cs="Times New Roman"/>
        </w:rPr>
        <w:t xml:space="preserve">prevalence of </w:t>
      </w:r>
      <w:r w:rsidR="00DA2165">
        <w:rPr>
          <w:rFonts w:cs="Times New Roman"/>
        </w:rPr>
        <w:t>resistance has not been explored.</w:t>
      </w:r>
      <w:r w:rsidR="00497E25">
        <w:rPr>
          <w:rFonts w:cs="Times New Roman"/>
        </w:rPr>
        <w:t xml:space="preserve"> </w:t>
      </w:r>
    </w:p>
    <w:p w14:paraId="6AFAB146" w14:textId="04D44E3B" w:rsidR="00525B12" w:rsidRPr="008223BC" w:rsidRDefault="00440916" w:rsidP="004F104B">
      <w:pPr>
        <w:pStyle w:val="CommentText"/>
        <w:spacing w:line="480" w:lineRule="auto"/>
        <w:jc w:val="both"/>
      </w:pPr>
      <w:r w:rsidRPr="008223BC">
        <w:rPr>
          <w:rFonts w:cs="Times New Roman"/>
        </w:rPr>
        <w:t>N</w:t>
      </w:r>
      <w:r w:rsidR="007767E1" w:rsidRPr="008223BC">
        <w:rPr>
          <w:rFonts w:cs="Times New Roman"/>
        </w:rPr>
        <w:t xml:space="preserve">eonatal infection </w:t>
      </w:r>
      <w:r w:rsidR="009C0E3C" w:rsidRPr="008223BC">
        <w:rPr>
          <w:rFonts w:cs="Times New Roman"/>
        </w:rPr>
        <w:t xml:space="preserve">aetiology </w:t>
      </w:r>
      <w:r w:rsidR="001C2A58" w:rsidRPr="008223BC">
        <w:rPr>
          <w:rFonts w:cs="Times New Roman"/>
        </w:rPr>
        <w:t xml:space="preserve">and </w:t>
      </w:r>
      <w:r w:rsidR="00350E1E">
        <w:rPr>
          <w:rFonts w:cs="Times New Roman"/>
        </w:rPr>
        <w:t>AMR</w:t>
      </w:r>
      <w:r w:rsidR="001C2A58" w:rsidRPr="008223BC">
        <w:rPr>
          <w:rFonts w:cs="Times New Roman"/>
        </w:rPr>
        <w:t xml:space="preserve"> </w:t>
      </w:r>
      <w:r w:rsidRPr="008223BC">
        <w:rPr>
          <w:rFonts w:cs="Times New Roman"/>
        </w:rPr>
        <w:t xml:space="preserve">data are </w:t>
      </w:r>
      <w:r w:rsidR="00612124" w:rsidRPr="008223BC">
        <w:rPr>
          <w:rFonts w:cs="Times New Roman"/>
        </w:rPr>
        <w:t xml:space="preserve">essential </w:t>
      </w:r>
      <w:r w:rsidRPr="008223BC">
        <w:rPr>
          <w:rFonts w:cs="Times New Roman"/>
        </w:rPr>
        <w:t xml:space="preserve">to inform </w:t>
      </w:r>
      <w:r w:rsidR="00AD7E50" w:rsidRPr="008223BC">
        <w:rPr>
          <w:rFonts w:cs="Times New Roman"/>
        </w:rPr>
        <w:t xml:space="preserve">policies </w:t>
      </w:r>
      <w:r w:rsidRPr="008223BC">
        <w:rPr>
          <w:rFonts w:cs="Times New Roman"/>
        </w:rPr>
        <w:t xml:space="preserve">and appropriate management strategies, </w:t>
      </w:r>
      <w:r w:rsidR="009C0E3C" w:rsidRPr="008223BC">
        <w:rPr>
          <w:rFonts w:cs="Times New Roman"/>
        </w:rPr>
        <w:t>yet remain a “</w:t>
      </w:r>
      <w:r w:rsidR="009C0E3C" w:rsidRPr="00BA039B">
        <w:rPr>
          <w:rFonts w:cs="Times New Roman"/>
          <w:i/>
        </w:rPr>
        <w:t>black box</w:t>
      </w:r>
      <w:r w:rsidR="009C0E3C" w:rsidRPr="008223BC">
        <w:rPr>
          <w:rFonts w:cs="Times New Roman"/>
        </w:rPr>
        <w:t>” in</w:t>
      </w:r>
      <w:r w:rsidR="009C0E3C" w:rsidRPr="008223BC">
        <w:rPr>
          <w:rFonts w:eastAsia="ScalaLancetPro" w:cs="Times New Roman"/>
        </w:rPr>
        <w:t xml:space="preserve"> </w:t>
      </w:r>
      <w:r w:rsidR="009C0E3C" w:rsidRPr="008223BC">
        <w:rPr>
          <w:rFonts w:cs="Times New Roman"/>
        </w:rPr>
        <w:t>sub-Saharan Africa.</w:t>
      </w:r>
      <w:r w:rsidR="002220C3" w:rsidRPr="002220C3">
        <w:rPr>
          <w:rFonts w:cs="Times New Roman"/>
          <w:noProof/>
          <w:vertAlign w:val="superscript"/>
        </w:rPr>
        <w:t>13</w:t>
      </w:r>
      <w:r w:rsidR="00D62808" w:rsidRPr="008223BC">
        <w:rPr>
          <w:rFonts w:cs="Times New Roman"/>
        </w:rPr>
        <w:t xml:space="preserve"> </w:t>
      </w:r>
      <w:r w:rsidR="00D62808" w:rsidRPr="008223BC">
        <w:t xml:space="preserve">Much of the African </w:t>
      </w:r>
      <w:r w:rsidR="00D62808" w:rsidRPr="008223BC">
        <w:lastRenderedPageBreak/>
        <w:t xml:space="preserve">biomedical research </w:t>
      </w:r>
      <w:r w:rsidR="00E809AE">
        <w:t>are</w:t>
      </w:r>
      <w:r w:rsidR="00D62808" w:rsidRPr="008223BC">
        <w:t xml:space="preserve"> published in local rather than international journals</w:t>
      </w:r>
      <w:r w:rsidR="00E809AE">
        <w:t xml:space="preserve"> that </w:t>
      </w:r>
      <w:r w:rsidR="00D62808" w:rsidRPr="008223BC">
        <w:t>are not included in the leading international research databases</w:t>
      </w:r>
      <w:r w:rsidR="009E66F8">
        <w:t xml:space="preserve"> and thus are </w:t>
      </w:r>
      <w:r w:rsidR="00D62808" w:rsidRPr="008223BC">
        <w:t xml:space="preserve">missed by reviews </w:t>
      </w:r>
      <w:r w:rsidR="009E66F8">
        <w:t>using</w:t>
      </w:r>
      <w:r w:rsidR="00D62808" w:rsidRPr="008223BC">
        <w:t xml:space="preserve"> only the</w:t>
      </w:r>
      <w:r w:rsidR="00E21454">
        <w:t xml:space="preserve">se </w:t>
      </w:r>
      <w:r w:rsidR="00D62808" w:rsidRPr="008223BC">
        <w:t>databases</w:t>
      </w:r>
      <w:r w:rsidR="00654DFB" w:rsidRPr="008223BC">
        <w:rPr>
          <w:rFonts w:eastAsia="ScalaLancetPro" w:cs="Times New Roman"/>
        </w:rPr>
        <w:t>.</w:t>
      </w:r>
      <w:r w:rsidR="002220C3" w:rsidRPr="002220C3">
        <w:rPr>
          <w:rFonts w:eastAsia="ScalaLancetPro" w:cs="Times New Roman"/>
          <w:noProof/>
          <w:vertAlign w:val="superscript"/>
        </w:rPr>
        <w:t>14-19</w:t>
      </w:r>
      <w:r w:rsidR="00525B12" w:rsidRPr="008223BC">
        <w:rPr>
          <w:rFonts w:eastAsia="ScalaLancetPro" w:cs="Times New Roman"/>
        </w:rPr>
        <w:t xml:space="preserve"> </w:t>
      </w:r>
      <w:r w:rsidR="0084341A" w:rsidRPr="008223BC">
        <w:rPr>
          <w:rFonts w:eastAsia="ScalaLancetPro" w:cs="Times New Roman"/>
        </w:rPr>
        <w:t xml:space="preserve"> </w:t>
      </w:r>
      <w:r w:rsidR="00F60687">
        <w:t>I</w:t>
      </w:r>
      <w:r w:rsidR="00F60687" w:rsidRPr="008223BC">
        <w:t>n 2016</w:t>
      </w:r>
      <w:r w:rsidR="00F60687">
        <w:t>,</w:t>
      </w:r>
      <w:r w:rsidR="00F60687" w:rsidRPr="008223BC">
        <w:t xml:space="preserve"> </w:t>
      </w:r>
      <w:r w:rsidR="00F60687">
        <w:t>t</w:t>
      </w:r>
      <w:r w:rsidR="00525B12" w:rsidRPr="008223BC">
        <w:t>he Strengthening the Reporting of Observational Studies in Epidemiology for Newborn Infection (STROBE-NI) checklist</w:t>
      </w:r>
      <w:r w:rsidR="002220C3" w:rsidRPr="002220C3">
        <w:rPr>
          <w:noProof/>
          <w:vertAlign w:val="superscript"/>
        </w:rPr>
        <w:t>20</w:t>
      </w:r>
      <w:r w:rsidR="00525B12" w:rsidRPr="008223BC">
        <w:t xml:space="preserve"> </w:t>
      </w:r>
      <w:r w:rsidR="0051399F" w:rsidRPr="008223BC">
        <w:t xml:space="preserve">was developed to improve scientific reporting of neonatal infection studies and facilitate reliable comparison of infection data across settings. </w:t>
      </w:r>
      <w:r w:rsidR="00525B12" w:rsidRPr="008223BC">
        <w:t xml:space="preserve">STROBE-NI is an extension of the </w:t>
      </w:r>
      <w:r w:rsidR="00636651" w:rsidRPr="008223BC">
        <w:t xml:space="preserve">2007 </w:t>
      </w:r>
      <w:r w:rsidR="00525B12" w:rsidRPr="008223BC">
        <w:t>22-item STROBE</w:t>
      </w:r>
      <w:r w:rsidR="002220C3" w:rsidRPr="002220C3">
        <w:rPr>
          <w:noProof/>
          <w:vertAlign w:val="superscript"/>
        </w:rPr>
        <w:t>21</w:t>
      </w:r>
      <w:r w:rsidR="00525B12" w:rsidRPr="008223BC">
        <w:t xml:space="preserve"> checklist with 28 additional elements </w:t>
      </w:r>
      <w:r w:rsidR="00F60687">
        <w:t xml:space="preserve">specifically </w:t>
      </w:r>
      <w:r w:rsidR="00525B12" w:rsidRPr="008223BC">
        <w:t>relating to neonatal infection</w:t>
      </w:r>
      <w:r w:rsidR="004F104B">
        <w:t xml:space="preserve">. </w:t>
      </w:r>
      <w:r w:rsidR="00EB700C">
        <w:t xml:space="preserve">The impact of STROBE-NI </w:t>
      </w:r>
      <w:r w:rsidR="00840B83">
        <w:t xml:space="preserve">on the quality of reporting </w:t>
      </w:r>
      <w:r w:rsidR="003E2FD8">
        <w:t xml:space="preserve">has not </w:t>
      </w:r>
      <w:r w:rsidR="00C37A5B">
        <w:t xml:space="preserve">yet </w:t>
      </w:r>
      <w:r w:rsidR="003E2FD8">
        <w:t>been</w:t>
      </w:r>
      <w:r w:rsidR="00C37A5B">
        <w:t xml:space="preserve"> assessed. </w:t>
      </w:r>
      <w:r w:rsidR="00260EC4" w:rsidRPr="008223BC">
        <w:t>W</w:t>
      </w:r>
      <w:r w:rsidRPr="008223BC">
        <w:t xml:space="preserve">e </w:t>
      </w:r>
      <w:r w:rsidR="007B5385">
        <w:t xml:space="preserve">therefore </w:t>
      </w:r>
      <w:r w:rsidR="001C2720">
        <w:t>applied</w:t>
      </w:r>
      <w:r w:rsidR="001C2720" w:rsidRPr="008223BC">
        <w:t xml:space="preserve"> STROBE-NI criteria </w:t>
      </w:r>
      <w:r w:rsidR="009867BB">
        <w:t xml:space="preserve">retrospectively </w:t>
      </w:r>
      <w:r w:rsidR="001C2720">
        <w:t xml:space="preserve">in our </w:t>
      </w:r>
      <w:r w:rsidRPr="008223BC">
        <w:t xml:space="preserve">systematic review </w:t>
      </w:r>
      <w:r w:rsidR="001C2720">
        <w:t xml:space="preserve">of </w:t>
      </w:r>
      <w:r w:rsidR="00CC754B">
        <w:t>serious</w:t>
      </w:r>
      <w:r w:rsidR="00541082" w:rsidRPr="008223BC">
        <w:t xml:space="preserve"> bacterial </w:t>
      </w:r>
      <w:r w:rsidR="00CC754B">
        <w:t xml:space="preserve">neonatal </w:t>
      </w:r>
      <w:r w:rsidRPr="008223BC">
        <w:t>infection</w:t>
      </w:r>
      <w:r w:rsidR="009867BB">
        <w:t xml:space="preserve"> aetiology</w:t>
      </w:r>
      <w:r w:rsidRPr="008223BC">
        <w:t xml:space="preserve"> and antimicrobial resistance in sub-Saharan Africa, </w:t>
      </w:r>
      <w:r w:rsidR="0079056E">
        <w:t>focusing</w:t>
      </w:r>
      <w:r w:rsidRPr="008223BC">
        <w:t xml:space="preserve"> </w:t>
      </w:r>
      <w:r w:rsidR="007A64C6" w:rsidRPr="008223BC">
        <w:t xml:space="preserve">on </w:t>
      </w:r>
      <w:r w:rsidRPr="008223BC">
        <w:t>regional differences</w:t>
      </w:r>
      <w:r w:rsidR="001C2720">
        <w:t xml:space="preserve"> in order</w:t>
      </w:r>
      <w:r w:rsidR="00260EC4" w:rsidRPr="008223BC">
        <w:t xml:space="preserve"> </w:t>
      </w:r>
      <w:r w:rsidR="00525B12" w:rsidRPr="008223BC">
        <w:t xml:space="preserve">to </w:t>
      </w:r>
      <w:r w:rsidR="00B05B70" w:rsidRPr="008223BC">
        <w:t xml:space="preserve">increase the knowledge base and </w:t>
      </w:r>
      <w:r w:rsidR="00525B12" w:rsidRPr="008223BC">
        <w:t xml:space="preserve">inform research priorities in the region. </w:t>
      </w:r>
    </w:p>
    <w:p w14:paraId="2E6FCB62" w14:textId="77777777" w:rsidR="00525B12" w:rsidRPr="008223BC" w:rsidRDefault="001C3716" w:rsidP="001E6C81">
      <w:pPr>
        <w:pStyle w:val="Heading2"/>
        <w:rPr>
          <w:lang w:val="en-GB"/>
        </w:rPr>
      </w:pPr>
      <w:r w:rsidRPr="008223BC">
        <w:rPr>
          <w:lang w:val="en-GB"/>
        </w:rPr>
        <w:t>Methods</w:t>
      </w:r>
    </w:p>
    <w:p w14:paraId="11DA394F" w14:textId="77777777" w:rsidR="00525B12" w:rsidRPr="008223BC" w:rsidRDefault="00525B12" w:rsidP="001E6C81">
      <w:pPr>
        <w:pStyle w:val="Heading4"/>
      </w:pPr>
      <w:r w:rsidRPr="008223BC">
        <w:t>Search strategy and selection criteria</w:t>
      </w:r>
    </w:p>
    <w:p w14:paraId="7BD542D8" w14:textId="5271A823" w:rsidR="00525B12" w:rsidRPr="008223BC" w:rsidRDefault="00D131DA" w:rsidP="00947D41">
      <w:pPr>
        <w:spacing w:line="480" w:lineRule="auto"/>
        <w:jc w:val="both"/>
        <w:rPr>
          <w:rFonts w:cs="Times New Roman"/>
        </w:rPr>
      </w:pPr>
      <w:r>
        <w:rPr>
          <w:rFonts w:cs="Times New Roman"/>
        </w:rPr>
        <w:t>In this systematic review and meta-analysis, we searched</w:t>
      </w:r>
      <w:r w:rsidR="00413CAA" w:rsidRPr="008223BC">
        <w:rPr>
          <w:rFonts w:cs="Times New Roman"/>
        </w:rPr>
        <w:t xml:space="preserve"> MEDLINE</w:t>
      </w:r>
      <w:r w:rsidR="00525B12" w:rsidRPr="008223BC">
        <w:rPr>
          <w:rFonts w:cs="Times New Roman"/>
        </w:rPr>
        <w:t xml:space="preserve">, Embase, Global Health, PubMed, </w:t>
      </w:r>
      <w:r w:rsidR="00100936" w:rsidRPr="008223BC">
        <w:rPr>
          <w:rFonts w:cs="Times New Roman"/>
        </w:rPr>
        <w:t xml:space="preserve">Africa Wide Information, and </w:t>
      </w:r>
      <w:r w:rsidR="00525B12" w:rsidRPr="008223BC">
        <w:rPr>
          <w:rFonts w:cs="Times New Roman"/>
        </w:rPr>
        <w:t>African Inde</w:t>
      </w:r>
      <w:r w:rsidR="00214B35" w:rsidRPr="008223BC">
        <w:rPr>
          <w:rFonts w:cs="Times New Roman"/>
        </w:rPr>
        <w:t xml:space="preserve">x Medicus to identify studies </w:t>
      </w:r>
      <w:r w:rsidR="00D4395F">
        <w:rPr>
          <w:rFonts w:cs="Times New Roman"/>
        </w:rPr>
        <w:t xml:space="preserve">from sub-Saharan Africa </w:t>
      </w:r>
      <w:r w:rsidR="00214B35" w:rsidRPr="008223BC">
        <w:rPr>
          <w:rFonts w:cs="Times New Roman"/>
        </w:rPr>
        <w:t xml:space="preserve">published </w:t>
      </w:r>
      <w:r w:rsidR="007F1FF3">
        <w:rPr>
          <w:rFonts w:cs="Times New Roman"/>
        </w:rPr>
        <w:t>from</w:t>
      </w:r>
      <w:r w:rsidR="007F1FF3" w:rsidRPr="008223BC">
        <w:rPr>
          <w:rFonts w:cs="Times New Roman"/>
        </w:rPr>
        <w:t xml:space="preserve"> </w:t>
      </w:r>
      <w:r w:rsidR="00975271" w:rsidRPr="008223BC">
        <w:rPr>
          <w:rFonts w:cs="Times New Roman"/>
        </w:rPr>
        <w:t xml:space="preserve">January 1, </w:t>
      </w:r>
      <w:r w:rsidR="00214B35" w:rsidRPr="008223BC">
        <w:rPr>
          <w:rFonts w:cs="Times New Roman"/>
        </w:rPr>
        <w:t xml:space="preserve">1980 </w:t>
      </w:r>
      <w:r w:rsidR="007F1FF3">
        <w:rPr>
          <w:rFonts w:cs="Times New Roman"/>
        </w:rPr>
        <w:t>to</w:t>
      </w:r>
      <w:r w:rsidR="007F1FF3" w:rsidRPr="008223BC">
        <w:rPr>
          <w:rFonts w:cs="Times New Roman"/>
        </w:rPr>
        <w:t xml:space="preserve"> </w:t>
      </w:r>
      <w:r w:rsidR="00975271" w:rsidRPr="008223BC">
        <w:rPr>
          <w:rFonts w:cs="Times New Roman"/>
        </w:rPr>
        <w:t xml:space="preserve">June 6, </w:t>
      </w:r>
      <w:r w:rsidR="00214B35" w:rsidRPr="008223BC">
        <w:rPr>
          <w:rFonts w:cs="Times New Roman"/>
        </w:rPr>
        <w:t>2018 (date of last search)</w:t>
      </w:r>
      <w:r w:rsidR="007F1FF3">
        <w:rPr>
          <w:rFonts w:cs="Times New Roman"/>
        </w:rPr>
        <w:t xml:space="preserve">, which </w:t>
      </w:r>
      <w:r w:rsidR="00F50653">
        <w:rPr>
          <w:rFonts w:cs="Times New Roman"/>
        </w:rPr>
        <w:t xml:space="preserve">reported aetiology of </w:t>
      </w:r>
      <w:r w:rsidR="00D4395F">
        <w:rPr>
          <w:rFonts w:cs="Times New Roman"/>
        </w:rPr>
        <w:t>invasive bacterial</w:t>
      </w:r>
      <w:r w:rsidR="00F50653">
        <w:rPr>
          <w:rFonts w:cs="Times New Roman"/>
        </w:rPr>
        <w:t xml:space="preserve"> infections (bacteraemia/sepsis/septicaemia, meningitis)</w:t>
      </w:r>
      <w:r w:rsidR="00D4395F">
        <w:rPr>
          <w:rFonts w:cs="Times New Roman"/>
        </w:rPr>
        <w:t>, specified neonatal data (</w:t>
      </w:r>
      <w:r w:rsidR="00F50653">
        <w:rPr>
          <w:rFonts w:cs="Times New Roman"/>
        </w:rPr>
        <w:t>or clearly delineated neonatal data from other age groups</w:t>
      </w:r>
      <w:r w:rsidR="00D4395F">
        <w:rPr>
          <w:rFonts w:cs="Times New Roman"/>
        </w:rPr>
        <w:t>)</w:t>
      </w:r>
      <w:r w:rsidR="00525B12" w:rsidRPr="008223BC">
        <w:rPr>
          <w:rFonts w:cs="Times New Roman"/>
        </w:rPr>
        <w:t xml:space="preserve">. </w:t>
      </w:r>
      <w:r w:rsidR="009867BB">
        <w:rPr>
          <w:rFonts w:cs="Times New Roman"/>
        </w:rPr>
        <w:t xml:space="preserve">Each database was searched using </w:t>
      </w:r>
      <w:r w:rsidR="00525B12" w:rsidRPr="008223BC">
        <w:rPr>
          <w:rFonts w:cs="Times New Roman"/>
        </w:rPr>
        <w:t xml:space="preserve">terms identified from Medical Subject Headings (MeSH) related to age, clinical </w:t>
      </w:r>
      <w:r w:rsidR="00CA0B70" w:rsidRPr="008223BC">
        <w:rPr>
          <w:rFonts w:cs="Times New Roman"/>
        </w:rPr>
        <w:t xml:space="preserve">infectious </w:t>
      </w:r>
      <w:r w:rsidR="00525B12" w:rsidRPr="008223BC">
        <w:rPr>
          <w:rFonts w:cs="Times New Roman"/>
        </w:rPr>
        <w:t>syndromes, and geographical descriptors, as well as terms used for systematic reviews on similar topics</w:t>
      </w:r>
      <w:r w:rsidR="009867BB">
        <w:rPr>
          <w:rFonts w:cs="Times New Roman"/>
        </w:rPr>
        <w:t xml:space="preserve"> </w:t>
      </w:r>
      <w:r w:rsidR="00525B12" w:rsidRPr="008223BC">
        <w:rPr>
          <w:rFonts w:cs="Times New Roman"/>
        </w:rPr>
        <w:t>in various combinations</w:t>
      </w:r>
      <w:r w:rsidR="009867BB">
        <w:rPr>
          <w:rFonts w:cs="Times New Roman"/>
        </w:rPr>
        <w:t xml:space="preserve"> as follows</w:t>
      </w:r>
      <w:r w:rsidR="00525B12" w:rsidRPr="008223BC">
        <w:rPr>
          <w:rFonts w:cs="Times New Roman"/>
        </w:rPr>
        <w:t>: “</w:t>
      </w:r>
      <w:r w:rsidR="00525B12" w:rsidRPr="008223BC">
        <w:rPr>
          <w:rFonts w:eastAsia="Arial Unicode MS" w:cs="Times New Roman"/>
        </w:rPr>
        <w:t>neonatal”, “newborn”, “</w:t>
      </w:r>
      <w:r w:rsidR="00525B12" w:rsidRPr="008223BC">
        <w:rPr>
          <w:rFonts w:cs="Times New Roman"/>
        </w:rPr>
        <w:t>i</w:t>
      </w:r>
      <w:r w:rsidR="00525B12" w:rsidRPr="008223BC">
        <w:rPr>
          <w:rFonts w:eastAsia="Arial Unicode MS" w:cs="Times New Roman"/>
        </w:rPr>
        <w:t>nfant”, “sepsis”, “infection”, “pathogen”, “bacteria”, “virus”, “aetiology”, “Africa”, “sub-Saharan”</w:t>
      </w:r>
      <w:r w:rsidR="009867BB">
        <w:rPr>
          <w:rFonts w:eastAsia="Arial Unicode MS" w:cs="Times New Roman"/>
        </w:rPr>
        <w:t xml:space="preserve"> (webappendix tables 1 – 3)</w:t>
      </w:r>
      <w:r w:rsidR="00525B12" w:rsidRPr="008223BC">
        <w:rPr>
          <w:rFonts w:cs="Times New Roman"/>
          <w:lang w:eastAsia="en-GB"/>
        </w:rPr>
        <w:t>.</w:t>
      </w:r>
      <w:r w:rsidR="009867BB">
        <w:rPr>
          <w:rFonts w:cs="Times New Roman"/>
          <w:lang w:eastAsia="en-GB"/>
        </w:rPr>
        <w:t xml:space="preserve"> </w:t>
      </w:r>
      <w:r w:rsidR="00636651" w:rsidRPr="008223BC">
        <w:rPr>
          <w:rFonts w:cs="Times New Roman"/>
        </w:rPr>
        <w:t>There were no langu</w:t>
      </w:r>
      <w:r w:rsidR="00CA0B70" w:rsidRPr="008223BC">
        <w:rPr>
          <w:rFonts w:cs="Times New Roman"/>
        </w:rPr>
        <w:t>age restrictions on the search.</w:t>
      </w:r>
    </w:p>
    <w:p w14:paraId="49548338" w14:textId="53C60855" w:rsidR="00FF297D" w:rsidRDefault="009E53C4" w:rsidP="0016640A">
      <w:pPr>
        <w:spacing w:line="480" w:lineRule="auto"/>
        <w:jc w:val="both"/>
        <w:rPr>
          <w:rFonts w:cs="Times New Roman"/>
        </w:rPr>
      </w:pPr>
      <w:r>
        <w:rPr>
          <w:rFonts w:cs="Times New Roman"/>
        </w:rPr>
        <w:t xml:space="preserve">Studies were excluded if </w:t>
      </w:r>
      <w:r w:rsidR="00D4395F">
        <w:rPr>
          <w:rFonts w:cs="Times New Roman"/>
        </w:rPr>
        <w:t xml:space="preserve">they </w:t>
      </w:r>
      <w:r w:rsidR="00E966AF">
        <w:rPr>
          <w:rFonts w:cs="Times New Roman"/>
        </w:rPr>
        <w:t xml:space="preserve">(i) </w:t>
      </w:r>
      <w:r w:rsidR="00D4395F">
        <w:rPr>
          <w:rFonts w:cs="Times New Roman"/>
        </w:rPr>
        <w:t xml:space="preserve">presented data aggregated with regions beyond sub-Saharan Africa; (ii) </w:t>
      </w:r>
      <w:r w:rsidR="004F104B">
        <w:rPr>
          <w:rFonts w:cs="Times New Roman"/>
        </w:rPr>
        <w:t xml:space="preserve">reported </w:t>
      </w:r>
      <w:r w:rsidR="00174F87" w:rsidRPr="008223BC">
        <w:rPr>
          <w:rFonts w:cs="Times New Roman"/>
        </w:rPr>
        <w:t xml:space="preserve"> on</w:t>
      </w:r>
      <w:r w:rsidR="000E392E" w:rsidRPr="008223BC">
        <w:rPr>
          <w:rFonts w:cs="Times New Roman"/>
        </w:rPr>
        <w:t xml:space="preserve"> </w:t>
      </w:r>
      <w:r w:rsidR="004F104B">
        <w:rPr>
          <w:rFonts w:cs="Times New Roman"/>
        </w:rPr>
        <w:t xml:space="preserve">a </w:t>
      </w:r>
      <w:r w:rsidR="000E392E" w:rsidRPr="008223BC">
        <w:rPr>
          <w:rFonts w:cs="Times New Roman"/>
        </w:rPr>
        <w:t>single</w:t>
      </w:r>
      <w:r w:rsidR="00E966AF">
        <w:rPr>
          <w:rFonts w:cs="Times New Roman"/>
        </w:rPr>
        <w:t xml:space="preserve"> </w:t>
      </w:r>
      <w:r w:rsidR="000E392E" w:rsidRPr="008223BC">
        <w:rPr>
          <w:rFonts w:cs="Times New Roman"/>
        </w:rPr>
        <w:t xml:space="preserve">pathogen (as </w:t>
      </w:r>
      <w:r w:rsidR="004F104B">
        <w:rPr>
          <w:rFonts w:cs="Times New Roman"/>
        </w:rPr>
        <w:t>this</w:t>
      </w:r>
      <w:r w:rsidR="004F104B" w:rsidRPr="008223BC">
        <w:rPr>
          <w:rFonts w:cs="Times New Roman"/>
        </w:rPr>
        <w:t xml:space="preserve"> </w:t>
      </w:r>
      <w:r w:rsidR="000E392E" w:rsidRPr="008223BC">
        <w:rPr>
          <w:rFonts w:cs="Times New Roman"/>
        </w:rPr>
        <w:t>might lead to a biased estimate of the si</w:t>
      </w:r>
      <w:r w:rsidR="0090107F" w:rsidRPr="008223BC">
        <w:rPr>
          <w:rFonts w:cs="Times New Roman"/>
        </w:rPr>
        <w:t xml:space="preserve">gnificance of </w:t>
      </w:r>
      <w:r w:rsidR="0016640A" w:rsidRPr="008223BC">
        <w:rPr>
          <w:rFonts w:cs="Times New Roman"/>
        </w:rPr>
        <w:t>that</w:t>
      </w:r>
      <w:r w:rsidR="0090107F" w:rsidRPr="008223BC">
        <w:rPr>
          <w:rFonts w:cs="Times New Roman"/>
        </w:rPr>
        <w:t xml:space="preserve"> pathogen)</w:t>
      </w:r>
      <w:r w:rsidR="00174F87" w:rsidRPr="008223BC">
        <w:rPr>
          <w:rFonts w:cs="Times New Roman"/>
        </w:rPr>
        <w:t xml:space="preserve">, </w:t>
      </w:r>
      <w:r w:rsidR="004F104B" w:rsidRPr="008223BC">
        <w:rPr>
          <w:rFonts w:cs="Times New Roman"/>
        </w:rPr>
        <w:t>solely high-risk subpopulations (such as very low birth-weight, extremely premature, encephalopathy)</w:t>
      </w:r>
      <w:r w:rsidR="004F104B">
        <w:rPr>
          <w:rFonts w:cs="Times New Roman"/>
        </w:rPr>
        <w:t xml:space="preserve">, or only newborns with </w:t>
      </w:r>
      <w:r w:rsidR="0016640A" w:rsidRPr="008223BC">
        <w:rPr>
          <w:rFonts w:cs="Times New Roman"/>
        </w:rPr>
        <w:t>potentially confounding comorbidities (</w:t>
      </w:r>
      <w:r w:rsidR="00174F87" w:rsidRPr="008223BC">
        <w:rPr>
          <w:rFonts w:cs="Times New Roman"/>
        </w:rPr>
        <w:t>malaria, tetanu</w:t>
      </w:r>
      <w:r w:rsidR="0016640A" w:rsidRPr="008223BC">
        <w:rPr>
          <w:rFonts w:cs="Times New Roman"/>
        </w:rPr>
        <w:t>s, syphilis, tuberculosis or HIV);</w:t>
      </w:r>
      <w:r w:rsidR="00E966AF">
        <w:rPr>
          <w:rFonts w:cs="Times New Roman"/>
        </w:rPr>
        <w:t xml:space="preserve"> (i</w:t>
      </w:r>
      <w:r w:rsidR="00D4395F">
        <w:rPr>
          <w:rFonts w:cs="Times New Roman"/>
        </w:rPr>
        <w:t>ii</w:t>
      </w:r>
      <w:r w:rsidR="00E966AF">
        <w:rPr>
          <w:rFonts w:cs="Times New Roman"/>
        </w:rPr>
        <w:t xml:space="preserve">) contained </w:t>
      </w:r>
      <w:r w:rsidR="000E392E" w:rsidRPr="008223BC">
        <w:rPr>
          <w:rFonts w:cs="Times New Roman"/>
        </w:rPr>
        <w:t>erroneous, incomplete, or internally inconsistent data</w:t>
      </w:r>
      <w:r w:rsidR="00E966AF">
        <w:rPr>
          <w:rFonts w:cs="Times New Roman"/>
        </w:rPr>
        <w:t xml:space="preserve">; or </w:t>
      </w:r>
      <w:r w:rsidR="00E966AF">
        <w:rPr>
          <w:rFonts w:cs="Times New Roman"/>
        </w:rPr>
        <w:lastRenderedPageBreak/>
        <w:t>(</w:t>
      </w:r>
      <w:r w:rsidR="00D4395F">
        <w:rPr>
          <w:rFonts w:cs="Times New Roman"/>
        </w:rPr>
        <w:t>iv</w:t>
      </w:r>
      <w:r w:rsidR="00E966AF">
        <w:rPr>
          <w:rFonts w:cs="Times New Roman"/>
        </w:rPr>
        <w:t>)</w:t>
      </w:r>
      <w:r w:rsidR="000E392E" w:rsidRPr="008223BC">
        <w:rPr>
          <w:rFonts w:cs="Times New Roman"/>
        </w:rPr>
        <w:t xml:space="preserve"> assessed the diagnostic accuracy of any test using only positive samples and not in the clinical context of suspected neonatal infection. </w:t>
      </w:r>
      <w:r w:rsidR="00C6673F">
        <w:rPr>
          <w:rFonts w:cs="Times New Roman"/>
        </w:rPr>
        <w:t>P</w:t>
      </w:r>
      <w:r w:rsidR="00C6673F" w:rsidRPr="0012360C">
        <w:rPr>
          <w:rFonts w:cs="Times New Roman"/>
        </w:rPr>
        <w:t>reterm and low birth weight infants are a unique and high-risk group for many morbidities including hospital</w:t>
      </w:r>
      <w:r w:rsidR="00E457D3">
        <w:rPr>
          <w:rFonts w:cs="Times New Roman"/>
        </w:rPr>
        <w:t>-</w:t>
      </w:r>
      <w:r w:rsidR="00C6673F" w:rsidRPr="0012360C">
        <w:rPr>
          <w:rFonts w:cs="Times New Roman"/>
        </w:rPr>
        <w:t xml:space="preserve">acquired infections. The prevalence of HIV infection also varies across sub-Saharan Africa and influences the risk of neonatal GBS sepsis in high-prevalence settings but not to other pathogens. Including studies </w:t>
      </w:r>
      <w:r w:rsidR="00C6673F">
        <w:rPr>
          <w:rFonts w:cs="Times New Roman"/>
        </w:rPr>
        <w:t xml:space="preserve">that reported only these ‘high-risk’ groups </w:t>
      </w:r>
      <w:r w:rsidR="00C6673F" w:rsidRPr="0012360C">
        <w:rPr>
          <w:rFonts w:cs="Times New Roman"/>
        </w:rPr>
        <w:t xml:space="preserve">could possibly bias the significance of </w:t>
      </w:r>
      <w:r w:rsidR="00C6673F">
        <w:rPr>
          <w:rFonts w:cs="Times New Roman"/>
        </w:rPr>
        <w:t xml:space="preserve">the aetiology </w:t>
      </w:r>
      <w:r w:rsidR="00FF297D">
        <w:rPr>
          <w:rFonts w:cs="Times New Roman"/>
        </w:rPr>
        <w:t>results.</w:t>
      </w:r>
    </w:p>
    <w:p w14:paraId="2A67D949" w14:textId="5BBC962E" w:rsidR="0016640A" w:rsidRPr="008223BC" w:rsidRDefault="00525B12" w:rsidP="0016640A">
      <w:pPr>
        <w:spacing w:line="480" w:lineRule="auto"/>
        <w:jc w:val="both"/>
        <w:rPr>
          <w:rFonts w:cs="Times New Roman"/>
        </w:rPr>
      </w:pPr>
      <w:r w:rsidRPr="008223BC">
        <w:rPr>
          <w:rFonts w:cs="Times New Roman"/>
          <w:lang w:eastAsia="en-GB"/>
        </w:rPr>
        <w:t>Abstracts and titles were compiled into Endnote (Thomson Reuters)</w:t>
      </w:r>
      <w:r w:rsidR="00677A48">
        <w:rPr>
          <w:rFonts w:cs="Times New Roman"/>
          <w:lang w:eastAsia="en-GB"/>
        </w:rPr>
        <w:t>, de</w:t>
      </w:r>
      <w:r w:rsidR="00E653CF">
        <w:rPr>
          <w:rFonts w:cs="Times New Roman"/>
          <w:lang w:eastAsia="en-GB"/>
        </w:rPr>
        <w:t xml:space="preserve">-duplicated, </w:t>
      </w:r>
      <w:r w:rsidRPr="008223BC">
        <w:rPr>
          <w:rFonts w:cs="Times New Roman"/>
          <w:lang w:eastAsia="en-GB"/>
        </w:rPr>
        <w:t xml:space="preserve">and reviewed individually by </w:t>
      </w:r>
      <w:r w:rsidR="00AE3F2D" w:rsidRPr="008223BC">
        <w:rPr>
          <w:rFonts w:cs="Times New Roman"/>
          <w:lang w:eastAsia="en-GB"/>
        </w:rPr>
        <w:t>two investigators (UAO and ENKA</w:t>
      </w:r>
      <w:r w:rsidRPr="008223BC">
        <w:rPr>
          <w:rFonts w:cs="Times New Roman"/>
          <w:lang w:eastAsia="en-GB"/>
        </w:rPr>
        <w:t xml:space="preserve">) </w:t>
      </w:r>
      <w:r w:rsidR="0031726D" w:rsidRPr="008223BC">
        <w:rPr>
          <w:rFonts w:cs="Times New Roman"/>
          <w:lang w:eastAsia="en-GB"/>
        </w:rPr>
        <w:t>to identify</w:t>
      </w:r>
      <w:r w:rsidRPr="008223BC">
        <w:rPr>
          <w:rFonts w:cs="Times New Roman"/>
          <w:lang w:eastAsia="en-GB"/>
        </w:rPr>
        <w:t xml:space="preserve"> </w:t>
      </w:r>
      <w:r w:rsidR="00E966AF">
        <w:rPr>
          <w:rFonts w:cs="Times New Roman"/>
          <w:lang w:eastAsia="en-GB"/>
        </w:rPr>
        <w:t xml:space="preserve">potentially eligible </w:t>
      </w:r>
      <w:r w:rsidRPr="008223BC">
        <w:rPr>
          <w:rFonts w:cs="Times New Roman"/>
          <w:lang w:eastAsia="en-GB"/>
        </w:rPr>
        <w:t xml:space="preserve">articles. All </w:t>
      </w:r>
      <w:r w:rsidR="00E966AF">
        <w:rPr>
          <w:rFonts w:cs="Times New Roman"/>
          <w:lang w:eastAsia="en-GB"/>
        </w:rPr>
        <w:t xml:space="preserve">such identified </w:t>
      </w:r>
      <w:r w:rsidRPr="008223BC">
        <w:rPr>
          <w:rFonts w:cs="Times New Roman"/>
          <w:lang w:eastAsia="en-GB"/>
        </w:rPr>
        <w:t xml:space="preserve">articles were retrieved in full text (where available) and their reference lists were again independently assessed by both reviewers </w:t>
      </w:r>
      <w:r w:rsidR="00E966AF">
        <w:rPr>
          <w:rFonts w:cs="Times New Roman"/>
          <w:lang w:eastAsia="en-GB"/>
        </w:rPr>
        <w:t>through</w:t>
      </w:r>
      <w:r w:rsidRPr="008223BC">
        <w:rPr>
          <w:rFonts w:cs="Times New Roman"/>
          <w:lang w:eastAsia="en-GB"/>
        </w:rPr>
        <w:t xml:space="preserve"> PubMed and African Journals Online (AOL) to obtain </w:t>
      </w:r>
      <w:r w:rsidR="001416EC">
        <w:rPr>
          <w:rFonts w:cs="Times New Roman"/>
          <w:lang w:eastAsia="en-GB"/>
        </w:rPr>
        <w:t xml:space="preserve">relevant </w:t>
      </w:r>
      <w:r w:rsidRPr="008223BC">
        <w:rPr>
          <w:rFonts w:cs="Times New Roman"/>
          <w:lang w:eastAsia="en-GB"/>
        </w:rPr>
        <w:t xml:space="preserve">abstracts as needed. </w:t>
      </w:r>
      <w:r w:rsidR="00AA7E1C">
        <w:rPr>
          <w:rFonts w:cs="Times New Roman"/>
          <w:lang w:eastAsia="en-GB"/>
        </w:rPr>
        <w:t>Articles</w:t>
      </w:r>
      <w:r w:rsidRPr="008223BC">
        <w:rPr>
          <w:rFonts w:cs="Times New Roman"/>
          <w:lang w:eastAsia="en-GB"/>
        </w:rPr>
        <w:t xml:space="preserve"> identified by this process as</w:t>
      </w:r>
      <w:r w:rsidR="00636651" w:rsidRPr="008223BC">
        <w:rPr>
          <w:rFonts w:cs="Times New Roman"/>
          <w:lang w:eastAsia="en-GB"/>
        </w:rPr>
        <w:t xml:space="preserve"> potentially</w:t>
      </w:r>
      <w:r w:rsidRPr="008223BC">
        <w:rPr>
          <w:rFonts w:cs="Times New Roman"/>
          <w:lang w:eastAsia="en-GB"/>
        </w:rPr>
        <w:t xml:space="preserve"> eligible for inclusi</w:t>
      </w:r>
      <w:r w:rsidR="00C06586" w:rsidRPr="008223BC">
        <w:rPr>
          <w:rFonts w:cs="Times New Roman"/>
          <w:lang w:eastAsia="en-GB"/>
        </w:rPr>
        <w:t xml:space="preserve">on </w:t>
      </w:r>
      <w:r w:rsidR="007B48DE">
        <w:rPr>
          <w:rFonts w:cs="Times New Roman"/>
          <w:lang w:eastAsia="en-GB"/>
        </w:rPr>
        <w:t>were</w:t>
      </w:r>
      <w:r w:rsidR="00C06586" w:rsidRPr="008223BC">
        <w:rPr>
          <w:rFonts w:cs="Times New Roman"/>
          <w:lang w:eastAsia="en-GB"/>
        </w:rPr>
        <w:t xml:space="preserve"> </w:t>
      </w:r>
      <w:r w:rsidR="00A32EDD" w:rsidRPr="008223BC">
        <w:rPr>
          <w:rFonts w:cs="Times New Roman"/>
          <w:lang w:eastAsia="en-GB"/>
        </w:rPr>
        <w:t xml:space="preserve">also </w:t>
      </w:r>
      <w:r w:rsidR="00C06586" w:rsidRPr="008223BC">
        <w:rPr>
          <w:rFonts w:cs="Times New Roman"/>
          <w:lang w:eastAsia="en-GB"/>
        </w:rPr>
        <w:t xml:space="preserve">retrieved as full text. </w:t>
      </w:r>
      <w:r w:rsidR="005A0E4D">
        <w:rPr>
          <w:rFonts w:cs="Times New Roman"/>
          <w:lang w:eastAsia="en-GB"/>
        </w:rPr>
        <w:t xml:space="preserve">French articles were read by both UO and ENKA. </w:t>
      </w:r>
      <w:r w:rsidR="00347B41">
        <w:rPr>
          <w:rFonts w:cs="Times New Roman"/>
        </w:rPr>
        <w:t>W</w:t>
      </w:r>
      <w:r w:rsidR="00347B41" w:rsidRPr="008223BC">
        <w:rPr>
          <w:rFonts w:cs="Times New Roman"/>
        </w:rPr>
        <w:t xml:space="preserve">e made every attempt to contact the authors for copies </w:t>
      </w:r>
      <w:r w:rsidR="003E10E9">
        <w:rPr>
          <w:rFonts w:cs="Times New Roman"/>
        </w:rPr>
        <w:t>of</w:t>
      </w:r>
      <w:r w:rsidR="0016640A" w:rsidRPr="008223BC">
        <w:rPr>
          <w:rFonts w:cs="Times New Roman"/>
        </w:rPr>
        <w:t xml:space="preserve"> full text </w:t>
      </w:r>
      <w:r w:rsidR="005A0E4D">
        <w:rPr>
          <w:rFonts w:cs="Times New Roman"/>
        </w:rPr>
        <w:t>articles</w:t>
      </w:r>
      <w:r w:rsidR="005A0E4D" w:rsidRPr="008223BC">
        <w:rPr>
          <w:rFonts w:cs="Times New Roman"/>
        </w:rPr>
        <w:t xml:space="preserve"> </w:t>
      </w:r>
      <w:r w:rsidR="0016640A" w:rsidRPr="008223BC">
        <w:rPr>
          <w:rFonts w:cs="Times New Roman"/>
        </w:rPr>
        <w:t>not available in the public domain</w:t>
      </w:r>
      <w:r w:rsidR="003E10E9">
        <w:rPr>
          <w:rFonts w:cs="Times New Roman"/>
        </w:rPr>
        <w:t>.</w:t>
      </w:r>
      <w:r w:rsidR="0016640A" w:rsidRPr="008223BC">
        <w:rPr>
          <w:rFonts w:cs="Times New Roman"/>
        </w:rPr>
        <w:t xml:space="preserve"> Where the </w:t>
      </w:r>
      <w:r w:rsidR="009B7F71" w:rsidRPr="008223BC">
        <w:rPr>
          <w:rFonts w:cs="Times New Roman"/>
        </w:rPr>
        <w:t>full text</w:t>
      </w:r>
      <w:r w:rsidR="0016640A" w:rsidRPr="008223BC">
        <w:rPr>
          <w:rFonts w:cs="Times New Roman"/>
        </w:rPr>
        <w:t xml:space="preserve"> could not be retrieved but </w:t>
      </w:r>
      <w:r w:rsidR="00DE0000" w:rsidRPr="008223BC">
        <w:rPr>
          <w:rFonts w:cs="Times New Roman"/>
        </w:rPr>
        <w:t>enough</w:t>
      </w:r>
      <w:r w:rsidR="0016640A" w:rsidRPr="008223BC">
        <w:rPr>
          <w:rFonts w:cs="Times New Roman"/>
        </w:rPr>
        <w:t xml:space="preserve"> detail was presented in the abstract, we used data from the abstract. We </w:t>
      </w:r>
      <w:r w:rsidR="00677A48">
        <w:rPr>
          <w:rFonts w:cs="Times New Roman"/>
        </w:rPr>
        <w:t xml:space="preserve">also </w:t>
      </w:r>
      <w:r w:rsidR="0016640A" w:rsidRPr="008223BC">
        <w:rPr>
          <w:rFonts w:cs="Times New Roman"/>
        </w:rPr>
        <w:t>included grey literature (theses and dissertations).</w:t>
      </w:r>
      <w:r w:rsidR="00677A48" w:rsidRPr="00677A48">
        <w:rPr>
          <w:rFonts w:cs="Times New Roman"/>
          <w:lang w:eastAsia="en-GB"/>
        </w:rPr>
        <w:t xml:space="preserve"> </w:t>
      </w:r>
      <w:r w:rsidR="00677A48">
        <w:rPr>
          <w:rFonts w:cs="Times New Roman"/>
          <w:lang w:eastAsia="en-GB"/>
        </w:rPr>
        <w:t>Disagreements over inclusion were resolved by consensus.</w:t>
      </w:r>
    </w:p>
    <w:p w14:paraId="4AF56294" w14:textId="2B73CD87" w:rsidR="00525B12" w:rsidRPr="008223BC" w:rsidRDefault="00525B12" w:rsidP="001E6C81">
      <w:pPr>
        <w:pStyle w:val="Heading4"/>
        <w:rPr>
          <w:lang w:eastAsia="en-GB"/>
        </w:rPr>
      </w:pPr>
      <w:r w:rsidRPr="008223BC">
        <w:rPr>
          <w:lang w:eastAsia="en-GB"/>
        </w:rPr>
        <w:t xml:space="preserve">Data </w:t>
      </w:r>
      <w:r w:rsidR="002264B1">
        <w:rPr>
          <w:lang w:eastAsia="en-GB"/>
        </w:rPr>
        <w:t>analysis</w:t>
      </w:r>
    </w:p>
    <w:p w14:paraId="21B9703E" w14:textId="4CFCD051" w:rsidR="00677A48" w:rsidRPr="0075779E" w:rsidRDefault="00677A48" w:rsidP="004A49BB">
      <w:pPr>
        <w:spacing w:line="480" w:lineRule="auto"/>
        <w:jc w:val="both"/>
        <w:rPr>
          <w:rFonts w:cs="Times New Roman"/>
          <w:lang w:val="en-US"/>
        </w:rPr>
      </w:pPr>
      <w:r>
        <w:rPr>
          <w:rFonts w:cs="Times New Roman"/>
          <w:lang w:eastAsia="en-GB"/>
        </w:rPr>
        <w:t>Information</w:t>
      </w:r>
      <w:r w:rsidR="00525B12" w:rsidRPr="008223BC">
        <w:rPr>
          <w:rFonts w:cs="Times New Roman"/>
          <w:lang w:eastAsia="en-GB"/>
        </w:rPr>
        <w:t xml:space="preserve"> </w:t>
      </w:r>
      <w:r w:rsidR="00E653CF">
        <w:rPr>
          <w:rFonts w:cs="Times New Roman"/>
          <w:lang w:eastAsia="en-GB"/>
        </w:rPr>
        <w:t>was</w:t>
      </w:r>
      <w:r w:rsidR="00525B12" w:rsidRPr="008223BC">
        <w:rPr>
          <w:rFonts w:cs="Times New Roman"/>
          <w:lang w:eastAsia="en-GB"/>
        </w:rPr>
        <w:t xml:space="preserve"> ind</w:t>
      </w:r>
      <w:r w:rsidR="003B74E0" w:rsidRPr="008223BC">
        <w:rPr>
          <w:rFonts w:cs="Times New Roman"/>
          <w:lang w:eastAsia="en-GB"/>
        </w:rPr>
        <w:t>ependently</w:t>
      </w:r>
      <w:r w:rsidR="00525B12" w:rsidRPr="008223BC">
        <w:rPr>
          <w:rFonts w:cs="Times New Roman"/>
          <w:lang w:eastAsia="en-GB"/>
        </w:rPr>
        <w:t xml:space="preserve"> </w:t>
      </w:r>
      <w:r w:rsidR="00E653CF">
        <w:rPr>
          <w:rFonts w:cs="Times New Roman"/>
          <w:lang w:eastAsia="en-GB"/>
        </w:rPr>
        <w:t xml:space="preserve">extracted from selected articles </w:t>
      </w:r>
      <w:r w:rsidR="00525B12" w:rsidRPr="008223BC">
        <w:rPr>
          <w:rFonts w:cs="Times New Roman"/>
          <w:lang w:eastAsia="en-GB"/>
        </w:rPr>
        <w:t xml:space="preserve">by </w:t>
      </w:r>
      <w:r w:rsidR="00D30E08" w:rsidRPr="008223BC">
        <w:rPr>
          <w:rFonts w:cs="Times New Roman"/>
          <w:lang w:eastAsia="en-GB"/>
        </w:rPr>
        <w:t>two investigators (UAO and ENKA)</w:t>
      </w:r>
      <w:r w:rsidR="00525B12" w:rsidRPr="008223BC">
        <w:rPr>
          <w:rFonts w:cs="Times New Roman"/>
          <w:lang w:eastAsia="en-GB"/>
        </w:rPr>
        <w:t xml:space="preserve"> and entered into a </w:t>
      </w:r>
      <w:r w:rsidR="00D15731" w:rsidRPr="008223BC">
        <w:rPr>
          <w:rFonts w:cs="Times New Roman"/>
          <w:lang w:eastAsia="en-GB"/>
        </w:rPr>
        <w:t>spreadsheet</w:t>
      </w:r>
      <w:r w:rsidR="00E653CF">
        <w:rPr>
          <w:rFonts w:cs="Times New Roman"/>
          <w:lang w:eastAsia="en-GB"/>
        </w:rPr>
        <w:t>, including</w:t>
      </w:r>
      <w:r w:rsidR="00D15731" w:rsidRPr="008223BC">
        <w:rPr>
          <w:rFonts w:cs="Times New Roman"/>
          <w:lang w:eastAsia="en-GB"/>
        </w:rPr>
        <w:t xml:space="preserve"> </w:t>
      </w:r>
      <w:r w:rsidR="003F503D" w:rsidRPr="008223BC">
        <w:rPr>
          <w:rFonts w:cs="Times New Roman"/>
          <w:lang w:eastAsia="en-GB"/>
        </w:rPr>
        <w:t xml:space="preserve">country and </w:t>
      </w:r>
      <w:r w:rsidR="00BC4271" w:rsidRPr="008223BC">
        <w:rPr>
          <w:rFonts w:cs="Times New Roman"/>
          <w:lang w:eastAsia="en-GB"/>
        </w:rPr>
        <w:t>region of sub-Saharan Africa (</w:t>
      </w:r>
      <w:r w:rsidR="003F503D" w:rsidRPr="008223BC">
        <w:rPr>
          <w:rFonts w:cs="Times New Roman"/>
          <w:lang w:eastAsia="en-GB"/>
        </w:rPr>
        <w:t>Central, Eastern, Southern or West Africa as</w:t>
      </w:r>
      <w:r w:rsidR="00BC4271" w:rsidRPr="008223BC">
        <w:rPr>
          <w:rFonts w:cs="Times New Roman"/>
          <w:lang w:eastAsia="en-GB"/>
        </w:rPr>
        <w:t xml:space="preserve"> </w:t>
      </w:r>
      <w:r w:rsidR="003F503D" w:rsidRPr="008223BC">
        <w:rPr>
          <w:rFonts w:cs="Times New Roman"/>
          <w:lang w:eastAsia="en-GB"/>
        </w:rPr>
        <w:t>defined</w:t>
      </w:r>
      <w:r w:rsidR="00BC4271" w:rsidRPr="008223BC">
        <w:rPr>
          <w:rFonts w:cs="Times New Roman"/>
          <w:lang w:eastAsia="en-GB"/>
        </w:rPr>
        <w:t xml:space="preserve"> by the African Union),</w:t>
      </w:r>
      <w:r w:rsidR="002220C3" w:rsidRPr="002220C3">
        <w:rPr>
          <w:rFonts w:cs="Times New Roman"/>
          <w:noProof/>
          <w:vertAlign w:val="superscript"/>
          <w:lang w:eastAsia="en-GB"/>
        </w:rPr>
        <w:t>22</w:t>
      </w:r>
      <w:r w:rsidR="00525B12" w:rsidRPr="008223BC">
        <w:rPr>
          <w:rFonts w:cs="Times New Roman"/>
          <w:lang w:eastAsia="en-GB"/>
        </w:rPr>
        <w:t xml:space="preserve"> </w:t>
      </w:r>
      <w:r w:rsidR="00E653CF">
        <w:rPr>
          <w:rFonts w:cs="Times New Roman"/>
          <w:lang w:eastAsia="en-GB"/>
        </w:rPr>
        <w:t xml:space="preserve">study </w:t>
      </w:r>
      <w:r w:rsidR="000C6DA6" w:rsidRPr="008223BC">
        <w:rPr>
          <w:rFonts w:cs="Times New Roman"/>
          <w:lang w:eastAsia="en-GB"/>
        </w:rPr>
        <w:t>year</w:t>
      </w:r>
      <w:r w:rsidR="00E653CF">
        <w:rPr>
          <w:rFonts w:cs="Times New Roman"/>
          <w:lang w:eastAsia="en-GB"/>
        </w:rPr>
        <w:t xml:space="preserve">, </w:t>
      </w:r>
      <w:r w:rsidR="000C6DA6" w:rsidRPr="008223BC">
        <w:rPr>
          <w:rFonts w:cs="Times New Roman"/>
          <w:lang w:eastAsia="en-GB"/>
        </w:rPr>
        <w:t>publication</w:t>
      </w:r>
      <w:r w:rsidR="00E653CF">
        <w:rPr>
          <w:rFonts w:cs="Times New Roman"/>
          <w:lang w:eastAsia="en-GB"/>
        </w:rPr>
        <w:t xml:space="preserve"> </w:t>
      </w:r>
      <w:r w:rsidR="000C6DA6" w:rsidRPr="008223BC">
        <w:rPr>
          <w:rFonts w:cs="Times New Roman"/>
          <w:lang w:eastAsia="en-GB"/>
        </w:rPr>
        <w:t>year</w:t>
      </w:r>
      <w:r w:rsidR="00E653CF">
        <w:rPr>
          <w:rFonts w:cs="Times New Roman"/>
          <w:lang w:eastAsia="en-GB"/>
        </w:rPr>
        <w:t xml:space="preserve">, </w:t>
      </w:r>
      <w:r w:rsidR="000C6DA6" w:rsidRPr="008223BC">
        <w:rPr>
          <w:rFonts w:cs="Times New Roman"/>
          <w:lang w:eastAsia="en-GB"/>
        </w:rPr>
        <w:t>location</w:t>
      </w:r>
      <w:r w:rsidR="00E653CF">
        <w:rPr>
          <w:rFonts w:cs="Times New Roman"/>
          <w:lang w:eastAsia="en-GB"/>
        </w:rPr>
        <w:t>,</w:t>
      </w:r>
      <w:r w:rsidR="000C6DA6" w:rsidRPr="008223BC">
        <w:rPr>
          <w:rFonts w:cs="Times New Roman"/>
          <w:lang w:eastAsia="en-GB"/>
        </w:rPr>
        <w:t xml:space="preserve"> setting</w:t>
      </w:r>
      <w:r w:rsidR="00525B12" w:rsidRPr="008223BC">
        <w:rPr>
          <w:rFonts w:cs="Times New Roman"/>
          <w:lang w:eastAsia="en-GB"/>
        </w:rPr>
        <w:t xml:space="preserve">, </w:t>
      </w:r>
      <w:r w:rsidR="003F503D" w:rsidRPr="008223BC">
        <w:rPr>
          <w:rFonts w:cs="Times New Roman"/>
          <w:lang w:eastAsia="en-GB"/>
        </w:rPr>
        <w:t>case ascertainment</w:t>
      </w:r>
      <w:r w:rsidR="000C6DA6" w:rsidRPr="008223BC">
        <w:rPr>
          <w:rFonts w:cs="Times New Roman"/>
          <w:lang w:eastAsia="en-GB"/>
        </w:rPr>
        <w:t xml:space="preserve">, </w:t>
      </w:r>
      <w:r w:rsidR="003C493D" w:rsidRPr="008223BC">
        <w:rPr>
          <w:rFonts w:cs="Times New Roman"/>
          <w:lang w:eastAsia="en-GB"/>
        </w:rPr>
        <w:t xml:space="preserve">and </w:t>
      </w:r>
      <w:r w:rsidR="000C6DA6" w:rsidRPr="008223BC">
        <w:rPr>
          <w:rFonts w:cs="Times New Roman"/>
          <w:lang w:eastAsia="en-GB"/>
        </w:rPr>
        <w:t>microbiological</w:t>
      </w:r>
      <w:r w:rsidR="00525B12" w:rsidRPr="008223BC">
        <w:rPr>
          <w:rFonts w:cs="Times New Roman"/>
          <w:lang w:eastAsia="en-GB"/>
        </w:rPr>
        <w:t xml:space="preserve"> techniques</w:t>
      </w:r>
      <w:r w:rsidR="00E653CF">
        <w:rPr>
          <w:rFonts w:cs="Times New Roman"/>
          <w:lang w:eastAsia="en-GB"/>
        </w:rPr>
        <w:t xml:space="preserve">, </w:t>
      </w:r>
      <w:r w:rsidR="00525B12" w:rsidRPr="008223BC">
        <w:rPr>
          <w:rFonts w:cs="Times New Roman"/>
          <w:lang w:eastAsia="en-GB"/>
        </w:rPr>
        <w:t>number of neonates</w:t>
      </w:r>
      <w:r w:rsidR="00D30E08" w:rsidRPr="008223BC">
        <w:rPr>
          <w:rFonts w:cs="Times New Roman"/>
          <w:lang w:eastAsia="en-GB"/>
        </w:rPr>
        <w:t xml:space="preserve"> investigated</w:t>
      </w:r>
      <w:r w:rsidR="00525B12" w:rsidRPr="008223BC">
        <w:rPr>
          <w:rFonts w:cs="Times New Roman"/>
          <w:lang w:eastAsia="en-GB"/>
        </w:rPr>
        <w:t xml:space="preserve">, </w:t>
      </w:r>
      <w:r w:rsidR="003C493D" w:rsidRPr="008223BC">
        <w:rPr>
          <w:rFonts w:cs="Times New Roman"/>
          <w:lang w:eastAsia="en-GB"/>
        </w:rPr>
        <w:t xml:space="preserve">sample volume, number of </w:t>
      </w:r>
      <w:r w:rsidR="00D30E08" w:rsidRPr="008223BC">
        <w:rPr>
          <w:rFonts w:cs="Times New Roman"/>
          <w:lang w:eastAsia="en-GB"/>
        </w:rPr>
        <w:t xml:space="preserve">cultures carried out and the proportion that were positive, </w:t>
      </w:r>
      <w:r w:rsidR="003C493D" w:rsidRPr="008223BC">
        <w:rPr>
          <w:rFonts w:cs="Times New Roman"/>
          <w:lang w:eastAsia="en-GB"/>
        </w:rPr>
        <w:t>number of invasive bacterial isolates</w:t>
      </w:r>
      <w:r w:rsidR="00DD6E03">
        <w:rPr>
          <w:rFonts w:cs="Times New Roman"/>
          <w:lang w:eastAsia="en-GB"/>
        </w:rPr>
        <w:t xml:space="preserve"> </w:t>
      </w:r>
      <w:r w:rsidR="00D30E08" w:rsidRPr="008223BC">
        <w:rPr>
          <w:rFonts w:cs="Times New Roman"/>
          <w:lang w:eastAsia="en-GB"/>
        </w:rPr>
        <w:t xml:space="preserve">and </w:t>
      </w:r>
      <w:r w:rsidR="00DD6E03">
        <w:rPr>
          <w:rFonts w:cs="Times New Roman"/>
          <w:lang w:eastAsia="en-GB"/>
        </w:rPr>
        <w:t xml:space="preserve">where available, antimicrobial susceptibility </w:t>
      </w:r>
      <w:r w:rsidR="00E653CF">
        <w:rPr>
          <w:rFonts w:cs="Times New Roman"/>
          <w:lang w:eastAsia="en-GB"/>
        </w:rPr>
        <w:t>testing</w:t>
      </w:r>
      <w:r w:rsidR="00525B12" w:rsidRPr="008223BC">
        <w:rPr>
          <w:rFonts w:cs="Times New Roman"/>
          <w:lang w:eastAsia="en-GB"/>
        </w:rPr>
        <w:t xml:space="preserve">. </w:t>
      </w:r>
      <w:r w:rsidR="00E653CF">
        <w:rPr>
          <w:rFonts w:cs="Times New Roman"/>
        </w:rPr>
        <w:t xml:space="preserve">Previous reviews excluded coagulase-negative </w:t>
      </w:r>
      <w:r w:rsidR="00E653CF" w:rsidRPr="004E289A">
        <w:rPr>
          <w:rFonts w:cs="Times New Roman"/>
          <w:i/>
        </w:rPr>
        <w:t>Staphylococci</w:t>
      </w:r>
      <w:r w:rsidR="00E653CF">
        <w:rPr>
          <w:rFonts w:cs="Times New Roman"/>
        </w:rPr>
        <w:t xml:space="preserve"> (CoNS), which are </w:t>
      </w:r>
      <w:r w:rsidR="00E653CF">
        <w:rPr>
          <w:rFonts w:cs="Times New Roman"/>
          <w:color w:val="000000"/>
          <w:shd w:val="clear" w:color="auto" w:fill="FFFFFF"/>
        </w:rPr>
        <w:t>potentially pathogenic in very preterm neonates in intensive care with ventilator support and in-dwelling devices, not frequently used in many sub-Saharan African settings.</w:t>
      </w:r>
      <w:r w:rsidR="002220C3" w:rsidRPr="002220C3">
        <w:rPr>
          <w:rFonts w:cs="Times New Roman"/>
          <w:noProof/>
          <w:color w:val="000000"/>
          <w:shd w:val="clear" w:color="auto" w:fill="FFFFFF"/>
          <w:vertAlign w:val="superscript"/>
        </w:rPr>
        <w:t>23,24</w:t>
      </w:r>
      <w:r w:rsidR="00E653CF">
        <w:rPr>
          <w:rFonts w:cs="Times New Roman"/>
          <w:color w:val="000000"/>
          <w:shd w:val="clear" w:color="auto" w:fill="FFFFFF"/>
        </w:rPr>
        <w:t xml:space="preserve"> We therefore </w:t>
      </w:r>
      <w:r w:rsidR="00653A94">
        <w:rPr>
          <w:rFonts w:cs="Times New Roman"/>
          <w:color w:val="000000"/>
          <w:shd w:val="clear" w:color="auto" w:fill="FFFFFF"/>
        </w:rPr>
        <w:t>excluded</w:t>
      </w:r>
      <w:r w:rsidR="00E653CF">
        <w:rPr>
          <w:rFonts w:cs="Times New Roman"/>
          <w:color w:val="000000"/>
          <w:shd w:val="clear" w:color="auto" w:fill="FFFFFF"/>
        </w:rPr>
        <w:t xml:space="preserve"> data for CoNS from summary tables.</w:t>
      </w:r>
      <w:r w:rsidR="00E653CF">
        <w:rPr>
          <w:rFonts w:cs="Times New Roman"/>
        </w:rPr>
        <w:t xml:space="preserve"> </w:t>
      </w:r>
      <w:r w:rsidR="00525B12" w:rsidRPr="008223BC">
        <w:rPr>
          <w:rFonts w:cs="Times New Roman"/>
        </w:rPr>
        <w:lastRenderedPageBreak/>
        <w:t xml:space="preserve">Inconsistencies between </w:t>
      </w:r>
      <w:r w:rsidR="00D30E08" w:rsidRPr="008223BC">
        <w:rPr>
          <w:rFonts w:cs="Times New Roman"/>
        </w:rPr>
        <w:t>investigators</w:t>
      </w:r>
      <w:r w:rsidR="00525B12" w:rsidRPr="008223BC">
        <w:rPr>
          <w:rFonts w:cs="Times New Roman"/>
        </w:rPr>
        <w:t xml:space="preserve"> </w:t>
      </w:r>
      <w:r w:rsidR="003B74E0" w:rsidRPr="008223BC">
        <w:rPr>
          <w:rFonts w:cs="Times New Roman"/>
        </w:rPr>
        <w:t>in</w:t>
      </w:r>
      <w:r w:rsidR="00525B12" w:rsidRPr="008223BC">
        <w:rPr>
          <w:rFonts w:cs="Times New Roman"/>
        </w:rPr>
        <w:t xml:space="preserve"> data extract</w:t>
      </w:r>
      <w:r w:rsidR="003B74E0" w:rsidRPr="008223BC">
        <w:rPr>
          <w:rFonts w:cs="Times New Roman"/>
        </w:rPr>
        <w:t>ed</w:t>
      </w:r>
      <w:r w:rsidR="00525B12" w:rsidRPr="008223BC">
        <w:rPr>
          <w:rFonts w:cs="Times New Roman"/>
        </w:rPr>
        <w:t xml:space="preserve"> were resolved by </w:t>
      </w:r>
      <w:r w:rsidR="003B74E0" w:rsidRPr="008223BC">
        <w:rPr>
          <w:rFonts w:cs="Times New Roman"/>
        </w:rPr>
        <w:t>further review of</w:t>
      </w:r>
      <w:r w:rsidR="00525B12" w:rsidRPr="008223BC">
        <w:rPr>
          <w:rFonts w:cs="Times New Roman"/>
        </w:rPr>
        <w:t xml:space="preserve"> the original papers</w:t>
      </w:r>
      <w:r w:rsidR="00933852" w:rsidRPr="008223BC">
        <w:rPr>
          <w:rFonts w:cs="Times New Roman"/>
        </w:rPr>
        <w:t>.</w:t>
      </w:r>
      <w:r w:rsidR="004E289A">
        <w:rPr>
          <w:rFonts w:cs="Times New Roman"/>
        </w:rPr>
        <w:t xml:space="preserve"> </w:t>
      </w:r>
    </w:p>
    <w:p w14:paraId="0B7942B1" w14:textId="53C05193" w:rsidR="00625800" w:rsidRPr="008223BC" w:rsidRDefault="00457EF9" w:rsidP="00625800">
      <w:pPr>
        <w:spacing w:line="480" w:lineRule="auto"/>
        <w:jc w:val="both"/>
        <w:rPr>
          <w:rFonts w:cs="Times New Roman"/>
          <w:lang w:eastAsia="en-GB"/>
        </w:rPr>
      </w:pPr>
      <w:r>
        <w:rPr>
          <w:rFonts w:cs="Times New Roman"/>
        </w:rPr>
        <w:t>D</w:t>
      </w:r>
      <w:r w:rsidR="00625800" w:rsidRPr="008223BC">
        <w:rPr>
          <w:rFonts w:cs="Times New Roman"/>
        </w:rPr>
        <w:t>ata reporting</w:t>
      </w:r>
      <w:r>
        <w:rPr>
          <w:rFonts w:cs="Times New Roman"/>
        </w:rPr>
        <w:t xml:space="preserve"> completeness</w:t>
      </w:r>
      <w:r w:rsidR="00625800" w:rsidRPr="008223BC">
        <w:rPr>
          <w:rFonts w:cs="Times New Roman"/>
        </w:rPr>
        <w:t xml:space="preserve"> was assessed </w:t>
      </w:r>
      <w:r>
        <w:rPr>
          <w:rFonts w:cs="Times New Roman"/>
        </w:rPr>
        <w:t>by applying</w:t>
      </w:r>
      <w:r w:rsidR="00625800" w:rsidRPr="008223BC">
        <w:rPr>
          <w:rFonts w:cs="Times New Roman"/>
        </w:rPr>
        <w:t xml:space="preserve"> the STROBE-NI checklist </w:t>
      </w:r>
      <w:r w:rsidR="00591DD2">
        <w:rPr>
          <w:rFonts w:cs="Times New Roman"/>
        </w:rPr>
        <w:t>(webappendix table 4)</w:t>
      </w:r>
      <w:r w:rsidR="00591DD2" w:rsidRPr="008223BC">
        <w:rPr>
          <w:rFonts w:cs="Times New Roman"/>
        </w:rPr>
        <w:t xml:space="preserve"> </w:t>
      </w:r>
      <w:r w:rsidR="00200620">
        <w:rPr>
          <w:rFonts w:cs="Times New Roman"/>
        </w:rPr>
        <w:t xml:space="preserve">for </w:t>
      </w:r>
      <w:r w:rsidR="00625800" w:rsidRPr="008223BC">
        <w:rPr>
          <w:rFonts w:cs="Times New Roman"/>
        </w:rPr>
        <w:t xml:space="preserve">studies published after 2007 </w:t>
      </w:r>
      <w:r w:rsidR="006C5279">
        <w:rPr>
          <w:rFonts w:cs="Times New Roman"/>
        </w:rPr>
        <w:t xml:space="preserve">which is </w:t>
      </w:r>
      <w:r w:rsidR="00625800" w:rsidRPr="008223BC">
        <w:rPr>
          <w:rFonts w:cs="Times New Roman"/>
        </w:rPr>
        <w:t>when the STROBE checklist was published. Each study was assessed independently</w:t>
      </w:r>
      <w:r w:rsidR="00625800" w:rsidRPr="008223BC">
        <w:rPr>
          <w:rFonts w:cs="Times New Roman"/>
          <w:lang w:eastAsia="en-GB"/>
        </w:rPr>
        <w:t xml:space="preserve"> by two investigators (UAO and ENKA), and item</w:t>
      </w:r>
      <w:r>
        <w:rPr>
          <w:rFonts w:cs="Times New Roman"/>
          <w:lang w:eastAsia="en-GB"/>
        </w:rPr>
        <w:t xml:space="preserve"> reporting</w:t>
      </w:r>
      <w:r w:rsidR="00625800" w:rsidRPr="008223BC">
        <w:rPr>
          <w:rFonts w:cs="Times New Roman"/>
          <w:lang w:eastAsia="en-GB"/>
        </w:rPr>
        <w:t xml:space="preserve"> classified as “‘not reported/unclear” or “some information mentioned but insufficient” or “clear and detailed information provided”. </w:t>
      </w:r>
    </w:p>
    <w:p w14:paraId="2D61504F" w14:textId="3D5E6CEC" w:rsidR="00DD6E03" w:rsidRDefault="00457EF9" w:rsidP="00947D41">
      <w:pPr>
        <w:spacing w:line="480" w:lineRule="auto"/>
        <w:jc w:val="both"/>
        <w:rPr>
          <w:rFonts w:cs="Times New Roman"/>
          <w:lang w:eastAsia="en-GB"/>
        </w:rPr>
      </w:pPr>
      <w:r>
        <w:rPr>
          <w:rFonts w:cs="Times New Roman"/>
          <w:lang w:eastAsia="en-GB"/>
        </w:rPr>
        <w:t>To</w:t>
      </w:r>
      <w:r w:rsidR="00625800">
        <w:rPr>
          <w:rFonts w:cs="Times New Roman"/>
          <w:lang w:eastAsia="en-GB"/>
        </w:rPr>
        <w:t xml:space="preserve"> analys</w:t>
      </w:r>
      <w:r>
        <w:rPr>
          <w:rFonts w:cs="Times New Roman"/>
          <w:lang w:eastAsia="en-GB"/>
        </w:rPr>
        <w:t>e</w:t>
      </w:r>
      <w:r w:rsidR="00625800">
        <w:rPr>
          <w:rFonts w:cs="Times New Roman"/>
          <w:lang w:eastAsia="en-GB"/>
        </w:rPr>
        <w:t xml:space="preserve"> </w:t>
      </w:r>
      <w:r>
        <w:rPr>
          <w:rFonts w:cs="Times New Roman"/>
          <w:lang w:eastAsia="en-GB"/>
        </w:rPr>
        <w:t xml:space="preserve">the </w:t>
      </w:r>
      <w:r w:rsidR="00625800">
        <w:rPr>
          <w:rFonts w:cs="Times New Roman"/>
          <w:lang w:eastAsia="en-GB"/>
        </w:rPr>
        <w:t>aetiology data, s</w:t>
      </w:r>
      <w:r w:rsidR="00B319DE" w:rsidRPr="008223BC">
        <w:rPr>
          <w:rFonts w:cs="Times New Roman"/>
          <w:lang w:eastAsia="en-GB"/>
        </w:rPr>
        <w:t xml:space="preserve">tudies were grouped </w:t>
      </w:r>
      <w:r w:rsidR="00EB75A0" w:rsidRPr="008223BC">
        <w:rPr>
          <w:rFonts w:cs="Times New Roman"/>
          <w:lang w:eastAsia="en-GB"/>
        </w:rPr>
        <w:t xml:space="preserve">according to the </w:t>
      </w:r>
      <w:r w:rsidR="003802EC">
        <w:rPr>
          <w:rFonts w:cs="Times New Roman"/>
          <w:lang w:eastAsia="en-GB"/>
        </w:rPr>
        <w:t>year</w:t>
      </w:r>
      <w:r w:rsidR="00EB75A0" w:rsidRPr="008223BC">
        <w:rPr>
          <w:rFonts w:cs="Times New Roman"/>
          <w:lang w:eastAsia="en-GB"/>
        </w:rPr>
        <w:t xml:space="preserve"> of publication</w:t>
      </w:r>
      <w:r w:rsidR="00D61388" w:rsidRPr="008223BC">
        <w:rPr>
          <w:rFonts w:cs="Times New Roman"/>
          <w:lang w:eastAsia="en-GB"/>
        </w:rPr>
        <w:t xml:space="preserve">: 1980 – 2007 and 2008 – 2018. </w:t>
      </w:r>
      <w:r w:rsidR="000E2E81" w:rsidRPr="008223BC">
        <w:rPr>
          <w:rFonts w:cs="Times New Roman"/>
          <w:lang w:eastAsia="en-GB"/>
        </w:rPr>
        <w:t xml:space="preserve">Data </w:t>
      </w:r>
      <w:r w:rsidR="00DA142B" w:rsidRPr="008223BC">
        <w:rPr>
          <w:rFonts w:cs="Times New Roman"/>
          <w:lang w:eastAsia="en-GB"/>
        </w:rPr>
        <w:t xml:space="preserve">on </w:t>
      </w:r>
      <w:r w:rsidR="00321B1A" w:rsidRPr="008223BC">
        <w:rPr>
          <w:rFonts w:cs="Times New Roman"/>
          <w:lang w:eastAsia="en-GB"/>
        </w:rPr>
        <w:t>invasive bacterial infections (bacteraemia/sepsis and meningitis)</w:t>
      </w:r>
      <w:r w:rsidR="007B62A4" w:rsidRPr="008223BC">
        <w:rPr>
          <w:rFonts w:cs="Times New Roman"/>
          <w:lang w:eastAsia="en-GB"/>
        </w:rPr>
        <w:t xml:space="preserve"> were collated for each period</w:t>
      </w:r>
      <w:r w:rsidR="00CF54EC" w:rsidRPr="008223BC">
        <w:rPr>
          <w:rFonts w:cs="Times New Roman"/>
          <w:lang w:eastAsia="en-GB"/>
        </w:rPr>
        <w:t xml:space="preserve">. </w:t>
      </w:r>
      <w:r w:rsidR="00625800">
        <w:rPr>
          <w:rFonts w:cs="Times New Roman"/>
          <w:lang w:eastAsia="en-GB"/>
        </w:rPr>
        <w:t>However, t</w:t>
      </w:r>
      <w:r w:rsidR="00E477FA" w:rsidRPr="008223BC">
        <w:rPr>
          <w:rFonts w:cs="Times New Roman"/>
          <w:lang w:eastAsia="en-GB"/>
        </w:rPr>
        <w:t xml:space="preserve">o </w:t>
      </w:r>
      <w:r>
        <w:rPr>
          <w:rFonts w:cs="Times New Roman"/>
          <w:lang w:eastAsia="en-GB"/>
        </w:rPr>
        <w:t>assess</w:t>
      </w:r>
      <w:r w:rsidRPr="008223BC">
        <w:rPr>
          <w:rFonts w:cs="Times New Roman"/>
          <w:lang w:eastAsia="en-GB"/>
        </w:rPr>
        <w:t xml:space="preserve"> </w:t>
      </w:r>
      <w:r w:rsidR="008A4167" w:rsidRPr="008223BC">
        <w:rPr>
          <w:rFonts w:cs="Times New Roman"/>
          <w:lang w:eastAsia="en-GB"/>
        </w:rPr>
        <w:t>current</w:t>
      </w:r>
      <w:r w:rsidR="00E477FA" w:rsidRPr="008223BC">
        <w:rPr>
          <w:rFonts w:cs="Times New Roman"/>
          <w:lang w:eastAsia="en-GB"/>
        </w:rPr>
        <w:t xml:space="preserve"> aetiology a</w:t>
      </w:r>
      <w:r w:rsidR="00B976C0" w:rsidRPr="008223BC">
        <w:rPr>
          <w:rFonts w:cs="Times New Roman"/>
          <w:lang w:eastAsia="en-GB"/>
        </w:rPr>
        <w:t xml:space="preserve">nd </w:t>
      </w:r>
      <w:r w:rsidR="00C416AC">
        <w:rPr>
          <w:rFonts w:cs="Times New Roman"/>
          <w:lang w:eastAsia="en-GB"/>
        </w:rPr>
        <w:t>AMR</w:t>
      </w:r>
      <w:r w:rsidR="00B976C0" w:rsidRPr="008223BC">
        <w:rPr>
          <w:rFonts w:cs="Times New Roman"/>
          <w:lang w:eastAsia="en-GB"/>
        </w:rPr>
        <w:t xml:space="preserve"> analysis was restricted to </w:t>
      </w:r>
      <w:r w:rsidR="009C434B" w:rsidRPr="008223BC">
        <w:rPr>
          <w:rFonts w:cs="Times New Roman"/>
          <w:lang w:eastAsia="en-GB"/>
        </w:rPr>
        <w:t xml:space="preserve">studies published between 2008 and 2018. </w:t>
      </w:r>
      <w:r w:rsidR="00BF24AF" w:rsidRPr="00E25367">
        <w:rPr>
          <w:rFonts w:cs="Times New Roman"/>
          <w:lang w:eastAsia="en-GB"/>
        </w:rPr>
        <w:t>We calculate</w:t>
      </w:r>
      <w:r w:rsidR="000C5570" w:rsidRPr="00E25367">
        <w:rPr>
          <w:rFonts w:cs="Times New Roman"/>
          <w:lang w:eastAsia="en-GB"/>
        </w:rPr>
        <w:t xml:space="preserve">d </w:t>
      </w:r>
      <w:r w:rsidR="00FC61CB" w:rsidRPr="00E25367">
        <w:rPr>
          <w:rFonts w:cs="Times New Roman"/>
          <w:lang w:eastAsia="en-GB"/>
        </w:rPr>
        <w:t xml:space="preserve">pooled </w:t>
      </w:r>
      <w:r w:rsidR="00C512EB" w:rsidRPr="00E25367">
        <w:rPr>
          <w:rFonts w:cs="Times New Roman"/>
          <w:lang w:eastAsia="en-GB"/>
        </w:rPr>
        <w:t>p</w:t>
      </w:r>
      <w:r w:rsidR="000C5570" w:rsidRPr="00E25367">
        <w:rPr>
          <w:rFonts w:cs="Times New Roman"/>
          <w:lang w:eastAsia="en-GB"/>
        </w:rPr>
        <w:t>roportion</w:t>
      </w:r>
      <w:r w:rsidR="00C512EB" w:rsidRPr="00E25367">
        <w:rPr>
          <w:rFonts w:cs="Times New Roman"/>
          <w:lang w:eastAsia="en-GB"/>
        </w:rPr>
        <w:t>s</w:t>
      </w:r>
      <w:r w:rsidR="000C5570" w:rsidRPr="00E25367">
        <w:rPr>
          <w:rFonts w:cs="Times New Roman"/>
          <w:lang w:eastAsia="en-GB"/>
        </w:rPr>
        <w:t xml:space="preserve"> </w:t>
      </w:r>
      <w:r>
        <w:rPr>
          <w:rFonts w:cs="Times New Roman"/>
          <w:lang w:eastAsia="en-GB"/>
        </w:rPr>
        <w:t xml:space="preserve">per pathogen for </w:t>
      </w:r>
      <w:r w:rsidR="000C5570" w:rsidRPr="00E25367">
        <w:rPr>
          <w:rFonts w:cs="Times New Roman"/>
          <w:lang w:eastAsia="en-GB"/>
        </w:rPr>
        <w:t xml:space="preserve"> bacteraemia and meningitis</w:t>
      </w:r>
      <w:r w:rsidR="005630D2" w:rsidRPr="00E25367">
        <w:rPr>
          <w:rFonts w:cs="Times New Roman"/>
          <w:lang w:eastAsia="en-GB"/>
        </w:rPr>
        <w:t xml:space="preserve"> </w:t>
      </w:r>
      <w:r w:rsidR="00CA3A1C" w:rsidRPr="00E25367">
        <w:rPr>
          <w:rFonts w:cs="Times New Roman"/>
          <w:lang w:eastAsia="en-GB"/>
        </w:rPr>
        <w:t>using</w:t>
      </w:r>
      <w:r w:rsidR="00C512EB" w:rsidRPr="00E25367">
        <w:rPr>
          <w:rFonts w:cs="Times New Roman"/>
          <w:lang w:eastAsia="en-GB"/>
        </w:rPr>
        <w:t xml:space="preserve"> </w:t>
      </w:r>
      <w:r w:rsidR="00875BCF" w:rsidRPr="00E25367">
        <w:rPr>
          <w:rFonts w:cs="Times New Roman"/>
          <w:lang w:eastAsia="en-GB"/>
        </w:rPr>
        <w:t xml:space="preserve">random effects meta-analysis of </w:t>
      </w:r>
      <w:r w:rsidR="00FF4684" w:rsidRPr="00E25367">
        <w:rPr>
          <w:rFonts w:cs="Times New Roman"/>
          <w:lang w:eastAsia="en-GB"/>
        </w:rPr>
        <w:t xml:space="preserve">binominal </w:t>
      </w:r>
      <w:r w:rsidR="00680718" w:rsidRPr="00E25367">
        <w:rPr>
          <w:rFonts w:cs="Times New Roman"/>
          <w:lang w:eastAsia="en-GB"/>
        </w:rPr>
        <w:t>data</w:t>
      </w:r>
      <w:r w:rsidR="00F23FB4" w:rsidRPr="00E25367">
        <w:rPr>
          <w:rFonts w:cs="Times New Roman"/>
          <w:lang w:eastAsia="en-GB"/>
        </w:rPr>
        <w:t xml:space="preserve">, </w:t>
      </w:r>
      <w:r>
        <w:rPr>
          <w:rFonts w:cs="Times New Roman"/>
          <w:lang w:eastAsia="en-GB"/>
        </w:rPr>
        <w:t>applying</w:t>
      </w:r>
      <w:r w:rsidRPr="00E25367">
        <w:rPr>
          <w:rFonts w:cs="Times New Roman"/>
          <w:lang w:eastAsia="en-GB"/>
        </w:rPr>
        <w:t xml:space="preserve"> </w:t>
      </w:r>
      <w:r w:rsidR="00F23FB4" w:rsidRPr="00E25367">
        <w:rPr>
          <w:rFonts w:cs="Times New Roman"/>
          <w:lang w:eastAsia="en-GB"/>
        </w:rPr>
        <w:t>the Freeman-Tukey</w:t>
      </w:r>
      <w:r w:rsidR="00D30111" w:rsidRPr="00E25367">
        <w:rPr>
          <w:rFonts w:cs="Times New Roman"/>
          <w:lang w:eastAsia="en-GB"/>
        </w:rPr>
        <w:t xml:space="preserve"> Double Arcsine Transformation to stabilize variances</w:t>
      </w:r>
      <w:r w:rsidR="003D4466" w:rsidRPr="00E25367">
        <w:rPr>
          <w:rFonts w:cs="Times New Roman"/>
          <w:lang w:eastAsia="en-GB"/>
        </w:rPr>
        <w:t>.</w:t>
      </w:r>
      <w:r w:rsidR="002220C3" w:rsidRPr="002220C3">
        <w:rPr>
          <w:rFonts w:cs="Times New Roman"/>
          <w:noProof/>
          <w:vertAlign w:val="superscript"/>
          <w:lang w:eastAsia="en-GB"/>
        </w:rPr>
        <w:t>25,26</w:t>
      </w:r>
      <w:r w:rsidR="00875BCF" w:rsidRPr="00E25367">
        <w:rPr>
          <w:rFonts w:cs="Times New Roman"/>
          <w:lang w:eastAsia="en-GB"/>
        </w:rPr>
        <w:t xml:space="preserve"> </w:t>
      </w:r>
      <w:r w:rsidR="001E34E2" w:rsidRPr="00E25367">
        <w:rPr>
          <w:rFonts w:cs="Times New Roman"/>
          <w:lang w:eastAsia="en-GB"/>
        </w:rPr>
        <w:t xml:space="preserve">We used random effects models </w:t>
      </w:r>
      <w:r>
        <w:rPr>
          <w:rFonts w:cs="Times New Roman"/>
          <w:lang w:eastAsia="en-GB"/>
        </w:rPr>
        <w:t>to</w:t>
      </w:r>
      <w:r w:rsidR="001E34E2" w:rsidRPr="00E25367">
        <w:rPr>
          <w:rFonts w:cs="Times New Roman"/>
          <w:lang w:eastAsia="en-GB"/>
        </w:rPr>
        <w:t xml:space="preserve"> allow for </w:t>
      </w:r>
      <w:r>
        <w:rPr>
          <w:rFonts w:cs="Times New Roman"/>
          <w:lang w:eastAsia="en-GB"/>
        </w:rPr>
        <w:t>i</w:t>
      </w:r>
      <w:r w:rsidR="000E4732">
        <w:rPr>
          <w:rFonts w:cs="Times New Roman"/>
          <w:lang w:eastAsia="en-GB"/>
        </w:rPr>
        <w:t>n</w:t>
      </w:r>
      <w:r>
        <w:rPr>
          <w:rFonts w:cs="Times New Roman"/>
          <w:lang w:eastAsia="en-GB"/>
        </w:rPr>
        <w:t xml:space="preserve">ter-study </w:t>
      </w:r>
      <w:r w:rsidR="001E34E2" w:rsidRPr="00E25367">
        <w:rPr>
          <w:rFonts w:cs="Times New Roman"/>
          <w:lang w:eastAsia="en-GB"/>
        </w:rPr>
        <w:t>heterogeneity</w:t>
      </w:r>
      <w:r w:rsidR="003A1572" w:rsidRPr="00E25367">
        <w:rPr>
          <w:rFonts w:cs="Times New Roman"/>
          <w:lang w:eastAsia="en-GB"/>
        </w:rPr>
        <w:t>.</w:t>
      </w:r>
      <w:r w:rsidR="002220C3" w:rsidRPr="002220C3">
        <w:rPr>
          <w:rFonts w:cs="Times New Roman"/>
          <w:noProof/>
          <w:vertAlign w:val="superscript"/>
          <w:lang w:eastAsia="en-GB"/>
        </w:rPr>
        <w:t>27</w:t>
      </w:r>
      <w:r w:rsidR="00DF4263">
        <w:rPr>
          <w:rFonts w:cs="Times New Roman"/>
          <w:lang w:eastAsia="en-GB"/>
        </w:rPr>
        <w:t xml:space="preserve"> </w:t>
      </w:r>
      <w:r w:rsidR="00677DA0">
        <w:rPr>
          <w:rFonts w:cs="Times New Roman"/>
          <w:lang w:eastAsia="en-GB"/>
        </w:rPr>
        <w:t xml:space="preserve">We also did post-hoc </w:t>
      </w:r>
      <w:r w:rsidR="003250D2">
        <w:rPr>
          <w:rFonts w:cs="Times New Roman"/>
          <w:lang w:eastAsia="en-GB"/>
        </w:rPr>
        <w:t xml:space="preserve">subgroup analyses by country in each region, and </w:t>
      </w:r>
      <w:r w:rsidR="00A854E7">
        <w:rPr>
          <w:rFonts w:cs="Times New Roman"/>
          <w:lang w:eastAsia="en-GB"/>
        </w:rPr>
        <w:t xml:space="preserve">other study characteristics in countries with </w:t>
      </w:r>
      <w:r w:rsidR="00A2599D">
        <w:rPr>
          <w:rFonts w:cs="Times New Roman"/>
          <w:lang w:eastAsia="en-GB"/>
        </w:rPr>
        <w:t xml:space="preserve">more than </w:t>
      </w:r>
      <w:r w:rsidR="003A5E48">
        <w:rPr>
          <w:rFonts w:cs="Times New Roman"/>
          <w:lang w:eastAsia="en-GB"/>
        </w:rPr>
        <w:t xml:space="preserve">10 studies and high heterogeneity. </w:t>
      </w:r>
      <w:r w:rsidR="00DD6E03">
        <w:rPr>
          <w:rFonts w:cs="Times New Roman"/>
          <w:lang w:eastAsia="en-GB"/>
        </w:rPr>
        <w:t>We used Stata (version 13) for all statistical analyses.</w:t>
      </w:r>
    </w:p>
    <w:p w14:paraId="734DC387" w14:textId="331CA755" w:rsidR="00934BDC" w:rsidRPr="00934BDC" w:rsidRDefault="00934BDC" w:rsidP="00934BDC">
      <w:pPr>
        <w:pStyle w:val="Heading2"/>
        <w:rPr>
          <w:lang w:eastAsia="en-GB"/>
        </w:rPr>
      </w:pPr>
      <w:r w:rsidRPr="00934BDC">
        <w:rPr>
          <w:lang w:eastAsia="en-GB"/>
        </w:rPr>
        <w:t>Role of the funding source</w:t>
      </w:r>
    </w:p>
    <w:p w14:paraId="39893D0A" w14:textId="56765A0E" w:rsidR="001A544A" w:rsidRDefault="001A544A" w:rsidP="001A544A">
      <w:pPr>
        <w:spacing w:line="480" w:lineRule="auto"/>
        <w:rPr>
          <w:rFonts w:cs="Times New Roman"/>
          <w:lang w:eastAsia="en-GB"/>
        </w:rPr>
      </w:pPr>
      <w:r>
        <w:t xml:space="preserve">The </w:t>
      </w:r>
      <w:r w:rsidR="00652386">
        <w:t>sponsor of the study</w:t>
      </w:r>
      <w:r>
        <w:t xml:space="preserve"> had no role in study design, data collection, data analysis, data interpretation, or writing of the report. </w:t>
      </w:r>
      <w:r w:rsidR="009B4A3C">
        <w:t>The corresponding author</w:t>
      </w:r>
      <w:r>
        <w:t xml:space="preserve"> had full access to all the data in the study</w:t>
      </w:r>
      <w:r w:rsidR="00992373">
        <w:t xml:space="preserve"> and </w:t>
      </w:r>
      <w:r>
        <w:t>had final responsibility for the decision to submit for publication.</w:t>
      </w:r>
    </w:p>
    <w:p w14:paraId="58FADA64" w14:textId="77777777" w:rsidR="00525B12" w:rsidRPr="008223BC" w:rsidRDefault="00525B12" w:rsidP="001E6C81">
      <w:pPr>
        <w:pStyle w:val="Heading2"/>
        <w:rPr>
          <w:lang w:val="en-GB" w:eastAsia="en-GB"/>
        </w:rPr>
      </w:pPr>
      <w:r w:rsidRPr="008223BC">
        <w:rPr>
          <w:lang w:val="en-GB" w:eastAsia="en-GB"/>
        </w:rPr>
        <w:t>Results</w:t>
      </w:r>
    </w:p>
    <w:p w14:paraId="2A9918E1" w14:textId="3F9786BE" w:rsidR="00CC09B3" w:rsidRPr="008223BC" w:rsidRDefault="00863AE0" w:rsidP="00947D41">
      <w:pPr>
        <w:spacing w:line="480" w:lineRule="auto"/>
        <w:jc w:val="both"/>
        <w:rPr>
          <w:rFonts w:cs="Times New Roman"/>
        </w:rPr>
      </w:pPr>
      <w:r w:rsidRPr="008223BC">
        <w:rPr>
          <w:rFonts w:cs="Times New Roman"/>
          <w:lang w:eastAsia="en-GB"/>
        </w:rPr>
        <w:t>Our systematic review</w:t>
      </w:r>
      <w:r w:rsidR="00A4253A" w:rsidRPr="008223BC">
        <w:rPr>
          <w:rFonts w:cs="Times New Roman"/>
          <w:lang w:eastAsia="en-GB"/>
        </w:rPr>
        <w:t xml:space="preserve"> identified</w:t>
      </w:r>
      <w:r w:rsidR="00E42360" w:rsidRPr="008223BC">
        <w:rPr>
          <w:rFonts w:cs="Times New Roman"/>
          <w:lang w:eastAsia="en-GB"/>
        </w:rPr>
        <w:t xml:space="preserve"> 16059</w:t>
      </w:r>
      <w:r w:rsidR="00525B12" w:rsidRPr="008223BC">
        <w:rPr>
          <w:rFonts w:cs="Times New Roman"/>
          <w:lang w:eastAsia="en-GB"/>
        </w:rPr>
        <w:t xml:space="preserve"> </w:t>
      </w:r>
      <w:r w:rsidR="00E42360" w:rsidRPr="008223BC">
        <w:rPr>
          <w:rFonts w:cs="Times New Roman"/>
          <w:lang w:eastAsia="en-GB"/>
        </w:rPr>
        <w:t>records</w:t>
      </w:r>
      <w:r w:rsidR="00525B12" w:rsidRPr="008223BC">
        <w:rPr>
          <w:rFonts w:cs="Times New Roman"/>
          <w:lang w:eastAsia="en-GB"/>
        </w:rPr>
        <w:t xml:space="preserve"> (</w:t>
      </w:r>
      <w:r w:rsidR="00525B12" w:rsidRPr="008223BC">
        <w:rPr>
          <w:rFonts w:cs="Times New Roman"/>
        </w:rPr>
        <w:t xml:space="preserve">Figure </w:t>
      </w:r>
      <w:r w:rsidR="007302F3" w:rsidRPr="008223BC">
        <w:rPr>
          <w:rFonts w:cs="Times New Roman"/>
        </w:rPr>
        <w:t>1)</w:t>
      </w:r>
      <w:r w:rsidR="006353F8" w:rsidRPr="008223BC">
        <w:rPr>
          <w:rFonts w:cs="Times New Roman"/>
        </w:rPr>
        <w:t>, f</w:t>
      </w:r>
      <w:r w:rsidR="003B612A" w:rsidRPr="008223BC">
        <w:rPr>
          <w:rFonts w:cs="Times New Roman"/>
        </w:rPr>
        <w:t>rom which we identified 1</w:t>
      </w:r>
      <w:r w:rsidR="007763C0">
        <w:rPr>
          <w:rFonts w:cs="Times New Roman"/>
        </w:rPr>
        <w:t>50</w:t>
      </w:r>
      <w:r w:rsidR="00063AC3" w:rsidRPr="008223BC">
        <w:rPr>
          <w:rFonts w:cs="Times New Roman"/>
        </w:rPr>
        <w:t xml:space="preserve"> </w:t>
      </w:r>
      <w:r w:rsidR="003B612A" w:rsidRPr="008223BC">
        <w:rPr>
          <w:rFonts w:cs="Times New Roman"/>
        </w:rPr>
        <w:t xml:space="preserve">eligible </w:t>
      </w:r>
      <w:r w:rsidR="00FF5EF3" w:rsidRPr="008223BC">
        <w:rPr>
          <w:rFonts w:cs="Times New Roman"/>
        </w:rPr>
        <w:t>studies (</w:t>
      </w:r>
      <w:r w:rsidR="00E42360" w:rsidRPr="008223BC">
        <w:rPr>
          <w:rFonts w:cs="Times New Roman"/>
        </w:rPr>
        <w:t xml:space="preserve">including </w:t>
      </w:r>
      <w:r w:rsidR="001367B0">
        <w:rPr>
          <w:rFonts w:cs="Times New Roman"/>
        </w:rPr>
        <w:t>nine</w:t>
      </w:r>
      <w:r w:rsidR="001F2082" w:rsidRPr="008223BC">
        <w:rPr>
          <w:rFonts w:cs="Times New Roman"/>
        </w:rPr>
        <w:t xml:space="preserve"> theses/dissertations</w:t>
      </w:r>
      <w:r w:rsidR="002220C3" w:rsidRPr="002220C3">
        <w:rPr>
          <w:rFonts w:cs="Times New Roman"/>
          <w:noProof/>
          <w:vertAlign w:val="superscript"/>
        </w:rPr>
        <w:t>28-36</w:t>
      </w:r>
      <w:r w:rsidR="002D1809" w:rsidRPr="008223BC">
        <w:rPr>
          <w:rFonts w:cs="Times New Roman"/>
        </w:rPr>
        <w:t xml:space="preserve">) </w:t>
      </w:r>
      <w:r w:rsidR="006353F8" w:rsidRPr="008223BC">
        <w:rPr>
          <w:rFonts w:cs="Times New Roman"/>
        </w:rPr>
        <w:t>meeting our inclusion criteria</w:t>
      </w:r>
      <w:r w:rsidR="00C04F83">
        <w:rPr>
          <w:rFonts w:cs="Times New Roman"/>
        </w:rPr>
        <w:t xml:space="preserve">. </w:t>
      </w:r>
      <w:r w:rsidR="00457EF9">
        <w:rPr>
          <w:rFonts w:cs="Times New Roman"/>
        </w:rPr>
        <w:t>For</w:t>
      </w:r>
      <w:r w:rsidR="00F36FE4">
        <w:rPr>
          <w:rFonts w:cs="Times New Roman"/>
        </w:rPr>
        <w:t xml:space="preserve"> 23 </w:t>
      </w:r>
      <w:r w:rsidR="00B46D26">
        <w:rPr>
          <w:rFonts w:cs="Times New Roman"/>
        </w:rPr>
        <w:t>potentially eligible studies</w:t>
      </w:r>
      <w:r w:rsidR="00457EF9">
        <w:rPr>
          <w:rFonts w:cs="Times New Roman"/>
        </w:rPr>
        <w:t>, we were un</w:t>
      </w:r>
      <w:r w:rsidR="00B46D26">
        <w:rPr>
          <w:rFonts w:cs="Times New Roman"/>
        </w:rPr>
        <w:t>ab</w:t>
      </w:r>
      <w:r w:rsidR="00457EF9">
        <w:rPr>
          <w:rFonts w:cs="Times New Roman"/>
        </w:rPr>
        <w:t>le</w:t>
      </w:r>
      <w:r w:rsidR="00B46D26">
        <w:rPr>
          <w:rFonts w:cs="Times New Roman"/>
        </w:rPr>
        <w:t xml:space="preserve"> to </w:t>
      </w:r>
      <w:r w:rsidR="00392D52">
        <w:rPr>
          <w:rFonts w:cs="Times New Roman"/>
        </w:rPr>
        <w:t>obtain the full text</w:t>
      </w:r>
      <w:r w:rsidR="008E1576">
        <w:rPr>
          <w:rFonts w:cs="Times New Roman"/>
        </w:rPr>
        <w:t xml:space="preserve"> (webappendix table </w:t>
      </w:r>
      <w:r w:rsidR="00A71DAC">
        <w:rPr>
          <w:rFonts w:cs="Times New Roman"/>
        </w:rPr>
        <w:t>5</w:t>
      </w:r>
      <w:r w:rsidR="008E1576">
        <w:rPr>
          <w:rFonts w:cs="Times New Roman"/>
        </w:rPr>
        <w:t xml:space="preserve">). </w:t>
      </w:r>
      <w:r w:rsidR="0028471A">
        <w:rPr>
          <w:rFonts w:cs="Times New Roman"/>
        </w:rPr>
        <w:t>Fifty percent</w:t>
      </w:r>
      <w:r w:rsidR="00F955F2">
        <w:rPr>
          <w:rFonts w:cs="Times New Roman"/>
        </w:rPr>
        <w:t xml:space="preserve"> (75/1</w:t>
      </w:r>
      <w:r w:rsidR="008F63FD">
        <w:rPr>
          <w:rFonts w:cs="Times New Roman"/>
        </w:rPr>
        <w:t>50</w:t>
      </w:r>
      <w:r w:rsidR="00F955F2">
        <w:rPr>
          <w:rFonts w:cs="Times New Roman"/>
        </w:rPr>
        <w:t>)</w:t>
      </w:r>
      <w:r w:rsidR="00DC61C7">
        <w:rPr>
          <w:rFonts w:cs="Times New Roman"/>
        </w:rPr>
        <w:t xml:space="preserve"> of </w:t>
      </w:r>
      <w:r w:rsidR="008C6D58">
        <w:rPr>
          <w:rFonts w:cs="Times New Roman"/>
        </w:rPr>
        <w:t xml:space="preserve">included studies were identified </w:t>
      </w:r>
      <w:r w:rsidR="00B44B5F">
        <w:rPr>
          <w:rFonts w:cs="Times New Roman"/>
        </w:rPr>
        <w:t xml:space="preserve">only </w:t>
      </w:r>
      <w:r w:rsidR="00457EF9">
        <w:rPr>
          <w:rFonts w:cs="Times New Roman"/>
        </w:rPr>
        <w:t xml:space="preserve">in </w:t>
      </w:r>
      <w:r w:rsidR="0047777F">
        <w:rPr>
          <w:rFonts w:cs="Times New Roman"/>
        </w:rPr>
        <w:t>African databases.</w:t>
      </w:r>
      <w:r w:rsidR="00FF5EF3" w:rsidRPr="008223BC">
        <w:rPr>
          <w:rFonts w:cs="Times New Roman"/>
        </w:rPr>
        <w:t xml:space="preserve"> </w:t>
      </w:r>
      <w:r w:rsidR="00AB17F2" w:rsidRPr="008223BC">
        <w:rPr>
          <w:rFonts w:cs="Times New Roman"/>
        </w:rPr>
        <w:t>One stud</w:t>
      </w:r>
      <w:r w:rsidR="00457EF9">
        <w:rPr>
          <w:rFonts w:cs="Times New Roman"/>
        </w:rPr>
        <w:t>y</w:t>
      </w:r>
      <w:r w:rsidR="002220C3" w:rsidRPr="002220C3">
        <w:rPr>
          <w:rFonts w:cs="Times New Roman"/>
          <w:noProof/>
          <w:vertAlign w:val="superscript"/>
        </w:rPr>
        <w:t>37</w:t>
      </w:r>
      <w:r w:rsidR="006654B1">
        <w:rPr>
          <w:rFonts w:cs="Times New Roman"/>
        </w:rPr>
        <w:t xml:space="preserve"> </w:t>
      </w:r>
      <w:r w:rsidR="0059008F">
        <w:rPr>
          <w:rFonts w:cs="Times New Roman"/>
        </w:rPr>
        <w:t>reported data from</w:t>
      </w:r>
      <w:r w:rsidR="0059008F" w:rsidRPr="008223BC">
        <w:rPr>
          <w:rFonts w:cs="Times New Roman"/>
        </w:rPr>
        <w:t xml:space="preserve"> two West African countries and was counted as two separate stu</w:t>
      </w:r>
      <w:r w:rsidR="0059008F">
        <w:rPr>
          <w:rFonts w:cs="Times New Roman"/>
        </w:rPr>
        <w:t>dies</w:t>
      </w:r>
      <w:r w:rsidR="00457EF9">
        <w:rPr>
          <w:rFonts w:cs="Times New Roman"/>
        </w:rPr>
        <w:t>,</w:t>
      </w:r>
      <w:r w:rsidR="0059008F">
        <w:rPr>
          <w:rFonts w:cs="Times New Roman"/>
        </w:rPr>
        <w:t xml:space="preserve"> resulting in a total of 151</w:t>
      </w:r>
      <w:r w:rsidR="0059008F" w:rsidRPr="008223BC">
        <w:rPr>
          <w:rFonts w:cs="Times New Roman"/>
        </w:rPr>
        <w:t xml:space="preserve"> inclu</w:t>
      </w:r>
      <w:r w:rsidR="0059008F">
        <w:rPr>
          <w:rFonts w:cs="Times New Roman"/>
        </w:rPr>
        <w:t xml:space="preserve">ded </w:t>
      </w:r>
      <w:r w:rsidR="0059008F" w:rsidRPr="008223BC">
        <w:rPr>
          <w:rFonts w:cs="Times New Roman"/>
        </w:rPr>
        <w:t>studies</w:t>
      </w:r>
      <w:r w:rsidR="00D36E50">
        <w:rPr>
          <w:rFonts w:cs="Times New Roman"/>
        </w:rPr>
        <w:t xml:space="preserve"> </w:t>
      </w:r>
      <w:r w:rsidR="00D36E50">
        <w:rPr>
          <w:rFonts w:cs="Times New Roman"/>
        </w:rPr>
        <w:lastRenderedPageBreak/>
        <w:t>(web</w:t>
      </w:r>
      <w:r w:rsidR="00D36E50" w:rsidRPr="008223BC">
        <w:rPr>
          <w:rFonts w:cs="Times New Roman"/>
        </w:rPr>
        <w:t>appendix</w:t>
      </w:r>
      <w:r w:rsidR="00D36E50">
        <w:rPr>
          <w:rFonts w:cs="Times New Roman"/>
        </w:rPr>
        <w:t xml:space="preserve"> tables </w:t>
      </w:r>
      <w:r w:rsidR="008E1576">
        <w:rPr>
          <w:rFonts w:cs="Times New Roman"/>
        </w:rPr>
        <w:t>6</w:t>
      </w:r>
      <w:r w:rsidR="00B636E1">
        <w:rPr>
          <w:rFonts w:cs="Times New Roman"/>
        </w:rPr>
        <w:t xml:space="preserve"> -</w:t>
      </w:r>
      <w:r w:rsidR="00D36E50">
        <w:rPr>
          <w:rFonts w:cs="Times New Roman"/>
        </w:rPr>
        <w:t xml:space="preserve"> </w:t>
      </w:r>
      <w:r w:rsidR="00DD2A59">
        <w:rPr>
          <w:rFonts w:cs="Times New Roman"/>
        </w:rPr>
        <w:t>8</w:t>
      </w:r>
      <w:r w:rsidR="00D36E50">
        <w:rPr>
          <w:rFonts w:cs="Times New Roman"/>
        </w:rPr>
        <w:t>)</w:t>
      </w:r>
      <w:r w:rsidR="0059008F">
        <w:rPr>
          <w:rFonts w:cs="Times New Roman"/>
        </w:rPr>
        <w:t xml:space="preserve">. </w:t>
      </w:r>
      <w:r w:rsidR="006654B1">
        <w:rPr>
          <w:rFonts w:cs="Times New Roman"/>
        </w:rPr>
        <w:t>Eleven studies</w:t>
      </w:r>
      <w:r w:rsidR="002220C3" w:rsidRPr="002220C3">
        <w:rPr>
          <w:rFonts w:cs="Times New Roman"/>
          <w:noProof/>
          <w:vertAlign w:val="superscript"/>
        </w:rPr>
        <w:t>29,32,37-45</w:t>
      </w:r>
      <w:r w:rsidR="004F02DF">
        <w:rPr>
          <w:rFonts w:cs="Times New Roman"/>
        </w:rPr>
        <w:t xml:space="preserve"> </w:t>
      </w:r>
      <w:r w:rsidR="001B3EF8">
        <w:rPr>
          <w:rFonts w:cs="Times New Roman"/>
        </w:rPr>
        <w:t xml:space="preserve">were in French </w:t>
      </w:r>
      <w:r w:rsidR="004F02DF">
        <w:rPr>
          <w:rFonts w:cs="Times New Roman"/>
        </w:rPr>
        <w:t>and the rest in English</w:t>
      </w:r>
      <w:r w:rsidR="00C50522">
        <w:rPr>
          <w:rFonts w:cs="Times New Roman"/>
        </w:rPr>
        <w:t>;</w:t>
      </w:r>
      <w:r w:rsidR="005A5A05">
        <w:rPr>
          <w:rFonts w:cs="Times New Roman"/>
        </w:rPr>
        <w:t xml:space="preserve"> </w:t>
      </w:r>
      <w:r w:rsidR="000B41A7" w:rsidRPr="008223BC">
        <w:rPr>
          <w:rFonts w:cs="Times New Roman"/>
        </w:rPr>
        <w:t>no studies in Portuguese</w:t>
      </w:r>
      <w:r w:rsidR="005A5A05">
        <w:rPr>
          <w:rFonts w:cs="Times New Roman"/>
        </w:rPr>
        <w:t xml:space="preserve"> or any </w:t>
      </w:r>
      <w:r w:rsidR="00B22F6C">
        <w:rPr>
          <w:rFonts w:cs="Times New Roman"/>
        </w:rPr>
        <w:t>African language</w:t>
      </w:r>
      <w:r w:rsidR="00C50522">
        <w:rPr>
          <w:rFonts w:cs="Times New Roman"/>
        </w:rPr>
        <w:t xml:space="preserve"> were identified</w:t>
      </w:r>
      <w:r w:rsidR="000B41A7" w:rsidRPr="008223BC">
        <w:rPr>
          <w:rFonts w:cs="Times New Roman"/>
        </w:rPr>
        <w:t xml:space="preserve">. </w:t>
      </w:r>
      <w:r w:rsidR="00811DF8" w:rsidRPr="008223BC">
        <w:rPr>
          <w:rFonts w:cs="Times New Roman"/>
        </w:rPr>
        <w:t xml:space="preserve">The total study population included </w:t>
      </w:r>
      <w:r w:rsidR="006028F0">
        <w:rPr>
          <w:rFonts w:cs="Times New Roman"/>
        </w:rPr>
        <w:t>84534</w:t>
      </w:r>
      <w:r w:rsidR="006028F0" w:rsidRPr="008223BC">
        <w:rPr>
          <w:rFonts w:cs="Times New Roman"/>
        </w:rPr>
        <w:t xml:space="preserve"> </w:t>
      </w:r>
      <w:r w:rsidR="0030367B" w:rsidRPr="008223BC">
        <w:rPr>
          <w:rFonts w:cs="Times New Roman"/>
        </w:rPr>
        <w:t>neonates from 2</w:t>
      </w:r>
      <w:r w:rsidR="008C1A2D" w:rsidRPr="008223BC">
        <w:rPr>
          <w:rFonts w:cs="Times New Roman"/>
        </w:rPr>
        <w:t>6</w:t>
      </w:r>
      <w:r w:rsidR="0030367B" w:rsidRPr="008223BC">
        <w:rPr>
          <w:rFonts w:cs="Times New Roman"/>
        </w:rPr>
        <w:t xml:space="preserve"> sub-Saharan African </w:t>
      </w:r>
      <w:r w:rsidR="00F45247" w:rsidRPr="008223BC">
        <w:rPr>
          <w:rFonts w:cs="Times New Roman"/>
        </w:rPr>
        <w:t>nations</w:t>
      </w:r>
      <w:r w:rsidR="0030367B" w:rsidRPr="008223BC">
        <w:rPr>
          <w:rFonts w:cs="Times New Roman"/>
        </w:rPr>
        <w:t xml:space="preserve"> (Figure 2)</w:t>
      </w:r>
      <w:r w:rsidR="00D36E50">
        <w:rPr>
          <w:rFonts w:cs="Times New Roman"/>
        </w:rPr>
        <w:t>, one-third (33%</w:t>
      </w:r>
      <w:r w:rsidR="00D36E50" w:rsidRPr="008223BC">
        <w:rPr>
          <w:rFonts w:cs="Times New Roman"/>
        </w:rPr>
        <w:t xml:space="preserve">, </w:t>
      </w:r>
      <w:r w:rsidR="00D36E50">
        <w:rPr>
          <w:rFonts w:cs="Times New Roman"/>
        </w:rPr>
        <w:t xml:space="preserve">49/151) from </w:t>
      </w:r>
      <w:r w:rsidR="00BC5519" w:rsidRPr="008223BC">
        <w:rPr>
          <w:rFonts w:cs="Times New Roman"/>
        </w:rPr>
        <w:t>Nigeria</w:t>
      </w:r>
      <w:r w:rsidR="00D36E50">
        <w:rPr>
          <w:rFonts w:cs="Times New Roman"/>
        </w:rPr>
        <w:t>.</w:t>
      </w:r>
      <w:bookmarkStart w:id="2" w:name="_Hlk500251176"/>
    </w:p>
    <w:p w14:paraId="5876D9A8" w14:textId="78DE3A3C" w:rsidR="00B56E9E" w:rsidRPr="008223BC" w:rsidRDefault="00CA1134" w:rsidP="00947D41">
      <w:pPr>
        <w:spacing w:line="480" w:lineRule="auto"/>
        <w:jc w:val="both"/>
        <w:rPr>
          <w:rFonts w:cs="Times New Roman"/>
          <w:lang w:eastAsia="en-GB"/>
        </w:rPr>
      </w:pPr>
      <w:r>
        <w:rPr>
          <w:rFonts w:cs="Times New Roman"/>
        </w:rPr>
        <w:t xml:space="preserve">132 studies investigated only neonatal patient populations, and from the </w:t>
      </w:r>
      <w:r w:rsidR="000C5FCE">
        <w:rPr>
          <w:rFonts w:cs="Times New Roman"/>
        </w:rPr>
        <w:t>other</w:t>
      </w:r>
      <w:r>
        <w:rPr>
          <w:rFonts w:cs="Times New Roman"/>
        </w:rPr>
        <w:t xml:space="preserve"> 19 studies</w:t>
      </w:r>
      <w:r w:rsidR="002220C3" w:rsidRPr="002220C3">
        <w:rPr>
          <w:rFonts w:cs="Times New Roman"/>
          <w:noProof/>
          <w:vertAlign w:val="superscript"/>
        </w:rPr>
        <w:t>40,45-62</w:t>
      </w:r>
      <w:r>
        <w:rPr>
          <w:rFonts w:cs="Times New Roman"/>
        </w:rPr>
        <w:t xml:space="preserve"> we extracted neonatal data from </w:t>
      </w:r>
      <w:r w:rsidR="000C5FCE">
        <w:rPr>
          <w:rFonts w:cs="Times New Roman"/>
        </w:rPr>
        <w:t>mixed age-group</w:t>
      </w:r>
      <w:r>
        <w:rPr>
          <w:rFonts w:cs="Times New Roman"/>
        </w:rPr>
        <w:t xml:space="preserve"> datasets. </w:t>
      </w:r>
      <w:r w:rsidR="001A6FF1">
        <w:rPr>
          <w:rFonts w:cs="Times New Roman"/>
        </w:rPr>
        <w:t>All studies were hospital-based except for</w:t>
      </w:r>
      <w:r w:rsidR="001A6FF1" w:rsidRPr="008223BC">
        <w:rPr>
          <w:rFonts w:cs="Times New Roman"/>
        </w:rPr>
        <w:t xml:space="preserve"> one community-</w:t>
      </w:r>
      <w:r w:rsidR="001A6FF1">
        <w:rPr>
          <w:rFonts w:cs="Times New Roman"/>
        </w:rPr>
        <w:t xml:space="preserve"> (home-based surveillance) </w:t>
      </w:r>
      <w:r w:rsidR="001A6FF1" w:rsidRPr="008223BC">
        <w:rPr>
          <w:rFonts w:cs="Times New Roman"/>
        </w:rPr>
        <w:t>study from Madagascar</w:t>
      </w:r>
      <w:r w:rsidR="001A6FF1">
        <w:rPr>
          <w:rFonts w:cs="Times New Roman"/>
        </w:rPr>
        <w:t>.</w:t>
      </w:r>
      <w:r w:rsidR="002220C3" w:rsidRPr="002220C3">
        <w:rPr>
          <w:rFonts w:cs="Times New Roman"/>
          <w:noProof/>
          <w:vertAlign w:val="superscript"/>
        </w:rPr>
        <w:t>63</w:t>
      </w:r>
      <w:r w:rsidR="001A6FF1">
        <w:rPr>
          <w:rFonts w:cs="Times New Roman"/>
        </w:rPr>
        <w:t xml:space="preserve"> Hospital-based studies were</w:t>
      </w:r>
      <w:r w:rsidR="00182096">
        <w:rPr>
          <w:rFonts w:cs="Times New Roman"/>
        </w:rPr>
        <w:t xml:space="preserve"> </w:t>
      </w:r>
      <w:r w:rsidR="00805AC3">
        <w:rPr>
          <w:rFonts w:cs="Times New Roman"/>
        </w:rPr>
        <w:t>mostly</w:t>
      </w:r>
      <w:r w:rsidR="001A6FF1">
        <w:rPr>
          <w:rFonts w:cs="Times New Roman"/>
        </w:rPr>
        <w:t xml:space="preserve"> </w:t>
      </w:r>
      <w:r w:rsidR="0066156D" w:rsidRPr="008223BC">
        <w:rPr>
          <w:rFonts w:cs="Times New Roman"/>
        </w:rPr>
        <w:t>tertiary referral facilities</w:t>
      </w:r>
      <w:r w:rsidR="00182096">
        <w:rPr>
          <w:rFonts w:cs="Times New Roman"/>
        </w:rPr>
        <w:t xml:space="preserve"> (university or large national hospitals)</w:t>
      </w:r>
      <w:r w:rsidR="0066156D" w:rsidRPr="008223BC">
        <w:rPr>
          <w:rFonts w:cs="Times New Roman"/>
        </w:rPr>
        <w:t xml:space="preserve">, </w:t>
      </w:r>
      <w:r w:rsidR="0037611A">
        <w:rPr>
          <w:rFonts w:cs="Times New Roman"/>
        </w:rPr>
        <w:t>and</w:t>
      </w:r>
      <w:r w:rsidR="00182096">
        <w:rPr>
          <w:rFonts w:cs="Times New Roman"/>
        </w:rPr>
        <w:t xml:space="preserve"> </w:t>
      </w:r>
      <w:r w:rsidR="001A6FF1">
        <w:rPr>
          <w:rFonts w:cs="Times New Roman"/>
        </w:rPr>
        <w:t xml:space="preserve">only </w:t>
      </w:r>
      <w:r w:rsidR="00182096">
        <w:rPr>
          <w:rFonts w:cs="Times New Roman"/>
        </w:rPr>
        <w:t xml:space="preserve">23 </w:t>
      </w:r>
      <w:r w:rsidR="00325368" w:rsidRPr="008223BC">
        <w:rPr>
          <w:rFonts w:cs="Times New Roman"/>
        </w:rPr>
        <w:t xml:space="preserve">from </w:t>
      </w:r>
      <w:r w:rsidR="00B6681D" w:rsidRPr="008223BC">
        <w:rPr>
          <w:rFonts w:cs="Times New Roman"/>
        </w:rPr>
        <w:t>d</w:t>
      </w:r>
      <w:r w:rsidR="00325368" w:rsidRPr="008223BC">
        <w:rPr>
          <w:rFonts w:cs="Times New Roman"/>
        </w:rPr>
        <w:t>istrict</w:t>
      </w:r>
      <w:r w:rsidR="00B6681D" w:rsidRPr="008223BC">
        <w:rPr>
          <w:rFonts w:cs="Times New Roman"/>
        </w:rPr>
        <w:t xml:space="preserve"> or s</w:t>
      </w:r>
      <w:r w:rsidR="00325368" w:rsidRPr="008223BC">
        <w:rPr>
          <w:rFonts w:cs="Times New Roman"/>
        </w:rPr>
        <w:t>econdary referral hospitals.</w:t>
      </w:r>
      <w:r w:rsidR="002220C3" w:rsidRPr="002220C3">
        <w:rPr>
          <w:rFonts w:cs="Times New Roman"/>
          <w:noProof/>
          <w:vertAlign w:val="superscript"/>
        </w:rPr>
        <w:t>34,48,51,54,59-62,64-78</w:t>
      </w:r>
      <w:r w:rsidR="00D91CF8" w:rsidRPr="008223BC">
        <w:rPr>
          <w:rFonts w:cs="Times New Roman"/>
        </w:rPr>
        <w:t xml:space="preserve"> 1</w:t>
      </w:r>
      <w:r w:rsidR="00B6681D" w:rsidRPr="008223BC">
        <w:rPr>
          <w:rFonts w:cs="Times New Roman"/>
        </w:rPr>
        <w:t>39</w:t>
      </w:r>
      <w:r w:rsidR="00C953E8" w:rsidRPr="008223BC">
        <w:rPr>
          <w:rFonts w:cs="Times New Roman"/>
        </w:rPr>
        <w:t xml:space="preserve"> studies</w:t>
      </w:r>
      <w:r w:rsidR="002B540B" w:rsidRPr="008223BC">
        <w:rPr>
          <w:rFonts w:cs="Times New Roman"/>
        </w:rPr>
        <w:t xml:space="preserve"> </w:t>
      </w:r>
      <w:r w:rsidR="00477552" w:rsidRPr="008223BC">
        <w:rPr>
          <w:rFonts w:cs="Times New Roman"/>
        </w:rPr>
        <w:t xml:space="preserve">were in urban settings while </w:t>
      </w:r>
      <w:r w:rsidR="002B540B" w:rsidRPr="008223BC">
        <w:rPr>
          <w:rFonts w:cs="Times New Roman"/>
        </w:rPr>
        <w:t>five</w:t>
      </w:r>
      <w:r w:rsidR="00477552" w:rsidRPr="008223BC">
        <w:rPr>
          <w:rFonts w:cs="Times New Roman"/>
        </w:rPr>
        <w:t xml:space="preserve"> from Kenya,</w:t>
      </w:r>
      <w:r w:rsidR="002220C3" w:rsidRPr="002220C3">
        <w:rPr>
          <w:rFonts w:cs="Times New Roman"/>
          <w:noProof/>
          <w:vertAlign w:val="superscript"/>
        </w:rPr>
        <w:t>54,61,64,65,68</w:t>
      </w:r>
      <w:r w:rsidR="00477552" w:rsidRPr="008223BC">
        <w:rPr>
          <w:rFonts w:cs="Times New Roman"/>
        </w:rPr>
        <w:t xml:space="preserve"> t</w:t>
      </w:r>
      <w:r w:rsidR="005346CA" w:rsidRPr="008223BC">
        <w:rPr>
          <w:rFonts w:cs="Times New Roman"/>
        </w:rPr>
        <w:t>hree</w:t>
      </w:r>
      <w:r w:rsidR="00477552" w:rsidRPr="008223BC">
        <w:rPr>
          <w:rFonts w:cs="Times New Roman"/>
        </w:rPr>
        <w:t xml:space="preserve"> from Mozambique,</w:t>
      </w:r>
      <w:r w:rsidR="002220C3" w:rsidRPr="002220C3">
        <w:rPr>
          <w:rFonts w:cs="Times New Roman"/>
          <w:noProof/>
          <w:vertAlign w:val="superscript"/>
        </w:rPr>
        <w:t>59,72,73</w:t>
      </w:r>
      <w:r w:rsidR="00477552" w:rsidRPr="008223BC">
        <w:rPr>
          <w:rFonts w:cs="Times New Roman"/>
        </w:rPr>
        <w:t xml:space="preserve"> two from Nigeria,</w:t>
      </w:r>
      <w:r w:rsidR="002220C3" w:rsidRPr="002220C3">
        <w:rPr>
          <w:rFonts w:cs="Times New Roman"/>
          <w:noProof/>
          <w:vertAlign w:val="superscript"/>
        </w:rPr>
        <w:t>79,80</w:t>
      </w:r>
      <w:r w:rsidR="00477552" w:rsidRPr="008223BC">
        <w:rPr>
          <w:rFonts w:cs="Times New Roman"/>
        </w:rPr>
        <w:t xml:space="preserve"> and one from Cameroon</w:t>
      </w:r>
      <w:r w:rsidR="002220C3" w:rsidRPr="002220C3">
        <w:rPr>
          <w:rFonts w:cs="Times New Roman"/>
          <w:noProof/>
          <w:vertAlign w:val="superscript"/>
        </w:rPr>
        <w:t>77</w:t>
      </w:r>
      <w:r w:rsidR="002B540B" w:rsidRPr="008223BC">
        <w:rPr>
          <w:rFonts w:cs="Times New Roman"/>
        </w:rPr>
        <w:t xml:space="preserve"> r</w:t>
      </w:r>
      <w:r w:rsidR="00477552" w:rsidRPr="008223BC">
        <w:rPr>
          <w:rFonts w:cs="Times New Roman"/>
        </w:rPr>
        <w:t xml:space="preserve">eported data from predominantly rural populations. </w:t>
      </w:r>
      <w:r w:rsidR="008B6D7A">
        <w:rPr>
          <w:rFonts w:cs="Times New Roman"/>
        </w:rPr>
        <w:t xml:space="preserve">Eighty-eight studies </w:t>
      </w:r>
      <w:r w:rsidR="00C24B80">
        <w:rPr>
          <w:rFonts w:cs="Times New Roman"/>
        </w:rPr>
        <w:t xml:space="preserve">involved prospective data collection, </w:t>
      </w:r>
      <w:r w:rsidR="002C3F1D">
        <w:rPr>
          <w:rFonts w:cs="Times New Roman"/>
        </w:rPr>
        <w:t xml:space="preserve">61 </w:t>
      </w:r>
      <w:r w:rsidR="006D0BB7">
        <w:rPr>
          <w:rFonts w:cs="Times New Roman"/>
        </w:rPr>
        <w:t xml:space="preserve">were retrospective </w:t>
      </w:r>
      <w:r w:rsidR="00BB5ADE">
        <w:rPr>
          <w:rFonts w:cs="Times New Roman"/>
        </w:rPr>
        <w:t xml:space="preserve">reviews (26 </w:t>
      </w:r>
      <w:r w:rsidR="00411AAF">
        <w:rPr>
          <w:rFonts w:cs="Times New Roman"/>
        </w:rPr>
        <w:t xml:space="preserve">laboratory-based surveillance of aetiology data), and </w:t>
      </w:r>
      <w:r w:rsidR="00EA443A">
        <w:rPr>
          <w:rFonts w:cs="Times New Roman"/>
        </w:rPr>
        <w:t xml:space="preserve">two </w:t>
      </w:r>
      <w:r w:rsidR="0024010E">
        <w:rPr>
          <w:rFonts w:cs="Times New Roman"/>
        </w:rPr>
        <w:t xml:space="preserve">studies had both retrospective and prospective components. </w:t>
      </w:r>
      <w:r w:rsidR="009F6C8D" w:rsidRPr="008223BC">
        <w:rPr>
          <w:rFonts w:cs="Times New Roman"/>
        </w:rPr>
        <w:t xml:space="preserve">There was </w:t>
      </w:r>
      <w:r w:rsidR="002A52E1">
        <w:rPr>
          <w:rFonts w:cs="Times New Roman"/>
        </w:rPr>
        <w:t>one randomised-controlled trial</w:t>
      </w:r>
      <w:r w:rsidR="002A52E1" w:rsidRPr="008223BC">
        <w:rPr>
          <w:rFonts w:cs="Times New Roman"/>
        </w:rPr>
        <w:t>,</w:t>
      </w:r>
      <w:r w:rsidR="002220C3" w:rsidRPr="002220C3">
        <w:rPr>
          <w:rFonts w:cs="Times New Roman"/>
          <w:noProof/>
          <w:vertAlign w:val="superscript"/>
        </w:rPr>
        <w:t>28</w:t>
      </w:r>
      <w:r w:rsidR="002A52E1">
        <w:rPr>
          <w:rFonts w:cs="Times New Roman"/>
        </w:rPr>
        <w:t xml:space="preserve"> </w:t>
      </w:r>
      <w:r w:rsidR="00290C1F" w:rsidRPr="008223BC">
        <w:rPr>
          <w:rFonts w:cs="Times New Roman"/>
        </w:rPr>
        <w:t>one</w:t>
      </w:r>
      <w:r w:rsidR="00EA5AF7" w:rsidRPr="008223BC">
        <w:rPr>
          <w:rFonts w:cs="Times New Roman"/>
        </w:rPr>
        <w:t xml:space="preserve"> before-and-after stud</w:t>
      </w:r>
      <w:r w:rsidR="00290C1F" w:rsidRPr="008223BC">
        <w:rPr>
          <w:rFonts w:cs="Times New Roman"/>
        </w:rPr>
        <w:t>y</w:t>
      </w:r>
      <w:r w:rsidR="002220C3" w:rsidRPr="002220C3">
        <w:rPr>
          <w:rFonts w:cs="Times New Roman"/>
          <w:noProof/>
          <w:vertAlign w:val="superscript"/>
        </w:rPr>
        <w:t>81</w:t>
      </w:r>
      <w:r w:rsidR="00EA5AF7" w:rsidRPr="008223BC">
        <w:rPr>
          <w:rFonts w:cs="Times New Roman"/>
        </w:rPr>
        <w:t xml:space="preserve">, </w:t>
      </w:r>
      <w:r w:rsidR="00064639" w:rsidRPr="008223BC">
        <w:rPr>
          <w:rFonts w:cs="Times New Roman"/>
        </w:rPr>
        <w:t>three case-control studies</w:t>
      </w:r>
      <w:r w:rsidR="002220C3" w:rsidRPr="002220C3">
        <w:rPr>
          <w:rFonts w:cs="Times New Roman"/>
          <w:noProof/>
          <w:vertAlign w:val="superscript"/>
        </w:rPr>
        <w:t>42,78,82</w:t>
      </w:r>
      <w:r w:rsidR="00064639" w:rsidRPr="008223BC">
        <w:rPr>
          <w:rFonts w:cs="Times New Roman"/>
        </w:rPr>
        <w:t xml:space="preserve">, </w:t>
      </w:r>
      <w:r w:rsidR="00A72FB0">
        <w:rPr>
          <w:rFonts w:cs="Times New Roman"/>
        </w:rPr>
        <w:t>six</w:t>
      </w:r>
      <w:r w:rsidR="00064639" w:rsidRPr="008223BC">
        <w:rPr>
          <w:rFonts w:cs="Times New Roman"/>
        </w:rPr>
        <w:t xml:space="preserve"> observational cohort studies;</w:t>
      </w:r>
      <w:r w:rsidR="002220C3" w:rsidRPr="002220C3">
        <w:rPr>
          <w:rFonts w:cs="Times New Roman"/>
          <w:noProof/>
          <w:vertAlign w:val="superscript"/>
        </w:rPr>
        <w:t>38,48,63,83-85</w:t>
      </w:r>
      <w:r w:rsidR="00C039E5" w:rsidRPr="008223BC">
        <w:rPr>
          <w:rFonts w:cs="Times New Roman"/>
        </w:rPr>
        <w:t xml:space="preserve"> </w:t>
      </w:r>
      <w:r w:rsidR="000C5FCE">
        <w:rPr>
          <w:rFonts w:cs="Times New Roman"/>
        </w:rPr>
        <w:t xml:space="preserve">and </w:t>
      </w:r>
      <w:r w:rsidR="00A72FB0">
        <w:rPr>
          <w:rFonts w:cs="Times New Roman"/>
        </w:rPr>
        <w:t>the remaining 139</w:t>
      </w:r>
      <w:r w:rsidR="00EA5AF7" w:rsidRPr="008223BC">
        <w:rPr>
          <w:rFonts w:cs="Times New Roman"/>
        </w:rPr>
        <w:t xml:space="preserve"> studi</w:t>
      </w:r>
      <w:r w:rsidR="00A72FB0">
        <w:rPr>
          <w:rFonts w:cs="Times New Roman"/>
        </w:rPr>
        <w:t>es were cross-sect</w:t>
      </w:r>
      <w:r w:rsidR="002A52E1">
        <w:rPr>
          <w:rFonts w:cs="Times New Roman"/>
        </w:rPr>
        <w:t>ional designs.</w:t>
      </w:r>
      <w:r w:rsidR="0086159E">
        <w:rPr>
          <w:rFonts w:cs="Times New Roman"/>
        </w:rPr>
        <w:t xml:space="preserve"> </w:t>
      </w:r>
    </w:p>
    <w:bookmarkEnd w:id="2"/>
    <w:p w14:paraId="6D2ABFC8" w14:textId="7AE855DD" w:rsidR="0042430F" w:rsidRPr="008223BC" w:rsidRDefault="00DE7AA8" w:rsidP="001E6C81">
      <w:pPr>
        <w:pStyle w:val="Heading4"/>
      </w:pPr>
      <w:r w:rsidRPr="008223BC">
        <w:t xml:space="preserve">Assessment of </w:t>
      </w:r>
      <w:r w:rsidR="00B82D76" w:rsidRPr="008223BC">
        <w:t xml:space="preserve">reporting </w:t>
      </w:r>
      <w:r w:rsidR="00840436">
        <w:t xml:space="preserve">completeness and quality </w:t>
      </w:r>
      <w:r w:rsidR="00B82D76" w:rsidRPr="008223BC">
        <w:t>according to STROBE-NI criteria</w:t>
      </w:r>
    </w:p>
    <w:p w14:paraId="3EA2D5F2" w14:textId="5ED69A2C" w:rsidR="00820E7E" w:rsidRDefault="002A52E1" w:rsidP="00947D41">
      <w:pPr>
        <w:spacing w:line="480" w:lineRule="auto"/>
        <w:jc w:val="both"/>
        <w:rPr>
          <w:rFonts w:cs="Times New Roman"/>
        </w:rPr>
      </w:pPr>
      <w:r>
        <w:rPr>
          <w:rFonts w:cs="Times New Roman"/>
        </w:rPr>
        <w:t xml:space="preserve">Sixty-nine studies were published between 1980 and 2007, </w:t>
      </w:r>
      <w:r w:rsidR="000C5FCE">
        <w:rPr>
          <w:rFonts w:cs="Times New Roman"/>
        </w:rPr>
        <w:t xml:space="preserve">with </w:t>
      </w:r>
      <w:r>
        <w:rPr>
          <w:rFonts w:cs="Times New Roman"/>
        </w:rPr>
        <w:t>the remaining 8</w:t>
      </w:r>
      <w:r w:rsidR="000460DE">
        <w:rPr>
          <w:rFonts w:cs="Times New Roman"/>
        </w:rPr>
        <w:t>2</w:t>
      </w:r>
      <w:r>
        <w:rPr>
          <w:rFonts w:cs="Times New Roman"/>
        </w:rPr>
        <w:t xml:space="preserve"> studies published between 2008 and 2018. </w:t>
      </w:r>
      <w:r w:rsidR="00AB3E8C">
        <w:rPr>
          <w:rFonts w:cs="Times New Roman"/>
        </w:rPr>
        <w:t>Figure 3</w:t>
      </w:r>
      <w:r w:rsidR="00066E1C" w:rsidRPr="008223BC">
        <w:rPr>
          <w:rFonts w:cs="Times New Roman"/>
        </w:rPr>
        <w:t xml:space="preserve"> </w:t>
      </w:r>
      <w:r w:rsidR="008432D8" w:rsidRPr="008223BC">
        <w:rPr>
          <w:rFonts w:cs="Times New Roman"/>
        </w:rPr>
        <w:t>summarises the</w:t>
      </w:r>
      <w:r w:rsidR="00ED09C5" w:rsidRPr="008223BC">
        <w:rPr>
          <w:rFonts w:cs="Times New Roman"/>
        </w:rPr>
        <w:t xml:space="preserve"> completeness of reporting </w:t>
      </w:r>
      <w:r w:rsidR="00A83637" w:rsidRPr="008223BC">
        <w:rPr>
          <w:rFonts w:cs="Times New Roman"/>
        </w:rPr>
        <w:t xml:space="preserve">from </w:t>
      </w:r>
      <w:r w:rsidR="00470C19">
        <w:rPr>
          <w:rFonts w:cs="Times New Roman"/>
        </w:rPr>
        <w:t>8</w:t>
      </w:r>
      <w:r w:rsidR="000460DE">
        <w:rPr>
          <w:rFonts w:cs="Times New Roman"/>
        </w:rPr>
        <w:t>1</w:t>
      </w:r>
      <w:r w:rsidR="00470C19">
        <w:rPr>
          <w:rFonts w:cs="Times New Roman"/>
        </w:rPr>
        <w:t xml:space="preserve"> observational</w:t>
      </w:r>
      <w:r w:rsidR="00A83637" w:rsidRPr="008223BC">
        <w:rPr>
          <w:rFonts w:cs="Times New Roman"/>
        </w:rPr>
        <w:t xml:space="preserve"> studies </w:t>
      </w:r>
      <w:r>
        <w:rPr>
          <w:rFonts w:cs="Times New Roman"/>
        </w:rPr>
        <w:t xml:space="preserve">(excluding 1 RCT) </w:t>
      </w:r>
      <w:r w:rsidR="00A72FB0">
        <w:rPr>
          <w:rFonts w:cs="Times New Roman"/>
        </w:rPr>
        <w:t xml:space="preserve">published after 2007, </w:t>
      </w:r>
      <w:r w:rsidR="00E609F3" w:rsidRPr="008223BC">
        <w:rPr>
          <w:rFonts w:cs="Times New Roman"/>
        </w:rPr>
        <w:t xml:space="preserve">as outlined in the </w:t>
      </w:r>
      <w:r w:rsidR="00ED09C5" w:rsidRPr="008223BC">
        <w:rPr>
          <w:rFonts w:cs="Times New Roman"/>
        </w:rPr>
        <w:t xml:space="preserve">STROBE-NI </w:t>
      </w:r>
      <w:r w:rsidR="00E609F3" w:rsidRPr="008223BC">
        <w:rPr>
          <w:rFonts w:cs="Times New Roman"/>
        </w:rPr>
        <w:t>checklist</w:t>
      </w:r>
      <w:r w:rsidR="006562CA">
        <w:rPr>
          <w:rFonts w:cs="Times New Roman"/>
        </w:rPr>
        <w:t>.</w:t>
      </w:r>
      <w:r w:rsidR="00AB3E8C">
        <w:rPr>
          <w:rFonts w:cs="Times New Roman"/>
        </w:rPr>
        <w:t xml:space="preserve"> Case ascertainment by physician diagnosis was reported in </w:t>
      </w:r>
      <w:r w:rsidR="00601773">
        <w:rPr>
          <w:rFonts w:cs="Times New Roman"/>
        </w:rPr>
        <w:t>54% (44/81) studies</w:t>
      </w:r>
      <w:r w:rsidR="008948BA">
        <w:rPr>
          <w:rFonts w:cs="Times New Roman"/>
        </w:rPr>
        <w:t xml:space="preserve">, 26 of which </w:t>
      </w:r>
      <w:r w:rsidR="001228DC" w:rsidRPr="008223BC">
        <w:rPr>
          <w:rFonts w:cs="Times New Roman"/>
        </w:rPr>
        <w:t>documented</w:t>
      </w:r>
      <w:r w:rsidR="00B373B6" w:rsidRPr="008223BC">
        <w:rPr>
          <w:rFonts w:cs="Times New Roman"/>
        </w:rPr>
        <w:t xml:space="preserve"> the individual clinical signs </w:t>
      </w:r>
      <w:r w:rsidR="001228DC" w:rsidRPr="008223BC">
        <w:rPr>
          <w:rFonts w:cs="Times New Roman"/>
        </w:rPr>
        <w:t xml:space="preserve">used for the diagnosis of </w:t>
      </w:r>
      <w:r w:rsidR="00C97DCB">
        <w:rPr>
          <w:rFonts w:cs="Times New Roman"/>
        </w:rPr>
        <w:t>neonatal sepsis and/or meningitis</w:t>
      </w:r>
      <w:r w:rsidR="001228DC" w:rsidRPr="008223BC">
        <w:rPr>
          <w:rFonts w:cs="Times New Roman"/>
        </w:rPr>
        <w:t xml:space="preserve">. </w:t>
      </w:r>
      <w:r w:rsidR="0078130D" w:rsidRPr="008223BC">
        <w:rPr>
          <w:rFonts w:cs="Times New Roman"/>
        </w:rPr>
        <w:t xml:space="preserve">Only </w:t>
      </w:r>
      <w:r w:rsidR="00F9758B">
        <w:rPr>
          <w:rFonts w:cs="Times New Roman"/>
        </w:rPr>
        <w:t>seven</w:t>
      </w:r>
      <w:r w:rsidR="001228DC" w:rsidRPr="008223BC">
        <w:rPr>
          <w:rFonts w:cs="Times New Roman"/>
        </w:rPr>
        <w:t xml:space="preserve"> studies</w:t>
      </w:r>
      <w:r w:rsidR="002220C3" w:rsidRPr="002220C3">
        <w:rPr>
          <w:rFonts w:cs="Times New Roman"/>
          <w:noProof/>
          <w:vertAlign w:val="superscript"/>
        </w:rPr>
        <w:t>36,63,74,86-89</w:t>
      </w:r>
      <w:r w:rsidR="001228DC" w:rsidRPr="008223BC">
        <w:rPr>
          <w:rFonts w:cs="Times New Roman"/>
        </w:rPr>
        <w:t xml:space="preserve"> </w:t>
      </w:r>
      <w:r w:rsidR="00BF4383" w:rsidRPr="008223BC">
        <w:rPr>
          <w:rFonts w:cs="Times New Roman"/>
        </w:rPr>
        <w:t xml:space="preserve">reported </w:t>
      </w:r>
      <w:r w:rsidR="001228DC" w:rsidRPr="008223BC">
        <w:rPr>
          <w:rFonts w:cs="Times New Roman"/>
        </w:rPr>
        <w:t>us</w:t>
      </w:r>
      <w:r w:rsidR="00BF4383" w:rsidRPr="008223BC">
        <w:rPr>
          <w:rFonts w:cs="Times New Roman"/>
        </w:rPr>
        <w:t>ing</w:t>
      </w:r>
      <w:r w:rsidR="001228DC" w:rsidRPr="008223BC">
        <w:rPr>
          <w:rFonts w:cs="Times New Roman"/>
        </w:rPr>
        <w:t xml:space="preserve"> the WHO/I</w:t>
      </w:r>
      <w:r w:rsidR="006F3DCC">
        <w:rPr>
          <w:rFonts w:cs="Times New Roman"/>
        </w:rPr>
        <w:t>MCI</w:t>
      </w:r>
      <w:r w:rsidR="008B2617" w:rsidRPr="008223BC">
        <w:rPr>
          <w:rFonts w:cs="Times New Roman"/>
        </w:rPr>
        <w:t xml:space="preserve"> clinical algorithm, two studies</w:t>
      </w:r>
      <w:r w:rsidR="002220C3" w:rsidRPr="002220C3">
        <w:rPr>
          <w:rFonts w:cs="Times New Roman"/>
          <w:noProof/>
          <w:vertAlign w:val="superscript"/>
        </w:rPr>
        <w:t>90,91</w:t>
      </w:r>
      <w:r w:rsidR="008B2617" w:rsidRPr="008223BC">
        <w:rPr>
          <w:rFonts w:cs="Times New Roman"/>
        </w:rPr>
        <w:t xml:space="preserve">used the </w:t>
      </w:r>
      <w:r w:rsidR="00992EDC" w:rsidRPr="008223BC">
        <w:rPr>
          <w:rStyle w:val="notranslate"/>
          <w:rFonts w:eastAsia="Times New Roman" w:cs="Times New Roman"/>
          <w:bCs/>
          <w:color w:val="000000" w:themeColor="text1"/>
        </w:rPr>
        <w:t>French National Agency for Accreditation and Health</w:t>
      </w:r>
      <w:r w:rsidR="008948BA">
        <w:rPr>
          <w:rStyle w:val="notranslate"/>
          <w:rFonts w:eastAsia="Times New Roman" w:cs="Times New Roman"/>
          <w:bCs/>
          <w:color w:val="000000" w:themeColor="text1"/>
        </w:rPr>
        <w:t xml:space="preserve"> clinical diagnostic criteria</w:t>
      </w:r>
      <w:r w:rsidR="00992EDC" w:rsidRPr="008223BC">
        <w:rPr>
          <w:rStyle w:val="notranslate"/>
          <w:rFonts w:eastAsia="Times New Roman" w:cs="Times New Roman"/>
          <w:bCs/>
          <w:color w:val="000000" w:themeColor="text1"/>
        </w:rPr>
        <w:t>,</w:t>
      </w:r>
      <w:r w:rsidR="002220C3" w:rsidRPr="002220C3">
        <w:rPr>
          <w:rStyle w:val="notranslate"/>
          <w:rFonts w:eastAsia="Times New Roman" w:cs="Times New Roman"/>
          <w:bCs/>
          <w:noProof/>
          <w:color w:val="000000" w:themeColor="text1"/>
          <w:vertAlign w:val="superscript"/>
        </w:rPr>
        <w:t>92</w:t>
      </w:r>
      <w:r w:rsidR="002B336A" w:rsidRPr="008223BC">
        <w:rPr>
          <w:rStyle w:val="notranslate"/>
          <w:rFonts w:eastAsia="Times New Roman" w:cs="Times New Roman"/>
          <w:bCs/>
          <w:color w:val="000000" w:themeColor="text1"/>
        </w:rPr>
        <w:t xml:space="preserve"> and one </w:t>
      </w:r>
      <w:r w:rsidR="009E360B" w:rsidRPr="008223BC">
        <w:rPr>
          <w:rStyle w:val="notranslate"/>
          <w:rFonts w:eastAsia="Times New Roman" w:cs="Times New Roman"/>
          <w:bCs/>
          <w:color w:val="000000" w:themeColor="text1"/>
        </w:rPr>
        <w:t xml:space="preserve">Ugandan </w:t>
      </w:r>
      <w:r w:rsidR="002B336A" w:rsidRPr="008223BC">
        <w:rPr>
          <w:rStyle w:val="notranslate"/>
          <w:rFonts w:eastAsia="Times New Roman" w:cs="Times New Roman"/>
          <w:bCs/>
          <w:color w:val="000000" w:themeColor="text1"/>
        </w:rPr>
        <w:t>study</w:t>
      </w:r>
      <w:r w:rsidR="002220C3" w:rsidRPr="002220C3">
        <w:rPr>
          <w:rStyle w:val="notranslate"/>
          <w:rFonts w:eastAsia="Times New Roman" w:cs="Times New Roman"/>
          <w:bCs/>
          <w:noProof/>
          <w:color w:val="000000" w:themeColor="text1"/>
          <w:vertAlign w:val="superscript"/>
        </w:rPr>
        <w:t>93</w:t>
      </w:r>
      <w:r w:rsidR="00262BE8" w:rsidRPr="008223BC">
        <w:rPr>
          <w:rStyle w:val="notranslate"/>
          <w:rFonts w:eastAsia="Times New Roman" w:cs="Times New Roman"/>
          <w:bCs/>
          <w:color w:val="000000" w:themeColor="text1"/>
        </w:rPr>
        <w:t xml:space="preserve"> </w:t>
      </w:r>
      <w:r w:rsidR="009E360B" w:rsidRPr="008223BC">
        <w:rPr>
          <w:rStyle w:val="notranslate"/>
          <w:rFonts w:eastAsia="Times New Roman" w:cs="Times New Roman"/>
          <w:bCs/>
          <w:color w:val="000000" w:themeColor="text1"/>
        </w:rPr>
        <w:t xml:space="preserve">reported using </w:t>
      </w:r>
      <w:r w:rsidR="00A84424" w:rsidRPr="008223BC">
        <w:rPr>
          <w:rStyle w:val="notranslate"/>
          <w:rFonts w:eastAsia="Times New Roman" w:cs="Times New Roman"/>
          <w:bCs/>
          <w:color w:val="000000" w:themeColor="text1"/>
        </w:rPr>
        <w:t xml:space="preserve">criteria </w:t>
      </w:r>
      <w:r w:rsidR="0009719D" w:rsidRPr="008223BC">
        <w:rPr>
          <w:rStyle w:val="notranslate"/>
          <w:rFonts w:eastAsia="Times New Roman" w:cs="Times New Roman"/>
          <w:bCs/>
          <w:color w:val="000000" w:themeColor="text1"/>
        </w:rPr>
        <w:t>adopted from</w:t>
      </w:r>
      <w:r w:rsidR="00A84424" w:rsidRPr="008223BC">
        <w:rPr>
          <w:rStyle w:val="notranslate"/>
          <w:rFonts w:eastAsia="Times New Roman" w:cs="Times New Roman"/>
          <w:bCs/>
          <w:color w:val="000000" w:themeColor="text1"/>
        </w:rPr>
        <w:t xml:space="preserve"> </w:t>
      </w:r>
      <w:r w:rsidR="00A84424" w:rsidRPr="008223BC">
        <w:rPr>
          <w:rFonts w:cs="Times New Roman"/>
        </w:rPr>
        <w:t>International Paediatric Sepsis Consensus</w:t>
      </w:r>
      <w:r w:rsidR="002220C3" w:rsidRPr="002220C3">
        <w:rPr>
          <w:rFonts w:cs="Times New Roman"/>
          <w:noProof/>
          <w:vertAlign w:val="superscript"/>
        </w:rPr>
        <w:t>94</w:t>
      </w:r>
      <w:r w:rsidR="00526D89" w:rsidRPr="008223BC">
        <w:rPr>
          <w:rFonts w:cs="Times New Roman"/>
        </w:rPr>
        <w:t xml:space="preserve"> and </w:t>
      </w:r>
      <w:r w:rsidR="00A84424" w:rsidRPr="008223BC">
        <w:rPr>
          <w:rFonts w:cs="Times New Roman"/>
        </w:rPr>
        <w:t>Indian Academy of Paediatrics.</w:t>
      </w:r>
      <w:r w:rsidR="002220C3" w:rsidRPr="002220C3">
        <w:rPr>
          <w:rFonts w:cs="Times New Roman"/>
          <w:noProof/>
          <w:vertAlign w:val="superscript"/>
        </w:rPr>
        <w:t>95</w:t>
      </w:r>
      <w:r w:rsidR="00A364F6" w:rsidRPr="008223BC">
        <w:rPr>
          <w:rFonts w:cs="Times New Roman"/>
        </w:rPr>
        <w:t xml:space="preserve"> </w:t>
      </w:r>
      <w:r w:rsidR="008948BA">
        <w:rPr>
          <w:rFonts w:cs="Times New Roman"/>
        </w:rPr>
        <w:t>One-third of studies (37%; 30/81) reported m</w:t>
      </w:r>
      <w:r w:rsidR="00021A9D" w:rsidRPr="008223BC">
        <w:rPr>
          <w:rFonts w:cs="Times New Roman"/>
        </w:rPr>
        <w:t xml:space="preserve">icrobiological </w:t>
      </w:r>
      <w:r w:rsidR="008D6C67">
        <w:rPr>
          <w:rFonts w:cs="Times New Roman"/>
        </w:rPr>
        <w:t xml:space="preserve">and/or laboratory </w:t>
      </w:r>
      <w:r w:rsidR="00021A9D" w:rsidRPr="008223BC">
        <w:rPr>
          <w:rFonts w:cs="Times New Roman"/>
        </w:rPr>
        <w:t>criteria for diagnosis of neonatal infection</w:t>
      </w:r>
      <w:r w:rsidR="00B75763">
        <w:rPr>
          <w:rFonts w:cs="Times New Roman"/>
        </w:rPr>
        <w:t xml:space="preserve"> syndromes (sepsis, meningitis)</w:t>
      </w:r>
      <w:r w:rsidR="008948BA">
        <w:rPr>
          <w:rFonts w:cs="Times New Roman"/>
        </w:rPr>
        <w:t>, and 69%</w:t>
      </w:r>
      <w:r w:rsidR="00474520">
        <w:rPr>
          <w:rFonts w:cs="Times New Roman"/>
          <w:lang w:eastAsia="en-GB"/>
        </w:rPr>
        <w:t xml:space="preserve"> (5</w:t>
      </w:r>
      <w:r w:rsidR="00843AF3">
        <w:rPr>
          <w:rFonts w:cs="Times New Roman"/>
          <w:lang w:eastAsia="en-GB"/>
        </w:rPr>
        <w:t>6</w:t>
      </w:r>
      <w:r w:rsidR="00474520">
        <w:rPr>
          <w:rFonts w:cs="Times New Roman"/>
          <w:lang w:eastAsia="en-GB"/>
        </w:rPr>
        <w:t>/8</w:t>
      </w:r>
      <w:r w:rsidR="00843AF3">
        <w:rPr>
          <w:rFonts w:cs="Times New Roman"/>
          <w:lang w:eastAsia="en-GB"/>
        </w:rPr>
        <w:t>1</w:t>
      </w:r>
      <w:r w:rsidR="00474520">
        <w:rPr>
          <w:rFonts w:cs="Times New Roman"/>
          <w:lang w:eastAsia="en-GB"/>
        </w:rPr>
        <w:t xml:space="preserve">) described </w:t>
      </w:r>
      <w:r w:rsidR="00A66115" w:rsidRPr="008223BC">
        <w:rPr>
          <w:rFonts w:cs="Times New Roman"/>
          <w:lang w:eastAsia="en-GB"/>
        </w:rPr>
        <w:t xml:space="preserve">microbiological </w:t>
      </w:r>
      <w:r w:rsidR="006216A5">
        <w:rPr>
          <w:rFonts w:cs="Times New Roman"/>
          <w:lang w:eastAsia="en-GB"/>
        </w:rPr>
        <w:t xml:space="preserve">sample type and </w:t>
      </w:r>
      <w:r w:rsidR="00A66115" w:rsidRPr="008223BC">
        <w:rPr>
          <w:rFonts w:cs="Times New Roman"/>
          <w:lang w:eastAsia="en-GB"/>
        </w:rPr>
        <w:t xml:space="preserve">sampling </w:t>
      </w:r>
      <w:r w:rsidR="004946C6" w:rsidRPr="008223BC">
        <w:rPr>
          <w:rFonts w:cs="Times New Roman"/>
          <w:lang w:eastAsia="en-GB"/>
        </w:rPr>
        <w:t>strategy (</w:t>
      </w:r>
      <w:r w:rsidR="00221F04" w:rsidRPr="008223BC">
        <w:rPr>
          <w:rFonts w:cs="Times New Roman"/>
          <w:lang w:eastAsia="en-GB"/>
        </w:rPr>
        <w:t>clinical indication vs</w:t>
      </w:r>
      <w:r w:rsidR="00045BE9" w:rsidRPr="008223BC">
        <w:rPr>
          <w:rFonts w:cs="Times New Roman"/>
          <w:lang w:eastAsia="en-GB"/>
        </w:rPr>
        <w:t>.</w:t>
      </w:r>
      <w:r w:rsidR="00221F04" w:rsidRPr="008223BC">
        <w:rPr>
          <w:rFonts w:cs="Times New Roman"/>
          <w:lang w:eastAsia="en-GB"/>
        </w:rPr>
        <w:t xml:space="preserve"> routine)</w:t>
      </w:r>
      <w:r w:rsidR="006216A5">
        <w:rPr>
          <w:rFonts w:cs="Times New Roman"/>
          <w:lang w:eastAsia="en-GB"/>
        </w:rPr>
        <w:t xml:space="preserve"> as well as</w:t>
      </w:r>
      <w:r w:rsidR="004946C6" w:rsidRPr="008223BC">
        <w:rPr>
          <w:rFonts w:cs="Times New Roman"/>
          <w:lang w:eastAsia="en-GB"/>
        </w:rPr>
        <w:t xml:space="preserve"> number </w:t>
      </w:r>
      <w:r w:rsidR="004946C6" w:rsidRPr="008223BC">
        <w:rPr>
          <w:rFonts w:cs="Times New Roman"/>
          <w:lang w:eastAsia="en-GB"/>
        </w:rPr>
        <w:lastRenderedPageBreak/>
        <w:t xml:space="preserve">of </w:t>
      </w:r>
      <w:r w:rsidR="008948BA">
        <w:rPr>
          <w:rFonts w:cs="Times New Roman"/>
          <w:lang w:eastAsia="en-GB"/>
        </w:rPr>
        <w:t>newborns</w:t>
      </w:r>
      <w:r w:rsidR="008948BA" w:rsidRPr="008223BC">
        <w:rPr>
          <w:rFonts w:cs="Times New Roman"/>
          <w:lang w:eastAsia="en-GB"/>
        </w:rPr>
        <w:t xml:space="preserve"> </w:t>
      </w:r>
      <w:r w:rsidR="008948BA">
        <w:rPr>
          <w:rFonts w:cs="Times New Roman"/>
          <w:lang w:eastAsia="en-GB"/>
        </w:rPr>
        <w:t>sampled</w:t>
      </w:r>
      <w:r w:rsidR="004946C6" w:rsidRPr="008223BC">
        <w:rPr>
          <w:rFonts w:cs="Times New Roman"/>
          <w:lang w:eastAsia="en-GB"/>
        </w:rPr>
        <w:t xml:space="preserve">. </w:t>
      </w:r>
      <w:r w:rsidR="005F6164">
        <w:rPr>
          <w:rFonts w:cs="Times New Roman"/>
        </w:rPr>
        <w:t>Sixty</w:t>
      </w:r>
      <w:r w:rsidR="005F6164" w:rsidRPr="008223BC">
        <w:rPr>
          <w:rFonts w:cs="Times New Roman"/>
        </w:rPr>
        <w:t xml:space="preserve"> studies repo</w:t>
      </w:r>
      <w:r w:rsidR="005F6164">
        <w:rPr>
          <w:rFonts w:cs="Times New Roman"/>
        </w:rPr>
        <w:t>rted only blood culture data, 11</w:t>
      </w:r>
      <w:r w:rsidR="005F6164" w:rsidRPr="008223BC">
        <w:rPr>
          <w:rFonts w:cs="Times New Roman"/>
        </w:rPr>
        <w:t xml:space="preserve"> studie</w:t>
      </w:r>
      <w:r w:rsidR="005F6164">
        <w:rPr>
          <w:rFonts w:cs="Times New Roman"/>
        </w:rPr>
        <w:t>s reported only CSF data, and 10</w:t>
      </w:r>
      <w:r w:rsidR="005F6164" w:rsidRPr="008223BC">
        <w:rPr>
          <w:rFonts w:cs="Times New Roman"/>
        </w:rPr>
        <w:t xml:space="preserve"> studies reported </w:t>
      </w:r>
      <w:r w:rsidR="006216A5">
        <w:rPr>
          <w:rFonts w:cs="Times New Roman"/>
        </w:rPr>
        <w:t xml:space="preserve">both </w:t>
      </w:r>
      <w:r w:rsidR="005F6164" w:rsidRPr="008223BC">
        <w:rPr>
          <w:rFonts w:cs="Times New Roman"/>
        </w:rPr>
        <w:t>blood and CSF data</w:t>
      </w:r>
      <w:r w:rsidR="000D5361">
        <w:rPr>
          <w:rFonts w:cs="Times New Roman"/>
        </w:rPr>
        <w:t xml:space="preserve"> of which only 8 reported disaggregated data</w:t>
      </w:r>
      <w:r w:rsidR="005F6164" w:rsidRPr="008223BC">
        <w:rPr>
          <w:rFonts w:cs="Times New Roman"/>
        </w:rPr>
        <w:t xml:space="preserve">.  </w:t>
      </w:r>
    </w:p>
    <w:p w14:paraId="065A5DC5" w14:textId="49392FD5" w:rsidR="00FF27EA" w:rsidRDefault="000E1ACE" w:rsidP="00947D41">
      <w:pPr>
        <w:spacing w:line="480" w:lineRule="auto"/>
        <w:jc w:val="both"/>
        <w:rPr>
          <w:rFonts w:cs="Times New Roman"/>
        </w:rPr>
      </w:pPr>
      <w:r>
        <w:rPr>
          <w:rFonts w:cs="Times New Roman"/>
          <w:lang w:eastAsia="en-GB"/>
        </w:rPr>
        <w:t xml:space="preserve">Of </w:t>
      </w:r>
      <w:r w:rsidR="00D065D8">
        <w:rPr>
          <w:rFonts w:cs="Times New Roman"/>
          <w:lang w:eastAsia="en-GB"/>
        </w:rPr>
        <w:t>70</w:t>
      </w:r>
      <w:r>
        <w:rPr>
          <w:rFonts w:cs="Times New Roman"/>
          <w:lang w:eastAsia="en-GB"/>
        </w:rPr>
        <w:t xml:space="preserve"> studies that reported blood culture</w:t>
      </w:r>
      <w:r w:rsidR="00F320D2">
        <w:rPr>
          <w:rFonts w:cs="Times New Roman"/>
          <w:lang w:eastAsia="en-GB"/>
        </w:rPr>
        <w:t xml:space="preserve"> data</w:t>
      </w:r>
      <w:r>
        <w:rPr>
          <w:rFonts w:cs="Times New Roman"/>
          <w:lang w:eastAsia="en-GB"/>
        </w:rPr>
        <w:t xml:space="preserve">, </w:t>
      </w:r>
      <w:r w:rsidR="006216A5">
        <w:rPr>
          <w:rFonts w:cs="Times New Roman"/>
          <w:lang w:eastAsia="en-GB"/>
        </w:rPr>
        <w:t xml:space="preserve">13 </w:t>
      </w:r>
      <w:r w:rsidR="00F320D2">
        <w:rPr>
          <w:rFonts w:cs="Times New Roman"/>
          <w:lang w:eastAsia="en-GB"/>
        </w:rPr>
        <w:t xml:space="preserve">were retrospective reviews of laboratory data and did not report the number of culture samples per infant. </w:t>
      </w:r>
      <w:r w:rsidR="006216A5">
        <w:rPr>
          <w:rFonts w:cs="Times New Roman"/>
        </w:rPr>
        <w:t>N</w:t>
      </w:r>
      <w:r w:rsidR="00493240" w:rsidRPr="008223BC">
        <w:rPr>
          <w:rFonts w:cs="Times New Roman"/>
        </w:rPr>
        <w:t>ine</w:t>
      </w:r>
      <w:r w:rsidR="00F320D2">
        <w:rPr>
          <w:rFonts w:cs="Times New Roman"/>
        </w:rPr>
        <w:t xml:space="preserve"> studies</w:t>
      </w:r>
      <w:r w:rsidR="002220C3" w:rsidRPr="002220C3">
        <w:rPr>
          <w:rFonts w:cs="Times New Roman"/>
          <w:noProof/>
          <w:vertAlign w:val="superscript"/>
        </w:rPr>
        <w:t>88,89,93,96-101</w:t>
      </w:r>
      <w:r w:rsidR="0056631D">
        <w:rPr>
          <w:rFonts w:cs="Times New Roman"/>
        </w:rPr>
        <w:t xml:space="preserve"> </w:t>
      </w:r>
      <w:r w:rsidR="00493240" w:rsidRPr="008223BC">
        <w:rPr>
          <w:rFonts w:cs="Times New Roman"/>
        </w:rPr>
        <w:t xml:space="preserve">reported </w:t>
      </w:r>
      <w:r>
        <w:rPr>
          <w:rFonts w:cs="Times New Roman"/>
        </w:rPr>
        <w:t>submission of</w:t>
      </w:r>
      <w:r w:rsidR="00493240" w:rsidRPr="008223BC">
        <w:rPr>
          <w:rFonts w:cs="Times New Roman"/>
        </w:rPr>
        <w:t xml:space="preserve"> two blood </w:t>
      </w:r>
      <w:r>
        <w:rPr>
          <w:rFonts w:cs="Times New Roman"/>
        </w:rPr>
        <w:t>culture</w:t>
      </w:r>
      <w:r w:rsidR="006216A5">
        <w:rPr>
          <w:rFonts w:cs="Times New Roman"/>
        </w:rPr>
        <w:t>s</w:t>
      </w:r>
      <w:r>
        <w:rPr>
          <w:rFonts w:cs="Times New Roman"/>
        </w:rPr>
        <w:t xml:space="preserve"> </w:t>
      </w:r>
      <w:r w:rsidR="00493240" w:rsidRPr="008223BC">
        <w:rPr>
          <w:rFonts w:cs="Times New Roman"/>
        </w:rPr>
        <w:t xml:space="preserve">from </w:t>
      </w:r>
      <w:r>
        <w:rPr>
          <w:rFonts w:cs="Times New Roman"/>
        </w:rPr>
        <w:t>each neonate</w:t>
      </w:r>
      <w:r w:rsidR="006216A5">
        <w:rPr>
          <w:rFonts w:cs="Times New Roman"/>
        </w:rPr>
        <w:t xml:space="preserve"> while all others</w:t>
      </w:r>
      <w:r w:rsidR="006216A5" w:rsidRPr="006216A5">
        <w:rPr>
          <w:rFonts w:cs="Times New Roman"/>
          <w:lang w:eastAsia="en-GB"/>
        </w:rPr>
        <w:t xml:space="preserve"> </w:t>
      </w:r>
      <w:r w:rsidR="006216A5">
        <w:rPr>
          <w:rFonts w:cs="Times New Roman"/>
          <w:lang w:eastAsia="en-GB"/>
        </w:rPr>
        <w:t>reported collection of a single sample</w:t>
      </w:r>
      <w:r w:rsidR="00493240" w:rsidRPr="008223BC">
        <w:rPr>
          <w:rFonts w:cs="Times New Roman"/>
        </w:rPr>
        <w:t xml:space="preserve">. </w:t>
      </w:r>
      <w:r w:rsidR="00F730B4">
        <w:rPr>
          <w:rFonts w:cs="Times New Roman"/>
        </w:rPr>
        <w:t>Across these studies, a total of 31 564 blood cultures were collected of which 7856</w:t>
      </w:r>
      <w:r w:rsidR="00F730B4" w:rsidRPr="008223BC">
        <w:rPr>
          <w:rFonts w:cs="Times New Roman"/>
        </w:rPr>
        <w:t xml:space="preserve"> (2</w:t>
      </w:r>
      <w:r w:rsidR="00F730B4">
        <w:rPr>
          <w:rFonts w:cs="Times New Roman"/>
        </w:rPr>
        <w:t>5</w:t>
      </w:r>
      <w:r w:rsidR="00F730B4" w:rsidRPr="008223BC">
        <w:rPr>
          <w:rFonts w:cs="Times New Roman"/>
        </w:rPr>
        <w:t>%) were positive for a bacterial pathogen</w:t>
      </w:r>
      <w:r w:rsidR="00A06A4A">
        <w:rPr>
          <w:rFonts w:cs="Times New Roman"/>
        </w:rPr>
        <w:t xml:space="preserve"> (webappendix Table 9)</w:t>
      </w:r>
      <w:r w:rsidR="00F730B4">
        <w:rPr>
          <w:rFonts w:cs="Times New Roman"/>
        </w:rPr>
        <w:t xml:space="preserve">. </w:t>
      </w:r>
      <w:r w:rsidR="00840436">
        <w:rPr>
          <w:rFonts w:cs="Times New Roman"/>
        </w:rPr>
        <w:t>F</w:t>
      </w:r>
      <w:r w:rsidR="00A52A1A">
        <w:rPr>
          <w:rFonts w:cs="Times New Roman"/>
        </w:rPr>
        <w:t>ew studies (2</w:t>
      </w:r>
      <w:r w:rsidR="00FA1169">
        <w:rPr>
          <w:rFonts w:cs="Times New Roman"/>
        </w:rPr>
        <w:t>1</w:t>
      </w:r>
      <w:r w:rsidR="00A52A1A">
        <w:rPr>
          <w:rFonts w:cs="Times New Roman"/>
        </w:rPr>
        <w:t>%; 1</w:t>
      </w:r>
      <w:r w:rsidR="00D968FD">
        <w:rPr>
          <w:rFonts w:cs="Times New Roman"/>
        </w:rPr>
        <w:t>5</w:t>
      </w:r>
      <w:r w:rsidR="00A52A1A">
        <w:rPr>
          <w:rFonts w:cs="Times New Roman"/>
        </w:rPr>
        <w:t>/</w:t>
      </w:r>
      <w:r w:rsidR="00D968FD">
        <w:rPr>
          <w:rFonts w:cs="Times New Roman"/>
        </w:rPr>
        <w:t>70</w:t>
      </w:r>
      <w:r w:rsidR="00A52A1A">
        <w:rPr>
          <w:rFonts w:cs="Times New Roman"/>
        </w:rPr>
        <w:t xml:space="preserve">) </w:t>
      </w:r>
      <w:r w:rsidR="00A52A1A">
        <w:rPr>
          <w:rFonts w:cs="Times New Roman"/>
          <w:lang w:eastAsia="en-GB"/>
        </w:rPr>
        <w:t>reported</w:t>
      </w:r>
      <w:r w:rsidR="00A52A1A" w:rsidRPr="008223BC">
        <w:rPr>
          <w:rFonts w:cs="Times New Roman"/>
          <w:lang w:eastAsia="en-GB"/>
        </w:rPr>
        <w:t xml:space="preserve"> the timing of samp</w:t>
      </w:r>
      <w:r w:rsidR="00A52A1A">
        <w:rPr>
          <w:rFonts w:cs="Times New Roman"/>
          <w:lang w:eastAsia="en-GB"/>
        </w:rPr>
        <w:t>ling in relation to</w:t>
      </w:r>
      <w:r w:rsidR="00A52A1A" w:rsidRPr="008223BC">
        <w:rPr>
          <w:rFonts w:cs="Times New Roman"/>
          <w:lang w:eastAsia="en-GB"/>
        </w:rPr>
        <w:t xml:space="preserve"> antimicrobial administration. </w:t>
      </w:r>
      <w:r w:rsidR="00840436">
        <w:rPr>
          <w:rFonts w:cs="Times New Roman"/>
          <w:lang w:eastAsia="en-GB"/>
        </w:rPr>
        <w:t>B</w:t>
      </w:r>
      <w:r w:rsidR="001E255A">
        <w:rPr>
          <w:rFonts w:cs="Times New Roman"/>
          <w:lang w:eastAsia="en-GB"/>
        </w:rPr>
        <w:t xml:space="preserve">lood </w:t>
      </w:r>
      <w:r w:rsidR="00840436">
        <w:rPr>
          <w:rFonts w:cs="Times New Roman"/>
          <w:lang w:eastAsia="en-GB"/>
        </w:rPr>
        <w:t xml:space="preserve">volume </w:t>
      </w:r>
      <w:r w:rsidR="001E255A">
        <w:rPr>
          <w:rFonts w:cs="Times New Roman"/>
          <w:lang w:eastAsia="en-GB"/>
        </w:rPr>
        <w:t>for culture</w:t>
      </w:r>
      <w:r w:rsidR="00840436">
        <w:rPr>
          <w:rFonts w:cs="Times New Roman"/>
          <w:lang w:eastAsia="en-GB"/>
        </w:rPr>
        <w:t xml:space="preserve"> was</w:t>
      </w:r>
      <w:r w:rsidR="006216A5">
        <w:rPr>
          <w:rFonts w:cs="Times New Roman"/>
          <w:lang w:eastAsia="en-GB"/>
        </w:rPr>
        <w:t xml:space="preserve"> </w:t>
      </w:r>
      <w:r w:rsidR="00A52A1A">
        <w:rPr>
          <w:rFonts w:cs="Times New Roman"/>
          <w:lang w:eastAsia="en-GB"/>
        </w:rPr>
        <w:t xml:space="preserve">reported by </w:t>
      </w:r>
      <w:r w:rsidR="00A52A1A">
        <w:rPr>
          <w:rFonts w:cs="Times New Roman"/>
        </w:rPr>
        <w:t>3</w:t>
      </w:r>
      <w:r w:rsidR="006315F2">
        <w:rPr>
          <w:rFonts w:cs="Times New Roman"/>
        </w:rPr>
        <w:t>6</w:t>
      </w:r>
      <w:r w:rsidR="00A52A1A">
        <w:rPr>
          <w:rFonts w:cs="Times New Roman"/>
        </w:rPr>
        <w:t xml:space="preserve"> </w:t>
      </w:r>
      <w:r w:rsidR="00A52A1A">
        <w:rPr>
          <w:rFonts w:cs="Times New Roman"/>
          <w:lang w:eastAsia="en-GB"/>
        </w:rPr>
        <w:t>(51%</w:t>
      </w:r>
      <w:r w:rsidR="00A52A1A" w:rsidRPr="008223BC">
        <w:rPr>
          <w:rFonts w:cs="Times New Roman"/>
          <w:lang w:eastAsia="en-GB"/>
        </w:rPr>
        <w:t xml:space="preserve">) </w:t>
      </w:r>
      <w:r w:rsidR="00A52A1A">
        <w:rPr>
          <w:rFonts w:cs="Times New Roman"/>
          <w:lang w:eastAsia="en-GB"/>
        </w:rPr>
        <w:t>studies</w:t>
      </w:r>
      <w:r w:rsidR="006216A5">
        <w:rPr>
          <w:rFonts w:cs="Times New Roman"/>
          <w:lang w:eastAsia="en-GB"/>
        </w:rPr>
        <w:t>,</w:t>
      </w:r>
      <w:r w:rsidR="00A52A1A">
        <w:rPr>
          <w:rFonts w:cs="Times New Roman"/>
          <w:lang w:eastAsia="en-GB"/>
        </w:rPr>
        <w:t xml:space="preserve"> rang</w:t>
      </w:r>
      <w:r w:rsidR="00840436">
        <w:rPr>
          <w:rFonts w:cs="Times New Roman"/>
          <w:lang w:eastAsia="en-GB"/>
        </w:rPr>
        <w:t xml:space="preserve">ing </w:t>
      </w:r>
      <w:r w:rsidR="00A52A1A">
        <w:rPr>
          <w:rFonts w:cs="Times New Roman"/>
          <w:lang w:eastAsia="en-GB"/>
        </w:rPr>
        <w:t xml:space="preserve">from 0.4 mL – 5mL. </w:t>
      </w:r>
      <w:r w:rsidR="00EF61F6">
        <w:rPr>
          <w:rFonts w:cs="Times New Roman"/>
        </w:rPr>
        <w:t xml:space="preserve">Over 80% of studies included data on number (and proportion) of blood samples cultured, number (and proportion) that were positive, as well as the </w:t>
      </w:r>
      <w:r w:rsidR="00036448">
        <w:rPr>
          <w:rFonts w:cs="Times New Roman"/>
        </w:rPr>
        <w:t xml:space="preserve">number of </w:t>
      </w:r>
      <w:r w:rsidR="001E255A">
        <w:rPr>
          <w:rFonts w:cs="Times New Roman"/>
        </w:rPr>
        <w:t>pathogens isolated</w:t>
      </w:r>
      <w:r w:rsidR="00E129CF">
        <w:rPr>
          <w:rFonts w:cs="Times New Roman"/>
        </w:rPr>
        <w:t xml:space="preserve">. </w:t>
      </w:r>
      <w:r w:rsidR="001E255A">
        <w:rPr>
          <w:rFonts w:cs="Times New Roman"/>
        </w:rPr>
        <w:t xml:space="preserve">Although </w:t>
      </w:r>
      <w:r w:rsidR="001E255A">
        <w:rPr>
          <w:rFonts w:cs="Times New Roman"/>
          <w:lang w:eastAsia="en-GB"/>
        </w:rPr>
        <w:t>53</w:t>
      </w:r>
      <w:r w:rsidR="00302B0A" w:rsidRPr="008223BC">
        <w:rPr>
          <w:rFonts w:cs="Times New Roman"/>
        </w:rPr>
        <w:t xml:space="preserve"> </w:t>
      </w:r>
      <w:r w:rsidR="00A357A4">
        <w:rPr>
          <w:rFonts w:cs="Times New Roman"/>
        </w:rPr>
        <w:t>(7</w:t>
      </w:r>
      <w:r w:rsidR="006107E5">
        <w:rPr>
          <w:rFonts w:cs="Times New Roman"/>
        </w:rPr>
        <w:t>6</w:t>
      </w:r>
      <w:r w:rsidR="008E23BC" w:rsidRPr="008223BC">
        <w:rPr>
          <w:rFonts w:cs="Times New Roman"/>
        </w:rPr>
        <w:t xml:space="preserve">%) </w:t>
      </w:r>
      <w:r w:rsidR="0029248C">
        <w:rPr>
          <w:rFonts w:cs="Times New Roman"/>
        </w:rPr>
        <w:t>of t</w:t>
      </w:r>
      <w:r w:rsidR="00B90DAD">
        <w:rPr>
          <w:rFonts w:cs="Times New Roman"/>
        </w:rPr>
        <w:t xml:space="preserve">hese </w:t>
      </w:r>
      <w:r w:rsidR="008E23BC" w:rsidRPr="008223BC">
        <w:rPr>
          <w:rFonts w:cs="Times New Roman"/>
        </w:rPr>
        <w:t xml:space="preserve">studies </w:t>
      </w:r>
      <w:r w:rsidR="00B90DAD">
        <w:rPr>
          <w:rFonts w:cs="Times New Roman"/>
        </w:rPr>
        <w:t xml:space="preserve">also </w:t>
      </w:r>
      <w:r w:rsidR="00D56259" w:rsidRPr="008223BC">
        <w:rPr>
          <w:rFonts w:cs="Times New Roman"/>
        </w:rPr>
        <w:t xml:space="preserve">described </w:t>
      </w:r>
      <w:r w:rsidR="00F320D2">
        <w:rPr>
          <w:rFonts w:cs="Times New Roman"/>
        </w:rPr>
        <w:t>blood culture</w:t>
      </w:r>
      <w:r w:rsidR="00A66115" w:rsidRPr="008223BC">
        <w:rPr>
          <w:rFonts w:cs="Times New Roman"/>
        </w:rPr>
        <w:t xml:space="preserve"> </w:t>
      </w:r>
      <w:r w:rsidR="00A357A4">
        <w:rPr>
          <w:rFonts w:cs="Times New Roman"/>
        </w:rPr>
        <w:t>methods</w:t>
      </w:r>
      <w:r w:rsidR="00A8390A" w:rsidRPr="008223BC">
        <w:rPr>
          <w:rFonts w:cs="Times New Roman"/>
        </w:rPr>
        <w:t xml:space="preserve"> </w:t>
      </w:r>
      <w:r w:rsidR="00A357A4">
        <w:rPr>
          <w:rFonts w:cs="Times New Roman"/>
        </w:rPr>
        <w:t xml:space="preserve">used, </w:t>
      </w:r>
      <w:r w:rsidR="006E35C9" w:rsidRPr="008223BC">
        <w:rPr>
          <w:rFonts w:cs="Times New Roman"/>
        </w:rPr>
        <w:t>culture media and methods of identification of organisms varied between studies</w:t>
      </w:r>
      <w:r w:rsidR="00A66115" w:rsidRPr="008223BC">
        <w:rPr>
          <w:rFonts w:cs="Times New Roman"/>
        </w:rPr>
        <w:t xml:space="preserve">. </w:t>
      </w:r>
      <w:r w:rsidR="00A357A4">
        <w:rPr>
          <w:rFonts w:cs="Times New Roman"/>
          <w:lang w:eastAsia="en-GB"/>
        </w:rPr>
        <w:t>More studies (n = 28</w:t>
      </w:r>
      <w:r w:rsidR="00142B5A" w:rsidRPr="008223BC">
        <w:rPr>
          <w:rFonts w:cs="Times New Roman"/>
          <w:lang w:eastAsia="en-GB"/>
        </w:rPr>
        <w:t xml:space="preserve">) used manual blood culture methods </w:t>
      </w:r>
      <w:r w:rsidR="008432D8" w:rsidRPr="008223BC">
        <w:rPr>
          <w:rFonts w:cs="Times New Roman"/>
          <w:lang w:eastAsia="en-GB"/>
        </w:rPr>
        <w:t>than</w:t>
      </w:r>
      <w:r w:rsidR="00A8390A" w:rsidRPr="008223BC">
        <w:rPr>
          <w:rFonts w:cs="Times New Roman"/>
          <w:lang w:eastAsia="en-GB"/>
        </w:rPr>
        <w:t xml:space="preserve"> automated techniques</w:t>
      </w:r>
      <w:r w:rsidR="00A357A4">
        <w:rPr>
          <w:rFonts w:cs="Times New Roman"/>
          <w:lang w:eastAsia="en-GB"/>
        </w:rPr>
        <w:t xml:space="preserve"> (n=2</w:t>
      </w:r>
      <w:r w:rsidR="00ED582B">
        <w:rPr>
          <w:rFonts w:cs="Times New Roman"/>
          <w:lang w:eastAsia="en-GB"/>
        </w:rPr>
        <w:t>4</w:t>
      </w:r>
      <w:r w:rsidR="00142B5A" w:rsidRPr="008223BC">
        <w:rPr>
          <w:rFonts w:cs="Times New Roman"/>
          <w:lang w:eastAsia="en-GB"/>
        </w:rPr>
        <w:t>)</w:t>
      </w:r>
      <w:r w:rsidR="00A06A4A" w:rsidRPr="00A06A4A">
        <w:rPr>
          <w:rFonts w:cs="Times New Roman"/>
        </w:rPr>
        <w:t xml:space="preserve"> </w:t>
      </w:r>
      <w:r w:rsidR="00A06A4A">
        <w:rPr>
          <w:rFonts w:cs="Times New Roman"/>
        </w:rPr>
        <w:t>(webappendix Table 9)</w:t>
      </w:r>
      <w:r w:rsidR="006107E5">
        <w:rPr>
          <w:rFonts w:cs="Times New Roman"/>
          <w:lang w:eastAsia="en-GB"/>
        </w:rPr>
        <w:t>, and one study reported using both</w:t>
      </w:r>
      <w:r w:rsidR="00A8390A" w:rsidRPr="008223BC">
        <w:rPr>
          <w:rFonts w:cs="Times New Roman"/>
          <w:lang w:eastAsia="en-GB"/>
        </w:rPr>
        <w:t xml:space="preserve">. </w:t>
      </w:r>
      <w:r w:rsidR="001E255A">
        <w:rPr>
          <w:rFonts w:cs="Times New Roman"/>
        </w:rPr>
        <w:t>Between</w:t>
      </w:r>
      <w:r w:rsidR="004D7923">
        <w:rPr>
          <w:rFonts w:cs="Times New Roman"/>
        </w:rPr>
        <w:t xml:space="preserve"> </w:t>
      </w:r>
      <w:r w:rsidR="003A3C78">
        <w:rPr>
          <w:rFonts w:cs="Times New Roman"/>
        </w:rPr>
        <w:t>8</w:t>
      </w:r>
      <w:r w:rsidR="00A66115" w:rsidRPr="008223BC">
        <w:rPr>
          <w:rFonts w:cs="Times New Roman"/>
        </w:rPr>
        <w:t xml:space="preserve"> </w:t>
      </w:r>
      <w:r w:rsidR="001E255A">
        <w:rPr>
          <w:rFonts w:cs="Times New Roman"/>
        </w:rPr>
        <w:t>and</w:t>
      </w:r>
      <w:r w:rsidR="00A66115" w:rsidRPr="008223BC">
        <w:rPr>
          <w:rFonts w:cs="Times New Roman"/>
        </w:rPr>
        <w:t xml:space="preserve"> 44% </w:t>
      </w:r>
      <w:r w:rsidR="001E255A">
        <w:rPr>
          <w:rFonts w:cs="Times New Roman"/>
        </w:rPr>
        <w:t xml:space="preserve">of cultures were positive </w:t>
      </w:r>
      <w:r w:rsidR="00A66115" w:rsidRPr="008223BC">
        <w:rPr>
          <w:rFonts w:cs="Times New Roman"/>
        </w:rPr>
        <w:t xml:space="preserve">among studies using automated </w:t>
      </w:r>
      <w:r w:rsidR="00A8390A" w:rsidRPr="008223BC">
        <w:rPr>
          <w:rFonts w:cs="Times New Roman"/>
        </w:rPr>
        <w:t>techniques</w:t>
      </w:r>
      <w:r w:rsidR="004D7923">
        <w:rPr>
          <w:rFonts w:cs="Times New Roman"/>
        </w:rPr>
        <w:t>, and</w:t>
      </w:r>
      <w:r w:rsidR="00102FDA">
        <w:rPr>
          <w:rFonts w:cs="Times New Roman"/>
        </w:rPr>
        <w:t xml:space="preserve"> 1</w:t>
      </w:r>
      <w:r w:rsidR="00E05B2B">
        <w:rPr>
          <w:rFonts w:cs="Times New Roman"/>
        </w:rPr>
        <w:t>4</w:t>
      </w:r>
      <w:r w:rsidR="00102FDA">
        <w:rPr>
          <w:rFonts w:cs="Times New Roman"/>
        </w:rPr>
        <w:t xml:space="preserve"> - 8</w:t>
      </w:r>
      <w:r w:rsidR="00CA0032">
        <w:rPr>
          <w:rFonts w:cs="Times New Roman"/>
        </w:rPr>
        <w:t>7</w:t>
      </w:r>
      <w:r w:rsidR="00A66115" w:rsidRPr="008223BC">
        <w:rPr>
          <w:rFonts w:cs="Times New Roman"/>
        </w:rPr>
        <w:t xml:space="preserve">% among studies using manual methods. </w:t>
      </w:r>
    </w:p>
    <w:p w14:paraId="5470BD95" w14:textId="32B96434" w:rsidR="004946C6" w:rsidRDefault="00E55091" w:rsidP="00947D41">
      <w:pPr>
        <w:spacing w:line="480" w:lineRule="auto"/>
        <w:jc w:val="both"/>
        <w:rPr>
          <w:rFonts w:cs="Times New Roman"/>
        </w:rPr>
      </w:pPr>
      <w:r>
        <w:rPr>
          <w:rFonts w:cs="Times New Roman"/>
        </w:rPr>
        <w:t xml:space="preserve">Among </w:t>
      </w:r>
      <w:r w:rsidR="0040649F">
        <w:rPr>
          <w:rFonts w:cs="Times New Roman"/>
        </w:rPr>
        <w:t>19</w:t>
      </w:r>
      <w:r w:rsidR="00AE3624">
        <w:rPr>
          <w:rFonts w:cs="Times New Roman"/>
        </w:rPr>
        <w:t xml:space="preserve"> </w:t>
      </w:r>
      <w:r>
        <w:rPr>
          <w:rFonts w:cs="Times New Roman"/>
        </w:rPr>
        <w:t xml:space="preserve">studies reporting </w:t>
      </w:r>
      <w:r w:rsidR="0040649F">
        <w:rPr>
          <w:rFonts w:cs="Times New Roman"/>
        </w:rPr>
        <w:t xml:space="preserve">disaggregated </w:t>
      </w:r>
      <w:r>
        <w:rPr>
          <w:rFonts w:cs="Times New Roman"/>
        </w:rPr>
        <w:t xml:space="preserve">CSF culture data, </w:t>
      </w:r>
      <w:r w:rsidR="00AE3624">
        <w:rPr>
          <w:rFonts w:cs="Times New Roman"/>
        </w:rPr>
        <w:t xml:space="preserve">only </w:t>
      </w:r>
      <w:r w:rsidR="00F42247">
        <w:rPr>
          <w:rFonts w:cs="Times New Roman"/>
        </w:rPr>
        <w:t>eleven</w:t>
      </w:r>
      <w:r w:rsidR="002220C3" w:rsidRPr="002220C3">
        <w:rPr>
          <w:rFonts w:cs="Times New Roman"/>
          <w:noProof/>
          <w:vertAlign w:val="superscript"/>
        </w:rPr>
        <w:t>31,48,63,68,73,89,90,102-105</w:t>
      </w:r>
      <w:r w:rsidR="00AE3624">
        <w:rPr>
          <w:rFonts w:cs="Times New Roman"/>
        </w:rPr>
        <w:t xml:space="preserve"> reported on both number of lumbar punctures </w:t>
      </w:r>
      <w:r w:rsidR="00113EE0">
        <w:rPr>
          <w:rFonts w:cs="Times New Roman"/>
        </w:rPr>
        <w:t>(LP</w:t>
      </w:r>
      <w:r w:rsidR="00942C36">
        <w:rPr>
          <w:rFonts w:cs="Times New Roman"/>
        </w:rPr>
        <w:t>s</w:t>
      </w:r>
      <w:r w:rsidR="00113EE0">
        <w:rPr>
          <w:rFonts w:cs="Times New Roman"/>
        </w:rPr>
        <w:t>)</w:t>
      </w:r>
      <w:r w:rsidR="00141BA0">
        <w:rPr>
          <w:rFonts w:cs="Times New Roman"/>
        </w:rPr>
        <w:t xml:space="preserve"> </w:t>
      </w:r>
      <w:r w:rsidR="00AE3624">
        <w:rPr>
          <w:rFonts w:cs="Times New Roman"/>
        </w:rPr>
        <w:t>carried out and number positive</w:t>
      </w:r>
      <w:r w:rsidR="005B2784">
        <w:rPr>
          <w:rFonts w:cs="Times New Roman"/>
        </w:rPr>
        <w:t xml:space="preserve">. Across these studies, </w:t>
      </w:r>
      <w:r w:rsidR="005D0835">
        <w:rPr>
          <w:rFonts w:cs="Times New Roman"/>
        </w:rPr>
        <w:t>17</w:t>
      </w:r>
      <w:r w:rsidR="00DD627D">
        <w:rPr>
          <w:rFonts w:cs="Times New Roman"/>
        </w:rPr>
        <w:t>38</w:t>
      </w:r>
      <w:r w:rsidR="005D0835">
        <w:rPr>
          <w:rFonts w:cs="Times New Roman"/>
        </w:rPr>
        <w:t xml:space="preserve"> </w:t>
      </w:r>
      <w:r w:rsidR="003A7D7B">
        <w:rPr>
          <w:rFonts w:cs="Times New Roman"/>
        </w:rPr>
        <w:t>LPs</w:t>
      </w:r>
      <w:r w:rsidR="005D0835">
        <w:rPr>
          <w:rFonts w:cs="Times New Roman"/>
        </w:rPr>
        <w:t xml:space="preserve"> were reported of which </w:t>
      </w:r>
      <w:r w:rsidR="00791BF1">
        <w:rPr>
          <w:rFonts w:cs="Times New Roman"/>
        </w:rPr>
        <w:t>13</w:t>
      </w:r>
      <w:r w:rsidR="000E177D">
        <w:rPr>
          <w:rFonts w:cs="Times New Roman"/>
        </w:rPr>
        <w:t>5</w:t>
      </w:r>
      <w:r w:rsidR="00791BF1">
        <w:rPr>
          <w:rFonts w:cs="Times New Roman"/>
        </w:rPr>
        <w:t xml:space="preserve"> (8%) were positive,</w:t>
      </w:r>
      <w:r w:rsidR="00D86A79">
        <w:rPr>
          <w:rFonts w:cs="Times New Roman"/>
        </w:rPr>
        <w:t xml:space="preserve"> with</w:t>
      </w:r>
      <w:r w:rsidR="002F672D">
        <w:rPr>
          <w:rFonts w:cs="Times New Roman"/>
        </w:rPr>
        <w:t xml:space="preserve"> </w:t>
      </w:r>
      <w:r w:rsidR="00D86A79">
        <w:rPr>
          <w:rFonts w:cs="Times New Roman"/>
        </w:rPr>
        <w:t>positivity rates ranging</w:t>
      </w:r>
      <w:r>
        <w:rPr>
          <w:rFonts w:cs="Times New Roman"/>
        </w:rPr>
        <w:t xml:space="preserve"> from</w:t>
      </w:r>
      <w:r w:rsidR="003246EB">
        <w:rPr>
          <w:rFonts w:cs="Times New Roman"/>
        </w:rPr>
        <w:t xml:space="preserve"> 0</w:t>
      </w:r>
      <w:r w:rsidR="002F672D">
        <w:rPr>
          <w:rFonts w:cs="Times New Roman"/>
        </w:rPr>
        <w:t xml:space="preserve"> –</w:t>
      </w:r>
      <w:r w:rsidR="007901C4">
        <w:rPr>
          <w:rFonts w:cs="Times New Roman"/>
        </w:rPr>
        <w:t xml:space="preserve"> </w:t>
      </w:r>
      <w:r w:rsidR="00732BE4">
        <w:rPr>
          <w:rFonts w:cs="Times New Roman"/>
        </w:rPr>
        <w:t>100</w:t>
      </w:r>
      <w:r w:rsidR="002F672D">
        <w:rPr>
          <w:rFonts w:cs="Times New Roman"/>
        </w:rPr>
        <w:t>%</w:t>
      </w:r>
      <w:r w:rsidR="003246EB">
        <w:rPr>
          <w:rFonts w:cs="Times New Roman"/>
        </w:rPr>
        <w:t xml:space="preserve"> (webappendix Table </w:t>
      </w:r>
      <w:r w:rsidR="009C743F">
        <w:rPr>
          <w:rFonts w:cs="Times New Roman"/>
        </w:rPr>
        <w:t>10</w:t>
      </w:r>
      <w:r w:rsidR="003246EB">
        <w:rPr>
          <w:rFonts w:cs="Times New Roman"/>
        </w:rPr>
        <w:t>).</w:t>
      </w:r>
      <w:r w:rsidR="00251FFD" w:rsidRPr="00251FFD">
        <w:rPr>
          <w:rFonts w:cs="Times New Roman"/>
        </w:rPr>
        <w:t xml:space="preserve"> </w:t>
      </w:r>
    </w:p>
    <w:p w14:paraId="02BAF988" w14:textId="3356F058" w:rsidR="003762F9" w:rsidRPr="008223BC" w:rsidRDefault="00D512DC" w:rsidP="00947D41">
      <w:pPr>
        <w:spacing w:line="480" w:lineRule="auto"/>
        <w:jc w:val="both"/>
        <w:rPr>
          <w:rFonts w:cs="Times New Roman"/>
        </w:rPr>
      </w:pPr>
      <w:r>
        <w:rPr>
          <w:rFonts w:cs="Times New Roman"/>
          <w:lang w:eastAsia="en-GB"/>
        </w:rPr>
        <w:t>Forty-one (5</w:t>
      </w:r>
      <w:r w:rsidR="00DF4920">
        <w:rPr>
          <w:rFonts w:cs="Times New Roman"/>
          <w:lang w:eastAsia="en-GB"/>
        </w:rPr>
        <w:t>1</w:t>
      </w:r>
      <w:r>
        <w:rPr>
          <w:rFonts w:cs="Times New Roman"/>
          <w:lang w:eastAsia="en-GB"/>
        </w:rPr>
        <w:t>%) studies clearly described antimicrobial susceptibility tests used</w:t>
      </w:r>
      <w:r w:rsidR="002F07A3">
        <w:rPr>
          <w:rFonts w:cs="Times New Roman"/>
          <w:lang w:eastAsia="en-GB"/>
        </w:rPr>
        <w:t>,</w:t>
      </w:r>
      <w:r>
        <w:rPr>
          <w:rFonts w:cs="Times New Roman"/>
          <w:lang w:eastAsia="en-GB"/>
        </w:rPr>
        <w:t xml:space="preserve"> t</w:t>
      </w:r>
      <w:r w:rsidR="003762F9">
        <w:rPr>
          <w:rFonts w:cs="Times New Roman"/>
          <w:lang w:eastAsia="en-GB"/>
        </w:rPr>
        <w:t xml:space="preserve">he most widely reported method </w:t>
      </w:r>
      <w:r w:rsidR="002F07A3">
        <w:rPr>
          <w:rFonts w:cs="Times New Roman"/>
          <w:lang w:eastAsia="en-GB"/>
        </w:rPr>
        <w:t>being</w:t>
      </w:r>
      <w:r w:rsidR="003762F9">
        <w:rPr>
          <w:rFonts w:cs="Times New Roman"/>
          <w:lang w:eastAsia="en-GB"/>
        </w:rPr>
        <w:t xml:space="preserve"> the Kirby-Bauer disc </w:t>
      </w:r>
      <w:r>
        <w:rPr>
          <w:rFonts w:cs="Times New Roman"/>
          <w:lang w:eastAsia="en-GB"/>
        </w:rPr>
        <w:t>diffusion method. O</w:t>
      </w:r>
      <w:r w:rsidR="003762F9">
        <w:rPr>
          <w:rFonts w:cs="Times New Roman"/>
          <w:lang w:eastAsia="en-GB"/>
        </w:rPr>
        <w:t>nly four studies reported use of Etest</w:t>
      </w:r>
      <w:r w:rsidR="002220C3" w:rsidRPr="002220C3">
        <w:rPr>
          <w:rFonts w:cs="Times New Roman"/>
          <w:noProof/>
          <w:vertAlign w:val="superscript"/>
          <w:lang w:eastAsia="en-GB"/>
        </w:rPr>
        <w:t>72,73,106,107</w:t>
      </w:r>
      <w:r w:rsidR="003762F9">
        <w:rPr>
          <w:rFonts w:cs="Times New Roman"/>
          <w:lang w:eastAsia="en-GB"/>
        </w:rPr>
        <w:t xml:space="preserve"> </w:t>
      </w:r>
      <w:r w:rsidR="00E514CF">
        <w:rPr>
          <w:rFonts w:cs="Times New Roman"/>
          <w:lang w:eastAsia="en-GB"/>
        </w:rPr>
        <w:t>or Microdilution</w:t>
      </w:r>
      <w:r w:rsidR="002220C3" w:rsidRPr="002220C3">
        <w:rPr>
          <w:rFonts w:cs="Times New Roman"/>
          <w:noProof/>
          <w:vertAlign w:val="superscript"/>
          <w:lang w:eastAsia="en-GB"/>
        </w:rPr>
        <w:t>59</w:t>
      </w:r>
      <w:r w:rsidR="00997DB3">
        <w:rPr>
          <w:rFonts w:cs="Times New Roman"/>
          <w:lang w:eastAsia="en-GB"/>
        </w:rPr>
        <w:t xml:space="preserve"> </w:t>
      </w:r>
      <w:r w:rsidR="003762F9">
        <w:rPr>
          <w:rFonts w:cs="Times New Roman"/>
          <w:lang w:eastAsia="en-GB"/>
        </w:rPr>
        <w:t xml:space="preserve">on all or </w:t>
      </w:r>
      <w:r w:rsidR="00840436">
        <w:rPr>
          <w:rFonts w:cs="Times New Roman"/>
          <w:lang w:eastAsia="en-GB"/>
        </w:rPr>
        <w:t>some</w:t>
      </w:r>
      <w:r w:rsidR="003762F9">
        <w:rPr>
          <w:rFonts w:cs="Times New Roman"/>
          <w:lang w:eastAsia="en-GB"/>
        </w:rPr>
        <w:t xml:space="preserve"> isolates</w:t>
      </w:r>
      <w:r w:rsidR="00917A96">
        <w:rPr>
          <w:rFonts w:cs="Times New Roman"/>
          <w:lang w:eastAsia="en-GB"/>
        </w:rPr>
        <w:t xml:space="preserve">. </w:t>
      </w:r>
      <w:r w:rsidR="00E514CF">
        <w:rPr>
          <w:rFonts w:cs="Times New Roman"/>
          <w:lang w:eastAsia="en-GB"/>
        </w:rPr>
        <w:t>Several</w:t>
      </w:r>
      <w:r w:rsidR="003762F9" w:rsidRPr="008223BC">
        <w:rPr>
          <w:rFonts w:cs="Times New Roman"/>
          <w:lang w:eastAsia="en-GB"/>
        </w:rPr>
        <w:t xml:space="preserve"> established guidelines for resistance interpretation</w:t>
      </w:r>
      <w:r>
        <w:rPr>
          <w:rFonts w:cs="Times New Roman"/>
          <w:lang w:eastAsia="en-GB"/>
        </w:rPr>
        <w:t xml:space="preserve"> </w:t>
      </w:r>
      <w:r w:rsidR="00E514CF">
        <w:rPr>
          <w:rFonts w:cs="Times New Roman"/>
          <w:lang w:eastAsia="en-GB"/>
        </w:rPr>
        <w:t>were</w:t>
      </w:r>
      <w:r>
        <w:rPr>
          <w:rFonts w:cs="Times New Roman"/>
          <w:lang w:eastAsia="en-GB"/>
        </w:rPr>
        <w:t xml:space="preserve"> </w:t>
      </w:r>
      <w:r w:rsidR="00E514CF">
        <w:rPr>
          <w:rFonts w:cs="Times New Roman"/>
          <w:lang w:eastAsia="en-GB"/>
        </w:rPr>
        <w:t>referenced; C</w:t>
      </w:r>
      <w:r w:rsidR="003D37CB">
        <w:rPr>
          <w:rFonts w:cs="Times New Roman"/>
          <w:lang w:eastAsia="en-GB"/>
        </w:rPr>
        <w:t>linical and Laboratory Standards Institute (C</w:t>
      </w:r>
      <w:r w:rsidR="00E514CF">
        <w:rPr>
          <w:rFonts w:cs="Times New Roman"/>
          <w:lang w:eastAsia="en-GB"/>
        </w:rPr>
        <w:t>LSI</w:t>
      </w:r>
      <w:r w:rsidR="003D37CB">
        <w:rPr>
          <w:rFonts w:cs="Times New Roman"/>
          <w:lang w:eastAsia="en-GB"/>
        </w:rPr>
        <w:t xml:space="preserve">; </w:t>
      </w:r>
      <w:r w:rsidR="00E514CF">
        <w:rPr>
          <w:rFonts w:cs="Times New Roman"/>
          <w:lang w:eastAsia="en-GB"/>
        </w:rPr>
        <w:t>3</w:t>
      </w:r>
      <w:r w:rsidR="00DF4920">
        <w:rPr>
          <w:rFonts w:cs="Times New Roman"/>
          <w:lang w:eastAsia="en-GB"/>
        </w:rPr>
        <w:t>6</w:t>
      </w:r>
      <w:r w:rsidR="00E514CF">
        <w:rPr>
          <w:rFonts w:cs="Times New Roman"/>
          <w:lang w:eastAsia="en-GB"/>
        </w:rPr>
        <w:t xml:space="preserve"> studies), EUCAST</w:t>
      </w:r>
      <w:r w:rsidR="00391742">
        <w:rPr>
          <w:rFonts w:cs="Times New Roman"/>
          <w:lang w:eastAsia="en-GB"/>
        </w:rPr>
        <w:t>,</w:t>
      </w:r>
      <w:r w:rsidR="002220C3" w:rsidRPr="002220C3">
        <w:rPr>
          <w:rFonts w:cs="Times New Roman"/>
          <w:noProof/>
          <w:vertAlign w:val="superscript"/>
          <w:lang w:eastAsia="en-GB"/>
        </w:rPr>
        <w:t>107</w:t>
      </w:r>
      <w:r w:rsidR="00391742">
        <w:rPr>
          <w:rFonts w:cs="Times New Roman"/>
          <w:lang w:eastAsia="en-GB"/>
        </w:rPr>
        <w:t xml:space="preserve"> </w:t>
      </w:r>
      <w:r w:rsidR="00E514CF">
        <w:rPr>
          <w:rFonts w:cs="Times New Roman"/>
          <w:lang w:eastAsia="en-GB"/>
        </w:rPr>
        <w:t>British Society for Antimicrobial Therapy</w:t>
      </w:r>
      <w:r w:rsidR="00391742">
        <w:rPr>
          <w:rFonts w:cs="Times New Roman"/>
          <w:lang w:eastAsia="en-GB"/>
        </w:rPr>
        <w:t>,</w:t>
      </w:r>
      <w:r w:rsidR="002220C3" w:rsidRPr="002220C3">
        <w:rPr>
          <w:rFonts w:cs="Times New Roman"/>
          <w:noProof/>
          <w:vertAlign w:val="superscript"/>
          <w:lang w:eastAsia="en-GB"/>
        </w:rPr>
        <w:t>60,61,71,97</w:t>
      </w:r>
      <w:r w:rsidR="00391742">
        <w:rPr>
          <w:rFonts w:cs="Times New Roman"/>
          <w:lang w:eastAsia="en-GB"/>
        </w:rPr>
        <w:t xml:space="preserve"> </w:t>
      </w:r>
      <w:r w:rsidR="00E514CF">
        <w:rPr>
          <w:rFonts w:cs="Times New Roman"/>
          <w:lang w:eastAsia="en-GB"/>
        </w:rPr>
        <w:t xml:space="preserve">and French Society of </w:t>
      </w:r>
      <w:r w:rsidR="00182096">
        <w:rPr>
          <w:rFonts w:cs="Times New Roman"/>
          <w:lang w:eastAsia="en-GB"/>
        </w:rPr>
        <w:t>Microbiology</w:t>
      </w:r>
      <w:r w:rsidR="00E514CF">
        <w:rPr>
          <w:rFonts w:cs="Times New Roman"/>
          <w:lang w:eastAsia="en-GB"/>
        </w:rPr>
        <w:t>.</w:t>
      </w:r>
      <w:r w:rsidR="002220C3" w:rsidRPr="002220C3">
        <w:rPr>
          <w:rFonts w:cs="Times New Roman"/>
          <w:noProof/>
          <w:vertAlign w:val="superscript"/>
          <w:lang w:eastAsia="en-GB"/>
        </w:rPr>
        <w:t>91</w:t>
      </w:r>
    </w:p>
    <w:p w14:paraId="054D1B94" w14:textId="5C6A0E66" w:rsidR="00840436" w:rsidRDefault="00575414" w:rsidP="00947D41">
      <w:pPr>
        <w:spacing w:line="480" w:lineRule="auto"/>
        <w:jc w:val="both"/>
        <w:rPr>
          <w:rFonts w:cs="Times New Roman"/>
        </w:rPr>
      </w:pPr>
      <w:r>
        <w:rPr>
          <w:rFonts w:cs="Times New Roman"/>
        </w:rPr>
        <w:t>Only 12</w:t>
      </w:r>
      <w:r w:rsidR="004946C6" w:rsidRPr="008223BC">
        <w:rPr>
          <w:rFonts w:cs="Times New Roman"/>
        </w:rPr>
        <w:t xml:space="preserve"> </w:t>
      </w:r>
      <w:r>
        <w:rPr>
          <w:rFonts w:cs="Times New Roman"/>
        </w:rPr>
        <w:t>(15</w:t>
      </w:r>
      <w:r w:rsidR="008E23BC" w:rsidRPr="008223BC">
        <w:rPr>
          <w:rFonts w:cs="Times New Roman"/>
        </w:rPr>
        <w:t xml:space="preserve">%) </w:t>
      </w:r>
      <w:r w:rsidR="004946C6" w:rsidRPr="008223BC">
        <w:rPr>
          <w:rFonts w:cs="Times New Roman"/>
        </w:rPr>
        <w:t xml:space="preserve">studies </w:t>
      </w:r>
      <w:r>
        <w:rPr>
          <w:rFonts w:cs="Times New Roman"/>
        </w:rPr>
        <w:t xml:space="preserve">provided context by describing the pathway of neonatal presentation. Most </w:t>
      </w:r>
      <w:r w:rsidR="008A3550">
        <w:rPr>
          <w:rFonts w:cs="Times New Roman"/>
        </w:rPr>
        <w:t xml:space="preserve">described </w:t>
      </w:r>
      <w:r>
        <w:rPr>
          <w:rFonts w:cs="Times New Roman"/>
        </w:rPr>
        <w:t>the neonatal</w:t>
      </w:r>
      <w:r w:rsidR="004946C6" w:rsidRPr="008223BC">
        <w:rPr>
          <w:rFonts w:cs="Times New Roman"/>
        </w:rPr>
        <w:t xml:space="preserve"> population </w:t>
      </w:r>
      <w:r>
        <w:rPr>
          <w:rFonts w:cs="Times New Roman"/>
        </w:rPr>
        <w:t>according to</w:t>
      </w:r>
      <w:r w:rsidR="008E23BC" w:rsidRPr="008223BC">
        <w:rPr>
          <w:rFonts w:cs="Times New Roman"/>
        </w:rPr>
        <w:t xml:space="preserve"> place of birth </w:t>
      </w:r>
      <w:r w:rsidR="004946C6" w:rsidRPr="008223BC">
        <w:rPr>
          <w:rFonts w:cs="Times New Roman"/>
        </w:rPr>
        <w:t>as either “inborn” or “outborn”</w:t>
      </w:r>
      <w:r w:rsidR="002550EE">
        <w:rPr>
          <w:rFonts w:cs="Times New Roman"/>
        </w:rPr>
        <w:t xml:space="preserve">, and only </w:t>
      </w:r>
      <w:r w:rsidR="002550EE">
        <w:rPr>
          <w:rFonts w:cs="Times New Roman"/>
        </w:rPr>
        <w:lastRenderedPageBreak/>
        <w:t>one study</w:t>
      </w:r>
      <w:r w:rsidR="002220C3" w:rsidRPr="002220C3">
        <w:rPr>
          <w:rFonts w:cs="Times New Roman"/>
          <w:noProof/>
          <w:vertAlign w:val="superscript"/>
        </w:rPr>
        <w:t>34</w:t>
      </w:r>
      <w:r w:rsidR="002550EE">
        <w:rPr>
          <w:rFonts w:cs="Times New Roman"/>
        </w:rPr>
        <w:t xml:space="preserve"> mentioned all neonatal presentation</w:t>
      </w:r>
      <w:r w:rsidR="00840436">
        <w:rPr>
          <w:rFonts w:cs="Times New Roman"/>
        </w:rPr>
        <w:t>s</w:t>
      </w:r>
      <w:r w:rsidR="002550EE">
        <w:rPr>
          <w:rFonts w:cs="Times New Roman"/>
        </w:rPr>
        <w:t xml:space="preserve"> to the neonatal unit. </w:t>
      </w:r>
      <w:r w:rsidR="00840436">
        <w:rPr>
          <w:rFonts w:cs="Times New Roman"/>
        </w:rPr>
        <w:t>Important neonatal characteristics such as g</w:t>
      </w:r>
      <w:r w:rsidR="00840436" w:rsidRPr="008223BC">
        <w:rPr>
          <w:rFonts w:cs="Times New Roman"/>
        </w:rPr>
        <w:t xml:space="preserve">estational age </w:t>
      </w:r>
      <w:r w:rsidR="00840436">
        <w:rPr>
          <w:rFonts w:cs="Times New Roman"/>
        </w:rPr>
        <w:t xml:space="preserve">and </w:t>
      </w:r>
      <w:r w:rsidR="00840436" w:rsidRPr="008223BC">
        <w:rPr>
          <w:rFonts w:cs="Times New Roman"/>
        </w:rPr>
        <w:t>birthweight</w:t>
      </w:r>
      <w:r w:rsidR="00840436">
        <w:rPr>
          <w:rFonts w:cs="Times New Roman"/>
        </w:rPr>
        <w:t xml:space="preserve"> </w:t>
      </w:r>
      <w:r w:rsidR="00840436" w:rsidRPr="008223BC">
        <w:rPr>
          <w:rFonts w:cs="Times New Roman"/>
        </w:rPr>
        <w:t xml:space="preserve">were </w:t>
      </w:r>
      <w:r w:rsidR="00840436">
        <w:rPr>
          <w:rFonts w:cs="Times New Roman"/>
        </w:rPr>
        <w:t xml:space="preserve">each </w:t>
      </w:r>
      <w:r w:rsidR="00840436" w:rsidRPr="008223BC">
        <w:rPr>
          <w:rFonts w:cs="Times New Roman"/>
        </w:rPr>
        <w:t xml:space="preserve">reported by </w:t>
      </w:r>
      <w:r w:rsidR="00840436">
        <w:rPr>
          <w:rFonts w:cs="Times New Roman"/>
        </w:rPr>
        <w:t xml:space="preserve">less than half (47%; 38/81) of the </w:t>
      </w:r>
      <w:r w:rsidR="00840436" w:rsidRPr="008223BC">
        <w:rPr>
          <w:rFonts w:cs="Times New Roman"/>
        </w:rPr>
        <w:t>studies</w:t>
      </w:r>
      <w:r w:rsidR="00840436">
        <w:rPr>
          <w:rFonts w:cs="Times New Roman"/>
        </w:rPr>
        <w:t xml:space="preserve">, </w:t>
      </w:r>
      <w:r w:rsidR="00840436" w:rsidRPr="008223BC">
        <w:rPr>
          <w:rFonts w:cs="Times New Roman"/>
        </w:rPr>
        <w:t xml:space="preserve">most of which presented data in discrete categories with summary statistics (medians and ranges). Data on </w:t>
      </w:r>
      <w:r w:rsidR="00840436">
        <w:rPr>
          <w:rFonts w:cs="Times New Roman"/>
        </w:rPr>
        <w:t>comorbidities (e.g. encephalopathy)</w:t>
      </w:r>
      <w:r w:rsidR="00840436" w:rsidRPr="008223BC">
        <w:rPr>
          <w:rFonts w:cs="Times New Roman"/>
        </w:rPr>
        <w:t xml:space="preserve"> and feeding were rarely reported</w:t>
      </w:r>
      <w:r w:rsidR="008C5042">
        <w:rPr>
          <w:rFonts w:cs="Times New Roman"/>
        </w:rPr>
        <w:t>,</w:t>
      </w:r>
      <w:r w:rsidR="008C5042" w:rsidRPr="008C5042">
        <w:rPr>
          <w:rFonts w:cs="Times New Roman"/>
        </w:rPr>
        <w:t xml:space="preserve"> </w:t>
      </w:r>
      <w:r w:rsidR="008C5042">
        <w:rPr>
          <w:rFonts w:cs="Times New Roman"/>
        </w:rPr>
        <w:t>and</w:t>
      </w:r>
      <w:r w:rsidR="008C5042" w:rsidRPr="0012360C">
        <w:rPr>
          <w:rFonts w:cs="Times New Roman"/>
        </w:rPr>
        <w:t xml:space="preserve"> only 6 of the included studies </w:t>
      </w:r>
      <w:r w:rsidR="008C5042">
        <w:rPr>
          <w:rFonts w:cs="Times New Roman"/>
        </w:rPr>
        <w:t>reported</w:t>
      </w:r>
      <w:r w:rsidR="008C5042" w:rsidRPr="0012360C">
        <w:rPr>
          <w:rFonts w:cs="Times New Roman"/>
        </w:rPr>
        <w:t xml:space="preserve"> neonatal HIV exposure/testing.</w:t>
      </w:r>
    </w:p>
    <w:p w14:paraId="6B54879F" w14:textId="76AC4745" w:rsidR="004946C6" w:rsidRPr="008223BC" w:rsidRDefault="00840436" w:rsidP="00947D41">
      <w:pPr>
        <w:spacing w:line="480" w:lineRule="auto"/>
        <w:jc w:val="both"/>
        <w:rPr>
          <w:rFonts w:cs="Times New Roman"/>
        </w:rPr>
      </w:pPr>
      <w:r>
        <w:rPr>
          <w:rFonts w:cs="Times New Roman"/>
        </w:rPr>
        <w:t>Most</w:t>
      </w:r>
      <w:r w:rsidRPr="008223BC">
        <w:rPr>
          <w:rFonts w:cs="Times New Roman"/>
        </w:rPr>
        <w:t xml:space="preserve"> </w:t>
      </w:r>
      <w:r w:rsidR="00694035" w:rsidRPr="008223BC">
        <w:rPr>
          <w:rFonts w:cs="Times New Roman"/>
        </w:rPr>
        <w:t>studies did not report the level</w:t>
      </w:r>
      <w:r>
        <w:rPr>
          <w:rFonts w:cs="Times New Roman"/>
        </w:rPr>
        <w:t>/type</w:t>
      </w:r>
      <w:r w:rsidR="00694035" w:rsidRPr="008223BC">
        <w:rPr>
          <w:rFonts w:cs="Times New Roman"/>
        </w:rPr>
        <w:t xml:space="preserve"> of neonatal care (</w:t>
      </w:r>
      <w:r w:rsidR="002550EE">
        <w:rPr>
          <w:rFonts w:cs="Times New Roman"/>
        </w:rPr>
        <w:t>webappendix Figure 1)</w:t>
      </w:r>
      <w:r>
        <w:rPr>
          <w:rFonts w:cs="Times New Roman"/>
        </w:rPr>
        <w:t>, with t</w:t>
      </w:r>
      <w:r w:rsidR="006B4F53">
        <w:rPr>
          <w:rFonts w:cs="Times New Roman"/>
        </w:rPr>
        <w:t xml:space="preserve">he </w:t>
      </w:r>
      <w:r>
        <w:rPr>
          <w:rFonts w:cs="Times New Roman"/>
        </w:rPr>
        <w:t>context</w:t>
      </w:r>
      <w:r w:rsidRPr="00840436">
        <w:rPr>
          <w:rFonts w:cs="Times New Roman"/>
        </w:rPr>
        <w:t xml:space="preserve"> </w:t>
      </w:r>
      <w:r>
        <w:rPr>
          <w:rFonts w:cs="Times New Roman"/>
        </w:rPr>
        <w:t>poorly described across all studies, regarding</w:t>
      </w:r>
      <w:r w:rsidR="002550EE">
        <w:rPr>
          <w:rFonts w:cs="Times New Roman"/>
        </w:rPr>
        <w:t xml:space="preserve"> basic neonatal care (resuscitation, breastfeeding)</w:t>
      </w:r>
      <w:r w:rsidR="002109D3">
        <w:rPr>
          <w:rFonts w:cs="Times New Roman"/>
        </w:rPr>
        <w:t xml:space="preserve">, </w:t>
      </w:r>
      <w:r w:rsidR="002550EE">
        <w:rPr>
          <w:rFonts w:cs="Times New Roman"/>
        </w:rPr>
        <w:t>intensive neonatal care</w:t>
      </w:r>
      <w:r w:rsidR="00207625">
        <w:rPr>
          <w:rFonts w:cs="Times New Roman"/>
        </w:rPr>
        <w:t xml:space="preserve"> (</w:t>
      </w:r>
      <w:r w:rsidR="006B4F53">
        <w:rPr>
          <w:rFonts w:cs="Times New Roman"/>
        </w:rPr>
        <w:t xml:space="preserve">oxygen supplementation, </w:t>
      </w:r>
      <w:r w:rsidR="002550EE" w:rsidRPr="008223BC">
        <w:rPr>
          <w:rFonts w:cs="Times New Roman"/>
        </w:rPr>
        <w:t xml:space="preserve">invasive </w:t>
      </w:r>
      <w:r w:rsidR="006B4F53">
        <w:rPr>
          <w:rFonts w:cs="Times New Roman"/>
        </w:rPr>
        <w:t xml:space="preserve">and non-invasive </w:t>
      </w:r>
      <w:r w:rsidR="002550EE" w:rsidRPr="008223BC">
        <w:rPr>
          <w:rFonts w:cs="Times New Roman"/>
        </w:rPr>
        <w:t xml:space="preserve">respiratory </w:t>
      </w:r>
      <w:r w:rsidR="006B4F53" w:rsidRPr="008223BC">
        <w:rPr>
          <w:rFonts w:cs="Times New Roman"/>
        </w:rPr>
        <w:t>supp</w:t>
      </w:r>
      <w:r w:rsidR="006B4F53">
        <w:rPr>
          <w:rFonts w:cs="Times New Roman"/>
        </w:rPr>
        <w:t xml:space="preserve">ort, </w:t>
      </w:r>
      <w:r w:rsidR="006B4F53" w:rsidRPr="008223BC">
        <w:rPr>
          <w:rFonts w:cs="Times New Roman"/>
        </w:rPr>
        <w:t>indwelling</w:t>
      </w:r>
      <w:r w:rsidR="002550EE" w:rsidRPr="008223BC">
        <w:rPr>
          <w:rFonts w:cs="Times New Roman"/>
        </w:rPr>
        <w:t xml:space="preserve"> devices</w:t>
      </w:r>
      <w:r w:rsidR="00207625">
        <w:rPr>
          <w:rFonts w:cs="Times New Roman"/>
        </w:rPr>
        <w:t>)</w:t>
      </w:r>
      <w:r w:rsidR="006B4F53">
        <w:rPr>
          <w:rFonts w:cs="Times New Roman"/>
        </w:rPr>
        <w:t xml:space="preserve">, nurse-to-patient ratio, and non-microbiological investigations. Only </w:t>
      </w:r>
      <w:r w:rsidR="00B4387A">
        <w:rPr>
          <w:rFonts w:cs="Times New Roman"/>
        </w:rPr>
        <w:t>31% (</w:t>
      </w:r>
      <w:r w:rsidR="00A20096">
        <w:rPr>
          <w:rFonts w:cs="Times New Roman"/>
        </w:rPr>
        <w:t>2</w:t>
      </w:r>
      <w:r w:rsidR="0010395B">
        <w:rPr>
          <w:rFonts w:cs="Times New Roman"/>
        </w:rPr>
        <w:t>5</w:t>
      </w:r>
      <w:r w:rsidR="00A20096">
        <w:rPr>
          <w:rFonts w:cs="Times New Roman"/>
        </w:rPr>
        <w:t>/8</w:t>
      </w:r>
      <w:r w:rsidR="000B4A87">
        <w:rPr>
          <w:rFonts w:cs="Times New Roman"/>
        </w:rPr>
        <w:t>1</w:t>
      </w:r>
      <w:r w:rsidR="00A20096">
        <w:rPr>
          <w:rFonts w:cs="Times New Roman"/>
        </w:rPr>
        <w:t>) of studies reported the antimicrobial guidelines used for empiric management of neonatal sepsis</w:t>
      </w:r>
      <w:r w:rsidR="0006053C">
        <w:rPr>
          <w:rFonts w:cs="Times New Roman"/>
        </w:rPr>
        <w:t xml:space="preserve"> (webappendix Table </w:t>
      </w:r>
      <w:r w:rsidR="008E1576">
        <w:rPr>
          <w:rFonts w:cs="Times New Roman"/>
        </w:rPr>
        <w:t>1</w:t>
      </w:r>
      <w:r w:rsidR="00811B85">
        <w:rPr>
          <w:rFonts w:cs="Times New Roman"/>
        </w:rPr>
        <w:t>1</w:t>
      </w:r>
      <w:r w:rsidR="0006053C">
        <w:rPr>
          <w:rFonts w:cs="Times New Roman"/>
        </w:rPr>
        <w:t>)</w:t>
      </w:r>
      <w:r w:rsidR="00A20096">
        <w:rPr>
          <w:rFonts w:cs="Times New Roman"/>
        </w:rPr>
        <w:t>.</w:t>
      </w:r>
    </w:p>
    <w:p w14:paraId="35E511E5" w14:textId="45203727" w:rsidR="004946C6" w:rsidRPr="008223BC" w:rsidRDefault="00ED2843" w:rsidP="00947D41">
      <w:pPr>
        <w:spacing w:line="480" w:lineRule="auto"/>
        <w:jc w:val="both"/>
        <w:rPr>
          <w:rFonts w:cs="Times New Roman"/>
        </w:rPr>
      </w:pPr>
      <w:r w:rsidRPr="008223BC">
        <w:rPr>
          <w:rFonts w:cs="Times New Roman"/>
        </w:rPr>
        <w:t>Description of microbiolog</w:t>
      </w:r>
      <w:r w:rsidR="00840436">
        <w:rPr>
          <w:rFonts w:cs="Times New Roman"/>
        </w:rPr>
        <w:t>ical</w:t>
      </w:r>
      <w:r w:rsidRPr="008223BC">
        <w:rPr>
          <w:rFonts w:cs="Times New Roman"/>
        </w:rPr>
        <w:t xml:space="preserve"> laboratory </w:t>
      </w:r>
      <w:r w:rsidR="00840436">
        <w:rPr>
          <w:rFonts w:cs="Times New Roman"/>
        </w:rPr>
        <w:t xml:space="preserve">context was also poor across all studies, regarding </w:t>
      </w:r>
      <w:r w:rsidRPr="008223BC">
        <w:rPr>
          <w:rFonts w:cs="Times New Roman"/>
        </w:rPr>
        <w:t>facilities</w:t>
      </w:r>
      <w:r w:rsidR="00840436">
        <w:rPr>
          <w:rFonts w:cs="Times New Roman"/>
        </w:rPr>
        <w:t xml:space="preserve">, </w:t>
      </w:r>
      <w:r w:rsidRPr="008223BC">
        <w:rPr>
          <w:rFonts w:cs="Times New Roman"/>
        </w:rPr>
        <w:t xml:space="preserve">sample types, and capacity for conventional or molecular microbiology. </w:t>
      </w:r>
      <w:r w:rsidR="00527CB2" w:rsidRPr="008223BC">
        <w:rPr>
          <w:rFonts w:cs="Times New Roman"/>
          <w:lang w:eastAsia="en-GB"/>
        </w:rPr>
        <w:t xml:space="preserve">Most of the studies reported </w:t>
      </w:r>
      <w:r w:rsidR="00840436">
        <w:rPr>
          <w:rFonts w:cs="Times New Roman"/>
          <w:lang w:eastAsia="en-GB"/>
        </w:rPr>
        <w:t xml:space="preserve">selected </w:t>
      </w:r>
      <w:r w:rsidR="00840436" w:rsidRPr="008223BC">
        <w:rPr>
          <w:rFonts w:cs="Times New Roman"/>
          <w:lang w:eastAsia="en-GB"/>
        </w:rPr>
        <w:t xml:space="preserve"> </w:t>
      </w:r>
      <w:r w:rsidR="004101E7" w:rsidRPr="008223BC">
        <w:rPr>
          <w:rFonts w:cs="Times New Roman"/>
          <w:lang w:eastAsia="en-GB"/>
        </w:rPr>
        <w:t>pathogens</w:t>
      </w:r>
      <w:r w:rsidR="00527CB2" w:rsidRPr="008223BC">
        <w:rPr>
          <w:rFonts w:cs="Times New Roman"/>
          <w:lang w:eastAsia="en-GB"/>
        </w:rPr>
        <w:t xml:space="preserve"> and</w:t>
      </w:r>
      <w:r w:rsidR="00C53FB5" w:rsidRPr="008223BC">
        <w:rPr>
          <w:rFonts w:cs="Times New Roman"/>
          <w:lang w:eastAsia="en-GB"/>
        </w:rPr>
        <w:t xml:space="preserve"> did not </w:t>
      </w:r>
      <w:r w:rsidR="00C53FB5" w:rsidRPr="008223BC">
        <w:rPr>
          <w:rFonts w:cs="Times New Roman"/>
        </w:rPr>
        <w:t>provide</w:t>
      </w:r>
      <w:r w:rsidR="006E35C9" w:rsidRPr="008223BC">
        <w:rPr>
          <w:rFonts w:cs="Times New Roman"/>
        </w:rPr>
        <w:t xml:space="preserve"> full data of all organisms</w:t>
      </w:r>
      <w:r w:rsidR="00074EF3">
        <w:rPr>
          <w:rFonts w:cs="Times New Roman"/>
        </w:rPr>
        <w:t>.</w:t>
      </w:r>
      <w:r w:rsidR="006E35C9" w:rsidRPr="008223BC">
        <w:rPr>
          <w:rFonts w:cs="Times New Roman"/>
        </w:rPr>
        <w:t xml:space="preserve"> </w:t>
      </w:r>
      <w:r w:rsidR="00074EF3">
        <w:rPr>
          <w:rFonts w:cs="Times New Roman"/>
        </w:rPr>
        <w:t>Only one South African study</w:t>
      </w:r>
      <w:r w:rsidR="002220C3" w:rsidRPr="002220C3">
        <w:rPr>
          <w:rFonts w:cs="Times New Roman"/>
          <w:noProof/>
          <w:vertAlign w:val="superscript"/>
        </w:rPr>
        <w:t>108</w:t>
      </w:r>
      <w:r w:rsidR="00AB3013">
        <w:rPr>
          <w:rFonts w:cs="Times New Roman"/>
        </w:rPr>
        <w:t xml:space="preserve"> </w:t>
      </w:r>
      <w:r w:rsidR="00074EF3">
        <w:rPr>
          <w:rFonts w:cs="Times New Roman"/>
        </w:rPr>
        <w:t>and two Nigerian studies</w:t>
      </w:r>
      <w:r w:rsidR="002220C3" w:rsidRPr="002220C3">
        <w:rPr>
          <w:rFonts w:cs="Times New Roman"/>
          <w:noProof/>
          <w:vertAlign w:val="superscript"/>
        </w:rPr>
        <w:t>88,89</w:t>
      </w:r>
      <w:r w:rsidR="00AB3013">
        <w:rPr>
          <w:rFonts w:cs="Times New Roman"/>
        </w:rPr>
        <w:t xml:space="preserve"> </w:t>
      </w:r>
      <w:r w:rsidR="00074EF3">
        <w:rPr>
          <w:rFonts w:cs="Times New Roman"/>
        </w:rPr>
        <w:t xml:space="preserve">stated criteria used to determine the clinical significance of detected organisms. </w:t>
      </w:r>
      <w:r w:rsidR="009743C1">
        <w:rPr>
          <w:rFonts w:cs="Times New Roman"/>
        </w:rPr>
        <w:t>Few studies</w:t>
      </w:r>
      <w:r w:rsidR="00074EF3">
        <w:rPr>
          <w:rFonts w:cs="Times New Roman"/>
        </w:rPr>
        <w:t xml:space="preserve"> listed pathogens </w:t>
      </w:r>
      <w:r w:rsidR="008424CB">
        <w:rPr>
          <w:rFonts w:cs="Times New Roman"/>
        </w:rPr>
        <w:t>excluded</w:t>
      </w:r>
      <w:r w:rsidR="00074EF3">
        <w:rPr>
          <w:rFonts w:cs="Times New Roman"/>
        </w:rPr>
        <w:t xml:space="preserve"> as contaminants</w:t>
      </w:r>
      <w:r w:rsidR="00CE3ED0">
        <w:rPr>
          <w:rFonts w:cs="Times New Roman"/>
        </w:rPr>
        <w:t xml:space="preserve">. Although </w:t>
      </w:r>
      <w:r w:rsidR="00B72042">
        <w:rPr>
          <w:rFonts w:cs="Times New Roman"/>
        </w:rPr>
        <w:t>often</w:t>
      </w:r>
      <w:r w:rsidR="00CE3ED0">
        <w:rPr>
          <w:rFonts w:cs="Times New Roman"/>
        </w:rPr>
        <w:t xml:space="preserve"> reported as </w:t>
      </w:r>
      <w:r w:rsidR="00783027">
        <w:rPr>
          <w:rFonts w:cs="Times New Roman"/>
        </w:rPr>
        <w:t xml:space="preserve">contaminants, </w:t>
      </w:r>
      <w:r w:rsidR="00E86B7D">
        <w:rPr>
          <w:rFonts w:cs="Times New Roman"/>
        </w:rPr>
        <w:t xml:space="preserve">several studies reported </w:t>
      </w:r>
      <w:r w:rsidR="00783027">
        <w:rPr>
          <w:rFonts w:cs="Times New Roman"/>
        </w:rPr>
        <w:t>coagulase-negative staphylococci</w:t>
      </w:r>
      <w:r w:rsidR="003937D8">
        <w:rPr>
          <w:rFonts w:cs="Times New Roman"/>
        </w:rPr>
        <w:t xml:space="preserve"> (CoNS)</w:t>
      </w:r>
      <w:r w:rsidR="00783027">
        <w:rPr>
          <w:rFonts w:cs="Times New Roman"/>
        </w:rPr>
        <w:t>,</w:t>
      </w:r>
      <w:r w:rsidR="002220C3" w:rsidRPr="002220C3">
        <w:rPr>
          <w:rFonts w:cs="Times New Roman"/>
          <w:noProof/>
          <w:vertAlign w:val="superscript"/>
        </w:rPr>
        <w:t>24,34,38,55,71,74,86-89,96,98,103,106,108-123</w:t>
      </w:r>
      <w:r w:rsidR="006F519C">
        <w:rPr>
          <w:rFonts w:cs="Times New Roman"/>
        </w:rPr>
        <w:t xml:space="preserve"> </w:t>
      </w:r>
      <w:r w:rsidR="009C0B0E" w:rsidRPr="008223BC">
        <w:rPr>
          <w:rFonts w:cs="Times New Roman"/>
        </w:rPr>
        <w:t>Viridians</w:t>
      </w:r>
      <w:r w:rsidR="008424CB" w:rsidRPr="008223BC">
        <w:rPr>
          <w:rFonts w:cs="Times New Roman"/>
        </w:rPr>
        <w:t xml:space="preserve"> streptococci,</w:t>
      </w:r>
      <w:r w:rsidR="002220C3" w:rsidRPr="002220C3">
        <w:rPr>
          <w:rFonts w:cs="Times New Roman"/>
          <w:noProof/>
          <w:vertAlign w:val="superscript"/>
        </w:rPr>
        <w:t>61,85</w:t>
      </w:r>
      <w:r w:rsidR="008424CB" w:rsidRPr="008223BC">
        <w:rPr>
          <w:rFonts w:cs="Times New Roman"/>
        </w:rPr>
        <w:t xml:space="preserve"> </w:t>
      </w:r>
      <w:r w:rsidR="008424CB" w:rsidRPr="008223BC">
        <w:rPr>
          <w:rFonts w:cs="Times New Roman"/>
          <w:i/>
        </w:rPr>
        <w:t>Staphylococcus epidermidis</w:t>
      </w:r>
      <w:r w:rsidR="008424CB" w:rsidRPr="008223BC">
        <w:rPr>
          <w:rFonts w:cs="Times New Roman"/>
        </w:rPr>
        <w:t>,</w:t>
      </w:r>
      <w:r w:rsidR="002220C3" w:rsidRPr="002220C3">
        <w:rPr>
          <w:rFonts w:cs="Times New Roman"/>
          <w:noProof/>
          <w:vertAlign w:val="superscript"/>
        </w:rPr>
        <w:t>84,99,124-126</w:t>
      </w:r>
      <w:r w:rsidR="008424CB" w:rsidRPr="008223BC">
        <w:rPr>
          <w:rFonts w:cs="Times New Roman"/>
        </w:rPr>
        <w:t xml:space="preserve"> </w:t>
      </w:r>
      <w:r w:rsidR="008424CB" w:rsidRPr="008223BC">
        <w:rPr>
          <w:rFonts w:cs="Times New Roman"/>
          <w:i/>
        </w:rPr>
        <w:t>Bacillus</w:t>
      </w:r>
      <w:r w:rsidR="008424CB" w:rsidRPr="008223BC">
        <w:rPr>
          <w:rFonts w:cs="Times New Roman"/>
        </w:rPr>
        <w:t xml:space="preserve"> spp</w:t>
      </w:r>
      <w:r w:rsidR="002220C3" w:rsidRPr="002220C3">
        <w:rPr>
          <w:rFonts w:cs="Times New Roman"/>
          <w:noProof/>
          <w:vertAlign w:val="superscript"/>
        </w:rPr>
        <w:t>106,121</w:t>
      </w:r>
      <w:r w:rsidR="008424CB" w:rsidRPr="008223BC">
        <w:rPr>
          <w:rFonts w:cs="Times New Roman"/>
        </w:rPr>
        <w:t xml:space="preserve"> and </w:t>
      </w:r>
      <w:r w:rsidR="008424CB" w:rsidRPr="008223BC">
        <w:rPr>
          <w:rFonts w:cs="Times New Roman"/>
          <w:i/>
        </w:rPr>
        <w:t>Micrococcus</w:t>
      </w:r>
      <w:r w:rsidR="008424CB" w:rsidRPr="008223BC">
        <w:rPr>
          <w:rFonts w:cs="Times New Roman"/>
        </w:rPr>
        <w:t xml:space="preserve"> spp</w:t>
      </w:r>
      <w:r w:rsidR="002220C3" w:rsidRPr="002220C3">
        <w:rPr>
          <w:rFonts w:cs="Times New Roman"/>
          <w:noProof/>
          <w:vertAlign w:val="superscript"/>
        </w:rPr>
        <w:t>127</w:t>
      </w:r>
      <w:r w:rsidR="001D6D3A">
        <w:rPr>
          <w:rFonts w:cs="Times New Roman"/>
        </w:rPr>
        <w:t xml:space="preserve"> as neonatal pathogens</w:t>
      </w:r>
      <w:r w:rsidR="00161885">
        <w:rPr>
          <w:rFonts w:cs="Times New Roman"/>
        </w:rPr>
        <w:t>.</w:t>
      </w:r>
      <w:r w:rsidR="005D4AF1">
        <w:rPr>
          <w:rFonts w:cs="Times New Roman"/>
        </w:rPr>
        <w:t xml:space="preserve"> </w:t>
      </w:r>
      <w:r w:rsidR="004C5E05">
        <w:rPr>
          <w:rFonts w:cs="Times New Roman"/>
        </w:rPr>
        <w:t>However, only</w:t>
      </w:r>
      <w:r w:rsidR="00752A9A">
        <w:rPr>
          <w:rFonts w:cs="Times New Roman"/>
        </w:rPr>
        <w:t xml:space="preserve"> few</w:t>
      </w:r>
      <w:r w:rsidR="00EB3959">
        <w:rPr>
          <w:rFonts w:cs="Times New Roman"/>
        </w:rPr>
        <w:t xml:space="preserve"> studies</w:t>
      </w:r>
      <w:r w:rsidR="002220C3" w:rsidRPr="002220C3">
        <w:rPr>
          <w:rFonts w:cs="Times New Roman"/>
          <w:noProof/>
          <w:vertAlign w:val="superscript"/>
        </w:rPr>
        <w:t>24,36,122,123,127,128</w:t>
      </w:r>
      <w:r w:rsidR="00074EF3">
        <w:rPr>
          <w:rFonts w:cs="Times New Roman"/>
        </w:rPr>
        <w:t xml:space="preserve"> described </w:t>
      </w:r>
      <w:r w:rsidR="00E143D7">
        <w:rPr>
          <w:rFonts w:cs="Times New Roman"/>
        </w:rPr>
        <w:t>the rationale for determining the clinical significance</w:t>
      </w:r>
      <w:r w:rsidR="006F519C">
        <w:rPr>
          <w:rFonts w:cs="Times New Roman"/>
        </w:rPr>
        <w:t xml:space="preserve"> of</w:t>
      </w:r>
      <w:r w:rsidR="00074EF3">
        <w:rPr>
          <w:rFonts w:cs="Times New Roman"/>
        </w:rPr>
        <w:t xml:space="preserve"> </w:t>
      </w:r>
      <w:r w:rsidR="003937D8">
        <w:rPr>
          <w:rFonts w:cs="Times New Roman"/>
        </w:rPr>
        <w:t>CoNS</w:t>
      </w:r>
      <w:r w:rsidR="00074EF3">
        <w:rPr>
          <w:rFonts w:cs="Times New Roman"/>
        </w:rPr>
        <w:t xml:space="preserve">. </w:t>
      </w:r>
      <w:r w:rsidR="009B6C2D">
        <w:rPr>
          <w:rFonts w:cs="Times New Roman"/>
        </w:rPr>
        <w:t>Four</w:t>
      </w:r>
      <w:r w:rsidR="00CD6633" w:rsidRPr="008223BC">
        <w:rPr>
          <w:rFonts w:cs="Times New Roman"/>
        </w:rPr>
        <w:t xml:space="preserve"> studies </w:t>
      </w:r>
      <w:r w:rsidR="002220C3" w:rsidRPr="002220C3">
        <w:rPr>
          <w:rFonts w:cs="Times New Roman"/>
          <w:noProof/>
          <w:vertAlign w:val="superscript"/>
        </w:rPr>
        <w:t>36,60,107,125</w:t>
      </w:r>
      <w:r w:rsidR="00CD6633" w:rsidRPr="008223BC">
        <w:rPr>
          <w:rFonts w:cs="Times New Roman"/>
        </w:rPr>
        <w:t xml:space="preserve"> cited laboratory quality control measures, and </w:t>
      </w:r>
      <w:r w:rsidR="006D3665" w:rsidRPr="008223BC">
        <w:rPr>
          <w:rFonts w:cs="Times New Roman"/>
        </w:rPr>
        <w:t xml:space="preserve">only </w:t>
      </w:r>
      <w:r w:rsidR="00A34A24" w:rsidRPr="008223BC">
        <w:rPr>
          <w:rFonts w:cs="Times New Roman"/>
        </w:rPr>
        <w:t xml:space="preserve">one study </w:t>
      </w:r>
      <w:r w:rsidR="002220C3" w:rsidRPr="002220C3">
        <w:rPr>
          <w:rFonts w:cs="Times New Roman"/>
          <w:noProof/>
          <w:vertAlign w:val="superscript"/>
        </w:rPr>
        <w:t>107</w:t>
      </w:r>
      <w:r w:rsidR="00A34A24" w:rsidRPr="008223BC">
        <w:rPr>
          <w:rFonts w:cs="Times New Roman"/>
        </w:rPr>
        <w:t xml:space="preserve"> sent samples to an external laboratory for confirmation.</w:t>
      </w:r>
    </w:p>
    <w:p w14:paraId="037D9D6A" w14:textId="144F602E" w:rsidR="00C34D57" w:rsidRPr="008223BC" w:rsidRDefault="002152F1" w:rsidP="001E6C81">
      <w:pPr>
        <w:pStyle w:val="Heading4"/>
        <w:rPr>
          <w:lang w:eastAsia="en-GB"/>
        </w:rPr>
      </w:pPr>
      <w:r>
        <w:rPr>
          <w:lang w:eastAsia="en-GB"/>
        </w:rPr>
        <w:t>Aetiology of b</w:t>
      </w:r>
      <w:r w:rsidR="00A133A1" w:rsidRPr="008223BC">
        <w:rPr>
          <w:lang w:eastAsia="en-GB"/>
        </w:rPr>
        <w:t>acteraemia</w:t>
      </w:r>
      <w:r w:rsidR="00895E3B" w:rsidRPr="008223BC">
        <w:rPr>
          <w:lang w:eastAsia="en-GB"/>
        </w:rPr>
        <w:t>/sepsis</w:t>
      </w:r>
    </w:p>
    <w:p w14:paraId="2192CCCD" w14:textId="50E8B0E2" w:rsidR="005A4EC3" w:rsidRDefault="002A0366" w:rsidP="00947D41">
      <w:pPr>
        <w:spacing w:line="480" w:lineRule="auto"/>
        <w:jc w:val="both"/>
        <w:rPr>
          <w:rFonts w:cs="Times New Roman"/>
          <w:lang w:eastAsia="en-GB"/>
        </w:rPr>
      </w:pPr>
      <w:r>
        <w:rPr>
          <w:rFonts w:cs="Times New Roman"/>
          <w:lang w:eastAsia="en-GB"/>
        </w:rPr>
        <w:t>B</w:t>
      </w:r>
      <w:r w:rsidR="00B863ED">
        <w:rPr>
          <w:rFonts w:cs="Times New Roman"/>
          <w:lang w:eastAsia="en-GB"/>
        </w:rPr>
        <w:t xml:space="preserve">etween 1980 and 2007, </w:t>
      </w:r>
      <w:r w:rsidR="0035668B" w:rsidRPr="008A1567">
        <w:rPr>
          <w:rFonts w:cs="Times New Roman"/>
          <w:i/>
        </w:rPr>
        <w:t>Staphylococcus</w:t>
      </w:r>
      <w:r w:rsidR="0035668B" w:rsidRPr="008223BC">
        <w:rPr>
          <w:rFonts w:cs="Times New Roman"/>
          <w:i/>
        </w:rPr>
        <w:t xml:space="preserve"> aureus</w:t>
      </w:r>
      <w:r w:rsidR="0035668B">
        <w:rPr>
          <w:rFonts w:cs="Times New Roman"/>
        </w:rPr>
        <w:t xml:space="preserve">, </w:t>
      </w:r>
      <w:r w:rsidR="0035668B" w:rsidRPr="00116D82">
        <w:rPr>
          <w:rFonts w:cs="Times New Roman"/>
          <w:i/>
        </w:rPr>
        <w:t>Klebsiella</w:t>
      </w:r>
      <w:r w:rsidR="0035668B">
        <w:rPr>
          <w:rFonts w:cs="Times New Roman"/>
        </w:rPr>
        <w:t xml:space="preserve"> spp (mostly </w:t>
      </w:r>
      <w:r w:rsidR="0035668B" w:rsidRPr="00116D82">
        <w:rPr>
          <w:rFonts w:cs="Times New Roman"/>
          <w:i/>
        </w:rPr>
        <w:t>Klebsiella</w:t>
      </w:r>
      <w:r w:rsidR="0035668B">
        <w:rPr>
          <w:rFonts w:cs="Times New Roman"/>
          <w:i/>
        </w:rPr>
        <w:t xml:space="preserve"> pneumoniae</w:t>
      </w:r>
      <w:r w:rsidR="0035668B">
        <w:rPr>
          <w:rFonts w:cs="Times New Roman"/>
        </w:rPr>
        <w:t xml:space="preserve">) and </w:t>
      </w:r>
      <w:r w:rsidR="0035668B" w:rsidRPr="0041780E">
        <w:rPr>
          <w:rFonts w:cs="Times New Roman"/>
          <w:i/>
          <w:lang w:eastAsia="en-GB"/>
        </w:rPr>
        <w:t>Escherichia coli</w:t>
      </w:r>
      <w:r w:rsidR="00356250">
        <w:rPr>
          <w:rFonts w:cs="Times New Roman"/>
          <w:i/>
          <w:lang w:eastAsia="en-GB"/>
        </w:rPr>
        <w:t xml:space="preserve"> </w:t>
      </w:r>
      <w:r w:rsidR="00356250">
        <w:rPr>
          <w:rFonts w:cs="Times New Roman"/>
          <w:lang w:eastAsia="en-GB"/>
        </w:rPr>
        <w:t xml:space="preserve">accounted for </w:t>
      </w:r>
      <w:r w:rsidR="00954893">
        <w:rPr>
          <w:rFonts w:cs="Times New Roman"/>
          <w:lang w:eastAsia="en-GB"/>
        </w:rPr>
        <w:t>25</w:t>
      </w:r>
      <w:r w:rsidR="008B2940">
        <w:rPr>
          <w:rFonts w:cs="Times New Roman"/>
          <w:lang w:eastAsia="en-GB"/>
        </w:rPr>
        <w:t>% (</w:t>
      </w:r>
      <w:r w:rsidR="00EA392E">
        <w:rPr>
          <w:rFonts w:cs="Times New Roman"/>
          <w:lang w:eastAsia="en-GB"/>
        </w:rPr>
        <w:t xml:space="preserve">95% CI </w:t>
      </w:r>
      <w:r w:rsidR="00954893">
        <w:rPr>
          <w:rFonts w:cs="Times New Roman"/>
          <w:lang w:eastAsia="en-GB"/>
        </w:rPr>
        <w:t>19 – 31</w:t>
      </w:r>
      <w:r w:rsidR="00EA392E">
        <w:rPr>
          <w:rFonts w:cs="Times New Roman"/>
          <w:lang w:eastAsia="en-GB"/>
        </w:rPr>
        <w:t xml:space="preserve">%), </w:t>
      </w:r>
      <w:r w:rsidR="002020E9">
        <w:rPr>
          <w:rFonts w:cs="Times New Roman"/>
          <w:lang w:eastAsia="en-GB"/>
        </w:rPr>
        <w:t>15</w:t>
      </w:r>
      <w:r w:rsidR="00EA392E">
        <w:rPr>
          <w:rFonts w:cs="Times New Roman"/>
          <w:lang w:eastAsia="en-GB"/>
        </w:rPr>
        <w:t xml:space="preserve">% (95% CI </w:t>
      </w:r>
      <w:r w:rsidR="00954893">
        <w:rPr>
          <w:rFonts w:cs="Times New Roman"/>
          <w:lang w:eastAsia="en-GB"/>
        </w:rPr>
        <w:t>11</w:t>
      </w:r>
      <w:r w:rsidR="00EA392E">
        <w:rPr>
          <w:rFonts w:cs="Times New Roman"/>
          <w:lang w:eastAsia="en-GB"/>
        </w:rPr>
        <w:t xml:space="preserve"> – </w:t>
      </w:r>
      <w:r w:rsidR="00954893">
        <w:rPr>
          <w:rFonts w:cs="Times New Roman"/>
          <w:lang w:eastAsia="en-GB"/>
        </w:rPr>
        <w:t>20</w:t>
      </w:r>
      <w:r w:rsidR="00EA392E">
        <w:rPr>
          <w:rFonts w:cs="Times New Roman"/>
          <w:lang w:eastAsia="en-GB"/>
        </w:rPr>
        <w:t xml:space="preserve">%) and </w:t>
      </w:r>
      <w:r w:rsidR="00954893">
        <w:rPr>
          <w:rFonts w:cs="Times New Roman"/>
          <w:lang w:eastAsia="en-GB"/>
        </w:rPr>
        <w:t>10</w:t>
      </w:r>
      <w:r w:rsidR="002020E9">
        <w:rPr>
          <w:rFonts w:cs="Times New Roman"/>
          <w:lang w:eastAsia="en-GB"/>
        </w:rPr>
        <w:t xml:space="preserve">% (95% CI </w:t>
      </w:r>
      <w:r w:rsidR="00E5606D">
        <w:rPr>
          <w:rFonts w:cs="Times New Roman"/>
          <w:lang w:eastAsia="en-GB"/>
        </w:rPr>
        <w:t>8</w:t>
      </w:r>
      <w:r w:rsidR="002020E9">
        <w:rPr>
          <w:rFonts w:cs="Times New Roman"/>
          <w:lang w:eastAsia="en-GB"/>
        </w:rPr>
        <w:t xml:space="preserve"> – </w:t>
      </w:r>
      <w:r w:rsidR="00954893">
        <w:rPr>
          <w:rFonts w:cs="Times New Roman"/>
          <w:lang w:eastAsia="en-GB"/>
        </w:rPr>
        <w:t>13</w:t>
      </w:r>
      <w:r w:rsidR="002020E9">
        <w:rPr>
          <w:rFonts w:cs="Times New Roman"/>
          <w:lang w:eastAsia="en-GB"/>
        </w:rPr>
        <w:t xml:space="preserve">%) </w:t>
      </w:r>
      <w:r w:rsidR="00367EDA">
        <w:rPr>
          <w:rFonts w:cs="Times New Roman"/>
          <w:lang w:eastAsia="en-GB"/>
        </w:rPr>
        <w:t xml:space="preserve">of all </w:t>
      </w:r>
      <w:r w:rsidR="00AC54D8">
        <w:rPr>
          <w:rFonts w:cs="Times New Roman"/>
          <w:lang w:eastAsia="en-GB"/>
        </w:rPr>
        <w:t xml:space="preserve">reported cases of </w:t>
      </w:r>
      <w:r w:rsidR="000104A3">
        <w:rPr>
          <w:rFonts w:cs="Times New Roman"/>
          <w:lang w:eastAsia="en-GB"/>
        </w:rPr>
        <w:t>neonatal</w:t>
      </w:r>
      <w:r w:rsidR="00367EDA">
        <w:rPr>
          <w:rFonts w:cs="Times New Roman"/>
          <w:lang w:eastAsia="en-GB"/>
        </w:rPr>
        <w:t xml:space="preserve"> bacteraemi</w:t>
      </w:r>
      <w:r w:rsidR="00AC54D8">
        <w:rPr>
          <w:rFonts w:cs="Times New Roman"/>
          <w:lang w:eastAsia="en-GB"/>
        </w:rPr>
        <w:t>a</w:t>
      </w:r>
      <w:r w:rsidR="00367EDA">
        <w:rPr>
          <w:rFonts w:cs="Times New Roman"/>
          <w:lang w:eastAsia="en-GB"/>
        </w:rPr>
        <w:t>/sepsis</w:t>
      </w:r>
      <w:r w:rsidR="002020E9">
        <w:rPr>
          <w:rFonts w:cs="Times New Roman"/>
          <w:lang w:eastAsia="en-GB"/>
        </w:rPr>
        <w:t xml:space="preserve">, respectively </w:t>
      </w:r>
      <w:r w:rsidR="00CA554B">
        <w:rPr>
          <w:rFonts w:cs="Times New Roman"/>
          <w:lang w:eastAsia="en-GB"/>
        </w:rPr>
        <w:t>(</w:t>
      </w:r>
      <w:r w:rsidR="002020E9">
        <w:rPr>
          <w:rFonts w:cs="Times New Roman"/>
          <w:lang w:eastAsia="en-GB"/>
        </w:rPr>
        <w:t>T</w:t>
      </w:r>
      <w:r w:rsidR="00CA554B">
        <w:rPr>
          <w:rFonts w:cs="Times New Roman"/>
          <w:lang w:eastAsia="en-GB"/>
        </w:rPr>
        <w:t xml:space="preserve">able </w:t>
      </w:r>
      <w:r w:rsidR="00612430">
        <w:rPr>
          <w:rFonts w:cs="Times New Roman"/>
          <w:lang w:eastAsia="en-GB"/>
        </w:rPr>
        <w:t>1a</w:t>
      </w:r>
      <w:r w:rsidR="00CA554B">
        <w:rPr>
          <w:rFonts w:cs="Times New Roman"/>
          <w:lang w:eastAsia="en-GB"/>
        </w:rPr>
        <w:t>)</w:t>
      </w:r>
      <w:r w:rsidR="00772BDD">
        <w:rPr>
          <w:rFonts w:cs="Times New Roman"/>
          <w:lang w:eastAsia="en-GB"/>
        </w:rPr>
        <w:t>.</w:t>
      </w:r>
      <w:r w:rsidR="0035668B">
        <w:rPr>
          <w:rFonts w:cs="Times New Roman"/>
        </w:rPr>
        <w:t xml:space="preserve"> </w:t>
      </w:r>
      <w:r w:rsidR="006F5C39">
        <w:rPr>
          <w:rFonts w:cs="Times New Roman"/>
        </w:rPr>
        <w:t>These three pathogens</w:t>
      </w:r>
      <w:r w:rsidR="00B163D2">
        <w:rPr>
          <w:rFonts w:cs="Times New Roman"/>
        </w:rPr>
        <w:t xml:space="preserve">, plus unidentified Gram-negative organisms, accounted for </w:t>
      </w:r>
      <w:r w:rsidR="00E96B7E">
        <w:rPr>
          <w:rFonts w:cs="Times New Roman"/>
        </w:rPr>
        <w:t xml:space="preserve">more than two-thirds </w:t>
      </w:r>
      <w:r w:rsidR="00C3252D">
        <w:rPr>
          <w:rFonts w:cs="Times New Roman"/>
        </w:rPr>
        <w:t xml:space="preserve">of all </w:t>
      </w:r>
      <w:r w:rsidR="00D264C6">
        <w:rPr>
          <w:rFonts w:cs="Times New Roman"/>
          <w:lang w:eastAsia="en-GB"/>
        </w:rPr>
        <w:lastRenderedPageBreak/>
        <w:t>reported causes of bacteraemia/sepsis</w:t>
      </w:r>
      <w:r w:rsidR="002970A5">
        <w:rPr>
          <w:rFonts w:cs="Times New Roman"/>
          <w:lang w:eastAsia="en-GB"/>
        </w:rPr>
        <w:t>.</w:t>
      </w:r>
      <w:r w:rsidR="00A44B13">
        <w:rPr>
          <w:rFonts w:cs="Times New Roman"/>
          <w:lang w:eastAsia="en-GB"/>
        </w:rPr>
        <w:t xml:space="preserve"> </w:t>
      </w:r>
      <w:r w:rsidR="005A4EC3">
        <w:rPr>
          <w:rFonts w:cs="Times New Roman"/>
          <w:lang w:eastAsia="en-GB"/>
        </w:rPr>
        <w:t xml:space="preserve"> </w:t>
      </w:r>
      <w:r w:rsidR="008A5D6A">
        <w:rPr>
          <w:rFonts w:cs="Times New Roman"/>
          <w:lang w:eastAsia="en-GB"/>
        </w:rPr>
        <w:t xml:space="preserve">We observed </w:t>
      </w:r>
      <w:r w:rsidR="00E96B7E">
        <w:rPr>
          <w:rFonts w:cs="Times New Roman"/>
          <w:lang w:eastAsia="en-GB"/>
        </w:rPr>
        <w:t>similar dis</w:t>
      </w:r>
      <w:r w:rsidR="008A5D6A">
        <w:rPr>
          <w:rFonts w:cs="Times New Roman"/>
          <w:lang w:eastAsia="en-GB"/>
        </w:rPr>
        <w:t>tribution</w:t>
      </w:r>
      <w:r w:rsidR="005A4EC3">
        <w:rPr>
          <w:rFonts w:cs="Times New Roman"/>
          <w:lang w:eastAsia="en-GB"/>
        </w:rPr>
        <w:t>s</w:t>
      </w:r>
      <w:r w:rsidR="008A5D6A">
        <w:rPr>
          <w:rFonts w:cs="Times New Roman"/>
          <w:lang w:eastAsia="en-GB"/>
        </w:rPr>
        <w:t xml:space="preserve"> b</w:t>
      </w:r>
      <w:r w:rsidR="000735B1">
        <w:rPr>
          <w:rFonts w:cs="Times New Roman"/>
          <w:lang w:eastAsia="en-GB"/>
        </w:rPr>
        <w:t xml:space="preserve">etween </w:t>
      </w:r>
      <w:r w:rsidR="008A5D6A">
        <w:rPr>
          <w:rFonts w:cs="Times New Roman"/>
          <w:lang w:eastAsia="en-GB"/>
        </w:rPr>
        <w:t>2008 and 2018</w:t>
      </w:r>
      <w:r w:rsidR="005A4EC3">
        <w:rPr>
          <w:rFonts w:cs="Times New Roman"/>
          <w:lang w:eastAsia="en-GB"/>
        </w:rPr>
        <w:t xml:space="preserve">, with </w:t>
      </w:r>
      <w:r w:rsidR="008A5D6A" w:rsidRPr="008A1567">
        <w:rPr>
          <w:rFonts w:cs="Times New Roman"/>
          <w:i/>
        </w:rPr>
        <w:t>S</w:t>
      </w:r>
      <w:r w:rsidR="00EE4001">
        <w:rPr>
          <w:rFonts w:cs="Times New Roman"/>
          <w:i/>
        </w:rPr>
        <w:t xml:space="preserve">. </w:t>
      </w:r>
      <w:r w:rsidR="008A5D6A" w:rsidRPr="008223BC">
        <w:rPr>
          <w:rFonts w:cs="Times New Roman"/>
          <w:i/>
        </w:rPr>
        <w:t>aureus</w:t>
      </w:r>
      <w:r w:rsidR="008A5D6A">
        <w:rPr>
          <w:rFonts w:cs="Times New Roman"/>
        </w:rPr>
        <w:t xml:space="preserve"> (25%, 95% CI 21 – 29%) </w:t>
      </w:r>
      <w:r w:rsidR="008A5D6A" w:rsidRPr="00116D82">
        <w:rPr>
          <w:rFonts w:cs="Times New Roman"/>
          <w:i/>
        </w:rPr>
        <w:t>Klebsiella</w:t>
      </w:r>
      <w:r w:rsidR="008A5D6A">
        <w:rPr>
          <w:rFonts w:cs="Times New Roman"/>
        </w:rPr>
        <w:t xml:space="preserve"> spp (21%, 95% CI 16 – 27%) and </w:t>
      </w:r>
      <w:r w:rsidR="008A5D6A" w:rsidRPr="0041780E">
        <w:rPr>
          <w:rFonts w:cs="Times New Roman"/>
          <w:i/>
          <w:lang w:eastAsia="en-GB"/>
        </w:rPr>
        <w:t>E</w:t>
      </w:r>
      <w:r w:rsidR="00EE4001">
        <w:rPr>
          <w:rFonts w:cs="Times New Roman"/>
          <w:i/>
          <w:lang w:eastAsia="en-GB"/>
        </w:rPr>
        <w:t xml:space="preserve"> </w:t>
      </w:r>
      <w:r w:rsidR="008A5D6A" w:rsidRPr="0041780E">
        <w:rPr>
          <w:rFonts w:cs="Times New Roman"/>
          <w:i/>
          <w:lang w:eastAsia="en-GB"/>
        </w:rPr>
        <w:t>coli</w:t>
      </w:r>
      <w:r w:rsidR="008A5D6A">
        <w:rPr>
          <w:rFonts w:cs="Times New Roman"/>
          <w:lang w:eastAsia="en-GB"/>
        </w:rPr>
        <w:t xml:space="preserve"> (10%, 95% CI 8 – 10%) (table 2). </w:t>
      </w:r>
    </w:p>
    <w:p w14:paraId="07B16726" w14:textId="00FCA043" w:rsidR="00C6673F" w:rsidRDefault="00ED41A5" w:rsidP="00947D41">
      <w:pPr>
        <w:spacing w:line="480" w:lineRule="auto"/>
        <w:jc w:val="both"/>
        <w:rPr>
          <w:rFonts w:cs="Times New Roman"/>
          <w:lang w:eastAsia="en-GB"/>
        </w:rPr>
      </w:pPr>
      <w:r>
        <w:rPr>
          <w:rFonts w:cs="Times New Roman"/>
          <w:lang w:eastAsia="en-GB"/>
        </w:rPr>
        <w:t>Only one</w:t>
      </w:r>
      <w:r w:rsidR="00A2232F">
        <w:rPr>
          <w:rFonts w:cs="Times New Roman"/>
          <w:lang w:eastAsia="en-GB"/>
        </w:rPr>
        <w:t xml:space="preserve"> </w:t>
      </w:r>
      <w:r w:rsidR="00FE7539">
        <w:rPr>
          <w:rFonts w:cs="Times New Roman"/>
          <w:lang w:eastAsia="en-GB"/>
        </w:rPr>
        <w:t>paper</w:t>
      </w:r>
      <w:r w:rsidR="002220C3" w:rsidRPr="002220C3">
        <w:rPr>
          <w:rFonts w:cs="Times New Roman"/>
          <w:noProof/>
          <w:vertAlign w:val="superscript"/>
          <w:lang w:eastAsia="en-GB"/>
        </w:rPr>
        <w:t>129</w:t>
      </w:r>
      <w:r w:rsidR="00ED3C2B">
        <w:rPr>
          <w:rFonts w:cs="Times New Roman"/>
          <w:lang w:eastAsia="en-GB"/>
        </w:rPr>
        <w:t xml:space="preserve"> delineated</w:t>
      </w:r>
      <w:r>
        <w:rPr>
          <w:rFonts w:cs="Times New Roman"/>
          <w:lang w:eastAsia="en-GB"/>
        </w:rPr>
        <w:t xml:space="preserve"> </w:t>
      </w:r>
      <w:r w:rsidR="00A92717">
        <w:rPr>
          <w:rFonts w:cs="Times New Roman"/>
          <w:lang w:eastAsia="en-GB"/>
        </w:rPr>
        <w:t>hospital-acqui</w:t>
      </w:r>
      <w:r w:rsidR="0064625B">
        <w:rPr>
          <w:rFonts w:cs="Times New Roman"/>
          <w:lang w:eastAsia="en-GB"/>
        </w:rPr>
        <w:t>red</w:t>
      </w:r>
      <w:r w:rsidR="00B64ABD">
        <w:rPr>
          <w:rFonts w:cs="Times New Roman"/>
          <w:lang w:eastAsia="en-GB"/>
        </w:rPr>
        <w:t xml:space="preserve"> </w:t>
      </w:r>
      <w:r w:rsidR="0064625B">
        <w:rPr>
          <w:rFonts w:cs="Times New Roman"/>
          <w:lang w:eastAsia="en-GB"/>
        </w:rPr>
        <w:t xml:space="preserve">and community-acquired </w:t>
      </w:r>
      <w:r w:rsidR="00F032B7">
        <w:rPr>
          <w:rFonts w:cs="Times New Roman"/>
          <w:lang w:eastAsia="en-GB"/>
        </w:rPr>
        <w:t xml:space="preserve">pathogens, </w:t>
      </w:r>
      <w:r w:rsidR="00F21022">
        <w:rPr>
          <w:rFonts w:cs="Times New Roman"/>
          <w:lang w:eastAsia="en-GB"/>
        </w:rPr>
        <w:t xml:space="preserve">with a higher prevalence of </w:t>
      </w:r>
      <w:r w:rsidR="000E5946" w:rsidRPr="00116D82">
        <w:rPr>
          <w:rFonts w:cs="Times New Roman"/>
          <w:i/>
        </w:rPr>
        <w:t>Klebsiella</w:t>
      </w:r>
      <w:r w:rsidR="000E5946">
        <w:rPr>
          <w:rFonts w:cs="Times New Roman"/>
        </w:rPr>
        <w:t xml:space="preserve"> spp</w:t>
      </w:r>
      <w:r w:rsidR="000E5946">
        <w:rPr>
          <w:rFonts w:cs="Times New Roman"/>
          <w:lang w:eastAsia="en-GB"/>
        </w:rPr>
        <w:t xml:space="preserve"> among </w:t>
      </w:r>
      <w:r w:rsidR="00860800">
        <w:rPr>
          <w:rFonts w:cs="Times New Roman"/>
          <w:lang w:eastAsia="en-GB"/>
        </w:rPr>
        <w:t>neonates with</w:t>
      </w:r>
      <w:r w:rsidR="000E34D0">
        <w:rPr>
          <w:rFonts w:cs="Times New Roman"/>
          <w:lang w:eastAsia="en-GB"/>
        </w:rPr>
        <w:t xml:space="preserve"> hospital-acquired infection</w:t>
      </w:r>
      <w:r w:rsidR="00F635C1">
        <w:rPr>
          <w:rFonts w:cs="Times New Roman"/>
          <w:lang w:eastAsia="en-GB"/>
        </w:rPr>
        <w:t xml:space="preserve"> </w:t>
      </w:r>
      <w:r w:rsidR="00852780">
        <w:rPr>
          <w:rFonts w:cs="Times New Roman"/>
          <w:lang w:eastAsia="en-GB"/>
        </w:rPr>
        <w:t>[</w:t>
      </w:r>
      <w:r w:rsidR="00F635C1">
        <w:rPr>
          <w:rFonts w:cs="Times New Roman"/>
          <w:lang w:eastAsia="en-GB"/>
        </w:rPr>
        <w:t xml:space="preserve">31% </w:t>
      </w:r>
      <w:r w:rsidR="00155F68">
        <w:rPr>
          <w:rFonts w:cs="Times New Roman"/>
          <w:lang w:eastAsia="en-GB"/>
        </w:rPr>
        <w:t>(</w:t>
      </w:r>
      <w:r w:rsidR="00735663">
        <w:rPr>
          <w:rFonts w:cs="Times New Roman"/>
          <w:lang w:eastAsia="en-GB"/>
        </w:rPr>
        <w:t>10</w:t>
      </w:r>
      <w:r w:rsidR="00155F68">
        <w:rPr>
          <w:rFonts w:cs="Times New Roman"/>
          <w:lang w:eastAsia="en-GB"/>
        </w:rPr>
        <w:t>/</w:t>
      </w:r>
      <w:r w:rsidR="00735663">
        <w:rPr>
          <w:rFonts w:cs="Times New Roman"/>
          <w:lang w:eastAsia="en-GB"/>
        </w:rPr>
        <w:t>32</w:t>
      </w:r>
      <w:r w:rsidR="00155F68">
        <w:rPr>
          <w:rFonts w:cs="Times New Roman"/>
          <w:lang w:eastAsia="en-GB"/>
        </w:rPr>
        <w:t xml:space="preserve">) </w:t>
      </w:r>
      <w:r w:rsidR="00F635C1" w:rsidRPr="00AA7AED">
        <w:rPr>
          <w:rFonts w:cs="Times New Roman"/>
          <w:i/>
          <w:lang w:eastAsia="en-GB"/>
        </w:rPr>
        <w:t>vs</w:t>
      </w:r>
      <w:r w:rsidR="00F635C1">
        <w:rPr>
          <w:rFonts w:cs="Times New Roman"/>
          <w:lang w:eastAsia="en-GB"/>
        </w:rPr>
        <w:t>. 17%</w:t>
      </w:r>
      <w:r w:rsidR="00155F68">
        <w:rPr>
          <w:rFonts w:cs="Times New Roman"/>
          <w:lang w:eastAsia="en-GB"/>
        </w:rPr>
        <w:t xml:space="preserve"> (</w:t>
      </w:r>
      <w:r w:rsidR="00735663">
        <w:rPr>
          <w:rFonts w:cs="Times New Roman"/>
          <w:lang w:eastAsia="en-GB"/>
        </w:rPr>
        <w:t>8</w:t>
      </w:r>
      <w:r w:rsidR="00155F68">
        <w:rPr>
          <w:rFonts w:cs="Times New Roman"/>
          <w:lang w:eastAsia="en-GB"/>
        </w:rPr>
        <w:t>/</w:t>
      </w:r>
      <w:r w:rsidR="00735663">
        <w:rPr>
          <w:rFonts w:cs="Times New Roman"/>
          <w:lang w:eastAsia="en-GB"/>
        </w:rPr>
        <w:t>48</w:t>
      </w:r>
      <w:r w:rsidR="00155F68">
        <w:rPr>
          <w:rFonts w:cs="Times New Roman"/>
          <w:lang w:eastAsia="en-GB"/>
        </w:rPr>
        <w:t>)</w:t>
      </w:r>
      <w:r w:rsidR="007302DF">
        <w:rPr>
          <w:rFonts w:cs="Times New Roman"/>
          <w:lang w:eastAsia="en-GB"/>
        </w:rPr>
        <w:t>;</w:t>
      </w:r>
      <w:r w:rsidR="00544DE0">
        <w:rPr>
          <w:rFonts w:cs="Times New Roman"/>
          <w:lang w:eastAsia="en-GB"/>
        </w:rPr>
        <w:t xml:space="preserve"> p=</w:t>
      </w:r>
      <w:r w:rsidR="00A663D2">
        <w:rPr>
          <w:rFonts w:cs="Times New Roman"/>
          <w:lang w:eastAsia="en-GB"/>
        </w:rPr>
        <w:t>0.126</w:t>
      </w:r>
      <w:r w:rsidR="00852780">
        <w:rPr>
          <w:rFonts w:cs="Times New Roman"/>
          <w:lang w:eastAsia="en-GB"/>
        </w:rPr>
        <w:t>]</w:t>
      </w:r>
      <w:r w:rsidR="00F635C1">
        <w:rPr>
          <w:rFonts w:cs="Times New Roman"/>
          <w:lang w:eastAsia="en-GB"/>
        </w:rPr>
        <w:t xml:space="preserve"> </w:t>
      </w:r>
      <w:r w:rsidR="00F56BD5">
        <w:rPr>
          <w:rFonts w:cs="Times New Roman"/>
          <w:lang w:eastAsia="en-GB"/>
        </w:rPr>
        <w:t>and</w:t>
      </w:r>
      <w:r w:rsidR="00F635C1">
        <w:rPr>
          <w:rFonts w:cs="Times New Roman"/>
          <w:lang w:eastAsia="en-GB"/>
        </w:rPr>
        <w:t xml:space="preserve"> a </w:t>
      </w:r>
      <w:r w:rsidR="00AA7AED">
        <w:rPr>
          <w:rFonts w:cs="Times New Roman"/>
          <w:lang w:eastAsia="en-GB"/>
        </w:rPr>
        <w:t xml:space="preserve">slightly </w:t>
      </w:r>
      <w:r w:rsidR="00F635C1">
        <w:rPr>
          <w:rFonts w:cs="Times New Roman"/>
          <w:lang w:eastAsia="en-GB"/>
        </w:rPr>
        <w:t xml:space="preserve">higher prevalence of </w:t>
      </w:r>
      <w:r w:rsidR="00860800">
        <w:rPr>
          <w:rFonts w:cs="Times New Roman"/>
          <w:lang w:eastAsia="en-GB"/>
        </w:rPr>
        <w:t xml:space="preserve"> </w:t>
      </w:r>
      <w:r w:rsidR="000118D0" w:rsidRPr="008A1567">
        <w:rPr>
          <w:rFonts w:cs="Times New Roman"/>
          <w:i/>
        </w:rPr>
        <w:t>S</w:t>
      </w:r>
      <w:r w:rsidR="00EE4001">
        <w:rPr>
          <w:rFonts w:cs="Times New Roman"/>
          <w:i/>
        </w:rPr>
        <w:t xml:space="preserve"> </w:t>
      </w:r>
      <w:r w:rsidR="000118D0" w:rsidRPr="008223BC">
        <w:rPr>
          <w:rFonts w:cs="Times New Roman"/>
          <w:i/>
        </w:rPr>
        <w:t>aureus</w:t>
      </w:r>
      <w:r w:rsidR="000118D0">
        <w:rPr>
          <w:rFonts w:cs="Times New Roman"/>
          <w:lang w:eastAsia="en-GB"/>
        </w:rPr>
        <w:t xml:space="preserve">  among those with community-acquired infection </w:t>
      </w:r>
      <w:r w:rsidR="00AA7AED">
        <w:rPr>
          <w:rFonts w:cs="Times New Roman"/>
          <w:lang w:eastAsia="en-GB"/>
        </w:rPr>
        <w:t xml:space="preserve">(17% </w:t>
      </w:r>
      <w:r w:rsidR="007302DF">
        <w:rPr>
          <w:rFonts w:cs="Times New Roman"/>
          <w:lang w:eastAsia="en-GB"/>
        </w:rPr>
        <w:t>(</w:t>
      </w:r>
      <w:r w:rsidR="007B16C6">
        <w:rPr>
          <w:rFonts w:cs="Times New Roman"/>
          <w:lang w:eastAsia="en-GB"/>
        </w:rPr>
        <w:t xml:space="preserve">8/48) </w:t>
      </w:r>
      <w:r w:rsidR="00AA7AED" w:rsidRPr="00AA7AED">
        <w:rPr>
          <w:rFonts w:cs="Times New Roman"/>
          <w:i/>
          <w:lang w:eastAsia="en-GB"/>
        </w:rPr>
        <w:t>vs</w:t>
      </w:r>
      <w:r w:rsidR="00AA7AED">
        <w:rPr>
          <w:rFonts w:cs="Times New Roman"/>
          <w:lang w:eastAsia="en-GB"/>
        </w:rPr>
        <w:t>. 13%</w:t>
      </w:r>
      <w:r w:rsidR="007302DF">
        <w:rPr>
          <w:rFonts w:cs="Times New Roman"/>
          <w:lang w:eastAsia="en-GB"/>
        </w:rPr>
        <w:t xml:space="preserve"> (4/32)</w:t>
      </w:r>
      <w:r w:rsidR="00A663D2">
        <w:rPr>
          <w:rFonts w:cs="Times New Roman"/>
          <w:lang w:eastAsia="en-GB"/>
        </w:rPr>
        <w:t>; p=</w:t>
      </w:r>
      <w:r w:rsidR="00BF02AD">
        <w:rPr>
          <w:rFonts w:cs="Times New Roman"/>
          <w:lang w:eastAsia="en-GB"/>
        </w:rPr>
        <w:t>0.609</w:t>
      </w:r>
      <w:r w:rsidR="00AA7AED">
        <w:rPr>
          <w:rFonts w:cs="Times New Roman"/>
          <w:lang w:eastAsia="en-GB"/>
        </w:rPr>
        <w:t xml:space="preserve">). </w:t>
      </w:r>
      <w:r w:rsidR="002E1778">
        <w:rPr>
          <w:rFonts w:cs="Times New Roman"/>
          <w:lang w:eastAsia="en-GB"/>
        </w:rPr>
        <w:t>Three studies</w:t>
      </w:r>
      <w:r w:rsidR="002220C3" w:rsidRPr="002220C3">
        <w:rPr>
          <w:rFonts w:cs="Times New Roman"/>
          <w:noProof/>
          <w:vertAlign w:val="superscript"/>
          <w:lang w:eastAsia="en-GB"/>
        </w:rPr>
        <w:t>61,63,72</w:t>
      </w:r>
      <w:r w:rsidR="00104278">
        <w:rPr>
          <w:rFonts w:cs="Times New Roman"/>
          <w:lang w:eastAsia="en-GB"/>
        </w:rPr>
        <w:t xml:space="preserve"> </w:t>
      </w:r>
      <w:r w:rsidR="006350C1">
        <w:rPr>
          <w:rFonts w:cs="Times New Roman"/>
          <w:lang w:eastAsia="en-GB"/>
        </w:rPr>
        <w:t xml:space="preserve">specifically </w:t>
      </w:r>
      <w:r w:rsidR="005D5C91">
        <w:rPr>
          <w:rFonts w:cs="Times New Roman"/>
          <w:lang w:eastAsia="en-GB"/>
        </w:rPr>
        <w:t xml:space="preserve">examined </w:t>
      </w:r>
      <w:r w:rsidR="00A52E3A">
        <w:rPr>
          <w:rFonts w:cs="Times New Roman"/>
          <w:lang w:eastAsia="en-GB"/>
        </w:rPr>
        <w:t>community-acquired</w:t>
      </w:r>
      <w:r w:rsidR="00371BAD">
        <w:rPr>
          <w:rFonts w:cs="Times New Roman"/>
          <w:lang w:eastAsia="en-GB"/>
        </w:rPr>
        <w:t xml:space="preserve"> infections, </w:t>
      </w:r>
      <w:r w:rsidR="00667D53">
        <w:rPr>
          <w:rFonts w:cs="Times New Roman"/>
          <w:lang w:eastAsia="en-GB"/>
        </w:rPr>
        <w:t xml:space="preserve">and </w:t>
      </w:r>
      <w:r w:rsidR="000913DA">
        <w:rPr>
          <w:rFonts w:cs="Times New Roman"/>
          <w:lang w:eastAsia="en-GB"/>
        </w:rPr>
        <w:t>two</w:t>
      </w:r>
      <w:r w:rsidR="00A73FA4">
        <w:rPr>
          <w:rFonts w:cs="Times New Roman"/>
          <w:lang w:eastAsia="en-GB"/>
        </w:rPr>
        <w:t xml:space="preserve"> studies</w:t>
      </w:r>
      <w:r w:rsidR="002220C3" w:rsidRPr="002220C3">
        <w:rPr>
          <w:rFonts w:cs="Times New Roman"/>
          <w:noProof/>
          <w:vertAlign w:val="superscript"/>
          <w:lang w:eastAsia="en-GB"/>
        </w:rPr>
        <w:t>24,81</w:t>
      </w:r>
      <w:r w:rsidR="008914C1">
        <w:rPr>
          <w:rFonts w:cs="Times New Roman"/>
          <w:lang w:eastAsia="en-GB"/>
        </w:rPr>
        <w:t xml:space="preserve"> </w:t>
      </w:r>
      <w:r w:rsidR="00216D3F">
        <w:rPr>
          <w:rFonts w:cs="Times New Roman"/>
          <w:lang w:eastAsia="en-GB"/>
        </w:rPr>
        <w:t xml:space="preserve">reported </w:t>
      </w:r>
      <w:r w:rsidR="00DA469C">
        <w:rPr>
          <w:rFonts w:cs="Times New Roman"/>
          <w:lang w:eastAsia="en-GB"/>
        </w:rPr>
        <w:t xml:space="preserve">only </w:t>
      </w:r>
      <w:r w:rsidR="00B36196">
        <w:rPr>
          <w:rFonts w:cs="Times New Roman"/>
          <w:lang w:eastAsia="en-GB"/>
        </w:rPr>
        <w:t>hospital-acquired infections</w:t>
      </w:r>
      <w:r w:rsidR="00630965">
        <w:rPr>
          <w:rFonts w:cs="Times New Roman"/>
          <w:lang w:eastAsia="en-GB"/>
        </w:rPr>
        <w:t>;</w:t>
      </w:r>
      <w:r w:rsidR="00B36196">
        <w:rPr>
          <w:rFonts w:cs="Times New Roman"/>
          <w:lang w:eastAsia="en-GB"/>
        </w:rPr>
        <w:t xml:space="preserve"> </w:t>
      </w:r>
      <w:r w:rsidR="00667D53">
        <w:rPr>
          <w:rFonts w:cs="Times New Roman"/>
          <w:lang w:eastAsia="en-GB"/>
        </w:rPr>
        <w:t xml:space="preserve">the </w:t>
      </w:r>
      <w:r w:rsidR="000218FA">
        <w:rPr>
          <w:rFonts w:cs="Times New Roman"/>
          <w:lang w:eastAsia="en-GB"/>
        </w:rPr>
        <w:t>remain</w:t>
      </w:r>
      <w:r w:rsidR="00F62E13">
        <w:rPr>
          <w:rFonts w:cs="Times New Roman"/>
          <w:lang w:eastAsia="en-GB"/>
        </w:rPr>
        <w:t>ing studies</w:t>
      </w:r>
      <w:r w:rsidR="000218FA">
        <w:rPr>
          <w:rFonts w:cs="Times New Roman"/>
          <w:lang w:eastAsia="en-GB"/>
        </w:rPr>
        <w:t xml:space="preserve"> </w:t>
      </w:r>
      <w:r w:rsidR="008914C1">
        <w:rPr>
          <w:rFonts w:cs="Times New Roman"/>
          <w:lang w:eastAsia="en-GB"/>
        </w:rPr>
        <w:t xml:space="preserve">did not </w:t>
      </w:r>
      <w:r w:rsidR="00F929DE">
        <w:rPr>
          <w:rFonts w:cs="Times New Roman"/>
          <w:lang w:eastAsia="en-GB"/>
        </w:rPr>
        <w:t xml:space="preserve"> </w:t>
      </w:r>
      <w:r w:rsidR="004642C2">
        <w:rPr>
          <w:rFonts w:cs="Times New Roman"/>
          <w:lang w:eastAsia="en-GB"/>
        </w:rPr>
        <w:t>analyse</w:t>
      </w:r>
      <w:r w:rsidR="009F5177">
        <w:rPr>
          <w:rFonts w:cs="Times New Roman"/>
          <w:lang w:eastAsia="en-GB"/>
        </w:rPr>
        <w:t xml:space="preserve"> </w:t>
      </w:r>
      <w:r w:rsidR="00F929DE">
        <w:rPr>
          <w:rFonts w:cs="Times New Roman"/>
          <w:lang w:eastAsia="en-GB"/>
        </w:rPr>
        <w:t xml:space="preserve">pathogens </w:t>
      </w:r>
      <w:r w:rsidR="009F5177">
        <w:rPr>
          <w:rFonts w:cs="Times New Roman"/>
          <w:lang w:eastAsia="en-GB"/>
        </w:rPr>
        <w:t xml:space="preserve">by </w:t>
      </w:r>
      <w:r w:rsidR="008914C1">
        <w:rPr>
          <w:rFonts w:cs="Times New Roman"/>
          <w:lang w:eastAsia="en-GB"/>
        </w:rPr>
        <w:t xml:space="preserve">place of </w:t>
      </w:r>
      <w:r w:rsidR="009E5C3F">
        <w:rPr>
          <w:rFonts w:cs="Times New Roman"/>
          <w:lang w:eastAsia="en-GB"/>
        </w:rPr>
        <w:t>acquisition</w:t>
      </w:r>
      <w:r w:rsidR="008914C1">
        <w:rPr>
          <w:rFonts w:cs="Times New Roman"/>
          <w:lang w:eastAsia="en-GB"/>
        </w:rPr>
        <w:t xml:space="preserve">. </w:t>
      </w:r>
      <w:r w:rsidR="00C6673F" w:rsidRPr="0012360C">
        <w:rPr>
          <w:rFonts w:cs="Times New Roman"/>
        </w:rPr>
        <w:t xml:space="preserve">We </w:t>
      </w:r>
      <w:r w:rsidR="00C6673F">
        <w:rPr>
          <w:rFonts w:cs="Times New Roman"/>
        </w:rPr>
        <w:t>were unable to carry out post-hoc</w:t>
      </w:r>
      <w:r w:rsidR="00C6673F" w:rsidRPr="0012360C">
        <w:rPr>
          <w:rFonts w:cs="Times New Roman"/>
        </w:rPr>
        <w:t xml:space="preserve"> analysis </w:t>
      </w:r>
      <w:r w:rsidR="008C5042">
        <w:rPr>
          <w:rFonts w:cs="Times New Roman"/>
        </w:rPr>
        <w:t>of</w:t>
      </w:r>
      <w:r w:rsidR="00C6673F" w:rsidRPr="0012360C">
        <w:rPr>
          <w:rFonts w:cs="Times New Roman"/>
        </w:rPr>
        <w:t xml:space="preserve"> </w:t>
      </w:r>
      <w:r w:rsidR="00C6673F">
        <w:rPr>
          <w:rFonts w:cs="Times New Roman"/>
        </w:rPr>
        <w:t>differences in aetiology by gestational age</w:t>
      </w:r>
      <w:r w:rsidR="008C5042">
        <w:rPr>
          <w:rFonts w:cs="Times New Roman"/>
        </w:rPr>
        <w:t>,</w:t>
      </w:r>
      <w:r w:rsidR="00C6673F">
        <w:rPr>
          <w:rFonts w:cs="Times New Roman"/>
        </w:rPr>
        <w:t xml:space="preserve"> birth weight</w:t>
      </w:r>
      <w:r w:rsidR="008C5042">
        <w:rPr>
          <w:rFonts w:cs="Times New Roman"/>
        </w:rPr>
        <w:t xml:space="preserve">, and HIV status </w:t>
      </w:r>
      <w:r w:rsidR="00C6673F" w:rsidRPr="0012360C">
        <w:rPr>
          <w:rFonts w:cs="Times New Roman"/>
        </w:rPr>
        <w:t>due to the poor reporting of th</w:t>
      </w:r>
      <w:r w:rsidR="008C5042">
        <w:rPr>
          <w:rFonts w:cs="Times New Roman"/>
        </w:rPr>
        <w:t>e</w:t>
      </w:r>
      <w:r w:rsidR="00C6673F" w:rsidRPr="0012360C">
        <w:rPr>
          <w:rFonts w:cs="Times New Roman"/>
        </w:rPr>
        <w:t>s</w:t>
      </w:r>
      <w:r w:rsidR="008C5042">
        <w:rPr>
          <w:rFonts w:cs="Times New Roman"/>
        </w:rPr>
        <w:t>e</w:t>
      </w:r>
      <w:r w:rsidR="00C6673F" w:rsidRPr="0012360C">
        <w:rPr>
          <w:rFonts w:cs="Times New Roman"/>
        </w:rPr>
        <w:t xml:space="preserve"> data across the studies</w:t>
      </w:r>
      <w:r w:rsidR="00C6673F">
        <w:rPr>
          <w:rFonts w:cs="Times New Roman"/>
        </w:rPr>
        <w:t>.</w:t>
      </w:r>
    </w:p>
    <w:p w14:paraId="3E7D182A" w14:textId="63D5D5C5" w:rsidR="00107B24" w:rsidRDefault="003675E3" w:rsidP="00107B24">
      <w:pPr>
        <w:spacing w:line="480" w:lineRule="auto"/>
        <w:jc w:val="both"/>
        <w:rPr>
          <w:rFonts w:cs="Times New Roman"/>
          <w:lang w:eastAsia="en-GB"/>
        </w:rPr>
      </w:pPr>
      <w:r>
        <w:rPr>
          <w:rFonts w:cs="Times New Roman"/>
          <w:lang w:eastAsia="en-GB"/>
        </w:rPr>
        <w:t xml:space="preserve">Table </w:t>
      </w:r>
      <w:r w:rsidR="00DA5CBD">
        <w:rPr>
          <w:rFonts w:cs="Times New Roman"/>
          <w:lang w:eastAsia="en-GB"/>
        </w:rPr>
        <w:t xml:space="preserve">2a </w:t>
      </w:r>
      <w:r w:rsidR="00BA42B3">
        <w:rPr>
          <w:rFonts w:cs="Times New Roman"/>
          <w:lang w:eastAsia="en-GB"/>
        </w:rPr>
        <w:t xml:space="preserve">shows the regional distribution of </w:t>
      </w:r>
      <w:r w:rsidR="00013AE7">
        <w:rPr>
          <w:rFonts w:cs="Times New Roman"/>
          <w:lang w:eastAsia="en-GB"/>
        </w:rPr>
        <w:t xml:space="preserve">reported causes of neonatal bacteraemia/sepsis. </w:t>
      </w:r>
      <w:r w:rsidR="00AB6BCA">
        <w:rPr>
          <w:rFonts w:cs="Times New Roman"/>
          <w:lang w:eastAsia="en-GB"/>
        </w:rPr>
        <w:t>In Central and Southern Africa,</w:t>
      </w:r>
      <w:r w:rsidR="008A5D6A">
        <w:rPr>
          <w:rFonts w:cs="Times New Roman"/>
          <w:lang w:eastAsia="en-GB"/>
        </w:rPr>
        <w:t xml:space="preserve"> </w:t>
      </w:r>
      <w:r w:rsidR="00DC77F7" w:rsidRPr="00116D82">
        <w:rPr>
          <w:rFonts w:cs="Times New Roman"/>
          <w:i/>
        </w:rPr>
        <w:t>Klebsiella</w:t>
      </w:r>
      <w:r w:rsidR="00DC77F7">
        <w:rPr>
          <w:rFonts w:cs="Times New Roman"/>
        </w:rPr>
        <w:t xml:space="preserve"> spp </w:t>
      </w:r>
      <w:r w:rsidR="00AB6BCA">
        <w:rPr>
          <w:rFonts w:cs="Times New Roman"/>
        </w:rPr>
        <w:t>was the predominant isolate representing 38% (95% CI 19 – 54%) and 25% (95% CI 10 – 41%) of bacteraemic infections respectively</w:t>
      </w:r>
      <w:r w:rsidR="00E22FD6">
        <w:rPr>
          <w:rFonts w:cs="Times New Roman"/>
        </w:rPr>
        <w:t>;</w:t>
      </w:r>
      <w:r w:rsidR="00AB6BCA">
        <w:rPr>
          <w:rFonts w:cs="Times New Roman"/>
        </w:rPr>
        <w:t xml:space="preserve"> whereas in East and West Africa </w:t>
      </w:r>
      <w:r w:rsidR="00FC1985" w:rsidRPr="008A1567">
        <w:rPr>
          <w:rFonts w:cs="Times New Roman"/>
          <w:i/>
        </w:rPr>
        <w:t>S</w:t>
      </w:r>
      <w:r w:rsidR="00FC1985" w:rsidRPr="008223BC">
        <w:rPr>
          <w:rFonts w:cs="Times New Roman"/>
          <w:i/>
        </w:rPr>
        <w:t xml:space="preserve"> aureus</w:t>
      </w:r>
      <w:r w:rsidR="00FC1985">
        <w:rPr>
          <w:rFonts w:cs="Times New Roman"/>
        </w:rPr>
        <w:t xml:space="preserve"> </w:t>
      </w:r>
      <w:r w:rsidR="00AB6BCA">
        <w:rPr>
          <w:rFonts w:cs="Times New Roman"/>
        </w:rPr>
        <w:t>was the most common isolate accounting for 20% (95% CI 14 – 28%</w:t>
      </w:r>
      <w:r w:rsidR="00FC1985">
        <w:rPr>
          <w:rFonts w:cs="Times New Roman"/>
        </w:rPr>
        <w:t xml:space="preserve">) </w:t>
      </w:r>
      <w:r w:rsidR="00AB6BCA">
        <w:rPr>
          <w:rFonts w:cs="Times New Roman"/>
        </w:rPr>
        <w:t>and 32% (95% CI 25 – 39%) of cases respectively</w:t>
      </w:r>
      <w:r w:rsidR="00E22FD6">
        <w:rPr>
          <w:rFonts w:cs="Times New Roman"/>
        </w:rPr>
        <w:t xml:space="preserve"> (see the appendix for this meta-analysis)</w:t>
      </w:r>
      <w:r w:rsidR="008A1567">
        <w:rPr>
          <w:rFonts w:cs="Times New Roman"/>
        </w:rPr>
        <w:t>.</w:t>
      </w:r>
      <w:r w:rsidR="00E20AD8">
        <w:rPr>
          <w:rFonts w:cs="Times New Roman"/>
        </w:rPr>
        <w:t xml:space="preserve"> </w:t>
      </w:r>
      <w:r w:rsidR="00303FA7">
        <w:rPr>
          <w:rFonts w:cs="Times New Roman"/>
          <w:lang w:eastAsia="en-GB"/>
        </w:rPr>
        <w:t>We observed much intra- and inter-regional heterogeneity in all our meta-analyses (</w:t>
      </w:r>
      <w:r w:rsidR="00303FA7" w:rsidRPr="00474B6A">
        <w:rPr>
          <w:rFonts w:cs="Times New Roman"/>
          <w:i/>
          <w:lang w:eastAsia="en-GB"/>
        </w:rPr>
        <w:t>I</w:t>
      </w:r>
      <w:r w:rsidR="00303FA7" w:rsidRPr="00474B6A">
        <w:rPr>
          <w:rFonts w:cs="Times New Roman"/>
          <w:vertAlign w:val="superscript"/>
          <w:lang w:eastAsia="en-GB"/>
        </w:rPr>
        <w:t>2</w:t>
      </w:r>
      <w:r w:rsidR="00303FA7">
        <w:rPr>
          <w:rFonts w:cs="Times New Roman"/>
          <w:lang w:eastAsia="en-GB"/>
        </w:rPr>
        <w:t xml:space="preserve"> range 5</w:t>
      </w:r>
      <w:r w:rsidR="009B2C93">
        <w:rPr>
          <w:rFonts w:cs="Times New Roman"/>
          <w:lang w:eastAsia="en-GB"/>
        </w:rPr>
        <w:t>6</w:t>
      </w:r>
      <w:r w:rsidR="00303FA7">
        <w:rPr>
          <w:rFonts w:cs="Times New Roman"/>
          <w:lang w:eastAsia="en-GB"/>
        </w:rPr>
        <w:t xml:space="preserve"> - </w:t>
      </w:r>
      <w:r w:rsidR="009B2C93">
        <w:rPr>
          <w:rFonts w:cs="Times New Roman"/>
          <w:lang w:eastAsia="en-GB"/>
        </w:rPr>
        <w:t>9</w:t>
      </w:r>
      <w:r w:rsidR="009D4FF2">
        <w:rPr>
          <w:rFonts w:cs="Times New Roman"/>
          <w:lang w:eastAsia="en-GB"/>
        </w:rPr>
        <w:t>8</w:t>
      </w:r>
      <w:r w:rsidR="00303FA7">
        <w:rPr>
          <w:rFonts w:cs="Times New Roman"/>
          <w:lang w:eastAsia="en-GB"/>
        </w:rPr>
        <w:t>%), both overall and in subgroups defined by region (figure 3</w:t>
      </w:r>
      <w:r w:rsidR="007A0AC6">
        <w:rPr>
          <w:rFonts w:cs="Times New Roman"/>
          <w:lang w:eastAsia="en-GB"/>
        </w:rPr>
        <w:t xml:space="preserve"> and </w:t>
      </w:r>
      <w:r w:rsidR="00C20D0C">
        <w:rPr>
          <w:rFonts w:cs="Times New Roman"/>
        </w:rPr>
        <w:t>webappendix</w:t>
      </w:r>
      <w:r w:rsidR="00C20D0C" w:rsidDel="00C20D0C">
        <w:rPr>
          <w:rFonts w:cs="Times New Roman"/>
          <w:lang w:eastAsia="en-GB"/>
        </w:rPr>
        <w:t xml:space="preserve"> </w:t>
      </w:r>
      <w:r w:rsidR="007A0AC6">
        <w:rPr>
          <w:rFonts w:cs="Times New Roman"/>
          <w:lang w:eastAsia="en-GB"/>
        </w:rPr>
        <w:t xml:space="preserve">figure </w:t>
      </w:r>
      <w:r w:rsidR="008B6AC8">
        <w:rPr>
          <w:rFonts w:cs="Times New Roman"/>
          <w:lang w:eastAsia="en-GB"/>
        </w:rPr>
        <w:t>2</w:t>
      </w:r>
      <w:r w:rsidR="00303FA7">
        <w:rPr>
          <w:rFonts w:cs="Times New Roman"/>
          <w:lang w:eastAsia="en-GB"/>
        </w:rPr>
        <w:t>).</w:t>
      </w:r>
      <w:r w:rsidR="00FD318A">
        <w:rPr>
          <w:rFonts w:cs="Times New Roman"/>
          <w:lang w:eastAsia="en-GB"/>
        </w:rPr>
        <w:t xml:space="preserve"> Further sensitivity analyses </w:t>
      </w:r>
      <w:r w:rsidR="008B7BF1">
        <w:rPr>
          <w:rFonts w:cs="Times New Roman"/>
          <w:lang w:eastAsia="en-GB"/>
        </w:rPr>
        <w:t xml:space="preserve">stratifying for important study characteristics </w:t>
      </w:r>
      <w:r w:rsidR="003C1096">
        <w:rPr>
          <w:rFonts w:cs="Times New Roman"/>
          <w:lang w:eastAsia="en-GB"/>
        </w:rPr>
        <w:t xml:space="preserve">showed </w:t>
      </w:r>
      <w:r w:rsidR="001C3754">
        <w:rPr>
          <w:rFonts w:cs="Times New Roman"/>
          <w:lang w:eastAsia="en-GB"/>
        </w:rPr>
        <w:t xml:space="preserve">significant </w:t>
      </w:r>
      <w:r w:rsidR="00CD4434">
        <w:rPr>
          <w:rFonts w:cs="Times New Roman"/>
          <w:lang w:eastAsia="en-GB"/>
        </w:rPr>
        <w:t xml:space="preserve">differences in the prevalence of </w:t>
      </w:r>
      <w:r w:rsidR="00CD4434" w:rsidRPr="008447E8">
        <w:rPr>
          <w:rFonts w:cs="Times New Roman"/>
          <w:i/>
          <w:lang w:eastAsia="en-GB"/>
        </w:rPr>
        <w:t>S aureus</w:t>
      </w:r>
      <w:r w:rsidR="00CD4434">
        <w:rPr>
          <w:rFonts w:cs="Times New Roman"/>
          <w:lang w:eastAsia="en-GB"/>
        </w:rPr>
        <w:t xml:space="preserve"> </w:t>
      </w:r>
      <w:r w:rsidR="00CD40AD">
        <w:rPr>
          <w:rFonts w:cs="Times New Roman"/>
          <w:lang w:eastAsia="en-GB"/>
        </w:rPr>
        <w:t xml:space="preserve">bacteraemia </w:t>
      </w:r>
      <w:r w:rsidR="00CD4434">
        <w:rPr>
          <w:rFonts w:cs="Times New Roman"/>
          <w:lang w:eastAsia="en-GB"/>
        </w:rPr>
        <w:t xml:space="preserve">between </w:t>
      </w:r>
      <w:r w:rsidR="00CD40AD">
        <w:rPr>
          <w:rFonts w:cs="Times New Roman"/>
          <w:lang w:eastAsia="en-GB"/>
        </w:rPr>
        <w:t xml:space="preserve">countries in each </w:t>
      </w:r>
      <w:r w:rsidR="00CD40AD" w:rsidRPr="0072160F">
        <w:rPr>
          <w:rFonts w:cs="Times New Roman"/>
          <w:lang w:eastAsia="en-GB"/>
        </w:rPr>
        <w:t xml:space="preserve">region (webappendix figure </w:t>
      </w:r>
      <w:r w:rsidR="0072160F" w:rsidRPr="0072160F">
        <w:rPr>
          <w:rFonts w:cs="Times New Roman"/>
          <w:lang w:eastAsia="en-GB"/>
        </w:rPr>
        <w:t>4</w:t>
      </w:r>
      <w:r w:rsidR="00CD40AD" w:rsidRPr="0072160F">
        <w:rPr>
          <w:rFonts w:cs="Times New Roman"/>
          <w:lang w:eastAsia="en-GB"/>
        </w:rPr>
        <w:t>).</w:t>
      </w:r>
      <w:r w:rsidR="00402003" w:rsidRPr="00402003">
        <w:rPr>
          <w:rFonts w:cs="Times New Roman"/>
        </w:rPr>
        <w:t xml:space="preserve"> </w:t>
      </w:r>
      <w:r w:rsidR="00402003">
        <w:rPr>
          <w:rFonts w:cs="Times New Roman"/>
        </w:rPr>
        <w:t xml:space="preserve">Most (80%, 1020/1282) </w:t>
      </w:r>
      <w:r w:rsidR="00402003" w:rsidRPr="008223BC">
        <w:rPr>
          <w:rFonts w:cs="Times New Roman"/>
        </w:rPr>
        <w:t xml:space="preserve">of </w:t>
      </w:r>
      <w:r w:rsidR="00402003" w:rsidRPr="008223BC">
        <w:rPr>
          <w:rFonts w:cs="Times New Roman"/>
          <w:i/>
        </w:rPr>
        <w:t>S</w:t>
      </w:r>
      <w:r w:rsidR="00402003">
        <w:rPr>
          <w:rFonts w:cs="Times New Roman"/>
          <w:i/>
        </w:rPr>
        <w:t>.</w:t>
      </w:r>
      <w:r w:rsidR="00402003" w:rsidRPr="008223BC">
        <w:rPr>
          <w:rFonts w:cs="Times New Roman"/>
          <w:i/>
        </w:rPr>
        <w:t xml:space="preserve"> aureus </w:t>
      </w:r>
      <w:r w:rsidR="00402003" w:rsidRPr="008223BC">
        <w:rPr>
          <w:rFonts w:cs="Times New Roman"/>
        </w:rPr>
        <w:t xml:space="preserve">isolates in West Africa </w:t>
      </w:r>
      <w:r w:rsidR="00402003" w:rsidRPr="008223BC">
        <w:rPr>
          <w:rFonts w:cs="Times New Roman"/>
          <w:lang w:eastAsia="en-GB"/>
        </w:rPr>
        <w:t>were reported</w:t>
      </w:r>
      <w:r w:rsidR="00402003">
        <w:rPr>
          <w:rFonts w:cs="Times New Roman"/>
          <w:lang w:eastAsia="en-GB"/>
        </w:rPr>
        <w:t xml:space="preserve"> from</w:t>
      </w:r>
      <w:r w:rsidR="00402003" w:rsidRPr="008223BC">
        <w:rPr>
          <w:rFonts w:cs="Times New Roman"/>
          <w:lang w:eastAsia="en-GB"/>
        </w:rPr>
        <w:t xml:space="preserve"> Nigerian studies</w:t>
      </w:r>
      <w:r w:rsidR="00402003">
        <w:rPr>
          <w:rFonts w:cs="Times New Roman"/>
          <w:lang w:eastAsia="en-GB"/>
        </w:rPr>
        <w:t>.</w:t>
      </w:r>
      <w:r w:rsidR="00107B24">
        <w:rPr>
          <w:rFonts w:cs="Times New Roman"/>
          <w:lang w:eastAsia="en-GB"/>
        </w:rPr>
        <w:t xml:space="preserve"> Among these, </w:t>
      </w:r>
      <w:r w:rsidR="004875B1">
        <w:rPr>
          <w:rFonts w:cs="Times New Roman"/>
          <w:lang w:eastAsia="en-GB"/>
        </w:rPr>
        <w:t xml:space="preserve">the prevalence of </w:t>
      </w:r>
      <w:r w:rsidR="00C06033" w:rsidRPr="00113A11">
        <w:rPr>
          <w:rFonts w:cs="Times New Roman"/>
          <w:i/>
          <w:iCs/>
          <w:lang w:eastAsia="en-GB"/>
        </w:rPr>
        <w:t>S aureus</w:t>
      </w:r>
      <w:r w:rsidR="00C06033">
        <w:rPr>
          <w:rFonts w:cs="Times New Roman"/>
          <w:lang w:eastAsia="en-GB"/>
        </w:rPr>
        <w:t xml:space="preserve"> bacteraemia was </w:t>
      </w:r>
      <w:r w:rsidR="00113A11">
        <w:rPr>
          <w:rFonts w:cs="Times New Roman"/>
          <w:lang w:eastAsia="en-GB"/>
        </w:rPr>
        <w:t xml:space="preserve">higher </w:t>
      </w:r>
      <w:r w:rsidR="001046C3">
        <w:rPr>
          <w:rFonts w:cs="Times New Roman"/>
          <w:lang w:eastAsia="en-GB"/>
        </w:rPr>
        <w:t>among</w:t>
      </w:r>
      <w:r w:rsidR="00113A11">
        <w:rPr>
          <w:rFonts w:cs="Times New Roman"/>
          <w:lang w:eastAsia="en-GB"/>
        </w:rPr>
        <w:t xml:space="preserve"> </w:t>
      </w:r>
      <w:r w:rsidR="00107B24">
        <w:rPr>
          <w:rFonts w:cs="Times New Roman"/>
          <w:lang w:eastAsia="en-GB"/>
        </w:rPr>
        <w:t xml:space="preserve">retrospective </w:t>
      </w:r>
      <w:r w:rsidR="001046C3">
        <w:rPr>
          <w:rFonts w:cs="Times New Roman"/>
          <w:lang w:eastAsia="en-GB"/>
        </w:rPr>
        <w:t xml:space="preserve">studies </w:t>
      </w:r>
      <w:r w:rsidR="006219D5">
        <w:rPr>
          <w:rFonts w:cs="Times New Roman"/>
          <w:lang w:eastAsia="en-GB"/>
        </w:rPr>
        <w:t>compared to</w:t>
      </w:r>
      <w:r w:rsidR="00107B24">
        <w:rPr>
          <w:rFonts w:cs="Times New Roman"/>
          <w:lang w:eastAsia="en-GB"/>
        </w:rPr>
        <w:t xml:space="preserve"> </w:t>
      </w:r>
      <w:r w:rsidR="006219D5">
        <w:rPr>
          <w:rFonts w:cs="Times New Roman"/>
          <w:lang w:eastAsia="en-GB"/>
        </w:rPr>
        <w:t xml:space="preserve">prospective studies </w:t>
      </w:r>
      <w:r w:rsidR="00107B24">
        <w:rPr>
          <w:rFonts w:cs="Times New Roman"/>
          <w:lang w:eastAsia="en-GB"/>
        </w:rPr>
        <w:t>(</w:t>
      </w:r>
      <w:r w:rsidR="004257AC">
        <w:rPr>
          <w:rFonts w:cs="Times New Roman"/>
          <w:lang w:eastAsia="en-GB"/>
        </w:rPr>
        <w:t xml:space="preserve">47% </w:t>
      </w:r>
      <w:r w:rsidR="004257AC" w:rsidRPr="00BF2181">
        <w:rPr>
          <w:rFonts w:cs="Times New Roman"/>
          <w:i/>
          <w:iCs/>
          <w:lang w:eastAsia="en-GB"/>
        </w:rPr>
        <w:t>vs</w:t>
      </w:r>
      <w:r w:rsidR="004257AC">
        <w:rPr>
          <w:rFonts w:cs="Times New Roman"/>
          <w:lang w:eastAsia="en-GB"/>
        </w:rPr>
        <w:t xml:space="preserve"> </w:t>
      </w:r>
      <w:r w:rsidR="00BF2181">
        <w:rPr>
          <w:rFonts w:cs="Times New Roman"/>
          <w:lang w:eastAsia="en-GB"/>
        </w:rPr>
        <w:t xml:space="preserve">30%, </w:t>
      </w:r>
      <w:r w:rsidR="00107B24">
        <w:rPr>
          <w:rFonts w:cs="Times New Roman"/>
          <w:lang w:eastAsia="en-GB"/>
        </w:rPr>
        <w:t>p=0.043)</w:t>
      </w:r>
      <w:r w:rsidR="00BF2181">
        <w:rPr>
          <w:rFonts w:cs="Times New Roman"/>
          <w:lang w:eastAsia="en-GB"/>
        </w:rPr>
        <w:t>,</w:t>
      </w:r>
      <w:r w:rsidR="00107B24">
        <w:rPr>
          <w:rFonts w:cs="Times New Roman"/>
          <w:lang w:eastAsia="en-GB"/>
        </w:rPr>
        <w:t xml:space="preserve"> and </w:t>
      </w:r>
      <w:r w:rsidR="001046C3">
        <w:rPr>
          <w:rFonts w:cs="Times New Roman"/>
          <w:lang w:eastAsia="en-GB"/>
        </w:rPr>
        <w:t xml:space="preserve">among </w:t>
      </w:r>
      <w:r w:rsidR="00107B24">
        <w:rPr>
          <w:rFonts w:cs="Times New Roman"/>
          <w:lang w:eastAsia="en-GB"/>
        </w:rPr>
        <w:t xml:space="preserve">studies </w:t>
      </w:r>
      <w:r w:rsidR="00EF7F4E">
        <w:rPr>
          <w:rFonts w:cs="Times New Roman"/>
          <w:lang w:eastAsia="en-GB"/>
        </w:rPr>
        <w:t>reported from</w:t>
      </w:r>
      <w:r w:rsidR="00107B24">
        <w:rPr>
          <w:rFonts w:cs="Times New Roman"/>
          <w:lang w:eastAsia="en-GB"/>
        </w:rPr>
        <w:t xml:space="preserve"> </w:t>
      </w:r>
      <w:r w:rsidR="00934C19">
        <w:rPr>
          <w:rFonts w:cs="Times New Roman"/>
          <w:lang w:eastAsia="en-GB"/>
        </w:rPr>
        <w:t xml:space="preserve">tertiary healthcare facilities </w:t>
      </w:r>
      <w:r w:rsidR="00EF7F4E">
        <w:rPr>
          <w:rFonts w:cs="Times New Roman"/>
          <w:lang w:eastAsia="en-GB"/>
        </w:rPr>
        <w:t>compared to those from</w:t>
      </w:r>
      <w:r w:rsidR="00107B24">
        <w:rPr>
          <w:rFonts w:cs="Times New Roman"/>
          <w:lang w:eastAsia="en-GB"/>
        </w:rPr>
        <w:t xml:space="preserve"> secondary </w:t>
      </w:r>
      <w:r w:rsidR="00EF7F4E">
        <w:rPr>
          <w:rFonts w:cs="Times New Roman"/>
          <w:lang w:eastAsia="en-GB"/>
        </w:rPr>
        <w:t xml:space="preserve">facilities </w:t>
      </w:r>
      <w:r w:rsidR="00107B24">
        <w:rPr>
          <w:rFonts w:cs="Times New Roman"/>
          <w:lang w:eastAsia="en-GB"/>
        </w:rPr>
        <w:t>and (</w:t>
      </w:r>
      <w:r w:rsidR="00EF7F4E">
        <w:rPr>
          <w:rFonts w:cs="Times New Roman"/>
          <w:lang w:eastAsia="en-GB"/>
        </w:rPr>
        <w:t xml:space="preserve">36% </w:t>
      </w:r>
      <w:r w:rsidR="00EF7F4E" w:rsidRPr="0027361B">
        <w:rPr>
          <w:rFonts w:cs="Times New Roman"/>
          <w:i/>
          <w:iCs/>
          <w:lang w:eastAsia="en-GB"/>
        </w:rPr>
        <w:t>vs</w:t>
      </w:r>
      <w:r w:rsidR="00EF7F4E">
        <w:rPr>
          <w:rFonts w:cs="Times New Roman"/>
          <w:lang w:eastAsia="en-GB"/>
        </w:rPr>
        <w:t xml:space="preserve"> </w:t>
      </w:r>
      <w:r w:rsidR="0027361B">
        <w:rPr>
          <w:rFonts w:cs="Times New Roman"/>
          <w:lang w:eastAsia="en-GB"/>
        </w:rPr>
        <w:t xml:space="preserve">23%; </w:t>
      </w:r>
      <w:r w:rsidR="00107B24">
        <w:rPr>
          <w:rFonts w:cs="Times New Roman"/>
          <w:lang w:eastAsia="en-GB"/>
        </w:rPr>
        <w:t>p=0.020)</w:t>
      </w:r>
      <w:r w:rsidR="002A1721">
        <w:rPr>
          <w:rFonts w:cs="Times New Roman"/>
          <w:lang w:eastAsia="en-GB"/>
        </w:rPr>
        <w:t xml:space="preserve"> (webappendix </w:t>
      </w:r>
      <w:r w:rsidR="00E641E6">
        <w:rPr>
          <w:rFonts w:cs="Times New Roman"/>
          <w:lang w:eastAsia="en-GB"/>
        </w:rPr>
        <w:t>figure 5)</w:t>
      </w:r>
      <w:r w:rsidR="00107B24" w:rsidRPr="0072160F">
        <w:rPr>
          <w:rFonts w:cs="Times New Roman"/>
          <w:lang w:eastAsia="en-GB"/>
        </w:rPr>
        <w:t>.</w:t>
      </w:r>
    </w:p>
    <w:p w14:paraId="216A6FE5" w14:textId="77777777" w:rsidR="0070038E" w:rsidRPr="008223BC" w:rsidRDefault="0070038E" w:rsidP="0070038E">
      <w:pPr>
        <w:pStyle w:val="Heading4"/>
        <w:rPr>
          <w:lang w:eastAsia="en-GB"/>
        </w:rPr>
      </w:pPr>
      <w:r>
        <w:rPr>
          <w:lang w:eastAsia="en-GB"/>
        </w:rPr>
        <w:lastRenderedPageBreak/>
        <w:t>Aetiology of m</w:t>
      </w:r>
      <w:r w:rsidRPr="008223BC">
        <w:rPr>
          <w:lang w:eastAsia="en-GB"/>
        </w:rPr>
        <w:t xml:space="preserve">eningitis </w:t>
      </w:r>
    </w:p>
    <w:p w14:paraId="6107D728" w14:textId="24A8F077" w:rsidR="007A0AC6" w:rsidRDefault="00BB67FC" w:rsidP="007A0AC6">
      <w:pPr>
        <w:spacing w:line="480" w:lineRule="auto"/>
        <w:jc w:val="both"/>
        <w:rPr>
          <w:rFonts w:cs="Times New Roman"/>
        </w:rPr>
      </w:pPr>
      <w:r>
        <w:rPr>
          <w:rFonts w:cs="Times New Roman"/>
        </w:rPr>
        <w:t xml:space="preserve">Table </w:t>
      </w:r>
      <w:r w:rsidR="00DA03C5">
        <w:rPr>
          <w:rFonts w:cs="Times New Roman"/>
        </w:rPr>
        <w:t>1</w:t>
      </w:r>
      <w:r w:rsidR="00076A32">
        <w:rPr>
          <w:rFonts w:cs="Times New Roman"/>
        </w:rPr>
        <w:t>b</w:t>
      </w:r>
      <w:r>
        <w:rPr>
          <w:rFonts w:cs="Times New Roman"/>
        </w:rPr>
        <w:t xml:space="preserve"> shows </w:t>
      </w:r>
      <w:r w:rsidR="009423DB">
        <w:rPr>
          <w:rFonts w:cs="Times New Roman"/>
        </w:rPr>
        <w:t xml:space="preserve">pooled </w:t>
      </w:r>
      <w:r w:rsidR="005A4EC3">
        <w:rPr>
          <w:rFonts w:cs="Times New Roman"/>
        </w:rPr>
        <w:t xml:space="preserve">pathogen </w:t>
      </w:r>
      <w:r w:rsidR="009423DB">
        <w:rPr>
          <w:rFonts w:cs="Times New Roman"/>
        </w:rPr>
        <w:t xml:space="preserve">prevalence </w:t>
      </w:r>
      <w:r w:rsidR="00666575">
        <w:rPr>
          <w:rFonts w:cs="Times New Roman"/>
        </w:rPr>
        <w:t xml:space="preserve">associated with neonatal meningitis by </w:t>
      </w:r>
      <w:r w:rsidR="005A4EC3">
        <w:rPr>
          <w:rFonts w:cs="Times New Roman"/>
        </w:rPr>
        <w:t xml:space="preserve">time </w:t>
      </w:r>
      <w:r w:rsidR="00666575">
        <w:rPr>
          <w:rFonts w:cs="Times New Roman"/>
        </w:rPr>
        <w:t xml:space="preserve">period. </w:t>
      </w:r>
      <w:r w:rsidR="00152B6B">
        <w:rPr>
          <w:rFonts w:cs="Times New Roman"/>
        </w:rPr>
        <w:t xml:space="preserve"> </w:t>
      </w:r>
      <w:r w:rsidR="0087013C">
        <w:rPr>
          <w:rFonts w:cs="Times New Roman"/>
        </w:rPr>
        <w:t xml:space="preserve">Group B </w:t>
      </w:r>
      <w:r w:rsidR="0087013C" w:rsidRPr="00E20AD8">
        <w:rPr>
          <w:rFonts w:cs="Times New Roman"/>
          <w:i/>
        </w:rPr>
        <w:t>Streptococcus</w:t>
      </w:r>
      <w:r w:rsidR="0050103A">
        <w:rPr>
          <w:rFonts w:cs="Times New Roman"/>
        </w:rPr>
        <w:t xml:space="preserve"> (GBS)</w:t>
      </w:r>
      <w:r w:rsidR="00092596">
        <w:rPr>
          <w:rFonts w:cs="Times New Roman"/>
        </w:rPr>
        <w:t>(26%, 95</w:t>
      </w:r>
      <w:r w:rsidR="00782F8B">
        <w:rPr>
          <w:rFonts w:cs="Times New Roman"/>
        </w:rPr>
        <w:t>%</w:t>
      </w:r>
      <w:r w:rsidR="00092596">
        <w:rPr>
          <w:rFonts w:cs="Times New Roman"/>
        </w:rPr>
        <w:t xml:space="preserve"> CI 18 – 35%)</w:t>
      </w:r>
      <w:r w:rsidR="00CF54B5">
        <w:rPr>
          <w:rFonts w:cs="Times New Roman"/>
        </w:rPr>
        <w:t xml:space="preserve"> was the most commonly reported cause between 1980 and 20</w:t>
      </w:r>
      <w:r w:rsidR="009C5A51">
        <w:rPr>
          <w:rFonts w:cs="Times New Roman"/>
        </w:rPr>
        <w:t>07, followed by</w:t>
      </w:r>
      <w:r w:rsidR="00092596">
        <w:rPr>
          <w:rFonts w:cs="Times New Roman"/>
        </w:rPr>
        <w:t xml:space="preserve"> </w:t>
      </w:r>
      <w:r w:rsidR="00092596" w:rsidRPr="005937A1">
        <w:rPr>
          <w:rFonts w:cs="Times New Roman"/>
          <w:i/>
        </w:rPr>
        <w:t>S. aureus</w:t>
      </w:r>
      <w:r w:rsidR="00092596">
        <w:rPr>
          <w:rFonts w:cs="Times New Roman"/>
        </w:rPr>
        <w:t xml:space="preserve"> </w:t>
      </w:r>
      <w:r w:rsidR="008B5A3F">
        <w:rPr>
          <w:rFonts w:cs="Times New Roman"/>
        </w:rPr>
        <w:t xml:space="preserve">(18%, 95% CI </w:t>
      </w:r>
      <w:r w:rsidR="008F10FA">
        <w:rPr>
          <w:rFonts w:cs="Times New Roman"/>
        </w:rPr>
        <w:t>7 – 32%)</w:t>
      </w:r>
      <w:r w:rsidR="009C5A51">
        <w:rPr>
          <w:rFonts w:cs="Times New Roman"/>
        </w:rPr>
        <w:t xml:space="preserve">, </w:t>
      </w:r>
      <w:r w:rsidR="009C5A51" w:rsidRPr="0041780E">
        <w:rPr>
          <w:rFonts w:cs="Times New Roman"/>
          <w:i/>
          <w:lang w:eastAsia="en-GB"/>
        </w:rPr>
        <w:t>S</w:t>
      </w:r>
      <w:r w:rsidR="00EB520A">
        <w:rPr>
          <w:rFonts w:cs="Times New Roman"/>
          <w:i/>
          <w:lang w:eastAsia="en-GB"/>
        </w:rPr>
        <w:t xml:space="preserve"> </w:t>
      </w:r>
      <w:r w:rsidR="009C5A51" w:rsidRPr="0041780E">
        <w:rPr>
          <w:rFonts w:cs="Times New Roman"/>
          <w:i/>
          <w:lang w:eastAsia="en-GB"/>
        </w:rPr>
        <w:t>pneumoniae</w:t>
      </w:r>
      <w:r w:rsidR="009C5A51">
        <w:rPr>
          <w:rFonts w:cs="Times New Roman"/>
          <w:lang w:eastAsia="en-GB"/>
        </w:rPr>
        <w:t xml:space="preserve"> (</w:t>
      </w:r>
      <w:r w:rsidR="00974A12">
        <w:rPr>
          <w:rFonts w:cs="Times New Roman"/>
          <w:lang w:eastAsia="en-GB"/>
        </w:rPr>
        <w:t xml:space="preserve">15%, 95 % CI </w:t>
      </w:r>
      <w:r w:rsidR="00782F8B">
        <w:rPr>
          <w:rFonts w:cs="Times New Roman"/>
          <w:lang w:eastAsia="en-GB"/>
        </w:rPr>
        <w:t>11 – 21%)</w:t>
      </w:r>
      <w:r w:rsidR="00DE6F6D">
        <w:rPr>
          <w:rFonts w:cs="Times New Roman"/>
          <w:lang w:eastAsia="en-GB"/>
        </w:rPr>
        <w:t xml:space="preserve">, </w:t>
      </w:r>
      <w:r w:rsidR="00DE6F6D" w:rsidRPr="005937A1">
        <w:rPr>
          <w:rFonts w:cs="Times New Roman"/>
          <w:i/>
          <w:lang w:eastAsia="en-GB"/>
        </w:rPr>
        <w:t>Klebsiella</w:t>
      </w:r>
      <w:r w:rsidR="00DE6F6D">
        <w:rPr>
          <w:rFonts w:cs="Times New Roman"/>
          <w:lang w:eastAsia="en-GB"/>
        </w:rPr>
        <w:t xml:space="preserve"> sp</w:t>
      </w:r>
      <w:r w:rsidR="0060206A">
        <w:rPr>
          <w:rFonts w:cs="Times New Roman"/>
          <w:lang w:eastAsia="en-GB"/>
        </w:rPr>
        <w:t>p</w:t>
      </w:r>
      <w:r w:rsidR="00DE6F6D">
        <w:rPr>
          <w:rFonts w:cs="Times New Roman"/>
          <w:lang w:eastAsia="en-GB"/>
        </w:rPr>
        <w:t xml:space="preserve"> </w:t>
      </w:r>
      <w:r w:rsidR="009B1F3A">
        <w:rPr>
          <w:rFonts w:cs="Times New Roman"/>
          <w:lang w:eastAsia="en-GB"/>
        </w:rPr>
        <w:t xml:space="preserve">(15%, 95% CI 9 – 21%), </w:t>
      </w:r>
      <w:r w:rsidR="00DE6F6D">
        <w:rPr>
          <w:rFonts w:cs="Times New Roman"/>
          <w:lang w:eastAsia="en-GB"/>
        </w:rPr>
        <w:t xml:space="preserve">and </w:t>
      </w:r>
      <w:r w:rsidR="00DE6F6D" w:rsidRPr="009B1F3A">
        <w:rPr>
          <w:rFonts w:cs="Times New Roman"/>
          <w:i/>
          <w:lang w:eastAsia="en-GB"/>
        </w:rPr>
        <w:t>E. coli</w:t>
      </w:r>
      <w:r w:rsidR="00DE6F6D">
        <w:rPr>
          <w:rFonts w:cs="Times New Roman"/>
          <w:lang w:eastAsia="en-GB"/>
        </w:rPr>
        <w:t xml:space="preserve"> (15%, 95% CI </w:t>
      </w:r>
      <w:r w:rsidR="009B1F3A">
        <w:rPr>
          <w:rFonts w:cs="Times New Roman"/>
          <w:lang w:eastAsia="en-GB"/>
        </w:rPr>
        <w:t>10 – 20%).</w:t>
      </w:r>
      <w:r w:rsidR="005A4EC3">
        <w:rPr>
          <w:rFonts w:cs="Times New Roman"/>
        </w:rPr>
        <w:t xml:space="preserve"> </w:t>
      </w:r>
      <w:r w:rsidR="005A4EC3">
        <w:rPr>
          <w:rFonts w:cs="Times New Roman"/>
          <w:lang w:eastAsia="en-GB"/>
        </w:rPr>
        <w:t>B</w:t>
      </w:r>
      <w:r w:rsidR="0050103A">
        <w:rPr>
          <w:rFonts w:cs="Times New Roman"/>
          <w:lang w:eastAsia="en-GB"/>
        </w:rPr>
        <w:t xml:space="preserve">etween 2008 and 2018 </w:t>
      </w:r>
      <w:r w:rsidR="00FB48E2">
        <w:rPr>
          <w:rFonts w:cs="Times New Roman"/>
        </w:rPr>
        <w:t>GBS</w:t>
      </w:r>
      <w:r w:rsidR="004E305D">
        <w:rPr>
          <w:rFonts w:cs="Times New Roman"/>
        </w:rPr>
        <w:t xml:space="preserve">, </w:t>
      </w:r>
      <w:r w:rsidR="008112CD" w:rsidRPr="0041780E">
        <w:rPr>
          <w:rFonts w:cs="Times New Roman"/>
          <w:i/>
          <w:lang w:eastAsia="en-GB"/>
        </w:rPr>
        <w:t>S</w:t>
      </w:r>
      <w:r w:rsidR="00EB520A">
        <w:rPr>
          <w:rFonts w:cs="Times New Roman"/>
          <w:i/>
          <w:lang w:eastAsia="en-GB"/>
        </w:rPr>
        <w:t xml:space="preserve"> </w:t>
      </w:r>
      <w:r w:rsidR="008112CD" w:rsidRPr="0041780E">
        <w:rPr>
          <w:rFonts w:cs="Times New Roman"/>
          <w:i/>
          <w:lang w:eastAsia="en-GB"/>
        </w:rPr>
        <w:t>pneumoniae</w:t>
      </w:r>
      <w:r w:rsidR="004E305D">
        <w:rPr>
          <w:rFonts w:cs="Times New Roman"/>
        </w:rPr>
        <w:t xml:space="preserve">, and </w:t>
      </w:r>
      <w:r w:rsidR="008844F4" w:rsidRPr="008844F4">
        <w:rPr>
          <w:rFonts w:cs="Times New Roman"/>
          <w:i/>
        </w:rPr>
        <w:t>S aureus</w:t>
      </w:r>
      <w:r w:rsidR="008844F4">
        <w:rPr>
          <w:rFonts w:cs="Times New Roman"/>
        </w:rPr>
        <w:t xml:space="preserve"> remain</w:t>
      </w:r>
      <w:r w:rsidR="0050103A">
        <w:rPr>
          <w:rFonts w:cs="Times New Roman"/>
        </w:rPr>
        <w:t>ed</w:t>
      </w:r>
      <w:r w:rsidR="008844F4">
        <w:rPr>
          <w:rFonts w:cs="Times New Roman"/>
        </w:rPr>
        <w:t xml:space="preserve"> the major reported</w:t>
      </w:r>
      <w:r w:rsidR="0050103A">
        <w:rPr>
          <w:rFonts w:cs="Times New Roman"/>
        </w:rPr>
        <w:t xml:space="preserve"> causes</w:t>
      </w:r>
      <w:r w:rsidR="005A4EC3">
        <w:rPr>
          <w:rFonts w:cs="Times New Roman"/>
        </w:rPr>
        <w:t xml:space="preserve"> (</w:t>
      </w:r>
      <w:r w:rsidR="00CE68DD">
        <w:rPr>
          <w:rFonts w:cs="Times New Roman"/>
        </w:rPr>
        <w:t xml:space="preserve">Table </w:t>
      </w:r>
      <w:r w:rsidR="009C5344">
        <w:rPr>
          <w:rFonts w:cs="Times New Roman"/>
        </w:rPr>
        <w:t>2b</w:t>
      </w:r>
      <w:r w:rsidR="005A4EC3">
        <w:rPr>
          <w:rFonts w:cs="Times New Roman"/>
        </w:rPr>
        <w:t>)</w:t>
      </w:r>
      <w:r w:rsidR="008844F4">
        <w:rPr>
          <w:rFonts w:cs="Times New Roman"/>
        </w:rPr>
        <w:t>.</w:t>
      </w:r>
      <w:r w:rsidR="004E305D">
        <w:rPr>
          <w:rFonts w:cs="Times New Roman"/>
        </w:rPr>
        <w:t xml:space="preserve"> </w:t>
      </w:r>
      <w:r w:rsidR="009226AA">
        <w:rPr>
          <w:rFonts w:cs="Times New Roman"/>
          <w:lang w:eastAsia="en-GB"/>
        </w:rPr>
        <w:t xml:space="preserve">GBS predominated in East </w:t>
      </w:r>
      <w:r w:rsidR="007A0E09">
        <w:rPr>
          <w:rFonts w:cs="Times New Roman"/>
          <w:lang w:eastAsia="en-GB"/>
        </w:rPr>
        <w:t xml:space="preserve">(19%, 95% CI 11 – 28%) </w:t>
      </w:r>
      <w:r w:rsidR="009226AA">
        <w:rPr>
          <w:rFonts w:cs="Times New Roman"/>
          <w:lang w:eastAsia="en-GB"/>
        </w:rPr>
        <w:t>and Southern Africa</w:t>
      </w:r>
      <w:r w:rsidR="004D475E">
        <w:rPr>
          <w:rFonts w:cs="Times New Roman"/>
          <w:lang w:eastAsia="en-GB"/>
        </w:rPr>
        <w:t xml:space="preserve"> (31%, 95% CI 21 – 41%)</w:t>
      </w:r>
      <w:r w:rsidR="009226AA">
        <w:rPr>
          <w:rFonts w:cs="Times New Roman"/>
          <w:lang w:eastAsia="en-GB"/>
        </w:rPr>
        <w:t xml:space="preserve">; although most of the </w:t>
      </w:r>
      <w:r w:rsidR="009226AA">
        <w:rPr>
          <w:rFonts w:cs="Times New Roman"/>
        </w:rPr>
        <w:t xml:space="preserve">data were </w:t>
      </w:r>
      <w:r w:rsidR="009226AA" w:rsidRPr="008223BC">
        <w:rPr>
          <w:rFonts w:cs="Times New Roman"/>
          <w:lang w:eastAsia="en-GB"/>
        </w:rPr>
        <w:t>from South Africa</w:t>
      </w:r>
      <w:r w:rsidR="009226AA">
        <w:rPr>
          <w:rFonts w:cs="Times New Roman"/>
        </w:rPr>
        <w:t xml:space="preserve">. </w:t>
      </w:r>
      <w:r w:rsidR="008C5042">
        <w:rPr>
          <w:rFonts w:cs="Times New Roman"/>
        </w:rPr>
        <w:t>We observed variable h</w:t>
      </w:r>
      <w:r w:rsidR="007A0AC6">
        <w:rPr>
          <w:rFonts w:cs="Times New Roman"/>
        </w:rPr>
        <w:t xml:space="preserve">eterogeneity </w:t>
      </w:r>
      <w:r w:rsidR="008C5042">
        <w:rPr>
          <w:rFonts w:cs="Times New Roman"/>
        </w:rPr>
        <w:t xml:space="preserve">(0 – 87%)  </w:t>
      </w:r>
      <w:r w:rsidR="007A0AC6">
        <w:rPr>
          <w:rFonts w:cs="Times New Roman"/>
        </w:rPr>
        <w:t xml:space="preserve">in </w:t>
      </w:r>
      <w:r w:rsidR="008C5042">
        <w:rPr>
          <w:rFonts w:cs="Times New Roman"/>
        </w:rPr>
        <w:t xml:space="preserve">the </w:t>
      </w:r>
      <w:r w:rsidR="007A0AC6">
        <w:rPr>
          <w:rFonts w:cs="Times New Roman"/>
        </w:rPr>
        <w:t xml:space="preserve">aetiology of neonatal meningitis </w:t>
      </w:r>
      <w:r w:rsidR="008C5042">
        <w:rPr>
          <w:rFonts w:cs="Times New Roman"/>
        </w:rPr>
        <w:t xml:space="preserve">between regions </w:t>
      </w:r>
      <w:r w:rsidR="00A47B93">
        <w:rPr>
          <w:rFonts w:cs="Times New Roman"/>
        </w:rPr>
        <w:t xml:space="preserve">(figure 4 and </w:t>
      </w:r>
      <w:r w:rsidR="00C20D0C">
        <w:rPr>
          <w:rFonts w:cs="Times New Roman"/>
        </w:rPr>
        <w:t>webappendix</w:t>
      </w:r>
      <w:r w:rsidR="00C20D0C" w:rsidDel="00C20D0C">
        <w:rPr>
          <w:rFonts w:cs="Times New Roman"/>
        </w:rPr>
        <w:t xml:space="preserve"> </w:t>
      </w:r>
      <w:r w:rsidR="00A47B93">
        <w:rPr>
          <w:rFonts w:cs="Times New Roman"/>
        </w:rPr>
        <w:t xml:space="preserve">figure </w:t>
      </w:r>
      <w:r w:rsidR="008B6AC8">
        <w:rPr>
          <w:rFonts w:cs="Times New Roman"/>
        </w:rPr>
        <w:t>3</w:t>
      </w:r>
      <w:r w:rsidR="00A47B93">
        <w:rPr>
          <w:rFonts w:cs="Times New Roman"/>
        </w:rPr>
        <w:t>)</w:t>
      </w:r>
      <w:r w:rsidR="005A4EC3">
        <w:rPr>
          <w:rFonts w:cs="Times New Roman"/>
        </w:rPr>
        <w:t>.</w:t>
      </w:r>
    </w:p>
    <w:p w14:paraId="3E412CAB" w14:textId="77777777" w:rsidR="00541B77" w:rsidRPr="008223BC" w:rsidRDefault="00541B77" w:rsidP="001E6C81">
      <w:pPr>
        <w:pStyle w:val="Heading4"/>
        <w:rPr>
          <w:lang w:eastAsia="en-GB"/>
        </w:rPr>
      </w:pPr>
      <w:r w:rsidRPr="008223BC">
        <w:rPr>
          <w:lang w:eastAsia="en-GB"/>
        </w:rPr>
        <w:t>Antimicrobial resistance</w:t>
      </w:r>
    </w:p>
    <w:p w14:paraId="06574965" w14:textId="3DE94A7E" w:rsidR="00AE6736" w:rsidRDefault="0056474B" w:rsidP="00947D41">
      <w:pPr>
        <w:spacing w:line="480" w:lineRule="auto"/>
        <w:jc w:val="both"/>
        <w:rPr>
          <w:rFonts w:cs="Times New Roman"/>
          <w:lang w:eastAsia="en-GB"/>
        </w:rPr>
      </w:pPr>
      <w:r>
        <w:rPr>
          <w:rFonts w:cs="Times New Roman"/>
        </w:rPr>
        <w:t xml:space="preserve">Sixty-three </w:t>
      </w:r>
      <w:r w:rsidR="00781252">
        <w:rPr>
          <w:rFonts w:cs="Times New Roman"/>
        </w:rPr>
        <w:t xml:space="preserve">studies (78%) reported </w:t>
      </w:r>
      <w:r w:rsidR="00353445">
        <w:rPr>
          <w:rFonts w:cs="Times New Roman"/>
        </w:rPr>
        <w:t>in</w:t>
      </w:r>
      <w:r w:rsidR="0006722E">
        <w:rPr>
          <w:rFonts w:cs="Times New Roman"/>
        </w:rPr>
        <w:t xml:space="preserve"> vitro </w:t>
      </w:r>
      <w:r w:rsidR="00781252">
        <w:rPr>
          <w:rFonts w:cs="Times New Roman"/>
        </w:rPr>
        <w:t xml:space="preserve">antibiotic susceptibility data but </w:t>
      </w:r>
      <w:r>
        <w:rPr>
          <w:rFonts w:cs="Times New Roman"/>
        </w:rPr>
        <w:t xml:space="preserve">only </w:t>
      </w:r>
      <w:r w:rsidR="00781252">
        <w:rPr>
          <w:rFonts w:cs="Times New Roman"/>
          <w:lang w:eastAsia="en-GB"/>
        </w:rPr>
        <w:t>2</w:t>
      </w:r>
      <w:r w:rsidR="00005E18">
        <w:rPr>
          <w:rFonts w:cs="Times New Roman"/>
          <w:lang w:eastAsia="en-GB"/>
        </w:rPr>
        <w:t>9</w:t>
      </w:r>
      <w:r w:rsidR="00781252">
        <w:rPr>
          <w:rFonts w:cs="Times New Roman"/>
          <w:lang w:eastAsia="en-GB"/>
        </w:rPr>
        <w:t xml:space="preserve"> studies specified individual pathogens and isolate</w:t>
      </w:r>
      <w:r w:rsidR="001E141E">
        <w:rPr>
          <w:rFonts w:cs="Times New Roman"/>
          <w:lang w:eastAsia="en-GB"/>
        </w:rPr>
        <w:t>s</w:t>
      </w:r>
      <w:r w:rsidR="00781252">
        <w:rPr>
          <w:rFonts w:cs="Times New Roman"/>
          <w:lang w:eastAsia="en-GB"/>
        </w:rPr>
        <w:t xml:space="preserve"> </w:t>
      </w:r>
      <w:r w:rsidR="005A4EC3">
        <w:rPr>
          <w:rFonts w:cs="Times New Roman"/>
          <w:lang w:eastAsia="en-GB"/>
        </w:rPr>
        <w:t xml:space="preserve">numbers </w:t>
      </w:r>
      <w:r w:rsidR="00781252">
        <w:rPr>
          <w:rFonts w:cs="Times New Roman"/>
          <w:lang w:eastAsia="en-GB"/>
        </w:rPr>
        <w:t>tested</w:t>
      </w:r>
      <w:r>
        <w:rPr>
          <w:rFonts w:cs="Times New Roman"/>
          <w:lang w:eastAsia="en-GB"/>
        </w:rPr>
        <w:t>.</w:t>
      </w:r>
      <w:r w:rsidRPr="0056474B">
        <w:rPr>
          <w:rFonts w:cs="Times New Roman"/>
          <w:lang w:eastAsia="en-GB"/>
        </w:rPr>
        <w:t xml:space="preserve"> </w:t>
      </w:r>
      <w:r w:rsidR="005A4EC3">
        <w:rPr>
          <w:rFonts w:cs="Times New Roman"/>
          <w:lang w:eastAsia="en-GB"/>
        </w:rPr>
        <w:t>No</w:t>
      </w:r>
      <w:r w:rsidR="006201DD">
        <w:rPr>
          <w:rFonts w:cs="Times New Roman"/>
          <w:lang w:eastAsia="en-GB"/>
        </w:rPr>
        <w:t xml:space="preserve"> </w:t>
      </w:r>
      <w:r w:rsidR="005A4EC3">
        <w:rPr>
          <w:rFonts w:cs="Times New Roman"/>
          <w:lang w:eastAsia="en-GB"/>
        </w:rPr>
        <w:t>study</w:t>
      </w:r>
      <w:r w:rsidR="005A4EC3" w:rsidRPr="008223BC">
        <w:rPr>
          <w:rFonts w:cs="Times New Roman"/>
          <w:lang w:eastAsia="en-GB"/>
        </w:rPr>
        <w:t xml:space="preserve"> </w:t>
      </w:r>
      <w:r w:rsidR="006201DD" w:rsidRPr="008223BC">
        <w:rPr>
          <w:rFonts w:cs="Times New Roman"/>
          <w:lang w:eastAsia="en-GB"/>
        </w:rPr>
        <w:t xml:space="preserve">reported minimum inhibitory concentrations (MIC) to the antibiotics reported, making it difficult to assess intermediate or decreased susceptibility. </w:t>
      </w:r>
      <w:r w:rsidR="00916F89">
        <w:rPr>
          <w:rFonts w:cs="Times New Roman"/>
          <w:lang w:eastAsia="en-GB"/>
        </w:rPr>
        <w:t>Tabl</w:t>
      </w:r>
      <w:r w:rsidR="00A40354">
        <w:rPr>
          <w:rFonts w:cs="Times New Roman"/>
          <w:lang w:eastAsia="en-GB"/>
        </w:rPr>
        <w:t xml:space="preserve">e </w:t>
      </w:r>
      <w:r w:rsidR="00DD669C">
        <w:rPr>
          <w:rFonts w:cs="Times New Roman"/>
          <w:lang w:eastAsia="en-GB"/>
        </w:rPr>
        <w:t>3</w:t>
      </w:r>
      <w:r w:rsidR="00A40354">
        <w:rPr>
          <w:rFonts w:cs="Times New Roman"/>
          <w:lang w:eastAsia="en-GB"/>
        </w:rPr>
        <w:t xml:space="preserve"> presents findings for </w:t>
      </w:r>
      <w:r w:rsidR="00450CA3">
        <w:rPr>
          <w:rFonts w:cs="Times New Roman"/>
          <w:lang w:eastAsia="en-GB"/>
        </w:rPr>
        <w:t>th</w:t>
      </w:r>
      <w:r w:rsidR="005A4EC3">
        <w:rPr>
          <w:rFonts w:cs="Times New Roman"/>
          <w:lang w:eastAsia="en-GB"/>
        </w:rPr>
        <w:t>e</w:t>
      </w:r>
      <w:r w:rsidR="00450CA3">
        <w:rPr>
          <w:rFonts w:cs="Times New Roman"/>
          <w:lang w:eastAsia="en-GB"/>
        </w:rPr>
        <w:t xml:space="preserve"> most </w:t>
      </w:r>
      <w:r w:rsidR="00B91B1F">
        <w:rPr>
          <w:rFonts w:cs="Times New Roman"/>
          <w:lang w:eastAsia="en-GB"/>
        </w:rPr>
        <w:t xml:space="preserve">prevalent </w:t>
      </w:r>
      <w:r w:rsidR="00450CA3">
        <w:rPr>
          <w:rFonts w:cs="Times New Roman"/>
          <w:lang w:eastAsia="en-GB"/>
        </w:rPr>
        <w:t xml:space="preserve">isolates. </w:t>
      </w:r>
    </w:p>
    <w:p w14:paraId="72C189FB" w14:textId="577D9871" w:rsidR="0078424B" w:rsidRDefault="00981D85" w:rsidP="00947D41">
      <w:pPr>
        <w:spacing w:line="480" w:lineRule="auto"/>
        <w:jc w:val="both"/>
        <w:rPr>
          <w:rFonts w:cs="Times New Roman"/>
        </w:rPr>
      </w:pPr>
      <w:r>
        <w:rPr>
          <w:rFonts w:cs="Times New Roman"/>
        </w:rPr>
        <w:t>22 studies</w:t>
      </w:r>
      <w:r w:rsidR="002220C3" w:rsidRPr="002220C3">
        <w:rPr>
          <w:rFonts w:cs="Times New Roman"/>
          <w:noProof/>
          <w:sz w:val="18"/>
          <w:szCs w:val="16"/>
          <w:vertAlign w:val="superscript"/>
        </w:rPr>
        <w:t>36,63,74,79,84,86,88,91,93,97,98,106,108,110,112,113,118,123,128,130-132</w:t>
      </w:r>
      <w:r w:rsidR="008423E1">
        <w:rPr>
          <w:rFonts w:cs="Times New Roman"/>
          <w:sz w:val="18"/>
          <w:szCs w:val="16"/>
        </w:rPr>
        <w:t xml:space="preserve"> </w:t>
      </w:r>
      <w:r w:rsidR="00CE3857">
        <w:rPr>
          <w:rFonts w:cs="Times New Roman"/>
        </w:rPr>
        <w:t xml:space="preserve">reported </w:t>
      </w:r>
      <w:r w:rsidR="00262938">
        <w:rPr>
          <w:rFonts w:cs="Times New Roman"/>
        </w:rPr>
        <w:t>resistance</w:t>
      </w:r>
      <w:r w:rsidR="00CE3857">
        <w:rPr>
          <w:rFonts w:cs="Times New Roman"/>
        </w:rPr>
        <w:t xml:space="preserve"> </w:t>
      </w:r>
      <w:r w:rsidR="00F11E92">
        <w:rPr>
          <w:rFonts w:cs="Times New Roman"/>
        </w:rPr>
        <w:t>among</w:t>
      </w:r>
      <w:r w:rsidR="00986A59">
        <w:rPr>
          <w:rFonts w:cs="Times New Roman"/>
        </w:rPr>
        <w:t xml:space="preserve"> </w:t>
      </w:r>
      <w:r w:rsidR="00CE3857" w:rsidRPr="008223BC">
        <w:rPr>
          <w:rFonts w:cs="Times New Roman"/>
          <w:i/>
          <w:lang w:eastAsia="en-GB"/>
        </w:rPr>
        <w:t>Klebsiella</w:t>
      </w:r>
      <w:r w:rsidR="00CE3857" w:rsidRPr="008223BC">
        <w:rPr>
          <w:rFonts w:cs="Times New Roman"/>
          <w:lang w:eastAsia="en-GB"/>
        </w:rPr>
        <w:t xml:space="preserve"> spp</w:t>
      </w:r>
      <w:r w:rsidR="00CE3857">
        <w:rPr>
          <w:rFonts w:cs="Times New Roman"/>
        </w:rPr>
        <w:t xml:space="preserve"> (predominantly </w:t>
      </w:r>
      <w:r w:rsidR="00CE3857" w:rsidRPr="008F74C4">
        <w:rPr>
          <w:rFonts w:cs="Times New Roman"/>
          <w:i/>
        </w:rPr>
        <w:t>K</w:t>
      </w:r>
      <w:r w:rsidR="00CE3857">
        <w:rPr>
          <w:rFonts w:cs="Times New Roman"/>
          <w:i/>
        </w:rPr>
        <w:t xml:space="preserve"> </w:t>
      </w:r>
      <w:r w:rsidR="00CE3857" w:rsidRPr="008F74C4">
        <w:rPr>
          <w:rFonts w:cs="Times New Roman"/>
          <w:i/>
        </w:rPr>
        <w:t>pneumoniae</w:t>
      </w:r>
      <w:r w:rsidR="00CE3857">
        <w:rPr>
          <w:rFonts w:cs="Times New Roman"/>
          <w:i/>
        </w:rPr>
        <w:t xml:space="preserve">, </w:t>
      </w:r>
      <w:r w:rsidR="00CE3857">
        <w:rPr>
          <w:rFonts w:cs="Times New Roman"/>
        </w:rPr>
        <w:t xml:space="preserve">with few </w:t>
      </w:r>
      <w:r w:rsidR="000173B5">
        <w:rPr>
          <w:rFonts w:cs="Times New Roman"/>
        </w:rPr>
        <w:t>cases</w:t>
      </w:r>
      <w:r w:rsidR="00CE3857">
        <w:rPr>
          <w:rFonts w:cs="Times New Roman"/>
        </w:rPr>
        <w:t xml:space="preserve"> of </w:t>
      </w:r>
      <w:r w:rsidR="00CE3857" w:rsidRPr="002B2A2E">
        <w:rPr>
          <w:rFonts w:cs="Times New Roman"/>
          <w:i/>
        </w:rPr>
        <w:t>K</w:t>
      </w:r>
      <w:r w:rsidR="00CE3857">
        <w:rPr>
          <w:rFonts w:cs="Times New Roman"/>
          <w:i/>
        </w:rPr>
        <w:t xml:space="preserve"> </w:t>
      </w:r>
      <w:r w:rsidR="00CE3857" w:rsidRPr="002B2A2E">
        <w:rPr>
          <w:rFonts w:cs="Times New Roman"/>
          <w:i/>
        </w:rPr>
        <w:t>oxytoca</w:t>
      </w:r>
      <w:r w:rsidR="00CE3857">
        <w:rPr>
          <w:rFonts w:cs="Times New Roman"/>
        </w:rPr>
        <w:t>)</w:t>
      </w:r>
      <w:r w:rsidR="0095415F">
        <w:rPr>
          <w:rFonts w:cs="Times New Roman"/>
        </w:rPr>
        <w:t xml:space="preserve">, documenting non-susceptibility to </w:t>
      </w:r>
      <w:r w:rsidR="0095415F" w:rsidRPr="008223BC">
        <w:rPr>
          <w:rFonts w:cs="Times New Roman"/>
        </w:rPr>
        <w:t>gen</w:t>
      </w:r>
      <w:r w:rsidR="0095415F">
        <w:rPr>
          <w:rFonts w:cs="Times New Roman"/>
        </w:rPr>
        <w:t>tamicin</w:t>
      </w:r>
      <w:r w:rsidR="0095415F" w:rsidRPr="000630C2">
        <w:rPr>
          <w:rFonts w:cs="Times New Roman"/>
        </w:rPr>
        <w:t xml:space="preserve"> </w:t>
      </w:r>
      <w:r w:rsidR="00782026">
        <w:rPr>
          <w:rFonts w:cs="Times New Roman"/>
        </w:rPr>
        <w:t>of</w:t>
      </w:r>
      <w:r w:rsidR="0095415F">
        <w:rPr>
          <w:rFonts w:cs="Times New Roman"/>
        </w:rPr>
        <w:t xml:space="preserve"> </w:t>
      </w:r>
      <w:r w:rsidR="00A92E49">
        <w:rPr>
          <w:rFonts w:cs="Times New Roman"/>
        </w:rPr>
        <w:t>66</w:t>
      </w:r>
      <w:r w:rsidR="0095415F">
        <w:rPr>
          <w:rFonts w:cs="Times New Roman"/>
        </w:rPr>
        <w:t>% (95% CI 47% – 83</w:t>
      </w:r>
      <w:r w:rsidR="0095415F" w:rsidRPr="008223BC">
        <w:rPr>
          <w:rFonts w:cs="Times New Roman"/>
        </w:rPr>
        <w:t>%)</w:t>
      </w:r>
      <w:r w:rsidR="00DE4E24">
        <w:rPr>
          <w:rFonts w:cs="Times New Roman"/>
        </w:rPr>
        <w:t xml:space="preserve">, </w:t>
      </w:r>
      <w:r w:rsidR="0095415F">
        <w:rPr>
          <w:rFonts w:cs="Times New Roman"/>
        </w:rPr>
        <w:t xml:space="preserve"> </w:t>
      </w:r>
      <w:r w:rsidR="00DE4E24" w:rsidRPr="008223BC">
        <w:rPr>
          <w:rFonts w:cs="Times New Roman"/>
        </w:rPr>
        <w:t>ceftriaxone</w:t>
      </w:r>
      <w:r w:rsidR="00DE4E24">
        <w:rPr>
          <w:rFonts w:cs="Times New Roman"/>
        </w:rPr>
        <w:t xml:space="preserve"> 49% (95% CI 28 – 71</w:t>
      </w:r>
      <w:r w:rsidR="00DE4E24" w:rsidRPr="008223BC">
        <w:rPr>
          <w:rFonts w:cs="Times New Roman"/>
        </w:rPr>
        <w:t>%)</w:t>
      </w:r>
      <w:r w:rsidR="006B16B2">
        <w:rPr>
          <w:rFonts w:cs="Times New Roman"/>
        </w:rPr>
        <w:t xml:space="preserve">, and cefotaxime 78% (95% CI 55 – 95%). </w:t>
      </w:r>
      <w:r w:rsidR="002B26DE">
        <w:rPr>
          <w:rFonts w:cs="Times New Roman"/>
        </w:rPr>
        <w:t>R</w:t>
      </w:r>
      <w:r w:rsidR="001C79E4">
        <w:rPr>
          <w:rFonts w:cs="Times New Roman"/>
        </w:rPr>
        <w:t>eported r</w:t>
      </w:r>
      <w:r w:rsidR="00007799">
        <w:rPr>
          <w:rFonts w:cs="Times New Roman"/>
        </w:rPr>
        <w:t xml:space="preserve">esistance to amikacin, an alternative to gentamicin was low </w:t>
      </w:r>
      <w:r w:rsidR="00E22F36">
        <w:rPr>
          <w:rFonts w:cs="Times New Roman"/>
        </w:rPr>
        <w:t>(</w:t>
      </w:r>
      <w:r w:rsidR="00EC2790">
        <w:rPr>
          <w:rFonts w:cs="Times New Roman"/>
        </w:rPr>
        <w:t>14</w:t>
      </w:r>
      <w:r w:rsidR="00007799">
        <w:rPr>
          <w:rFonts w:cs="Times New Roman"/>
        </w:rPr>
        <w:t>%</w:t>
      </w:r>
      <w:r w:rsidR="00E22F36">
        <w:rPr>
          <w:rFonts w:cs="Times New Roman"/>
        </w:rPr>
        <w:t xml:space="preserve">, </w:t>
      </w:r>
      <w:r w:rsidR="00EC2790">
        <w:rPr>
          <w:rFonts w:cs="Times New Roman"/>
        </w:rPr>
        <w:t>95% CI</w:t>
      </w:r>
      <w:r w:rsidR="00007799">
        <w:rPr>
          <w:rFonts w:cs="Times New Roman"/>
        </w:rPr>
        <w:t xml:space="preserve"> </w:t>
      </w:r>
      <w:r w:rsidR="00063B77">
        <w:rPr>
          <w:rFonts w:cs="Times New Roman"/>
        </w:rPr>
        <w:t>7</w:t>
      </w:r>
      <w:r w:rsidR="00007799">
        <w:rPr>
          <w:rFonts w:cs="Times New Roman"/>
        </w:rPr>
        <w:t xml:space="preserve"> – 2</w:t>
      </w:r>
      <w:r w:rsidR="00EC2790">
        <w:rPr>
          <w:rFonts w:cs="Times New Roman"/>
        </w:rPr>
        <w:t>3</w:t>
      </w:r>
      <w:r w:rsidR="00E22F36">
        <w:rPr>
          <w:rFonts w:cs="Times New Roman"/>
        </w:rPr>
        <w:t>%</w:t>
      </w:r>
      <w:r w:rsidR="00007799">
        <w:rPr>
          <w:rFonts w:cs="Times New Roman"/>
        </w:rPr>
        <w:t>).</w:t>
      </w:r>
      <w:r w:rsidR="002220C3" w:rsidRPr="002220C3">
        <w:rPr>
          <w:rFonts w:cs="Times New Roman"/>
          <w:noProof/>
          <w:vertAlign w:val="superscript"/>
        </w:rPr>
        <w:t>63,108,113,123,128,131,132</w:t>
      </w:r>
      <w:r w:rsidR="00360663">
        <w:rPr>
          <w:rFonts w:cs="Times New Roman"/>
        </w:rPr>
        <w:t xml:space="preserve"> </w:t>
      </w:r>
      <w:r w:rsidR="003D1ADE">
        <w:rPr>
          <w:rFonts w:cs="Times New Roman"/>
        </w:rPr>
        <w:t>High</w:t>
      </w:r>
      <w:r w:rsidR="003B7256">
        <w:rPr>
          <w:rFonts w:cs="Times New Roman"/>
        </w:rPr>
        <w:t xml:space="preserve"> </w:t>
      </w:r>
      <w:r w:rsidR="0030121C">
        <w:rPr>
          <w:rFonts w:cs="Times New Roman"/>
        </w:rPr>
        <w:t>fr</w:t>
      </w:r>
      <w:r w:rsidR="002C2773">
        <w:rPr>
          <w:rFonts w:cs="Times New Roman"/>
        </w:rPr>
        <w:t>equencies</w:t>
      </w:r>
      <w:r w:rsidR="003B7256">
        <w:rPr>
          <w:rFonts w:cs="Times New Roman"/>
        </w:rPr>
        <w:t xml:space="preserve"> of extended spectrum β-lactamase (ESBL)-producing </w:t>
      </w:r>
      <w:r w:rsidR="003B7256" w:rsidRPr="008F74C4">
        <w:rPr>
          <w:rFonts w:cs="Times New Roman"/>
          <w:i/>
        </w:rPr>
        <w:t>K</w:t>
      </w:r>
      <w:r w:rsidR="003B7256">
        <w:rPr>
          <w:rFonts w:cs="Times New Roman"/>
          <w:i/>
        </w:rPr>
        <w:t xml:space="preserve"> </w:t>
      </w:r>
      <w:r w:rsidR="003B7256" w:rsidRPr="008F74C4">
        <w:rPr>
          <w:rFonts w:cs="Times New Roman"/>
          <w:i/>
        </w:rPr>
        <w:t>pneumoniae</w:t>
      </w:r>
      <w:r w:rsidR="003B7256">
        <w:rPr>
          <w:rFonts w:cs="Times New Roman"/>
        </w:rPr>
        <w:t xml:space="preserve"> </w:t>
      </w:r>
      <w:r w:rsidR="008E52B2">
        <w:rPr>
          <w:rFonts w:cs="Times New Roman"/>
        </w:rPr>
        <w:t>spp</w:t>
      </w:r>
      <w:r w:rsidR="003B7256">
        <w:rPr>
          <w:rFonts w:cs="Times New Roman"/>
        </w:rPr>
        <w:t xml:space="preserve"> w</w:t>
      </w:r>
      <w:r w:rsidR="003D1ADE">
        <w:rPr>
          <w:rFonts w:cs="Times New Roman"/>
        </w:rPr>
        <w:t>ere</w:t>
      </w:r>
      <w:r w:rsidR="003B7256">
        <w:rPr>
          <w:rFonts w:cs="Times New Roman"/>
        </w:rPr>
        <w:t xml:space="preserve"> reported from </w:t>
      </w:r>
      <w:r w:rsidR="00693FA9">
        <w:rPr>
          <w:rFonts w:cs="Times New Roman"/>
        </w:rPr>
        <w:t xml:space="preserve">South </w:t>
      </w:r>
      <w:r w:rsidR="00AE7054">
        <w:rPr>
          <w:rFonts w:cs="Times New Roman"/>
        </w:rPr>
        <w:t>Africa</w:t>
      </w:r>
      <w:r w:rsidR="00920864">
        <w:rPr>
          <w:rFonts w:cs="Times New Roman"/>
        </w:rPr>
        <w:t xml:space="preserve"> (range </w:t>
      </w:r>
      <w:r w:rsidR="00AE7054">
        <w:rPr>
          <w:rFonts w:cs="Times New Roman"/>
        </w:rPr>
        <w:t>41 – 97%</w:t>
      </w:r>
      <w:r w:rsidR="00920864">
        <w:rPr>
          <w:rFonts w:cs="Times New Roman"/>
        </w:rPr>
        <w:t>)</w:t>
      </w:r>
      <w:r w:rsidR="00AE7054">
        <w:rPr>
          <w:rFonts w:cs="Times New Roman"/>
        </w:rPr>
        <w:t>,</w:t>
      </w:r>
      <w:r w:rsidR="002220C3" w:rsidRPr="002220C3">
        <w:rPr>
          <w:rFonts w:cs="Times New Roman"/>
          <w:noProof/>
          <w:vertAlign w:val="superscript"/>
        </w:rPr>
        <w:t>24,63,108,122,123</w:t>
      </w:r>
      <w:r w:rsidR="007665A8">
        <w:rPr>
          <w:rFonts w:cs="Times New Roman"/>
        </w:rPr>
        <w:t xml:space="preserve"> </w:t>
      </w:r>
      <w:r w:rsidR="009A32A9">
        <w:rPr>
          <w:rFonts w:cs="Times New Roman"/>
        </w:rPr>
        <w:t>Tanzania (</w:t>
      </w:r>
      <w:r w:rsidR="00A95D78">
        <w:rPr>
          <w:rFonts w:cs="Times New Roman"/>
        </w:rPr>
        <w:t>49%</w:t>
      </w:r>
      <w:r w:rsidR="00DB52E7">
        <w:rPr>
          <w:rFonts w:cs="Times New Roman"/>
        </w:rPr>
        <w:t xml:space="preserve">, </w:t>
      </w:r>
      <w:r w:rsidR="00014308">
        <w:rPr>
          <w:rFonts w:cs="Times New Roman"/>
        </w:rPr>
        <w:t>24/</w:t>
      </w:r>
      <w:r w:rsidR="00812110">
        <w:rPr>
          <w:rFonts w:cs="Times New Roman"/>
        </w:rPr>
        <w:t>5</w:t>
      </w:r>
      <w:r w:rsidR="00563370">
        <w:rPr>
          <w:rFonts w:cs="Times New Roman"/>
        </w:rPr>
        <w:t>0</w:t>
      </w:r>
      <w:r w:rsidR="007F2A61">
        <w:rPr>
          <w:rFonts w:cs="Times New Roman"/>
        </w:rPr>
        <w:t>)</w:t>
      </w:r>
      <w:r w:rsidR="00DF4E44">
        <w:rPr>
          <w:rFonts w:cs="Times New Roman"/>
        </w:rPr>
        <w:t>,</w:t>
      </w:r>
      <w:r w:rsidR="002220C3" w:rsidRPr="002220C3">
        <w:rPr>
          <w:rFonts w:cs="Times New Roman"/>
          <w:noProof/>
          <w:vertAlign w:val="superscript"/>
        </w:rPr>
        <w:t>86</w:t>
      </w:r>
      <w:r w:rsidR="00A95D78">
        <w:rPr>
          <w:rFonts w:cs="Times New Roman"/>
        </w:rPr>
        <w:t xml:space="preserve"> </w:t>
      </w:r>
      <w:r w:rsidR="00D9725C">
        <w:rPr>
          <w:rFonts w:cs="Times New Roman"/>
        </w:rPr>
        <w:t xml:space="preserve">and </w:t>
      </w:r>
      <w:r w:rsidR="009D7102">
        <w:rPr>
          <w:rFonts w:cs="Times New Roman"/>
        </w:rPr>
        <w:t xml:space="preserve">Botswana </w:t>
      </w:r>
      <w:r w:rsidR="005D7D7E">
        <w:rPr>
          <w:rFonts w:cs="Times New Roman"/>
        </w:rPr>
        <w:t>(</w:t>
      </w:r>
      <w:r w:rsidR="009D7102">
        <w:rPr>
          <w:rFonts w:cs="Times New Roman"/>
        </w:rPr>
        <w:t>60%</w:t>
      </w:r>
      <w:r w:rsidR="00C60620">
        <w:rPr>
          <w:rFonts w:cs="Times New Roman"/>
        </w:rPr>
        <w:t>, 16/27</w:t>
      </w:r>
      <w:r w:rsidR="005D7D7E">
        <w:rPr>
          <w:rFonts w:cs="Times New Roman"/>
        </w:rPr>
        <w:t>).</w:t>
      </w:r>
      <w:r w:rsidR="002220C3" w:rsidRPr="002220C3">
        <w:rPr>
          <w:rFonts w:cs="Times New Roman"/>
          <w:noProof/>
          <w:vertAlign w:val="superscript"/>
        </w:rPr>
        <w:t>128</w:t>
      </w:r>
      <w:r w:rsidR="005D52B6">
        <w:rPr>
          <w:rFonts w:cs="Times New Roman"/>
        </w:rPr>
        <w:t xml:space="preserve"> </w:t>
      </w:r>
      <w:r w:rsidR="00556642">
        <w:rPr>
          <w:rFonts w:cs="Times New Roman"/>
        </w:rPr>
        <w:t xml:space="preserve">In one South African </w:t>
      </w:r>
      <w:r w:rsidR="00B016CF">
        <w:rPr>
          <w:rFonts w:cs="Times New Roman"/>
        </w:rPr>
        <w:t>study</w:t>
      </w:r>
      <w:r w:rsidR="00556642">
        <w:rPr>
          <w:rFonts w:cs="Times New Roman"/>
        </w:rPr>
        <w:t>,</w:t>
      </w:r>
      <w:r w:rsidR="002220C3" w:rsidRPr="002220C3">
        <w:rPr>
          <w:rFonts w:cs="Times New Roman"/>
          <w:noProof/>
          <w:vertAlign w:val="superscript"/>
        </w:rPr>
        <w:t>108</w:t>
      </w:r>
      <w:r w:rsidR="00EB60F3">
        <w:rPr>
          <w:rFonts w:cs="Times New Roman"/>
        </w:rPr>
        <w:t xml:space="preserve"> </w:t>
      </w:r>
      <w:r w:rsidR="006633B6">
        <w:rPr>
          <w:rFonts w:cs="Times New Roman"/>
        </w:rPr>
        <w:t xml:space="preserve">resistance to piperacillin/tazobactam, was higher among ESBL-producing </w:t>
      </w:r>
      <w:r w:rsidR="006633B6" w:rsidRPr="008F74C4">
        <w:rPr>
          <w:rFonts w:cs="Times New Roman"/>
          <w:i/>
        </w:rPr>
        <w:t>K</w:t>
      </w:r>
      <w:r w:rsidR="006633B6">
        <w:rPr>
          <w:rFonts w:cs="Times New Roman"/>
          <w:i/>
        </w:rPr>
        <w:t xml:space="preserve"> </w:t>
      </w:r>
      <w:r w:rsidR="006633B6" w:rsidRPr="008F74C4">
        <w:rPr>
          <w:rFonts w:cs="Times New Roman"/>
          <w:i/>
        </w:rPr>
        <w:t>pneumoniae</w:t>
      </w:r>
      <w:r w:rsidR="006633B6">
        <w:rPr>
          <w:rFonts w:cs="Times New Roman"/>
        </w:rPr>
        <w:t xml:space="preserve"> isolates (90%</w:t>
      </w:r>
      <w:r w:rsidR="00500C7B">
        <w:rPr>
          <w:rFonts w:cs="Times New Roman"/>
        </w:rPr>
        <w:t>, 9/10</w:t>
      </w:r>
      <w:r w:rsidR="006633B6">
        <w:rPr>
          <w:rFonts w:cs="Times New Roman"/>
        </w:rPr>
        <w:t>) compared to the non-ESBL producing isolates (43%</w:t>
      </w:r>
      <w:r w:rsidR="007903AB">
        <w:rPr>
          <w:rFonts w:cs="Times New Roman"/>
        </w:rPr>
        <w:t>, 3/7</w:t>
      </w:r>
      <w:r w:rsidR="006633B6">
        <w:rPr>
          <w:rFonts w:cs="Times New Roman"/>
        </w:rPr>
        <w:t>).</w:t>
      </w:r>
      <w:r w:rsidR="00BB3235">
        <w:rPr>
          <w:rFonts w:cs="Times New Roman"/>
        </w:rPr>
        <w:t xml:space="preserve"> </w:t>
      </w:r>
      <w:r w:rsidR="001302EA">
        <w:rPr>
          <w:rFonts w:cs="Times New Roman"/>
        </w:rPr>
        <w:t>Non-susceptibility to c</w:t>
      </w:r>
      <w:r w:rsidR="00EA7D09">
        <w:rPr>
          <w:rFonts w:cs="Times New Roman"/>
        </w:rPr>
        <w:t>arbapenem</w:t>
      </w:r>
      <w:r w:rsidR="00AF3717">
        <w:rPr>
          <w:rFonts w:cs="Times New Roman"/>
        </w:rPr>
        <w:t>s</w:t>
      </w:r>
      <w:r w:rsidR="001302EA">
        <w:rPr>
          <w:rFonts w:cs="Times New Roman"/>
        </w:rPr>
        <w:t xml:space="preserve"> was reported in at least once country in each region</w:t>
      </w:r>
      <w:r w:rsidR="00AE32B9">
        <w:rPr>
          <w:rFonts w:cs="Times New Roman"/>
        </w:rPr>
        <w:t>,</w:t>
      </w:r>
      <w:r w:rsidR="002220C3" w:rsidRPr="002220C3">
        <w:rPr>
          <w:rFonts w:cs="Times New Roman"/>
          <w:noProof/>
          <w:vertAlign w:val="superscript"/>
        </w:rPr>
        <w:t>63,86,88,91,106,108,123,132</w:t>
      </w:r>
      <w:r w:rsidR="00EA7D09">
        <w:rPr>
          <w:rFonts w:cs="Times New Roman"/>
        </w:rPr>
        <w:t xml:space="preserve"> </w:t>
      </w:r>
      <w:r w:rsidR="005A4EC3">
        <w:rPr>
          <w:rFonts w:cs="Times New Roman"/>
        </w:rPr>
        <w:t xml:space="preserve">with low </w:t>
      </w:r>
      <w:r w:rsidR="002C1218">
        <w:rPr>
          <w:rFonts w:cs="Times New Roman"/>
        </w:rPr>
        <w:t>resistance rates (4%, 95% CI 1 – 10%).</w:t>
      </w:r>
    </w:p>
    <w:p w14:paraId="261CFA70" w14:textId="50254A30" w:rsidR="00360663" w:rsidRPr="00E56FC6" w:rsidRDefault="005A4EC3" w:rsidP="00185D19">
      <w:pPr>
        <w:spacing w:line="480" w:lineRule="auto"/>
        <w:jc w:val="both"/>
        <w:rPr>
          <w:rFonts w:cs="Times New Roman"/>
        </w:rPr>
      </w:pPr>
      <w:r w:rsidRPr="00413979">
        <w:rPr>
          <w:rFonts w:cs="Times New Roman"/>
          <w:sz w:val="20"/>
        </w:rPr>
        <w:t>P</w:t>
      </w:r>
      <w:r w:rsidR="00474C29" w:rsidRPr="00413979">
        <w:rPr>
          <w:rFonts w:cs="Times New Roman"/>
          <w:sz w:val="20"/>
        </w:rPr>
        <w:t>ooled</w:t>
      </w:r>
      <w:r w:rsidR="00DF6596" w:rsidRPr="00413979">
        <w:rPr>
          <w:rFonts w:cs="Times New Roman"/>
          <w:sz w:val="20"/>
        </w:rPr>
        <w:t xml:space="preserve"> </w:t>
      </w:r>
      <w:r w:rsidR="00565277" w:rsidRPr="00413979">
        <w:rPr>
          <w:rFonts w:cs="Times New Roman"/>
          <w:sz w:val="20"/>
        </w:rPr>
        <w:t>prevalence of n</w:t>
      </w:r>
      <w:r w:rsidR="00123880" w:rsidRPr="00413979">
        <w:rPr>
          <w:rFonts w:cs="Times New Roman"/>
          <w:sz w:val="20"/>
        </w:rPr>
        <w:t xml:space="preserve">on-susceptibility </w:t>
      </w:r>
      <w:r w:rsidR="005B56C3" w:rsidRPr="00413979">
        <w:rPr>
          <w:rFonts w:cs="Times New Roman"/>
          <w:sz w:val="20"/>
        </w:rPr>
        <w:t xml:space="preserve">of </w:t>
      </w:r>
      <w:r w:rsidR="005B56C3" w:rsidRPr="00413979">
        <w:rPr>
          <w:rFonts w:cs="Times New Roman"/>
          <w:i/>
          <w:sz w:val="20"/>
        </w:rPr>
        <w:t>E. coli</w:t>
      </w:r>
      <w:r w:rsidR="005B56C3" w:rsidRPr="00413979">
        <w:rPr>
          <w:rFonts w:cs="Times New Roman"/>
          <w:sz w:val="20"/>
        </w:rPr>
        <w:t xml:space="preserve"> isolates </w:t>
      </w:r>
      <w:r w:rsidR="00DF3EDE" w:rsidRPr="00413979">
        <w:rPr>
          <w:rFonts w:cs="Times New Roman"/>
          <w:sz w:val="20"/>
        </w:rPr>
        <w:t>to ampicillin</w:t>
      </w:r>
      <w:r w:rsidR="002220C3" w:rsidRPr="00413979">
        <w:rPr>
          <w:rFonts w:cs="Times New Roman"/>
          <w:noProof/>
          <w:sz w:val="20"/>
          <w:vertAlign w:val="superscript"/>
        </w:rPr>
        <w:t>63,74,79,84,86,88,98,106,110,112,113,118,123,128,131,132</w:t>
      </w:r>
      <w:r w:rsidR="00F96D87" w:rsidRPr="00413979">
        <w:rPr>
          <w:rFonts w:cs="Times New Roman"/>
          <w:sz w:val="20"/>
        </w:rPr>
        <w:t xml:space="preserve"> </w:t>
      </w:r>
      <w:r w:rsidR="002A2D08" w:rsidRPr="00413979">
        <w:rPr>
          <w:rFonts w:cs="Times New Roman"/>
          <w:sz w:val="20"/>
        </w:rPr>
        <w:t xml:space="preserve">and </w:t>
      </w:r>
      <w:r w:rsidR="00947695" w:rsidRPr="00413979">
        <w:rPr>
          <w:rFonts w:cs="Times New Roman"/>
          <w:sz w:val="20"/>
        </w:rPr>
        <w:t>gentamicin</w:t>
      </w:r>
      <w:r w:rsidR="002220C3" w:rsidRPr="00413979">
        <w:rPr>
          <w:rFonts w:cs="Times New Roman"/>
          <w:noProof/>
          <w:sz w:val="20"/>
          <w:vertAlign w:val="superscript"/>
        </w:rPr>
        <w:t>63,74,79,84,86,88,91,97,98,106,108,110,113,118,123,128,130-132</w:t>
      </w:r>
      <w:r w:rsidR="00716D80">
        <w:rPr>
          <w:rFonts w:cs="Times New Roman"/>
        </w:rPr>
        <w:t xml:space="preserve"> </w:t>
      </w:r>
      <w:r w:rsidR="00F67365">
        <w:rPr>
          <w:rFonts w:cs="Times New Roman"/>
        </w:rPr>
        <w:t xml:space="preserve">was 89% (95% CI 77 – 97%),  </w:t>
      </w:r>
      <w:r w:rsidR="00716D80">
        <w:rPr>
          <w:rFonts w:cs="Times New Roman"/>
        </w:rPr>
        <w:t xml:space="preserve">and </w:t>
      </w:r>
      <w:r w:rsidR="00814566">
        <w:rPr>
          <w:rFonts w:cs="Times New Roman"/>
        </w:rPr>
        <w:t>47</w:t>
      </w:r>
      <w:r w:rsidR="007703EB">
        <w:rPr>
          <w:rFonts w:cs="Times New Roman"/>
        </w:rPr>
        <w:t xml:space="preserve">% </w:t>
      </w:r>
      <w:r w:rsidR="00304529">
        <w:rPr>
          <w:rFonts w:cs="Times New Roman"/>
        </w:rPr>
        <w:t>(</w:t>
      </w:r>
      <w:r w:rsidR="00814566">
        <w:rPr>
          <w:rFonts w:cs="Times New Roman"/>
        </w:rPr>
        <w:t>95% CI</w:t>
      </w:r>
      <w:r w:rsidR="00304529">
        <w:rPr>
          <w:rFonts w:cs="Times New Roman"/>
        </w:rPr>
        <w:t xml:space="preserve"> </w:t>
      </w:r>
      <w:r w:rsidR="00814566">
        <w:rPr>
          <w:rFonts w:cs="Times New Roman"/>
        </w:rPr>
        <w:lastRenderedPageBreak/>
        <w:t>25</w:t>
      </w:r>
      <w:r w:rsidR="00304529">
        <w:rPr>
          <w:rFonts w:cs="Times New Roman"/>
        </w:rPr>
        <w:t xml:space="preserve"> – 6</w:t>
      </w:r>
      <w:r w:rsidR="00814566">
        <w:rPr>
          <w:rFonts w:cs="Times New Roman"/>
        </w:rPr>
        <w:t>9</w:t>
      </w:r>
      <w:r w:rsidR="00304529">
        <w:rPr>
          <w:rFonts w:cs="Times New Roman"/>
        </w:rPr>
        <w:t>%)</w:t>
      </w:r>
      <w:r w:rsidR="00814566">
        <w:rPr>
          <w:rFonts w:cs="Times New Roman"/>
        </w:rPr>
        <w:t xml:space="preserve"> respectively</w:t>
      </w:r>
      <w:r w:rsidR="00542862">
        <w:rPr>
          <w:rFonts w:cs="Times New Roman"/>
        </w:rPr>
        <w:t>.</w:t>
      </w:r>
      <w:r w:rsidR="00DF6596">
        <w:rPr>
          <w:rFonts w:cs="Times New Roman"/>
        </w:rPr>
        <w:t xml:space="preserve"> </w:t>
      </w:r>
      <w:r w:rsidR="00542862">
        <w:rPr>
          <w:rFonts w:cs="Times New Roman"/>
        </w:rPr>
        <w:t xml:space="preserve">One-third of </w:t>
      </w:r>
      <w:r w:rsidR="00542862" w:rsidRPr="009572ED">
        <w:rPr>
          <w:rFonts w:cs="Times New Roman"/>
          <w:i/>
        </w:rPr>
        <w:t>E</w:t>
      </w:r>
      <w:r w:rsidR="009572ED" w:rsidRPr="009572ED">
        <w:rPr>
          <w:rFonts w:cs="Times New Roman"/>
          <w:i/>
        </w:rPr>
        <w:t xml:space="preserve"> </w:t>
      </w:r>
      <w:r w:rsidR="00542862" w:rsidRPr="009572ED">
        <w:rPr>
          <w:rFonts w:cs="Times New Roman"/>
          <w:i/>
        </w:rPr>
        <w:t>coli</w:t>
      </w:r>
      <w:r w:rsidR="00542862">
        <w:rPr>
          <w:rFonts w:cs="Times New Roman"/>
        </w:rPr>
        <w:t xml:space="preserve"> isolates were </w:t>
      </w:r>
      <w:r w:rsidR="00A36AC5">
        <w:rPr>
          <w:rFonts w:cs="Times New Roman"/>
        </w:rPr>
        <w:t>resistant</w:t>
      </w:r>
      <w:r w:rsidR="00304529">
        <w:rPr>
          <w:rFonts w:cs="Times New Roman"/>
        </w:rPr>
        <w:t xml:space="preserve"> to </w:t>
      </w:r>
      <w:r w:rsidR="00716D80">
        <w:rPr>
          <w:rFonts w:cs="Times New Roman"/>
        </w:rPr>
        <w:t>ceftriaxone</w:t>
      </w:r>
      <w:r w:rsidR="00A36AC5">
        <w:rPr>
          <w:rFonts w:cs="Times New Roman"/>
        </w:rPr>
        <w:t>.</w:t>
      </w:r>
      <w:r w:rsidR="002220C3" w:rsidRPr="002220C3">
        <w:rPr>
          <w:rFonts w:cs="Times New Roman"/>
          <w:noProof/>
          <w:vertAlign w:val="superscript"/>
        </w:rPr>
        <w:t>74,79,84,86,88,97,98,106,110,112,113,118,131</w:t>
      </w:r>
      <w:r w:rsidR="00FB4116">
        <w:rPr>
          <w:rFonts w:cs="Times New Roman"/>
        </w:rPr>
        <w:t xml:space="preserve"> </w:t>
      </w:r>
      <w:r w:rsidR="00A36AC5">
        <w:rPr>
          <w:rFonts w:cs="Times New Roman"/>
        </w:rPr>
        <w:t xml:space="preserve"> </w:t>
      </w:r>
      <w:r w:rsidR="004327DC">
        <w:rPr>
          <w:rFonts w:cs="Times New Roman"/>
        </w:rPr>
        <w:t xml:space="preserve">The reported prevalence of ESBL-producing </w:t>
      </w:r>
      <w:r w:rsidR="004327DC">
        <w:rPr>
          <w:rFonts w:cs="Times New Roman"/>
          <w:i/>
        </w:rPr>
        <w:t xml:space="preserve">E </w:t>
      </w:r>
      <w:r w:rsidR="004327DC" w:rsidRPr="000279F8">
        <w:rPr>
          <w:rFonts w:cs="Times New Roman"/>
          <w:i/>
        </w:rPr>
        <w:t>coli</w:t>
      </w:r>
      <w:r w:rsidR="004327DC">
        <w:rPr>
          <w:rFonts w:cs="Times New Roman"/>
          <w:i/>
        </w:rPr>
        <w:t xml:space="preserve"> </w:t>
      </w:r>
      <w:r w:rsidR="004327DC">
        <w:rPr>
          <w:rFonts w:cs="Times New Roman"/>
        </w:rPr>
        <w:t>isolates</w:t>
      </w:r>
      <w:r w:rsidR="004327DC">
        <w:rPr>
          <w:rFonts w:cs="Times New Roman"/>
          <w:i/>
        </w:rPr>
        <w:t xml:space="preserve"> </w:t>
      </w:r>
      <w:r w:rsidR="004327DC">
        <w:rPr>
          <w:rFonts w:cs="Times New Roman"/>
        </w:rPr>
        <w:t xml:space="preserve">ranged </w:t>
      </w:r>
      <w:r w:rsidR="003B2035">
        <w:rPr>
          <w:rFonts w:cs="Times New Roman"/>
        </w:rPr>
        <w:t xml:space="preserve">from </w:t>
      </w:r>
      <w:r w:rsidR="007D2116">
        <w:rPr>
          <w:rFonts w:cs="Times New Roman"/>
        </w:rPr>
        <w:t>12% (7/</w:t>
      </w:r>
      <w:r w:rsidR="00FE3A04">
        <w:rPr>
          <w:rFonts w:cs="Times New Roman"/>
        </w:rPr>
        <w:t>58) in South Africa</w:t>
      </w:r>
      <w:r w:rsidR="002220C3" w:rsidRPr="002220C3">
        <w:rPr>
          <w:rFonts w:cs="Times New Roman"/>
          <w:noProof/>
          <w:vertAlign w:val="superscript"/>
        </w:rPr>
        <w:t>24</w:t>
      </w:r>
      <w:r w:rsidR="00FE3A04">
        <w:rPr>
          <w:rFonts w:cs="Times New Roman"/>
        </w:rPr>
        <w:t xml:space="preserve"> to </w:t>
      </w:r>
      <w:r w:rsidR="000E61A5">
        <w:rPr>
          <w:rFonts w:cs="Times New Roman"/>
        </w:rPr>
        <w:t>46% (</w:t>
      </w:r>
      <w:r w:rsidR="008C71AF">
        <w:rPr>
          <w:rFonts w:cs="Times New Roman"/>
        </w:rPr>
        <w:t xml:space="preserve">10/22) in </w:t>
      </w:r>
      <w:r w:rsidR="00F57774">
        <w:rPr>
          <w:rFonts w:cs="Times New Roman"/>
        </w:rPr>
        <w:t>Tanzania</w:t>
      </w:r>
      <w:r w:rsidR="007D2116">
        <w:rPr>
          <w:rFonts w:cs="Times New Roman"/>
        </w:rPr>
        <w:t>.</w:t>
      </w:r>
      <w:r w:rsidR="002220C3" w:rsidRPr="002220C3">
        <w:rPr>
          <w:rFonts w:cs="Times New Roman"/>
          <w:noProof/>
          <w:vertAlign w:val="superscript"/>
        </w:rPr>
        <w:t>86</w:t>
      </w:r>
      <w:r w:rsidR="00E56FC6">
        <w:rPr>
          <w:rFonts w:cs="Times New Roman"/>
        </w:rPr>
        <w:t xml:space="preserve"> </w:t>
      </w:r>
      <w:r w:rsidR="004E5FD3">
        <w:rPr>
          <w:rFonts w:cs="Times New Roman"/>
        </w:rPr>
        <w:t>Resistance to piperacillin/tazobactam was also low (7% , 95% CI 0 – 27%).</w:t>
      </w:r>
      <w:r w:rsidR="002220C3" w:rsidRPr="002220C3">
        <w:rPr>
          <w:rFonts w:cs="Times New Roman"/>
          <w:noProof/>
          <w:vertAlign w:val="superscript"/>
        </w:rPr>
        <w:t>63,123,128,132</w:t>
      </w:r>
      <w:r w:rsidR="004E5FD3">
        <w:rPr>
          <w:rFonts w:cs="Times New Roman"/>
        </w:rPr>
        <w:t xml:space="preserve"> </w:t>
      </w:r>
      <w:r w:rsidR="00091F8C">
        <w:rPr>
          <w:rFonts w:cs="Times New Roman"/>
        </w:rPr>
        <w:t xml:space="preserve">Only two studies reported </w:t>
      </w:r>
      <w:r w:rsidR="003C4EC0">
        <w:rPr>
          <w:rFonts w:cs="Times New Roman"/>
        </w:rPr>
        <w:t>c</w:t>
      </w:r>
      <w:r w:rsidR="006875AE">
        <w:rPr>
          <w:rFonts w:cs="Times New Roman"/>
        </w:rPr>
        <w:t>arbapenem resistan</w:t>
      </w:r>
      <w:r w:rsidR="00603AC5">
        <w:rPr>
          <w:rFonts w:cs="Times New Roman"/>
        </w:rPr>
        <w:t xml:space="preserve">t isolates; </w:t>
      </w:r>
      <w:r w:rsidR="00ED5A65">
        <w:rPr>
          <w:rFonts w:cs="Times New Roman"/>
        </w:rPr>
        <w:t>one</w:t>
      </w:r>
      <w:r w:rsidR="00603AC5">
        <w:rPr>
          <w:rFonts w:cs="Times New Roman"/>
        </w:rPr>
        <w:t xml:space="preserve"> </w:t>
      </w:r>
      <w:r w:rsidR="00F11E3D">
        <w:rPr>
          <w:rFonts w:cs="Times New Roman"/>
        </w:rPr>
        <w:t xml:space="preserve">each from </w:t>
      </w:r>
      <w:r w:rsidR="006875AE">
        <w:rPr>
          <w:rFonts w:cs="Times New Roman"/>
        </w:rPr>
        <w:t xml:space="preserve"> </w:t>
      </w:r>
      <w:r w:rsidR="00603AC5">
        <w:rPr>
          <w:rFonts w:cs="Times New Roman"/>
        </w:rPr>
        <w:t>Tanzania</w:t>
      </w:r>
      <w:r w:rsidR="002220C3" w:rsidRPr="002220C3">
        <w:rPr>
          <w:rFonts w:cs="Times New Roman"/>
          <w:noProof/>
          <w:vertAlign w:val="superscript"/>
        </w:rPr>
        <w:t>86</w:t>
      </w:r>
      <w:r w:rsidR="00603AC5">
        <w:rPr>
          <w:rFonts w:cs="Times New Roman"/>
        </w:rPr>
        <w:t xml:space="preserve"> and South Africa.</w:t>
      </w:r>
      <w:r w:rsidR="002220C3" w:rsidRPr="002220C3">
        <w:rPr>
          <w:rFonts w:cs="Times New Roman"/>
          <w:noProof/>
          <w:vertAlign w:val="superscript"/>
        </w:rPr>
        <w:t>108</w:t>
      </w:r>
      <w:r w:rsidR="000F612A">
        <w:rPr>
          <w:rFonts w:cs="Times New Roman"/>
        </w:rPr>
        <w:t xml:space="preserve"> </w:t>
      </w:r>
    </w:p>
    <w:p w14:paraId="624D1C66" w14:textId="6027A1CA" w:rsidR="00C91CE0" w:rsidRDefault="00236444" w:rsidP="00947D41">
      <w:pPr>
        <w:spacing w:line="480" w:lineRule="auto"/>
        <w:jc w:val="both"/>
        <w:rPr>
          <w:rFonts w:cs="Times New Roman"/>
        </w:rPr>
      </w:pPr>
      <w:r>
        <w:rPr>
          <w:rFonts w:cs="Times New Roman"/>
        </w:rPr>
        <w:t>F</w:t>
      </w:r>
      <w:r w:rsidR="00BB0E7C" w:rsidRPr="008223BC">
        <w:rPr>
          <w:rFonts w:cs="Times New Roman"/>
        </w:rPr>
        <w:t xml:space="preserve">or </w:t>
      </w:r>
      <w:r w:rsidR="00AD0D83" w:rsidRPr="008A1567">
        <w:rPr>
          <w:rFonts w:cs="Times New Roman"/>
          <w:i/>
        </w:rPr>
        <w:t>S</w:t>
      </w:r>
      <w:r w:rsidR="00AC4AD8">
        <w:rPr>
          <w:rFonts w:cs="Times New Roman"/>
          <w:i/>
        </w:rPr>
        <w:t xml:space="preserve"> </w:t>
      </w:r>
      <w:r w:rsidR="00AD0D83" w:rsidRPr="008223BC">
        <w:rPr>
          <w:rFonts w:cs="Times New Roman"/>
          <w:i/>
        </w:rPr>
        <w:t>aureus</w:t>
      </w:r>
      <w:r w:rsidR="00AC4AD8">
        <w:rPr>
          <w:rFonts w:cs="Times New Roman"/>
        </w:rPr>
        <w:t xml:space="preserve"> infection</w:t>
      </w:r>
      <w:r w:rsidR="00262A72">
        <w:rPr>
          <w:rFonts w:cs="Times New Roman"/>
        </w:rPr>
        <w:t>,</w:t>
      </w:r>
      <w:r>
        <w:rPr>
          <w:rFonts w:cs="Times New Roman"/>
        </w:rPr>
        <w:t xml:space="preserve"> </w:t>
      </w:r>
      <w:r w:rsidRPr="008223BC">
        <w:rPr>
          <w:rFonts w:cs="Times New Roman"/>
        </w:rPr>
        <w:t xml:space="preserve">WHO </w:t>
      </w:r>
      <w:r>
        <w:rPr>
          <w:rFonts w:cs="Times New Roman"/>
        </w:rPr>
        <w:t>recommend</w:t>
      </w:r>
      <w:r w:rsidR="005A4EC3">
        <w:rPr>
          <w:rFonts w:cs="Times New Roman"/>
        </w:rPr>
        <w:t>s</w:t>
      </w:r>
      <w:r>
        <w:rPr>
          <w:rFonts w:cs="Times New Roman"/>
        </w:rPr>
        <w:t xml:space="preserve"> </w:t>
      </w:r>
      <w:r w:rsidRPr="008223BC">
        <w:rPr>
          <w:rFonts w:cs="Times New Roman"/>
        </w:rPr>
        <w:t xml:space="preserve">first-line treatment </w:t>
      </w:r>
      <w:r w:rsidR="005A4EC3">
        <w:rPr>
          <w:rFonts w:cs="Times New Roman"/>
        </w:rPr>
        <w:t>with</w:t>
      </w:r>
      <w:r w:rsidR="005A4EC3" w:rsidRPr="008223BC">
        <w:rPr>
          <w:rFonts w:cs="Times New Roman"/>
        </w:rPr>
        <w:t xml:space="preserve"> </w:t>
      </w:r>
      <w:r w:rsidR="00BB0E7C" w:rsidRPr="008223BC">
        <w:rPr>
          <w:rFonts w:cs="Times New Roman"/>
        </w:rPr>
        <w:t>cloxacillin</w:t>
      </w:r>
      <w:r w:rsidR="00716D80">
        <w:rPr>
          <w:rFonts w:cs="Times New Roman"/>
        </w:rPr>
        <w:t xml:space="preserve"> and gentamicin </w:t>
      </w:r>
      <w:r w:rsidR="002A7384" w:rsidRPr="008223BC">
        <w:rPr>
          <w:rFonts w:cs="Times New Roman"/>
        </w:rPr>
        <w:t xml:space="preserve">to </w:t>
      </w:r>
      <w:r w:rsidR="00BB0E7C" w:rsidRPr="008223BC">
        <w:rPr>
          <w:rFonts w:cs="Times New Roman"/>
        </w:rPr>
        <w:t xml:space="preserve">which </w:t>
      </w:r>
      <w:r w:rsidR="00716D80">
        <w:rPr>
          <w:rFonts w:cs="Times New Roman"/>
        </w:rPr>
        <w:t xml:space="preserve">the </w:t>
      </w:r>
      <w:r w:rsidR="00262A72">
        <w:rPr>
          <w:rFonts w:cs="Times New Roman"/>
        </w:rPr>
        <w:t xml:space="preserve">pooled </w:t>
      </w:r>
      <w:r w:rsidR="00716D80">
        <w:rPr>
          <w:rFonts w:cs="Times New Roman"/>
        </w:rPr>
        <w:t xml:space="preserve">resistance was </w:t>
      </w:r>
      <w:r w:rsidR="007A7B89">
        <w:rPr>
          <w:rFonts w:cs="Times New Roman"/>
        </w:rPr>
        <w:t>4</w:t>
      </w:r>
      <w:r w:rsidR="00275895">
        <w:rPr>
          <w:rFonts w:cs="Times New Roman"/>
        </w:rPr>
        <w:t>0</w:t>
      </w:r>
      <w:r w:rsidR="00716D80">
        <w:rPr>
          <w:rFonts w:cs="Times New Roman"/>
        </w:rPr>
        <w:t>% (</w:t>
      </w:r>
      <w:r w:rsidR="007A7B89">
        <w:rPr>
          <w:rFonts w:cs="Times New Roman"/>
        </w:rPr>
        <w:t>95% CI</w:t>
      </w:r>
      <w:r w:rsidR="00716D80">
        <w:rPr>
          <w:rFonts w:cs="Times New Roman"/>
        </w:rPr>
        <w:t xml:space="preserve"> </w:t>
      </w:r>
      <w:r w:rsidR="007A7B89">
        <w:rPr>
          <w:rFonts w:cs="Times New Roman"/>
        </w:rPr>
        <w:t>8</w:t>
      </w:r>
      <w:r w:rsidR="00716D80">
        <w:rPr>
          <w:rFonts w:cs="Times New Roman"/>
        </w:rPr>
        <w:t xml:space="preserve"> – </w:t>
      </w:r>
      <w:r w:rsidR="007A7B89">
        <w:rPr>
          <w:rFonts w:cs="Times New Roman"/>
        </w:rPr>
        <w:t>7</w:t>
      </w:r>
      <w:r w:rsidR="00716D80">
        <w:rPr>
          <w:rFonts w:cs="Times New Roman"/>
        </w:rPr>
        <w:t>9</w:t>
      </w:r>
      <w:r w:rsidR="00275895">
        <w:rPr>
          <w:rFonts w:cs="Times New Roman"/>
        </w:rPr>
        <w:t>%</w:t>
      </w:r>
      <w:r w:rsidR="00716D80">
        <w:rPr>
          <w:rFonts w:cs="Times New Roman"/>
        </w:rPr>
        <w:t>)</w:t>
      </w:r>
      <w:r w:rsidR="002220C3" w:rsidRPr="002220C3">
        <w:rPr>
          <w:rFonts w:cs="Times New Roman"/>
          <w:noProof/>
          <w:vertAlign w:val="superscript"/>
        </w:rPr>
        <w:t>79,84,93,97,98,110,130,131</w:t>
      </w:r>
      <w:r w:rsidR="00170CCF">
        <w:rPr>
          <w:rFonts w:cs="Times New Roman"/>
        </w:rPr>
        <w:t xml:space="preserve"> and </w:t>
      </w:r>
      <w:r w:rsidR="002155A7">
        <w:rPr>
          <w:rFonts w:cs="Times New Roman"/>
        </w:rPr>
        <w:t>27</w:t>
      </w:r>
      <w:r w:rsidR="00275895">
        <w:rPr>
          <w:rFonts w:cs="Times New Roman"/>
        </w:rPr>
        <w:t>% (</w:t>
      </w:r>
      <w:r w:rsidR="002155A7">
        <w:rPr>
          <w:rFonts w:cs="Times New Roman"/>
        </w:rPr>
        <w:t>95% CI 14 – 41%</w:t>
      </w:r>
      <w:r w:rsidR="00275895">
        <w:rPr>
          <w:rFonts w:cs="Times New Roman"/>
        </w:rPr>
        <w:t>)</w:t>
      </w:r>
      <w:r w:rsidR="002220C3" w:rsidRPr="002220C3">
        <w:rPr>
          <w:rFonts w:cs="Times New Roman"/>
          <w:noProof/>
          <w:vertAlign w:val="superscript"/>
        </w:rPr>
        <w:t>63,79,84,88,93,97,98,106,110,111,113,118,128,130,131</w:t>
      </w:r>
      <w:r w:rsidR="00275895">
        <w:rPr>
          <w:rFonts w:cs="Times New Roman"/>
        </w:rPr>
        <w:t xml:space="preserve"> respe</w:t>
      </w:r>
      <w:r w:rsidR="00CB5AE3">
        <w:rPr>
          <w:rFonts w:cs="Times New Roman"/>
        </w:rPr>
        <w:t>ctively</w:t>
      </w:r>
      <w:r w:rsidR="00BB0E7C" w:rsidRPr="008223BC">
        <w:rPr>
          <w:rFonts w:cs="Times New Roman"/>
        </w:rPr>
        <w:t xml:space="preserve">. </w:t>
      </w:r>
      <w:r w:rsidR="006266EF">
        <w:rPr>
          <w:rFonts w:cs="Times New Roman"/>
        </w:rPr>
        <w:t>Methicillin resistance</w:t>
      </w:r>
      <w:r w:rsidR="00610777">
        <w:rPr>
          <w:rFonts w:cs="Times New Roman"/>
        </w:rPr>
        <w:t xml:space="preserve"> was </w:t>
      </w:r>
      <w:r w:rsidR="006266EF">
        <w:rPr>
          <w:rFonts w:cs="Times New Roman"/>
        </w:rPr>
        <w:t xml:space="preserve">reported by </w:t>
      </w:r>
      <w:r w:rsidR="007E4296">
        <w:rPr>
          <w:rFonts w:cs="Times New Roman"/>
        </w:rPr>
        <w:t xml:space="preserve">eight </w:t>
      </w:r>
      <w:r w:rsidR="006266EF">
        <w:rPr>
          <w:rFonts w:cs="Times New Roman"/>
        </w:rPr>
        <w:t>studies</w:t>
      </w:r>
      <w:r w:rsidR="005E2400">
        <w:rPr>
          <w:rFonts w:cs="Times New Roman"/>
        </w:rPr>
        <w:t>,</w:t>
      </w:r>
      <w:r w:rsidR="002220C3" w:rsidRPr="002220C3">
        <w:rPr>
          <w:rFonts w:cs="Times New Roman"/>
          <w:noProof/>
          <w:vertAlign w:val="superscript"/>
        </w:rPr>
        <w:t>24,86,108,112,118,122,125,133</w:t>
      </w:r>
      <w:r w:rsidR="006266EF">
        <w:rPr>
          <w:rFonts w:cs="Times New Roman"/>
        </w:rPr>
        <w:t xml:space="preserve"> </w:t>
      </w:r>
      <w:r w:rsidR="00ED356A">
        <w:rPr>
          <w:rFonts w:cs="Times New Roman"/>
        </w:rPr>
        <w:t>(only one from Nigeria)</w:t>
      </w:r>
      <w:r w:rsidR="00A458F9">
        <w:rPr>
          <w:rFonts w:cs="Times New Roman"/>
        </w:rPr>
        <w:t xml:space="preserve"> </w:t>
      </w:r>
      <w:r w:rsidR="004E60AC">
        <w:rPr>
          <w:rFonts w:cs="Times New Roman"/>
        </w:rPr>
        <w:t xml:space="preserve">with </w:t>
      </w:r>
      <w:r w:rsidR="00044BDB">
        <w:rPr>
          <w:rFonts w:cs="Times New Roman"/>
        </w:rPr>
        <w:t>50</w:t>
      </w:r>
      <w:r w:rsidR="00C649CB" w:rsidRPr="008223BC">
        <w:rPr>
          <w:rFonts w:cs="Times New Roman"/>
        </w:rPr>
        <w:t>%</w:t>
      </w:r>
      <w:r w:rsidR="00475313">
        <w:rPr>
          <w:rFonts w:cs="Times New Roman"/>
        </w:rPr>
        <w:t xml:space="preserve"> (</w:t>
      </w:r>
      <w:r w:rsidR="00044BDB">
        <w:rPr>
          <w:rFonts w:cs="Times New Roman"/>
        </w:rPr>
        <w:t>95% CI</w:t>
      </w:r>
      <w:r w:rsidR="00C649CB" w:rsidRPr="008223BC">
        <w:rPr>
          <w:rFonts w:cs="Times New Roman"/>
        </w:rPr>
        <w:t xml:space="preserve"> </w:t>
      </w:r>
      <w:r w:rsidR="00044BDB">
        <w:rPr>
          <w:rFonts w:cs="Times New Roman"/>
        </w:rPr>
        <w:t>30</w:t>
      </w:r>
      <w:r w:rsidR="006266EF">
        <w:rPr>
          <w:rFonts w:cs="Times New Roman"/>
        </w:rPr>
        <w:t xml:space="preserve"> – </w:t>
      </w:r>
      <w:r w:rsidR="00044BDB">
        <w:rPr>
          <w:rFonts w:cs="Times New Roman"/>
        </w:rPr>
        <w:t>70</w:t>
      </w:r>
      <w:r w:rsidR="007622C8">
        <w:rPr>
          <w:rFonts w:cs="Times New Roman"/>
        </w:rPr>
        <w:t>%</w:t>
      </w:r>
      <w:r w:rsidR="00C649CB" w:rsidRPr="008223BC">
        <w:rPr>
          <w:rFonts w:cs="Times New Roman"/>
        </w:rPr>
        <w:t>)</w:t>
      </w:r>
      <w:r w:rsidR="00530251">
        <w:rPr>
          <w:rFonts w:cs="Times New Roman"/>
        </w:rPr>
        <w:t xml:space="preserve"> of isolates non-susceptible</w:t>
      </w:r>
      <w:r w:rsidR="00C649CB" w:rsidRPr="008223BC">
        <w:rPr>
          <w:rFonts w:cs="Times New Roman"/>
        </w:rPr>
        <w:t>.</w:t>
      </w:r>
      <w:r w:rsidR="00C11CE5">
        <w:rPr>
          <w:rFonts w:cs="Times New Roman"/>
        </w:rPr>
        <w:t xml:space="preserve"> Resistance to c</w:t>
      </w:r>
      <w:r w:rsidR="002668E3" w:rsidRPr="008223BC">
        <w:rPr>
          <w:rFonts w:cs="Times New Roman"/>
        </w:rPr>
        <w:t>efoxitin</w:t>
      </w:r>
      <w:r w:rsidR="00C11CE5">
        <w:rPr>
          <w:rFonts w:cs="Times New Roman"/>
        </w:rPr>
        <w:t>, the</w:t>
      </w:r>
      <w:r w:rsidR="002668E3" w:rsidRPr="008223BC">
        <w:rPr>
          <w:rFonts w:cs="Times New Roman"/>
        </w:rPr>
        <w:t xml:space="preserve"> </w:t>
      </w:r>
      <w:r w:rsidR="00C11CE5" w:rsidRPr="008223BC">
        <w:rPr>
          <w:rFonts w:cs="Times New Roman"/>
        </w:rPr>
        <w:t xml:space="preserve">recommended antibiotic to determine methicillin </w:t>
      </w:r>
      <w:r w:rsidR="00C11CE5">
        <w:rPr>
          <w:rFonts w:cs="Times New Roman"/>
        </w:rPr>
        <w:t>resistan</w:t>
      </w:r>
      <w:r w:rsidR="008C1939">
        <w:rPr>
          <w:rFonts w:cs="Times New Roman"/>
        </w:rPr>
        <w:t>t</w:t>
      </w:r>
      <w:r w:rsidR="00C11CE5">
        <w:rPr>
          <w:rFonts w:cs="Times New Roman"/>
        </w:rPr>
        <w:t xml:space="preserve"> </w:t>
      </w:r>
      <w:r w:rsidR="006F127E" w:rsidRPr="008A1567">
        <w:rPr>
          <w:rFonts w:cs="Times New Roman"/>
          <w:i/>
        </w:rPr>
        <w:t>S</w:t>
      </w:r>
      <w:r w:rsidR="009572ED">
        <w:rPr>
          <w:rFonts w:cs="Times New Roman"/>
          <w:i/>
        </w:rPr>
        <w:t xml:space="preserve"> </w:t>
      </w:r>
      <w:r w:rsidR="006F127E" w:rsidRPr="008223BC">
        <w:rPr>
          <w:rFonts w:cs="Times New Roman"/>
          <w:i/>
        </w:rPr>
        <w:t>aureus</w:t>
      </w:r>
      <w:r w:rsidR="006F127E">
        <w:rPr>
          <w:rFonts w:cs="Times New Roman"/>
        </w:rPr>
        <w:t xml:space="preserve"> </w:t>
      </w:r>
      <w:r w:rsidR="00C11CE5">
        <w:rPr>
          <w:rFonts w:cs="Times New Roman"/>
        </w:rPr>
        <w:t>strains (MRSA)</w:t>
      </w:r>
      <w:r w:rsidR="008C1939">
        <w:rPr>
          <w:rFonts w:cs="Times New Roman"/>
        </w:rPr>
        <w:t xml:space="preserve"> w</w:t>
      </w:r>
      <w:r w:rsidR="00C11CE5" w:rsidRPr="008223BC">
        <w:rPr>
          <w:rFonts w:cs="Times New Roman"/>
        </w:rPr>
        <w:t>hen using the disk diffusion method</w:t>
      </w:r>
      <w:r w:rsidR="00C11CE5">
        <w:rPr>
          <w:rFonts w:cs="Times New Roman"/>
        </w:rPr>
        <w:t>,</w:t>
      </w:r>
      <w:r w:rsidR="002220C3" w:rsidRPr="002220C3">
        <w:rPr>
          <w:rFonts w:cs="Times New Roman"/>
          <w:noProof/>
          <w:vertAlign w:val="superscript"/>
        </w:rPr>
        <w:t>134</w:t>
      </w:r>
      <w:r w:rsidR="00C11CE5" w:rsidRPr="008223BC">
        <w:rPr>
          <w:rFonts w:cs="Times New Roman"/>
        </w:rPr>
        <w:t xml:space="preserve"> </w:t>
      </w:r>
      <w:r w:rsidR="002668E3">
        <w:rPr>
          <w:rFonts w:cs="Times New Roman"/>
        </w:rPr>
        <w:t>was reported in 27% (13/49) of isolates i</w:t>
      </w:r>
      <w:r w:rsidR="009209D0">
        <w:rPr>
          <w:rFonts w:cs="Times New Roman"/>
        </w:rPr>
        <w:t xml:space="preserve">n an </w:t>
      </w:r>
      <w:r w:rsidR="00BE619C">
        <w:rPr>
          <w:rFonts w:cs="Times New Roman"/>
        </w:rPr>
        <w:t>Ethiopia</w:t>
      </w:r>
      <w:r w:rsidR="00256F77">
        <w:rPr>
          <w:rFonts w:cs="Times New Roman"/>
        </w:rPr>
        <w:t>n study</w:t>
      </w:r>
      <w:r w:rsidR="002668E3">
        <w:rPr>
          <w:rFonts w:cs="Times New Roman"/>
        </w:rPr>
        <w:t>,</w:t>
      </w:r>
      <w:r w:rsidR="002220C3" w:rsidRPr="002220C3">
        <w:rPr>
          <w:rFonts w:cs="Times New Roman"/>
          <w:noProof/>
          <w:vertAlign w:val="superscript"/>
        </w:rPr>
        <w:t>113</w:t>
      </w:r>
      <w:r w:rsidR="002668E3">
        <w:rPr>
          <w:rFonts w:cs="Times New Roman"/>
        </w:rPr>
        <w:t xml:space="preserve"> </w:t>
      </w:r>
      <w:r w:rsidR="00E1550A">
        <w:rPr>
          <w:rFonts w:cs="Times New Roman"/>
        </w:rPr>
        <w:t>and</w:t>
      </w:r>
      <w:r w:rsidR="0000523D">
        <w:rPr>
          <w:rFonts w:cs="Times New Roman"/>
        </w:rPr>
        <w:t xml:space="preserve"> </w:t>
      </w:r>
      <w:r w:rsidR="002668E3">
        <w:rPr>
          <w:rFonts w:cs="Times New Roman"/>
        </w:rPr>
        <w:t xml:space="preserve">26% (6/23) of isolates </w:t>
      </w:r>
      <w:r w:rsidR="00E1550A">
        <w:rPr>
          <w:rFonts w:cs="Times New Roman"/>
        </w:rPr>
        <w:t>in a Nigerian study</w:t>
      </w:r>
      <w:r w:rsidR="00BE619C">
        <w:rPr>
          <w:rFonts w:cs="Times New Roman"/>
        </w:rPr>
        <w:t>.</w:t>
      </w:r>
      <w:r w:rsidR="002220C3" w:rsidRPr="002220C3">
        <w:rPr>
          <w:rFonts w:cs="Times New Roman"/>
          <w:noProof/>
          <w:vertAlign w:val="superscript"/>
        </w:rPr>
        <w:t>88</w:t>
      </w:r>
      <w:r w:rsidR="00BE619C">
        <w:rPr>
          <w:rFonts w:cs="Times New Roman"/>
        </w:rPr>
        <w:t xml:space="preserve"> </w:t>
      </w:r>
      <w:r w:rsidR="00D82925">
        <w:rPr>
          <w:rFonts w:cs="Times New Roman"/>
        </w:rPr>
        <w:t xml:space="preserve">None of the </w:t>
      </w:r>
      <w:r w:rsidR="00BE619C">
        <w:rPr>
          <w:rFonts w:cs="Times New Roman"/>
        </w:rPr>
        <w:t>two studies</w:t>
      </w:r>
      <w:r w:rsidR="00043E1C">
        <w:rPr>
          <w:rFonts w:cs="Times New Roman"/>
        </w:rPr>
        <w:t xml:space="preserve"> that analysed </w:t>
      </w:r>
      <w:r w:rsidR="004227A2">
        <w:rPr>
          <w:rFonts w:cs="Times New Roman"/>
        </w:rPr>
        <w:t xml:space="preserve">susceptibility patterns of </w:t>
      </w:r>
      <w:r w:rsidR="008C5865">
        <w:rPr>
          <w:rFonts w:cs="Times New Roman"/>
        </w:rPr>
        <w:t>GBS</w:t>
      </w:r>
      <w:r w:rsidR="00C252FA">
        <w:rPr>
          <w:rFonts w:cs="Times New Roman"/>
        </w:rPr>
        <w:t xml:space="preserve"> documented </w:t>
      </w:r>
      <w:r w:rsidR="00E91BC0">
        <w:rPr>
          <w:rFonts w:cs="Times New Roman"/>
        </w:rPr>
        <w:t>non-susceptibility to any antibiotic.</w:t>
      </w:r>
      <w:r w:rsidR="004227A2">
        <w:rPr>
          <w:rFonts w:cs="Times New Roman"/>
        </w:rPr>
        <w:t xml:space="preserve"> </w:t>
      </w:r>
      <w:r w:rsidR="002220C3" w:rsidRPr="002220C3">
        <w:rPr>
          <w:rFonts w:cs="Times New Roman"/>
          <w:noProof/>
          <w:vertAlign w:val="superscript"/>
        </w:rPr>
        <w:t>128,131</w:t>
      </w:r>
      <w:r w:rsidR="00BE619C">
        <w:rPr>
          <w:rFonts w:cs="Times New Roman"/>
        </w:rPr>
        <w:t xml:space="preserve"> </w:t>
      </w:r>
    </w:p>
    <w:p w14:paraId="6C93EC7D" w14:textId="77777777" w:rsidR="006F3BF7" w:rsidRPr="008223BC" w:rsidRDefault="006F3BF7" w:rsidP="001E6C81">
      <w:pPr>
        <w:pStyle w:val="Heading2"/>
        <w:rPr>
          <w:lang w:val="en-GB"/>
        </w:rPr>
      </w:pPr>
      <w:r w:rsidRPr="008223BC">
        <w:rPr>
          <w:lang w:val="en-GB"/>
        </w:rPr>
        <w:t>Discussion</w:t>
      </w:r>
    </w:p>
    <w:p w14:paraId="01E47751" w14:textId="2FD71140" w:rsidR="00C72DDB" w:rsidRDefault="0050103A" w:rsidP="00947D41">
      <w:pPr>
        <w:tabs>
          <w:tab w:val="left" w:pos="1221"/>
        </w:tabs>
        <w:spacing w:line="480" w:lineRule="auto"/>
        <w:jc w:val="both"/>
        <w:rPr>
          <w:rFonts w:cs="Times New Roman"/>
        </w:rPr>
      </w:pPr>
      <w:r>
        <w:rPr>
          <w:rFonts w:cs="Times New Roman"/>
        </w:rPr>
        <w:t xml:space="preserve">This </w:t>
      </w:r>
      <w:r w:rsidR="008303B6" w:rsidRPr="008223BC">
        <w:rPr>
          <w:rFonts w:cs="Times New Roman"/>
        </w:rPr>
        <w:t xml:space="preserve">is the </w:t>
      </w:r>
      <w:r w:rsidR="002B0475">
        <w:rPr>
          <w:rFonts w:cs="Times New Roman"/>
        </w:rPr>
        <w:t>largest</w:t>
      </w:r>
      <w:r w:rsidR="002B0475" w:rsidRPr="008223BC">
        <w:rPr>
          <w:rFonts w:cs="Times New Roman"/>
        </w:rPr>
        <w:t xml:space="preserve"> </w:t>
      </w:r>
      <w:r w:rsidR="008303B6" w:rsidRPr="008223BC">
        <w:rPr>
          <w:rFonts w:cs="Times New Roman"/>
        </w:rPr>
        <w:t xml:space="preserve">systematic review of neonatal infection aetiology and </w:t>
      </w:r>
      <w:r w:rsidR="005757C4">
        <w:rPr>
          <w:rFonts w:cs="Times New Roman"/>
        </w:rPr>
        <w:t>AMR</w:t>
      </w:r>
      <w:r w:rsidR="008303B6" w:rsidRPr="008223BC">
        <w:rPr>
          <w:rFonts w:cs="Times New Roman"/>
        </w:rPr>
        <w:t xml:space="preserve"> </w:t>
      </w:r>
      <w:r>
        <w:rPr>
          <w:rFonts w:cs="Times New Roman"/>
        </w:rPr>
        <w:t>from</w:t>
      </w:r>
      <w:r w:rsidR="008303B6" w:rsidRPr="008223BC">
        <w:rPr>
          <w:rFonts w:cs="Times New Roman"/>
        </w:rPr>
        <w:t xml:space="preserve"> sub</w:t>
      </w:r>
      <w:r w:rsidR="007E2027">
        <w:rPr>
          <w:rFonts w:cs="Times New Roman"/>
        </w:rPr>
        <w:t>-</w:t>
      </w:r>
      <w:r w:rsidR="008303B6" w:rsidRPr="008223BC">
        <w:rPr>
          <w:rFonts w:cs="Times New Roman"/>
        </w:rPr>
        <w:t>Saharan Africa</w:t>
      </w:r>
      <w:r w:rsidR="00DF4E7D">
        <w:rPr>
          <w:rFonts w:cs="Times New Roman"/>
        </w:rPr>
        <w:t xml:space="preserve">, and </w:t>
      </w:r>
      <w:r w:rsidR="005A4EC3">
        <w:rPr>
          <w:rFonts w:cs="Times New Roman"/>
        </w:rPr>
        <w:t>a strength is the assessment of</w:t>
      </w:r>
      <w:r w:rsidR="00DF4E7D">
        <w:rPr>
          <w:rFonts w:cs="Times New Roman"/>
        </w:rPr>
        <w:t xml:space="preserve"> </w:t>
      </w:r>
      <w:r w:rsidR="001E7F69">
        <w:rPr>
          <w:rFonts w:cs="Times New Roman"/>
        </w:rPr>
        <w:t xml:space="preserve">reporting </w:t>
      </w:r>
      <w:r w:rsidR="00DF4E7D">
        <w:rPr>
          <w:rFonts w:cs="Times New Roman"/>
        </w:rPr>
        <w:t xml:space="preserve">quality </w:t>
      </w:r>
      <w:r w:rsidR="001E7F69">
        <w:rPr>
          <w:rFonts w:cs="Times New Roman"/>
        </w:rPr>
        <w:t>using STROBE-NI</w:t>
      </w:r>
      <w:r w:rsidR="008303B6" w:rsidRPr="008223BC">
        <w:rPr>
          <w:rFonts w:cs="Times New Roman"/>
        </w:rPr>
        <w:t>.</w:t>
      </w:r>
      <w:r w:rsidR="00ED00A6" w:rsidRPr="00ED00A6">
        <w:rPr>
          <w:rFonts w:cs="Times New Roman"/>
          <w:noProof/>
          <w:vertAlign w:val="superscript"/>
        </w:rPr>
        <w:t>20</w:t>
      </w:r>
      <w:r w:rsidR="008303B6" w:rsidRPr="008223BC">
        <w:rPr>
          <w:rFonts w:cs="Times New Roman"/>
        </w:rPr>
        <w:t xml:space="preserve"> </w:t>
      </w:r>
      <w:r w:rsidR="00C32CCA" w:rsidRPr="008223BC">
        <w:rPr>
          <w:rFonts w:cs="Times New Roman"/>
        </w:rPr>
        <w:t xml:space="preserve"> </w:t>
      </w:r>
      <w:r w:rsidR="005A4EC3">
        <w:rPr>
          <w:rFonts w:cs="Times New Roman"/>
        </w:rPr>
        <w:t>Th</w:t>
      </w:r>
      <w:r w:rsidR="003F66F1" w:rsidRPr="008223BC">
        <w:rPr>
          <w:rFonts w:cs="Times New Roman"/>
        </w:rPr>
        <w:t xml:space="preserve">e inclusion of African regional research databases in our search strategy resulted in </w:t>
      </w:r>
      <w:r w:rsidR="003E0C49">
        <w:rPr>
          <w:rFonts w:cs="Times New Roman"/>
        </w:rPr>
        <w:t>the</w:t>
      </w:r>
      <w:r w:rsidR="00AF05E9">
        <w:rPr>
          <w:rFonts w:cs="Times New Roman"/>
        </w:rPr>
        <w:t xml:space="preserve"> </w:t>
      </w:r>
      <w:r w:rsidR="005A05AD">
        <w:rPr>
          <w:rFonts w:cs="Times New Roman"/>
        </w:rPr>
        <w:t>identification of</w:t>
      </w:r>
      <w:r w:rsidR="00AF05E9">
        <w:rPr>
          <w:rFonts w:cs="Times New Roman"/>
        </w:rPr>
        <w:t xml:space="preserve"> </w:t>
      </w:r>
      <w:r w:rsidR="005037D3">
        <w:rPr>
          <w:rFonts w:cs="Times New Roman"/>
        </w:rPr>
        <w:t xml:space="preserve">75 </w:t>
      </w:r>
      <w:r w:rsidR="00AB1A53" w:rsidRPr="008223BC">
        <w:rPr>
          <w:rFonts w:cs="Times New Roman"/>
        </w:rPr>
        <w:t>relevant</w:t>
      </w:r>
      <w:r w:rsidR="00AB1A53">
        <w:rPr>
          <w:rFonts w:cs="Times New Roman"/>
        </w:rPr>
        <w:t xml:space="preserve"> </w:t>
      </w:r>
      <w:r w:rsidR="005037D3">
        <w:rPr>
          <w:rFonts w:cs="Times New Roman"/>
        </w:rPr>
        <w:t>studies</w:t>
      </w:r>
      <w:r w:rsidR="003E0C49">
        <w:rPr>
          <w:rFonts w:cs="Times New Roman"/>
        </w:rPr>
        <w:t xml:space="preserve"> </w:t>
      </w:r>
      <w:r w:rsidR="005A4EC3">
        <w:rPr>
          <w:rFonts w:cs="Times New Roman"/>
        </w:rPr>
        <w:t>compared</w:t>
      </w:r>
      <w:r w:rsidR="005A05AD">
        <w:rPr>
          <w:rFonts w:cs="Times New Roman"/>
        </w:rPr>
        <w:t xml:space="preserve"> </w:t>
      </w:r>
      <w:r w:rsidR="003E0C49">
        <w:rPr>
          <w:rFonts w:cs="Times New Roman"/>
        </w:rPr>
        <w:t xml:space="preserve">to those identified through the </w:t>
      </w:r>
      <w:r w:rsidR="00E260AC">
        <w:rPr>
          <w:rFonts w:cs="Times New Roman"/>
        </w:rPr>
        <w:t>usual major databases</w:t>
      </w:r>
      <w:r w:rsidR="005A4EC3">
        <w:rPr>
          <w:rFonts w:cs="Times New Roman"/>
        </w:rPr>
        <w:t>, although Central Africa is still poorly represented</w:t>
      </w:r>
      <w:r w:rsidR="00E260AC">
        <w:rPr>
          <w:rFonts w:cs="Times New Roman"/>
        </w:rPr>
        <w:t xml:space="preserve">. </w:t>
      </w:r>
      <w:r w:rsidR="005A4EC3">
        <w:rPr>
          <w:rFonts w:cs="Times New Roman"/>
        </w:rPr>
        <w:t xml:space="preserve">Our review </w:t>
      </w:r>
      <w:r w:rsidR="005037D3">
        <w:rPr>
          <w:rFonts w:cs="Times New Roman"/>
        </w:rPr>
        <w:t>represent</w:t>
      </w:r>
      <w:r w:rsidR="00E260AC">
        <w:rPr>
          <w:rFonts w:cs="Times New Roman"/>
        </w:rPr>
        <w:t>s</w:t>
      </w:r>
      <w:r w:rsidR="005037D3">
        <w:rPr>
          <w:rFonts w:cs="Times New Roman"/>
        </w:rPr>
        <w:t xml:space="preserve"> </w:t>
      </w:r>
      <w:r w:rsidR="003F66F1" w:rsidRPr="008223BC">
        <w:rPr>
          <w:rFonts w:cs="Times New Roman"/>
        </w:rPr>
        <w:t xml:space="preserve">a significant increase in </w:t>
      </w:r>
      <w:r w:rsidR="007D2846">
        <w:rPr>
          <w:rFonts w:cs="Times New Roman"/>
        </w:rPr>
        <w:t xml:space="preserve"> </w:t>
      </w:r>
      <w:r w:rsidR="003F66F1" w:rsidRPr="008223BC">
        <w:rPr>
          <w:rFonts w:cs="Times New Roman"/>
        </w:rPr>
        <w:t xml:space="preserve">studies from the continent compared with </w:t>
      </w:r>
      <w:r w:rsidR="005A4EC3">
        <w:rPr>
          <w:rFonts w:cs="Times New Roman"/>
        </w:rPr>
        <w:t>previous</w:t>
      </w:r>
      <w:r w:rsidR="00BE3143" w:rsidRPr="008223BC">
        <w:rPr>
          <w:rFonts w:cs="Times New Roman"/>
        </w:rPr>
        <w:t xml:space="preserve"> </w:t>
      </w:r>
      <w:r w:rsidR="003F66F1" w:rsidRPr="008223BC">
        <w:rPr>
          <w:rFonts w:cs="Times New Roman"/>
        </w:rPr>
        <w:t>reviews</w:t>
      </w:r>
      <w:r w:rsidR="004310C4">
        <w:rPr>
          <w:rFonts w:cs="Times New Roman"/>
        </w:rPr>
        <w:t xml:space="preserve"> in which the number of included </w:t>
      </w:r>
      <w:r w:rsidR="00306C39">
        <w:rPr>
          <w:rFonts w:cs="Times New Roman"/>
        </w:rPr>
        <w:t xml:space="preserve">sub-Saharan African </w:t>
      </w:r>
      <w:r w:rsidR="004310C4">
        <w:rPr>
          <w:rFonts w:cs="Times New Roman"/>
        </w:rPr>
        <w:t>studies ranged from</w:t>
      </w:r>
      <w:r w:rsidR="00473864">
        <w:rPr>
          <w:rFonts w:cs="Times New Roman"/>
        </w:rPr>
        <w:t xml:space="preserve"> 7</w:t>
      </w:r>
      <w:r w:rsidR="00E90B70">
        <w:rPr>
          <w:rFonts w:cs="Times New Roman"/>
        </w:rPr>
        <w:t xml:space="preserve"> </w:t>
      </w:r>
      <w:r w:rsidR="00473864">
        <w:rPr>
          <w:rFonts w:cs="Times New Roman"/>
        </w:rPr>
        <w:t>- 23</w:t>
      </w:r>
      <w:r w:rsidR="00C72DDB" w:rsidRPr="008223BC">
        <w:rPr>
          <w:rFonts w:cs="Times New Roman"/>
        </w:rPr>
        <w:t>.</w:t>
      </w:r>
      <w:r w:rsidR="00BC17BC" w:rsidRPr="00BC17BC">
        <w:rPr>
          <w:rFonts w:cs="Times New Roman"/>
          <w:noProof/>
          <w:vertAlign w:val="superscript"/>
        </w:rPr>
        <w:t>9,14-19</w:t>
      </w:r>
      <w:r w:rsidR="003F66F1" w:rsidRPr="008223BC">
        <w:rPr>
          <w:rFonts w:cs="Times New Roman"/>
        </w:rPr>
        <w:t xml:space="preserve"> </w:t>
      </w:r>
      <w:r w:rsidR="00A91FB8">
        <w:rPr>
          <w:rFonts w:cs="Times New Roman"/>
        </w:rPr>
        <w:t>W</w:t>
      </w:r>
      <w:r w:rsidR="008303B6" w:rsidRPr="008223BC">
        <w:rPr>
          <w:rFonts w:cs="Times New Roman"/>
        </w:rPr>
        <w:t xml:space="preserve">e highlight </w:t>
      </w:r>
      <w:r w:rsidR="00BC0755">
        <w:rPr>
          <w:rFonts w:cs="Times New Roman"/>
        </w:rPr>
        <w:t>the variability</w:t>
      </w:r>
      <w:r w:rsidR="008303B6" w:rsidRPr="008223BC">
        <w:rPr>
          <w:rFonts w:cs="Times New Roman"/>
        </w:rPr>
        <w:t xml:space="preserve"> in recording and reporting, </w:t>
      </w:r>
      <w:r w:rsidR="00D45542">
        <w:rPr>
          <w:rFonts w:cs="Times New Roman"/>
        </w:rPr>
        <w:t xml:space="preserve">across and within </w:t>
      </w:r>
      <w:r w:rsidR="004629A2">
        <w:rPr>
          <w:rFonts w:cs="Times New Roman"/>
        </w:rPr>
        <w:t>manuscript sections</w:t>
      </w:r>
      <w:r w:rsidR="0081392D">
        <w:rPr>
          <w:rFonts w:cs="Times New Roman"/>
        </w:rPr>
        <w:t xml:space="preserve"> which </w:t>
      </w:r>
      <w:r w:rsidR="0081392D" w:rsidRPr="008223BC">
        <w:rPr>
          <w:rFonts w:cs="Times New Roman"/>
        </w:rPr>
        <w:t>impede comparability of results</w:t>
      </w:r>
      <w:r w:rsidR="0081392D" w:rsidRPr="006149B4">
        <w:rPr>
          <w:rFonts w:cs="Times New Roman"/>
        </w:rPr>
        <w:t xml:space="preserve"> </w:t>
      </w:r>
      <w:r w:rsidR="000061B8">
        <w:rPr>
          <w:rFonts w:cs="Times New Roman"/>
        </w:rPr>
        <w:t xml:space="preserve">and </w:t>
      </w:r>
      <w:r w:rsidR="005A4EC3">
        <w:rPr>
          <w:rFonts w:cs="Times New Roman"/>
        </w:rPr>
        <w:t>utility of</w:t>
      </w:r>
      <w:r w:rsidR="0081392D" w:rsidRPr="008223BC">
        <w:rPr>
          <w:rFonts w:cs="Times New Roman"/>
        </w:rPr>
        <w:t xml:space="preserve"> available data</w:t>
      </w:r>
      <w:r w:rsidR="00A91FB8">
        <w:rPr>
          <w:rFonts w:cs="Times New Roman"/>
        </w:rPr>
        <w:t>.</w:t>
      </w:r>
      <w:r w:rsidR="00A91FB8" w:rsidRPr="00A91FB8">
        <w:rPr>
          <w:rFonts w:cs="Times New Roman"/>
        </w:rPr>
        <w:t xml:space="preserve"> </w:t>
      </w:r>
      <w:r w:rsidR="00A91FB8">
        <w:rPr>
          <w:rFonts w:cs="Times New Roman"/>
        </w:rPr>
        <w:t xml:space="preserve">No single STROBE-NI item was adequately addressed across all manuscripts, and </w:t>
      </w:r>
      <w:r w:rsidR="00965D92">
        <w:rPr>
          <w:rFonts w:cs="Times New Roman"/>
        </w:rPr>
        <w:t xml:space="preserve">although </w:t>
      </w:r>
      <w:r w:rsidR="002A60F0">
        <w:rPr>
          <w:rFonts w:cs="Times New Roman"/>
        </w:rPr>
        <w:t xml:space="preserve">this </w:t>
      </w:r>
      <w:r w:rsidR="008303B6" w:rsidRPr="008223BC">
        <w:rPr>
          <w:rFonts w:cs="Times New Roman"/>
        </w:rPr>
        <w:t>could be improved with wider use of STROB</w:t>
      </w:r>
      <w:r w:rsidR="00BC1FED">
        <w:rPr>
          <w:rFonts w:cs="Times New Roman"/>
        </w:rPr>
        <w:t>E</w:t>
      </w:r>
      <w:r w:rsidR="008303B6" w:rsidRPr="008223BC">
        <w:rPr>
          <w:rFonts w:cs="Times New Roman"/>
        </w:rPr>
        <w:t>-NI guidelines</w:t>
      </w:r>
      <w:r w:rsidR="00FE5043">
        <w:rPr>
          <w:rFonts w:cs="Times New Roman"/>
        </w:rPr>
        <w:t>, this</w:t>
      </w:r>
      <w:r w:rsidR="007F3D08">
        <w:rPr>
          <w:rFonts w:cs="Times New Roman"/>
        </w:rPr>
        <w:t xml:space="preserve"> review could </w:t>
      </w:r>
      <w:r w:rsidR="00F10B0C">
        <w:rPr>
          <w:rFonts w:cs="Times New Roman"/>
        </w:rPr>
        <w:t xml:space="preserve">therefore </w:t>
      </w:r>
      <w:r w:rsidR="007F3D08">
        <w:rPr>
          <w:rFonts w:cs="Times New Roman"/>
        </w:rPr>
        <w:t xml:space="preserve">not distinguish </w:t>
      </w:r>
      <w:r w:rsidR="002F0617">
        <w:rPr>
          <w:rFonts w:cs="Times New Roman"/>
        </w:rPr>
        <w:t xml:space="preserve">between </w:t>
      </w:r>
      <w:r w:rsidR="00643CEB">
        <w:rPr>
          <w:rFonts w:cs="Times New Roman"/>
        </w:rPr>
        <w:t xml:space="preserve">infections that were </w:t>
      </w:r>
      <w:r w:rsidR="00406EEB">
        <w:rPr>
          <w:rFonts w:cs="Times New Roman"/>
        </w:rPr>
        <w:t>maternal</w:t>
      </w:r>
      <w:r w:rsidR="00643CEB">
        <w:rPr>
          <w:rFonts w:cs="Times New Roman"/>
        </w:rPr>
        <w:t>ly</w:t>
      </w:r>
      <w:r w:rsidR="00406EEB">
        <w:rPr>
          <w:rFonts w:cs="Times New Roman"/>
        </w:rPr>
        <w:t xml:space="preserve">, community </w:t>
      </w:r>
      <w:r w:rsidR="00643CEB">
        <w:rPr>
          <w:rFonts w:cs="Times New Roman"/>
        </w:rPr>
        <w:t>or</w:t>
      </w:r>
      <w:r w:rsidR="00406EEB">
        <w:rPr>
          <w:rFonts w:cs="Times New Roman"/>
        </w:rPr>
        <w:t xml:space="preserve"> hospital-acquired</w:t>
      </w:r>
      <w:r w:rsidR="00F10B0C">
        <w:rPr>
          <w:rFonts w:cs="Times New Roman"/>
        </w:rPr>
        <w:t>.</w:t>
      </w:r>
      <w:r w:rsidR="00A84785">
        <w:rPr>
          <w:rFonts w:cs="Times New Roman"/>
        </w:rPr>
        <w:t xml:space="preserve"> </w:t>
      </w:r>
    </w:p>
    <w:p w14:paraId="08A9D587" w14:textId="76714746" w:rsidR="00195A23" w:rsidRDefault="00195A23" w:rsidP="00947D41">
      <w:pPr>
        <w:tabs>
          <w:tab w:val="left" w:pos="1221"/>
        </w:tabs>
        <w:spacing w:line="480" w:lineRule="auto"/>
        <w:jc w:val="both"/>
        <w:rPr>
          <w:rFonts w:cs="Times New Roman"/>
        </w:rPr>
      </w:pPr>
    </w:p>
    <w:p w14:paraId="72C84136" w14:textId="233A6523" w:rsidR="00195A23" w:rsidRDefault="00E5390B" w:rsidP="00947D41">
      <w:pPr>
        <w:tabs>
          <w:tab w:val="left" w:pos="1221"/>
        </w:tabs>
        <w:spacing w:line="480" w:lineRule="auto"/>
        <w:jc w:val="both"/>
        <w:rPr>
          <w:rFonts w:cs="Times New Roman"/>
        </w:rPr>
      </w:pPr>
      <w:r>
        <w:rPr>
          <w:rFonts w:cs="Times New Roman"/>
          <w:noProof/>
        </w:rPr>
        <w:lastRenderedPageBreak/>
        <mc:AlternateContent>
          <mc:Choice Requires="wps">
            <w:drawing>
              <wp:anchor distT="0" distB="0" distL="114300" distR="114300" simplePos="0" relativeHeight="251659264" behindDoc="0" locked="0" layoutInCell="1" allowOverlap="1" wp14:anchorId="1246BF4B" wp14:editId="0BF394B4">
                <wp:simplePos x="0" y="0"/>
                <wp:positionH relativeFrom="column">
                  <wp:posOffset>-135172</wp:posOffset>
                </wp:positionH>
                <wp:positionV relativeFrom="paragraph">
                  <wp:posOffset>79513</wp:posOffset>
                </wp:positionV>
                <wp:extent cx="5992302" cy="8420431"/>
                <wp:effectExtent l="0" t="0" r="27940" b="19050"/>
                <wp:wrapNone/>
                <wp:docPr id="1" name="Text Box 1"/>
                <wp:cNvGraphicFramePr/>
                <a:graphic xmlns:a="http://schemas.openxmlformats.org/drawingml/2006/main">
                  <a:graphicData uri="http://schemas.microsoft.com/office/word/2010/wordprocessingShape">
                    <wps:wsp>
                      <wps:cNvSpPr txBox="1"/>
                      <wps:spPr>
                        <a:xfrm>
                          <a:off x="0" y="0"/>
                          <a:ext cx="5992302" cy="8420431"/>
                        </a:xfrm>
                        <a:prstGeom prst="rect">
                          <a:avLst/>
                        </a:prstGeom>
                        <a:solidFill>
                          <a:schemeClr val="lt1"/>
                        </a:solidFill>
                        <a:ln w="6350">
                          <a:solidFill>
                            <a:prstClr val="black"/>
                          </a:solidFill>
                        </a:ln>
                      </wps:spPr>
                      <wps:txbx>
                        <w:txbxContent>
                          <w:p w14:paraId="347ED479" w14:textId="77777777" w:rsidR="00E5390B" w:rsidRPr="008223BC" w:rsidRDefault="00E5390B" w:rsidP="00E5390B">
                            <w:pPr>
                              <w:pStyle w:val="Heading2"/>
                              <w:spacing w:after="120"/>
                              <w:rPr>
                                <w:lang w:val="en-GB"/>
                              </w:rPr>
                            </w:pPr>
                            <w:r w:rsidRPr="008223BC">
                              <w:rPr>
                                <w:lang w:val="en-GB"/>
                              </w:rPr>
                              <w:t>Research in context</w:t>
                            </w:r>
                          </w:p>
                          <w:p w14:paraId="00A9F457" w14:textId="77777777" w:rsidR="00E5390B" w:rsidRPr="008223BC" w:rsidRDefault="00E5390B" w:rsidP="00E5390B">
                            <w:pPr>
                              <w:pStyle w:val="Heading4"/>
                              <w:spacing w:before="0" w:after="0" w:line="276" w:lineRule="auto"/>
                            </w:pPr>
                            <w:r w:rsidRPr="008223BC">
                              <w:t>Evidence before this study</w:t>
                            </w:r>
                          </w:p>
                          <w:p w14:paraId="130F5193" w14:textId="77777777" w:rsidR="00E5390B" w:rsidRDefault="00E5390B" w:rsidP="00E5390B">
                            <w:pPr>
                              <w:spacing w:after="120"/>
                              <w:rPr>
                                <w:rFonts w:cs="Times New Roman"/>
                              </w:rPr>
                            </w:pPr>
                            <w:r>
                              <w:t>Neonatal deaths account for 47% of under-five deaths globally and infections are one of the leading causes of mortality. Linked to Sustainable Development Goals, there has been a strong emphasis on promotion of institutional delivery for all births with the aim of improving maternal and neonatal outcomes. In</w:t>
                            </w:r>
                            <w:r w:rsidRPr="008223BC">
                              <w:rPr>
                                <w:rFonts w:cs="Times New Roman"/>
                              </w:rPr>
                              <w:t xml:space="preserve"> sub-Saharan Africa</w:t>
                            </w:r>
                            <w:r>
                              <w:rPr>
                                <w:rFonts w:cs="Times New Roman"/>
                              </w:rPr>
                              <w:t xml:space="preserve"> where more than </w:t>
                            </w:r>
                            <w:r w:rsidRPr="008223BC">
                              <w:rPr>
                                <w:rFonts w:cs="Times New Roman"/>
                                <w:color w:val="2A2A2A"/>
                                <w:shd w:val="clear" w:color="auto" w:fill="FFFFFF"/>
                              </w:rPr>
                              <w:t>half of the 36 million annual births now occur in health facilities</w:t>
                            </w:r>
                            <w:r>
                              <w:rPr>
                                <w:rFonts w:cs="Times New Roman"/>
                                <w:color w:val="2A2A2A"/>
                                <w:shd w:val="clear" w:color="auto" w:fill="FFFFFF"/>
                              </w:rPr>
                              <w:t xml:space="preserve">, </w:t>
                            </w:r>
                            <w:r>
                              <w:t>many</w:t>
                            </w:r>
                            <w:r w:rsidRPr="008223BC">
                              <w:rPr>
                                <w:rFonts w:cs="Times New Roman"/>
                                <w:iCs/>
                              </w:rPr>
                              <w:t xml:space="preserve"> hospital environments</w:t>
                            </w:r>
                            <w:r>
                              <w:rPr>
                                <w:rFonts w:cs="Times New Roman"/>
                                <w:iCs/>
                              </w:rPr>
                              <w:t xml:space="preserve"> have sub-optimal hygiene, </w:t>
                            </w:r>
                            <w:r>
                              <w:rPr>
                                <w:rFonts w:cs="Times New Roman"/>
                                <w:color w:val="2A2A2A"/>
                                <w:shd w:val="clear" w:color="auto" w:fill="FFFFFF"/>
                              </w:rPr>
                              <w:t xml:space="preserve">placing mothers and newborns </w:t>
                            </w:r>
                            <w:r w:rsidRPr="008223BC">
                              <w:rPr>
                                <w:rFonts w:cs="Times New Roman"/>
                                <w:color w:val="2A2A2A"/>
                                <w:shd w:val="clear" w:color="auto" w:fill="FFFFFF"/>
                              </w:rPr>
                              <w:t>at risk of hospital-acquired infections</w:t>
                            </w:r>
                            <w:r>
                              <w:rPr>
                                <w:rFonts w:cs="Times New Roman"/>
                                <w:color w:val="2A2A2A"/>
                                <w:shd w:val="clear" w:color="auto" w:fill="FFFFFF"/>
                              </w:rPr>
                              <w:t xml:space="preserve"> with associated morbidity, mortality and cost.</w:t>
                            </w:r>
                            <w:r>
                              <w:t xml:space="preserve"> WHO recommends ampicillin (or penicillin) plus gentamicin as treatment for serious infections in newborns and infants younger than 2 months of age. </w:t>
                            </w:r>
                            <w:r w:rsidRPr="008223BC">
                              <w:rPr>
                                <w:rFonts w:cs="Times New Roman"/>
                              </w:rPr>
                              <w:t>Antimicrobial resistance is an increasing global threat leading to poor treatment outcomes and the potential to erode the gains in neonatal survival of the last few decades</w:t>
                            </w:r>
                            <w:r>
                              <w:t xml:space="preserve">. Aetiology-specific data for neonatal infections in the African continent are scarce, but available data suggest that Gram-negative organisms are the predominant cause of early-onset sepsis, with a high prevalence of extended-spectrum </w:t>
                            </w:r>
                            <w:r>
                              <w:rPr>
                                <w:rFonts w:cs="Times New Roman"/>
                              </w:rPr>
                              <w:t>β</w:t>
                            </w:r>
                            <w:r>
                              <w:t xml:space="preserve">-lactamase-producing organisms. </w:t>
                            </w:r>
                          </w:p>
                          <w:p w14:paraId="4DB92F12" w14:textId="77777777" w:rsidR="00E5390B" w:rsidRPr="008223BC" w:rsidRDefault="00E5390B" w:rsidP="00E5390B">
                            <w:pPr>
                              <w:pStyle w:val="Heading4"/>
                              <w:spacing w:after="0"/>
                            </w:pPr>
                            <w:r w:rsidRPr="008223BC">
                              <w:t>Added value of this study</w:t>
                            </w:r>
                          </w:p>
                          <w:p w14:paraId="544FB37F" w14:textId="774C0DEC" w:rsidR="00E5390B" w:rsidRPr="008223BC" w:rsidRDefault="00E5390B" w:rsidP="00E5390B">
                            <w:pPr>
                              <w:spacing w:after="120"/>
                              <w:rPr>
                                <w:rFonts w:cs="Times New Roman"/>
                              </w:rPr>
                            </w:pPr>
                            <w:r>
                              <w:rPr>
                                <w:rFonts w:cs="Times New Roman"/>
                              </w:rPr>
                              <w:t xml:space="preserve">This is the </w:t>
                            </w:r>
                            <w:r w:rsidRPr="008223BC">
                              <w:rPr>
                                <w:rFonts w:cs="Times New Roman"/>
                              </w:rPr>
                              <w:t>first systematic review of neonatal infection aetiology in sub-Saharan Africa</w:t>
                            </w:r>
                            <w:r>
                              <w:rPr>
                                <w:rFonts w:cs="Times New Roman"/>
                              </w:rPr>
                              <w:t>, with extensive inputs from &gt;16,000 initial hits.</w:t>
                            </w:r>
                            <w:r w:rsidRPr="008223BC">
                              <w:rPr>
                                <w:rFonts w:cs="Times New Roman"/>
                              </w:rPr>
                              <w:t xml:space="preserve"> </w:t>
                            </w:r>
                            <w:r>
                              <w:rPr>
                                <w:rFonts w:cs="Times New Roman"/>
                              </w:rPr>
                              <w:t xml:space="preserve">Our review addresses the knowledge gap about causes of invasive bacterial infection and antimicrobial resistance, assessing regional differences in pathogen dominance and resistance patterns. An added strength is that </w:t>
                            </w:r>
                            <w:r w:rsidR="00342786">
                              <w:rPr>
                                <w:rFonts w:cs="Times New Roman"/>
                              </w:rPr>
                              <w:t>we</w:t>
                            </w:r>
                            <w:r w:rsidR="002453A0">
                              <w:rPr>
                                <w:rFonts w:cs="Times New Roman"/>
                              </w:rPr>
                              <w:t xml:space="preserve"> </w:t>
                            </w:r>
                            <w:r>
                              <w:rPr>
                                <w:rFonts w:cs="Times New Roman"/>
                              </w:rPr>
                              <w:t xml:space="preserve">assessed the quality of scientific reporting by </w:t>
                            </w:r>
                            <w:r w:rsidRPr="008223BC">
                              <w:rPr>
                                <w:rFonts w:cs="Times New Roman"/>
                              </w:rPr>
                              <w:t>apply</w:t>
                            </w:r>
                            <w:r>
                              <w:rPr>
                                <w:rFonts w:cs="Times New Roman"/>
                              </w:rPr>
                              <w:t>ing</w:t>
                            </w:r>
                            <w:r w:rsidRPr="008223BC">
                              <w:rPr>
                                <w:rFonts w:cs="Times New Roman"/>
                              </w:rPr>
                              <w:t xml:space="preserve"> the </w:t>
                            </w:r>
                            <w:r w:rsidRPr="008223BC">
                              <w:rPr>
                                <w:rFonts w:eastAsia="ScalaLancetPro" w:cs="Times New Roman"/>
                              </w:rPr>
                              <w:t>Strengthening the Reporting of Observational Studies in Epidemiology for Newborn Infection (STROBE-NI) checklist</w:t>
                            </w:r>
                            <w:r>
                              <w:rPr>
                                <w:rFonts w:eastAsia="ScalaLancetPro" w:cs="Times New Roman"/>
                              </w:rPr>
                              <w:t>.</w:t>
                            </w:r>
                          </w:p>
                          <w:p w14:paraId="10A5EB27" w14:textId="77777777" w:rsidR="00E5390B" w:rsidRPr="005462BC" w:rsidRDefault="00E5390B" w:rsidP="00E5390B">
                            <w:pPr>
                              <w:spacing w:after="0"/>
                              <w:rPr>
                                <w:rFonts w:eastAsia="ScalaLancetPro" w:cs="Times New Roman"/>
                                <w:b/>
                              </w:rPr>
                            </w:pPr>
                            <w:r w:rsidRPr="005462BC">
                              <w:rPr>
                                <w:rFonts w:eastAsia="ScalaLancetPro" w:cs="Times New Roman"/>
                                <w:b/>
                              </w:rPr>
                              <w:t>Implications of all the available evidence</w:t>
                            </w:r>
                          </w:p>
                          <w:p w14:paraId="483AECBE" w14:textId="77777777" w:rsidR="00E5390B" w:rsidRDefault="00E5390B" w:rsidP="00E5390B">
                            <w:pPr>
                              <w:spacing w:after="120"/>
                              <w:rPr>
                                <w:rFonts w:eastAsia="ScalaLancetPro" w:cs="Times New Roman"/>
                              </w:rPr>
                            </w:pPr>
                            <w:r>
                              <w:rPr>
                                <w:rFonts w:cs="Times New Roman"/>
                              </w:rPr>
                              <w:t>The reporting quality was poor across all studies with many items from STROBE-NI not described, thereby making the data challenging to combine and interpret.</w:t>
                            </w:r>
                            <w:r w:rsidRPr="008223BC">
                              <w:rPr>
                                <w:rFonts w:cs="Times New Roman"/>
                              </w:rPr>
                              <w:t xml:space="preserve"> </w:t>
                            </w:r>
                            <w:r w:rsidRPr="008223BC">
                              <w:rPr>
                                <w:rFonts w:eastAsia="ScalaLancetPro" w:cs="Times New Roman"/>
                              </w:rPr>
                              <w:t xml:space="preserve">There is a stark lack of population-based studies investigating neonatal infection aetiology </w:t>
                            </w:r>
                            <w:r>
                              <w:rPr>
                                <w:rFonts w:eastAsia="ScalaLancetPro" w:cs="Times New Roman"/>
                              </w:rPr>
                              <w:t>yet</w:t>
                            </w:r>
                            <w:r w:rsidRPr="008223BC">
                              <w:rPr>
                                <w:rFonts w:eastAsia="ScalaLancetPro" w:cs="Times New Roman"/>
                              </w:rPr>
                              <w:t xml:space="preserve"> clearly a huge burden of infection among </w:t>
                            </w:r>
                            <w:r>
                              <w:rPr>
                                <w:rFonts w:eastAsia="ScalaLancetPro" w:cs="Times New Roman"/>
                              </w:rPr>
                              <w:t xml:space="preserve">neonates in hospitals, </w:t>
                            </w:r>
                            <w:r w:rsidRPr="008223BC">
                              <w:rPr>
                                <w:rFonts w:eastAsia="ScalaLancetPro" w:cs="Times New Roman"/>
                              </w:rPr>
                              <w:t>including hospital-acquired infections</w:t>
                            </w:r>
                            <w:r>
                              <w:rPr>
                                <w:rFonts w:eastAsia="ScalaLancetPro" w:cs="Times New Roman"/>
                              </w:rPr>
                              <w:t xml:space="preserve">. </w:t>
                            </w:r>
                            <w:r w:rsidRPr="008223BC">
                              <w:rPr>
                                <w:rFonts w:eastAsia="ScalaLancetPro" w:cs="Times New Roman"/>
                              </w:rPr>
                              <w:t xml:space="preserve"> </w:t>
                            </w:r>
                            <w:r w:rsidRPr="00D14CD0">
                              <w:rPr>
                                <w:rFonts w:cs="Times New Roman"/>
                                <w:i/>
                              </w:rPr>
                              <w:t>Staphylococcus aureus</w:t>
                            </w:r>
                            <w:r>
                              <w:rPr>
                                <w:rFonts w:cs="Times New Roman"/>
                              </w:rPr>
                              <w:t xml:space="preserve"> and </w:t>
                            </w:r>
                            <w:r w:rsidRPr="00D14CD0">
                              <w:rPr>
                                <w:rFonts w:cs="Times New Roman"/>
                                <w:i/>
                              </w:rPr>
                              <w:t>Klebsiella</w:t>
                            </w:r>
                            <w:r>
                              <w:rPr>
                                <w:rFonts w:cs="Times New Roman"/>
                              </w:rPr>
                              <w:t xml:space="preserve"> spp and </w:t>
                            </w:r>
                            <w:r w:rsidRPr="00382742">
                              <w:rPr>
                                <w:rFonts w:cs="Times New Roman"/>
                                <w:i/>
                              </w:rPr>
                              <w:t>Escherichia coli</w:t>
                            </w:r>
                            <w:r>
                              <w:rPr>
                                <w:rFonts w:cs="Times New Roman"/>
                              </w:rPr>
                              <w:t xml:space="preserve"> were the leading reported causes of bacteraemia/sepsis supporting the view that </w:t>
                            </w:r>
                            <w:r w:rsidRPr="00F33276">
                              <w:rPr>
                                <w:rFonts w:cs="Times New Roman"/>
                              </w:rPr>
                              <w:t>lack of appropriate hygiene during labour</w:t>
                            </w:r>
                            <w:r>
                              <w:rPr>
                                <w:rFonts w:cs="Times New Roman"/>
                              </w:rPr>
                              <w:t xml:space="preserve">, </w:t>
                            </w:r>
                            <w:r w:rsidRPr="00F33276">
                              <w:rPr>
                                <w:rFonts w:cs="Times New Roman"/>
                              </w:rPr>
                              <w:t>delivery</w:t>
                            </w:r>
                            <w:r>
                              <w:rPr>
                                <w:rFonts w:cs="Times New Roman"/>
                              </w:rPr>
                              <w:t xml:space="preserve"> and</w:t>
                            </w:r>
                            <w:r w:rsidRPr="00F33276">
                              <w:rPr>
                                <w:rFonts w:cs="Times New Roman"/>
                              </w:rPr>
                              <w:t xml:space="preserve"> postnatal car</w:t>
                            </w:r>
                            <w:r>
                              <w:rPr>
                                <w:rFonts w:cs="Times New Roman"/>
                              </w:rPr>
                              <w:t>e</w:t>
                            </w:r>
                            <w:r w:rsidRPr="00F33276">
                              <w:rPr>
                                <w:rFonts w:cs="Times New Roman"/>
                              </w:rPr>
                              <w:t xml:space="preserve"> are major</w:t>
                            </w:r>
                            <w:r>
                              <w:rPr>
                                <w:rFonts w:cs="Times New Roman"/>
                              </w:rPr>
                              <w:t xml:space="preserve"> </w:t>
                            </w:r>
                            <w:r w:rsidRPr="00F33276">
                              <w:rPr>
                                <w:rFonts w:cs="Times New Roman"/>
                              </w:rPr>
                              <w:t>contributors in the development</w:t>
                            </w:r>
                            <w:r>
                              <w:rPr>
                                <w:rFonts w:cs="Times New Roman"/>
                              </w:rPr>
                              <w:t xml:space="preserve"> of neonatal bloodstream infections. For reported causes of neonatal meningitis, Group B </w:t>
                            </w:r>
                            <w:r w:rsidRPr="00D14CD0">
                              <w:rPr>
                                <w:rFonts w:cs="Times New Roman"/>
                                <w:i/>
                              </w:rPr>
                              <w:t>streptococcus</w:t>
                            </w:r>
                            <w:r>
                              <w:rPr>
                                <w:rFonts w:cs="Times New Roman"/>
                                <w:i/>
                              </w:rPr>
                              <w:t xml:space="preserve"> </w:t>
                            </w:r>
                            <w:r>
                              <w:rPr>
                                <w:rFonts w:cs="Times New Roman"/>
                              </w:rPr>
                              <w:t xml:space="preserve">and </w:t>
                            </w:r>
                            <w:r w:rsidRPr="00D14CD0">
                              <w:rPr>
                                <w:rFonts w:cs="Times New Roman"/>
                                <w:i/>
                              </w:rPr>
                              <w:t>Streptococcus</w:t>
                            </w:r>
                            <w:r>
                              <w:rPr>
                                <w:rFonts w:cs="Times New Roman"/>
                              </w:rPr>
                              <w:t xml:space="preserve"> </w:t>
                            </w:r>
                            <w:r w:rsidRPr="00D14CD0">
                              <w:rPr>
                                <w:rFonts w:cs="Times New Roman"/>
                                <w:i/>
                              </w:rPr>
                              <w:t>pneumonia</w:t>
                            </w:r>
                            <w:r>
                              <w:rPr>
                                <w:rFonts w:cs="Times New Roman"/>
                                <w:i/>
                              </w:rPr>
                              <w:t xml:space="preserve">e </w:t>
                            </w:r>
                            <w:r w:rsidRPr="004E58F0">
                              <w:rPr>
                                <w:rFonts w:cs="Times New Roman"/>
                              </w:rPr>
                              <w:t>dominate</w:t>
                            </w:r>
                            <w:r>
                              <w:rPr>
                                <w:rFonts w:cs="Times New Roman"/>
                              </w:rPr>
                              <w:t xml:space="preserve"> and</w:t>
                            </w:r>
                            <w:r>
                              <w:rPr>
                                <w:rFonts w:cs="Times New Roman"/>
                                <w:i/>
                              </w:rPr>
                              <w:t xml:space="preserve"> </w:t>
                            </w:r>
                            <w:r>
                              <w:rPr>
                                <w:rFonts w:cs="Times New Roman"/>
                              </w:rPr>
                              <w:t xml:space="preserve">present specific opportunities for prevention i through maternal immunisation. </w:t>
                            </w:r>
                            <w:r>
                              <w:rPr>
                                <w:rFonts w:eastAsia="ScalaLancetPro" w:cs="Times New Roman"/>
                              </w:rPr>
                              <w:t>T</w:t>
                            </w:r>
                            <w:r w:rsidRPr="008223BC">
                              <w:rPr>
                                <w:rFonts w:eastAsia="ScalaLancetPro" w:cs="Times New Roman"/>
                              </w:rPr>
                              <w:t xml:space="preserve">he </w:t>
                            </w:r>
                            <w:r>
                              <w:rPr>
                                <w:rFonts w:eastAsia="ScalaLancetPro" w:cs="Times New Roman"/>
                              </w:rPr>
                              <w:t xml:space="preserve">limited </w:t>
                            </w:r>
                            <w:r w:rsidRPr="008223BC">
                              <w:rPr>
                                <w:rFonts w:eastAsia="ScalaLancetPro" w:cs="Times New Roman"/>
                              </w:rPr>
                              <w:t>antimicrobial resistance data suggests resistance to WHO recommended first-</w:t>
                            </w:r>
                            <w:r>
                              <w:rPr>
                                <w:rFonts w:eastAsia="ScalaLancetPro" w:cs="Times New Roman"/>
                              </w:rPr>
                              <w:t xml:space="preserve">line antibiotics occurs in more than 27% of cases and resistance to </w:t>
                            </w:r>
                            <w:r w:rsidRPr="008223BC">
                              <w:rPr>
                                <w:rFonts w:eastAsia="ScalaLancetPro" w:cs="Times New Roman"/>
                              </w:rPr>
                              <w:t>second-line antibiotics</w:t>
                            </w:r>
                            <w:r>
                              <w:rPr>
                                <w:rFonts w:eastAsia="ScalaLancetPro" w:cs="Times New Roman"/>
                              </w:rPr>
                              <w:t xml:space="preserve"> in more than 18% of cases. </w:t>
                            </w:r>
                          </w:p>
                          <w:p w14:paraId="43E3BC13" w14:textId="3DF8F5DA" w:rsidR="00E5390B" w:rsidRDefault="00E5390B" w:rsidP="00E5390B">
                            <w:r>
                              <w:rPr>
                                <w:rFonts w:eastAsia="ScalaLancetPro" w:cs="Times New Roman"/>
                              </w:rPr>
                              <w:t xml:space="preserve"> </w:t>
                            </w:r>
                            <w:r>
                              <w:rPr>
                                <w:rFonts w:cs="Times New Roman"/>
                              </w:rPr>
                              <w:t>The use of standardised reporting guidelines such as STROBE-NI is strongly recommended for future neonatal infection studies</w:t>
                            </w:r>
                            <w:r>
                              <w:rPr>
                                <w:rFonts w:eastAsia="ScalaLancetPro" w:cs="Times New Roman"/>
                              </w:rPr>
                              <w:t xml:space="preserve">. There also is need for strengthening of capacity for microbiological diagnosis, </w:t>
                            </w:r>
                            <w:r w:rsidR="00063250">
                              <w:rPr>
                                <w:rFonts w:eastAsia="ScalaLancetPro" w:cs="Times New Roman"/>
                              </w:rPr>
                              <w:t>and</w:t>
                            </w:r>
                            <w:r>
                              <w:rPr>
                                <w:rFonts w:eastAsia="ScalaLancetPro" w:cs="Times New Roman"/>
                              </w:rPr>
                              <w:t xml:space="preserve"> innovations in diagnostics, particularly for “high risk” pathogens. Geographical variation of pathogens and resistance underscore the need for active surveillance and to inform region-specific therapeutic guidelines for empirical treatment of infections. Infection control policies to combat hospital-acquired infections is an urgent imperative.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6BF4B" id="_x0000_t202" coordsize="21600,21600" o:spt="202" path="m,l,21600r21600,l21600,xe">
                <v:stroke joinstyle="miter"/>
                <v:path gradientshapeok="t" o:connecttype="rect"/>
              </v:shapetype>
              <v:shape id="Text Box 1" o:spid="_x0000_s1026" type="#_x0000_t202" style="position:absolute;left:0;text-align:left;margin-left:-10.65pt;margin-top:6.25pt;width:471.85pt;height:6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" fillcolor="white [3201]" strokeweight=".5pt">
                <v:textbox>
                  <w:txbxContent>
                    <w:p w14:paraId="347ED479" w14:textId="77777777" w:rsidR="00E5390B" w:rsidRPr="008223BC" w:rsidRDefault="00E5390B" w:rsidP="00E5390B">
                      <w:pPr>
                        <w:pStyle w:val="Heading2"/>
                        <w:spacing w:after="120"/>
                        <w:rPr>
                          <w:lang w:val="en-GB"/>
                        </w:rPr>
                      </w:pPr>
                      <w:r w:rsidRPr="008223BC">
                        <w:rPr>
                          <w:lang w:val="en-GB"/>
                        </w:rPr>
                        <w:t>Research in context</w:t>
                      </w:r>
                    </w:p>
                    <w:p w14:paraId="00A9F457" w14:textId="77777777" w:rsidR="00E5390B" w:rsidRPr="008223BC" w:rsidRDefault="00E5390B" w:rsidP="00E5390B">
                      <w:pPr>
                        <w:pStyle w:val="Heading4"/>
                        <w:spacing w:before="0" w:after="0" w:line="276" w:lineRule="auto"/>
                      </w:pPr>
                      <w:r w:rsidRPr="008223BC">
                        <w:t>Evidence before this study</w:t>
                      </w:r>
                    </w:p>
                    <w:p w14:paraId="130F5193" w14:textId="77777777" w:rsidR="00E5390B" w:rsidRDefault="00E5390B" w:rsidP="00E5390B">
                      <w:pPr>
                        <w:spacing w:after="120"/>
                        <w:rPr>
                          <w:rFonts w:cs="Times New Roman"/>
                        </w:rPr>
                      </w:pPr>
                      <w:r>
                        <w:t>Neonatal deaths account for 47% of under-five deaths globally and infections are one of the leading causes of mortality. Linked to Sustainable Development Goals, there has been a strong emphasis on promotion of institutional delivery for all births with the aim of improving maternal and neonatal outcomes. In</w:t>
                      </w:r>
                      <w:r w:rsidRPr="008223BC">
                        <w:rPr>
                          <w:rFonts w:cs="Times New Roman"/>
                        </w:rPr>
                        <w:t xml:space="preserve"> sub-Saharan Africa</w:t>
                      </w:r>
                      <w:r>
                        <w:rPr>
                          <w:rFonts w:cs="Times New Roman"/>
                        </w:rPr>
                        <w:t xml:space="preserve"> where more than </w:t>
                      </w:r>
                      <w:r w:rsidRPr="008223BC">
                        <w:rPr>
                          <w:rFonts w:cs="Times New Roman"/>
                          <w:color w:val="2A2A2A"/>
                          <w:shd w:val="clear" w:color="auto" w:fill="FFFFFF"/>
                        </w:rPr>
                        <w:t>half of the 36 million annual births now occur in health facilities</w:t>
                      </w:r>
                      <w:r>
                        <w:rPr>
                          <w:rFonts w:cs="Times New Roman"/>
                          <w:color w:val="2A2A2A"/>
                          <w:shd w:val="clear" w:color="auto" w:fill="FFFFFF"/>
                        </w:rPr>
                        <w:t xml:space="preserve">, </w:t>
                      </w:r>
                      <w:r>
                        <w:t>many</w:t>
                      </w:r>
                      <w:r w:rsidRPr="008223BC">
                        <w:rPr>
                          <w:rFonts w:cs="Times New Roman"/>
                          <w:iCs/>
                        </w:rPr>
                        <w:t xml:space="preserve"> hospital environments</w:t>
                      </w:r>
                      <w:r>
                        <w:rPr>
                          <w:rFonts w:cs="Times New Roman"/>
                          <w:iCs/>
                        </w:rPr>
                        <w:t xml:space="preserve"> have sub-optimal hygiene, </w:t>
                      </w:r>
                      <w:r>
                        <w:rPr>
                          <w:rFonts w:cs="Times New Roman"/>
                          <w:color w:val="2A2A2A"/>
                          <w:shd w:val="clear" w:color="auto" w:fill="FFFFFF"/>
                        </w:rPr>
                        <w:t xml:space="preserve">placing mothers and newborns </w:t>
                      </w:r>
                      <w:r w:rsidRPr="008223BC">
                        <w:rPr>
                          <w:rFonts w:cs="Times New Roman"/>
                          <w:color w:val="2A2A2A"/>
                          <w:shd w:val="clear" w:color="auto" w:fill="FFFFFF"/>
                        </w:rPr>
                        <w:t>at risk of hospital-acquired infections</w:t>
                      </w:r>
                      <w:r>
                        <w:rPr>
                          <w:rFonts w:cs="Times New Roman"/>
                          <w:color w:val="2A2A2A"/>
                          <w:shd w:val="clear" w:color="auto" w:fill="FFFFFF"/>
                        </w:rPr>
                        <w:t xml:space="preserve"> with associated morbidity, mortality and cost.</w:t>
                      </w:r>
                      <w:r>
                        <w:t xml:space="preserve"> WHO recommends ampicillin (or penicillin) plus gentamicin as treatment for serious infections in newborns and infants younger than 2 months of age. </w:t>
                      </w:r>
                      <w:r w:rsidRPr="008223BC">
                        <w:rPr>
                          <w:rFonts w:cs="Times New Roman"/>
                        </w:rPr>
                        <w:t>Antimicrobial resistance is an increasing global threat leading to poor treatment outcomes and the potential to erode the gains in neonatal survival of the last few decades</w:t>
                      </w:r>
                      <w:r>
                        <w:t xml:space="preserve">. Aetiology-specific data for neonatal infections in the African continent are scarce, but available data suggest that Gram-negative organisms are the predominant cause of early-onset sepsis, with a high prevalence of extended-spectrum </w:t>
                      </w:r>
                      <w:r>
                        <w:rPr>
                          <w:rFonts w:cs="Times New Roman"/>
                        </w:rPr>
                        <w:t>β</w:t>
                      </w:r>
                      <w:r>
                        <w:t xml:space="preserve">-lactamase-producing organisms. </w:t>
                      </w:r>
                    </w:p>
                    <w:p w14:paraId="4DB92F12" w14:textId="77777777" w:rsidR="00E5390B" w:rsidRPr="008223BC" w:rsidRDefault="00E5390B" w:rsidP="00E5390B">
                      <w:pPr>
                        <w:pStyle w:val="Heading4"/>
                        <w:spacing w:after="0"/>
                      </w:pPr>
                      <w:r w:rsidRPr="008223BC">
                        <w:t>Added value of this study</w:t>
                      </w:r>
                    </w:p>
                    <w:p w14:paraId="544FB37F" w14:textId="774C0DEC" w:rsidR="00E5390B" w:rsidRPr="008223BC" w:rsidRDefault="00E5390B" w:rsidP="00E5390B">
                      <w:pPr>
                        <w:spacing w:after="120"/>
                        <w:rPr>
                          <w:rFonts w:cs="Times New Roman"/>
                        </w:rPr>
                      </w:pPr>
                      <w:r>
                        <w:rPr>
                          <w:rFonts w:cs="Times New Roman"/>
                        </w:rPr>
                        <w:t xml:space="preserve">This is the </w:t>
                      </w:r>
                      <w:r w:rsidRPr="008223BC">
                        <w:rPr>
                          <w:rFonts w:cs="Times New Roman"/>
                        </w:rPr>
                        <w:t>first systematic review of neonatal infection aetiology in sub-Saharan Africa</w:t>
                      </w:r>
                      <w:r>
                        <w:rPr>
                          <w:rFonts w:cs="Times New Roman"/>
                        </w:rPr>
                        <w:t>, with extensive inputs from &gt;16,000 initial hits.</w:t>
                      </w:r>
                      <w:r w:rsidRPr="008223BC">
                        <w:rPr>
                          <w:rFonts w:cs="Times New Roman"/>
                        </w:rPr>
                        <w:t xml:space="preserve"> </w:t>
                      </w:r>
                      <w:r>
                        <w:rPr>
                          <w:rFonts w:cs="Times New Roman"/>
                        </w:rPr>
                        <w:t xml:space="preserve">Our review addresses the knowledge gap about causes of invasive bacterial infection and antimicrobial resistance, assessing regional differences in pathogen dominance and resistance patterns. An added strength is that </w:t>
                      </w:r>
                      <w:r w:rsidR="00342786">
                        <w:rPr>
                          <w:rFonts w:cs="Times New Roman"/>
                        </w:rPr>
                        <w:t>we</w:t>
                      </w:r>
                      <w:r w:rsidR="002453A0">
                        <w:rPr>
                          <w:rFonts w:cs="Times New Roman"/>
                        </w:rPr>
                        <w:t xml:space="preserve"> </w:t>
                      </w:r>
                      <w:r>
                        <w:rPr>
                          <w:rFonts w:cs="Times New Roman"/>
                        </w:rPr>
                        <w:t xml:space="preserve">assessed the quality of scientific reporting by </w:t>
                      </w:r>
                      <w:r w:rsidRPr="008223BC">
                        <w:rPr>
                          <w:rFonts w:cs="Times New Roman"/>
                        </w:rPr>
                        <w:t>apply</w:t>
                      </w:r>
                      <w:r>
                        <w:rPr>
                          <w:rFonts w:cs="Times New Roman"/>
                        </w:rPr>
                        <w:t>ing</w:t>
                      </w:r>
                      <w:r w:rsidRPr="008223BC">
                        <w:rPr>
                          <w:rFonts w:cs="Times New Roman"/>
                        </w:rPr>
                        <w:t xml:space="preserve"> the </w:t>
                      </w:r>
                      <w:r w:rsidRPr="008223BC">
                        <w:rPr>
                          <w:rFonts w:eastAsia="ScalaLancetPro" w:cs="Times New Roman"/>
                        </w:rPr>
                        <w:t>Strengthening the Reporting of Observational Studies in Epidemiology for Newborn Infection (STROBE-NI) checklist</w:t>
                      </w:r>
                      <w:r>
                        <w:rPr>
                          <w:rFonts w:eastAsia="ScalaLancetPro" w:cs="Times New Roman"/>
                        </w:rPr>
                        <w:t>.</w:t>
                      </w:r>
                    </w:p>
                    <w:p w14:paraId="10A5EB27" w14:textId="77777777" w:rsidR="00E5390B" w:rsidRPr="005462BC" w:rsidRDefault="00E5390B" w:rsidP="00E5390B">
                      <w:pPr>
                        <w:spacing w:after="0"/>
                        <w:rPr>
                          <w:rFonts w:eastAsia="ScalaLancetPro" w:cs="Times New Roman"/>
                          <w:b/>
                        </w:rPr>
                      </w:pPr>
                      <w:r w:rsidRPr="005462BC">
                        <w:rPr>
                          <w:rFonts w:eastAsia="ScalaLancetPro" w:cs="Times New Roman"/>
                          <w:b/>
                        </w:rPr>
                        <w:t>Implications of all the available evidence</w:t>
                      </w:r>
                    </w:p>
                    <w:p w14:paraId="483AECBE" w14:textId="77777777" w:rsidR="00E5390B" w:rsidRDefault="00E5390B" w:rsidP="00E5390B">
                      <w:pPr>
                        <w:spacing w:after="120"/>
                        <w:rPr>
                          <w:rFonts w:eastAsia="ScalaLancetPro" w:cs="Times New Roman"/>
                        </w:rPr>
                      </w:pPr>
                      <w:r>
                        <w:rPr>
                          <w:rFonts w:cs="Times New Roman"/>
                        </w:rPr>
                        <w:t>The reporting quality was poor across all studies with many items from STROBE-NI not described, thereby making the data challenging to combine and interpret.</w:t>
                      </w:r>
                      <w:r w:rsidRPr="008223BC">
                        <w:rPr>
                          <w:rFonts w:cs="Times New Roman"/>
                        </w:rPr>
                        <w:t xml:space="preserve"> </w:t>
                      </w:r>
                      <w:r w:rsidRPr="008223BC">
                        <w:rPr>
                          <w:rFonts w:eastAsia="ScalaLancetPro" w:cs="Times New Roman"/>
                        </w:rPr>
                        <w:t xml:space="preserve">There is a stark lack of population-based studies investigating neonatal infection aetiology </w:t>
                      </w:r>
                      <w:r>
                        <w:rPr>
                          <w:rFonts w:eastAsia="ScalaLancetPro" w:cs="Times New Roman"/>
                        </w:rPr>
                        <w:t>yet</w:t>
                      </w:r>
                      <w:r w:rsidRPr="008223BC">
                        <w:rPr>
                          <w:rFonts w:eastAsia="ScalaLancetPro" w:cs="Times New Roman"/>
                        </w:rPr>
                        <w:t xml:space="preserve"> clearly a huge burden of infection among </w:t>
                      </w:r>
                      <w:r>
                        <w:rPr>
                          <w:rFonts w:eastAsia="ScalaLancetPro" w:cs="Times New Roman"/>
                        </w:rPr>
                        <w:t xml:space="preserve">neonates in hospitals, </w:t>
                      </w:r>
                      <w:r w:rsidRPr="008223BC">
                        <w:rPr>
                          <w:rFonts w:eastAsia="ScalaLancetPro" w:cs="Times New Roman"/>
                        </w:rPr>
                        <w:t>including hospital-acquired infections</w:t>
                      </w:r>
                      <w:r>
                        <w:rPr>
                          <w:rFonts w:eastAsia="ScalaLancetPro" w:cs="Times New Roman"/>
                        </w:rPr>
                        <w:t xml:space="preserve">. </w:t>
                      </w:r>
                      <w:r w:rsidRPr="008223BC">
                        <w:rPr>
                          <w:rFonts w:eastAsia="ScalaLancetPro" w:cs="Times New Roman"/>
                        </w:rPr>
                        <w:t xml:space="preserve"> </w:t>
                      </w:r>
                      <w:r w:rsidRPr="00D14CD0">
                        <w:rPr>
                          <w:rFonts w:cs="Times New Roman"/>
                          <w:i/>
                        </w:rPr>
                        <w:t>Staphylococcus aureus</w:t>
                      </w:r>
                      <w:r>
                        <w:rPr>
                          <w:rFonts w:cs="Times New Roman"/>
                        </w:rPr>
                        <w:t xml:space="preserve"> and </w:t>
                      </w:r>
                      <w:r w:rsidRPr="00D14CD0">
                        <w:rPr>
                          <w:rFonts w:cs="Times New Roman"/>
                          <w:i/>
                        </w:rPr>
                        <w:t>Klebsiella</w:t>
                      </w:r>
                      <w:r>
                        <w:rPr>
                          <w:rFonts w:cs="Times New Roman"/>
                        </w:rPr>
                        <w:t xml:space="preserve"> spp and </w:t>
                      </w:r>
                      <w:r w:rsidRPr="00382742">
                        <w:rPr>
                          <w:rFonts w:cs="Times New Roman"/>
                          <w:i/>
                        </w:rPr>
                        <w:t>Escherichia coli</w:t>
                      </w:r>
                      <w:r>
                        <w:rPr>
                          <w:rFonts w:cs="Times New Roman"/>
                        </w:rPr>
                        <w:t xml:space="preserve"> were the leading reported causes of bacteraemia/sepsis supporting the view that </w:t>
                      </w:r>
                      <w:r w:rsidRPr="00F33276">
                        <w:rPr>
                          <w:rFonts w:cs="Times New Roman"/>
                        </w:rPr>
                        <w:t>lack of appropriate hygiene during labour</w:t>
                      </w:r>
                      <w:r>
                        <w:rPr>
                          <w:rFonts w:cs="Times New Roman"/>
                        </w:rPr>
                        <w:t xml:space="preserve">, </w:t>
                      </w:r>
                      <w:r w:rsidRPr="00F33276">
                        <w:rPr>
                          <w:rFonts w:cs="Times New Roman"/>
                        </w:rPr>
                        <w:t>delivery</w:t>
                      </w:r>
                      <w:r>
                        <w:rPr>
                          <w:rFonts w:cs="Times New Roman"/>
                        </w:rPr>
                        <w:t xml:space="preserve"> and</w:t>
                      </w:r>
                      <w:r w:rsidRPr="00F33276">
                        <w:rPr>
                          <w:rFonts w:cs="Times New Roman"/>
                        </w:rPr>
                        <w:t xml:space="preserve"> postnatal car</w:t>
                      </w:r>
                      <w:r>
                        <w:rPr>
                          <w:rFonts w:cs="Times New Roman"/>
                        </w:rPr>
                        <w:t>e</w:t>
                      </w:r>
                      <w:r w:rsidRPr="00F33276">
                        <w:rPr>
                          <w:rFonts w:cs="Times New Roman"/>
                        </w:rPr>
                        <w:t xml:space="preserve"> are major</w:t>
                      </w:r>
                      <w:r>
                        <w:rPr>
                          <w:rFonts w:cs="Times New Roman"/>
                        </w:rPr>
                        <w:t xml:space="preserve"> </w:t>
                      </w:r>
                      <w:r w:rsidRPr="00F33276">
                        <w:rPr>
                          <w:rFonts w:cs="Times New Roman"/>
                        </w:rPr>
                        <w:t>contributors in the development</w:t>
                      </w:r>
                      <w:r>
                        <w:rPr>
                          <w:rFonts w:cs="Times New Roman"/>
                        </w:rPr>
                        <w:t xml:space="preserve"> of neonatal bloodstream infections. For reported causes of neonatal meningitis, Group B </w:t>
                      </w:r>
                      <w:r w:rsidRPr="00D14CD0">
                        <w:rPr>
                          <w:rFonts w:cs="Times New Roman"/>
                          <w:i/>
                        </w:rPr>
                        <w:t>streptococcus</w:t>
                      </w:r>
                      <w:r>
                        <w:rPr>
                          <w:rFonts w:cs="Times New Roman"/>
                          <w:i/>
                        </w:rPr>
                        <w:t xml:space="preserve"> </w:t>
                      </w:r>
                      <w:r>
                        <w:rPr>
                          <w:rFonts w:cs="Times New Roman"/>
                        </w:rPr>
                        <w:t xml:space="preserve">and </w:t>
                      </w:r>
                      <w:r w:rsidRPr="00D14CD0">
                        <w:rPr>
                          <w:rFonts w:cs="Times New Roman"/>
                          <w:i/>
                        </w:rPr>
                        <w:t>Streptococcus</w:t>
                      </w:r>
                      <w:r>
                        <w:rPr>
                          <w:rFonts w:cs="Times New Roman"/>
                        </w:rPr>
                        <w:t xml:space="preserve"> </w:t>
                      </w:r>
                      <w:r w:rsidRPr="00D14CD0">
                        <w:rPr>
                          <w:rFonts w:cs="Times New Roman"/>
                          <w:i/>
                        </w:rPr>
                        <w:t>pneumonia</w:t>
                      </w:r>
                      <w:r>
                        <w:rPr>
                          <w:rFonts w:cs="Times New Roman"/>
                          <w:i/>
                        </w:rPr>
                        <w:t xml:space="preserve">e </w:t>
                      </w:r>
                      <w:r w:rsidRPr="004E58F0">
                        <w:rPr>
                          <w:rFonts w:cs="Times New Roman"/>
                        </w:rPr>
                        <w:t>dominate</w:t>
                      </w:r>
                      <w:r>
                        <w:rPr>
                          <w:rFonts w:cs="Times New Roman"/>
                        </w:rPr>
                        <w:t xml:space="preserve"> and</w:t>
                      </w:r>
                      <w:r>
                        <w:rPr>
                          <w:rFonts w:cs="Times New Roman"/>
                          <w:i/>
                        </w:rPr>
                        <w:t xml:space="preserve"> </w:t>
                      </w:r>
                      <w:r>
                        <w:rPr>
                          <w:rFonts w:cs="Times New Roman"/>
                        </w:rPr>
                        <w:t xml:space="preserve">present specific opportunities for prevention i through maternal immunisation. </w:t>
                      </w:r>
                      <w:r>
                        <w:rPr>
                          <w:rFonts w:eastAsia="ScalaLancetPro" w:cs="Times New Roman"/>
                        </w:rPr>
                        <w:t>T</w:t>
                      </w:r>
                      <w:r w:rsidRPr="008223BC">
                        <w:rPr>
                          <w:rFonts w:eastAsia="ScalaLancetPro" w:cs="Times New Roman"/>
                        </w:rPr>
                        <w:t xml:space="preserve">he </w:t>
                      </w:r>
                      <w:r>
                        <w:rPr>
                          <w:rFonts w:eastAsia="ScalaLancetPro" w:cs="Times New Roman"/>
                        </w:rPr>
                        <w:t xml:space="preserve">limited </w:t>
                      </w:r>
                      <w:r w:rsidRPr="008223BC">
                        <w:rPr>
                          <w:rFonts w:eastAsia="ScalaLancetPro" w:cs="Times New Roman"/>
                        </w:rPr>
                        <w:t>antimicrobial resistance data suggests resistance to WHO recommended first-</w:t>
                      </w:r>
                      <w:r>
                        <w:rPr>
                          <w:rFonts w:eastAsia="ScalaLancetPro" w:cs="Times New Roman"/>
                        </w:rPr>
                        <w:t xml:space="preserve">line antibiotics occurs in more than 27% of cases and resistance to </w:t>
                      </w:r>
                      <w:r w:rsidRPr="008223BC">
                        <w:rPr>
                          <w:rFonts w:eastAsia="ScalaLancetPro" w:cs="Times New Roman"/>
                        </w:rPr>
                        <w:t>second-line antibiotics</w:t>
                      </w:r>
                      <w:r>
                        <w:rPr>
                          <w:rFonts w:eastAsia="ScalaLancetPro" w:cs="Times New Roman"/>
                        </w:rPr>
                        <w:t xml:space="preserve"> in more than 18% of cases. </w:t>
                      </w:r>
                    </w:p>
                    <w:p w14:paraId="43E3BC13" w14:textId="3DF8F5DA" w:rsidR="00E5390B" w:rsidRDefault="00E5390B" w:rsidP="00E5390B">
                      <w:r>
                        <w:rPr>
                          <w:rFonts w:eastAsia="ScalaLancetPro" w:cs="Times New Roman"/>
                        </w:rPr>
                        <w:t xml:space="preserve"> </w:t>
                      </w:r>
                      <w:r>
                        <w:rPr>
                          <w:rFonts w:cs="Times New Roman"/>
                        </w:rPr>
                        <w:t>The use of standardised reporting guidelines such as STROBE-NI is strongly recommended for future neonatal infection studies</w:t>
                      </w:r>
                      <w:r>
                        <w:rPr>
                          <w:rFonts w:eastAsia="ScalaLancetPro" w:cs="Times New Roman"/>
                        </w:rPr>
                        <w:t xml:space="preserve">. There also is need for strengthening of capacity for microbiological diagnosis, </w:t>
                      </w:r>
                      <w:r w:rsidR="00063250">
                        <w:rPr>
                          <w:rFonts w:eastAsia="ScalaLancetPro" w:cs="Times New Roman"/>
                        </w:rPr>
                        <w:t>and</w:t>
                      </w:r>
                      <w:r>
                        <w:rPr>
                          <w:rFonts w:eastAsia="ScalaLancetPro" w:cs="Times New Roman"/>
                        </w:rPr>
                        <w:t xml:space="preserve"> innovations in diagnostics, particularly for “high risk” pathogens. Geographical variation of pathogens and resistance underscore the need for active surveillance and to inform region-specific therapeutic guidelines for empirical treatment of infections. Infection control policies to combat hospital-acquired infections is an urgent imperative.</w:t>
                      </w:r>
                    </w:p>
                  </w:txbxContent>
                </v:textbox>
              </v:shape>
            </w:pict>
          </mc:Fallback>
        </mc:AlternateContent>
      </w:r>
    </w:p>
    <w:p w14:paraId="08583AF9" w14:textId="3BDB1290" w:rsidR="00195A23" w:rsidRDefault="00195A23" w:rsidP="00947D41">
      <w:pPr>
        <w:tabs>
          <w:tab w:val="left" w:pos="1221"/>
        </w:tabs>
        <w:spacing w:line="480" w:lineRule="auto"/>
        <w:jc w:val="both"/>
        <w:rPr>
          <w:rFonts w:cs="Times New Roman"/>
        </w:rPr>
      </w:pPr>
    </w:p>
    <w:p w14:paraId="5E63E950" w14:textId="77777777" w:rsidR="00195A23" w:rsidRPr="008223BC" w:rsidRDefault="00195A23" w:rsidP="00947D41">
      <w:pPr>
        <w:tabs>
          <w:tab w:val="left" w:pos="1221"/>
        </w:tabs>
        <w:spacing w:line="480" w:lineRule="auto"/>
        <w:jc w:val="both"/>
        <w:rPr>
          <w:rFonts w:cs="Times New Roman"/>
        </w:rPr>
      </w:pPr>
    </w:p>
    <w:p w14:paraId="3E06F569" w14:textId="77777777" w:rsidR="00E5390B" w:rsidRDefault="00E5390B" w:rsidP="00426910">
      <w:pPr>
        <w:tabs>
          <w:tab w:val="left" w:pos="1221"/>
        </w:tabs>
        <w:spacing w:line="480" w:lineRule="auto"/>
        <w:jc w:val="both"/>
        <w:rPr>
          <w:rFonts w:cs="Times New Roman"/>
        </w:rPr>
      </w:pPr>
    </w:p>
    <w:p w14:paraId="50CB5898" w14:textId="77777777" w:rsidR="00E5390B" w:rsidRDefault="00E5390B" w:rsidP="00426910">
      <w:pPr>
        <w:tabs>
          <w:tab w:val="left" w:pos="1221"/>
        </w:tabs>
        <w:spacing w:line="480" w:lineRule="auto"/>
        <w:jc w:val="both"/>
        <w:rPr>
          <w:rFonts w:cs="Times New Roman"/>
        </w:rPr>
      </w:pPr>
    </w:p>
    <w:p w14:paraId="78B783EB" w14:textId="77777777" w:rsidR="00E5390B" w:rsidRDefault="00E5390B" w:rsidP="00426910">
      <w:pPr>
        <w:tabs>
          <w:tab w:val="left" w:pos="1221"/>
        </w:tabs>
        <w:spacing w:line="480" w:lineRule="auto"/>
        <w:jc w:val="both"/>
        <w:rPr>
          <w:rFonts w:cs="Times New Roman"/>
        </w:rPr>
      </w:pPr>
    </w:p>
    <w:p w14:paraId="258C447E" w14:textId="77777777" w:rsidR="00E5390B" w:rsidRDefault="00E5390B" w:rsidP="00426910">
      <w:pPr>
        <w:tabs>
          <w:tab w:val="left" w:pos="1221"/>
        </w:tabs>
        <w:spacing w:line="480" w:lineRule="auto"/>
        <w:jc w:val="both"/>
        <w:rPr>
          <w:rFonts w:cs="Times New Roman"/>
        </w:rPr>
      </w:pPr>
    </w:p>
    <w:p w14:paraId="6D83F114" w14:textId="77777777" w:rsidR="00E5390B" w:rsidRDefault="00E5390B" w:rsidP="00426910">
      <w:pPr>
        <w:tabs>
          <w:tab w:val="left" w:pos="1221"/>
        </w:tabs>
        <w:spacing w:line="480" w:lineRule="auto"/>
        <w:jc w:val="both"/>
        <w:rPr>
          <w:rFonts w:cs="Times New Roman"/>
        </w:rPr>
      </w:pPr>
    </w:p>
    <w:p w14:paraId="047E8712" w14:textId="77777777" w:rsidR="00E5390B" w:rsidRDefault="00E5390B" w:rsidP="00426910">
      <w:pPr>
        <w:tabs>
          <w:tab w:val="left" w:pos="1221"/>
        </w:tabs>
        <w:spacing w:line="480" w:lineRule="auto"/>
        <w:jc w:val="both"/>
        <w:rPr>
          <w:rFonts w:cs="Times New Roman"/>
        </w:rPr>
      </w:pPr>
    </w:p>
    <w:p w14:paraId="63BDED42" w14:textId="77777777" w:rsidR="00E5390B" w:rsidRDefault="00E5390B" w:rsidP="00426910">
      <w:pPr>
        <w:tabs>
          <w:tab w:val="left" w:pos="1221"/>
        </w:tabs>
        <w:spacing w:line="480" w:lineRule="auto"/>
        <w:jc w:val="both"/>
        <w:rPr>
          <w:rFonts w:cs="Times New Roman"/>
        </w:rPr>
      </w:pPr>
    </w:p>
    <w:p w14:paraId="3320E1B6" w14:textId="77777777" w:rsidR="00E5390B" w:rsidRDefault="00E5390B" w:rsidP="00426910">
      <w:pPr>
        <w:tabs>
          <w:tab w:val="left" w:pos="1221"/>
        </w:tabs>
        <w:spacing w:line="480" w:lineRule="auto"/>
        <w:jc w:val="both"/>
        <w:rPr>
          <w:rFonts w:cs="Times New Roman"/>
        </w:rPr>
      </w:pPr>
    </w:p>
    <w:p w14:paraId="36D979DA" w14:textId="77777777" w:rsidR="00E5390B" w:rsidRDefault="00E5390B" w:rsidP="00426910">
      <w:pPr>
        <w:tabs>
          <w:tab w:val="left" w:pos="1221"/>
        </w:tabs>
        <w:spacing w:line="480" w:lineRule="auto"/>
        <w:jc w:val="both"/>
        <w:rPr>
          <w:rFonts w:cs="Times New Roman"/>
        </w:rPr>
      </w:pPr>
    </w:p>
    <w:p w14:paraId="1E4E6C47" w14:textId="77777777" w:rsidR="00E5390B" w:rsidRDefault="00E5390B" w:rsidP="00426910">
      <w:pPr>
        <w:tabs>
          <w:tab w:val="left" w:pos="1221"/>
        </w:tabs>
        <w:spacing w:line="480" w:lineRule="auto"/>
        <w:jc w:val="both"/>
        <w:rPr>
          <w:rFonts w:cs="Times New Roman"/>
        </w:rPr>
      </w:pPr>
    </w:p>
    <w:p w14:paraId="308AFB91" w14:textId="77777777" w:rsidR="00E5390B" w:rsidRDefault="00E5390B" w:rsidP="00426910">
      <w:pPr>
        <w:tabs>
          <w:tab w:val="left" w:pos="1221"/>
        </w:tabs>
        <w:spacing w:line="480" w:lineRule="auto"/>
        <w:jc w:val="both"/>
        <w:rPr>
          <w:rFonts w:cs="Times New Roman"/>
        </w:rPr>
      </w:pPr>
    </w:p>
    <w:p w14:paraId="11A9E395" w14:textId="77777777" w:rsidR="00E5390B" w:rsidRDefault="00E5390B" w:rsidP="00426910">
      <w:pPr>
        <w:tabs>
          <w:tab w:val="left" w:pos="1221"/>
        </w:tabs>
        <w:spacing w:line="480" w:lineRule="auto"/>
        <w:jc w:val="both"/>
        <w:rPr>
          <w:rFonts w:cs="Times New Roman"/>
        </w:rPr>
      </w:pPr>
    </w:p>
    <w:p w14:paraId="53ADBD4A" w14:textId="77777777" w:rsidR="00E5390B" w:rsidRDefault="00E5390B" w:rsidP="00426910">
      <w:pPr>
        <w:tabs>
          <w:tab w:val="left" w:pos="1221"/>
        </w:tabs>
        <w:spacing w:line="480" w:lineRule="auto"/>
        <w:jc w:val="both"/>
        <w:rPr>
          <w:rFonts w:cs="Times New Roman"/>
        </w:rPr>
      </w:pPr>
    </w:p>
    <w:p w14:paraId="7A47ED11" w14:textId="77777777" w:rsidR="00E5390B" w:rsidRDefault="00E5390B" w:rsidP="00426910">
      <w:pPr>
        <w:tabs>
          <w:tab w:val="left" w:pos="1221"/>
        </w:tabs>
        <w:spacing w:line="480" w:lineRule="auto"/>
        <w:jc w:val="both"/>
        <w:rPr>
          <w:rFonts w:cs="Times New Roman"/>
        </w:rPr>
      </w:pPr>
    </w:p>
    <w:p w14:paraId="2DAACF9C" w14:textId="77777777" w:rsidR="00E5390B" w:rsidRDefault="00E5390B" w:rsidP="00426910">
      <w:pPr>
        <w:tabs>
          <w:tab w:val="left" w:pos="1221"/>
        </w:tabs>
        <w:spacing w:line="480" w:lineRule="auto"/>
        <w:jc w:val="both"/>
        <w:rPr>
          <w:rFonts w:cs="Times New Roman"/>
        </w:rPr>
      </w:pPr>
    </w:p>
    <w:p w14:paraId="3A1AE2B5" w14:textId="77777777" w:rsidR="00E5390B" w:rsidRDefault="00E5390B" w:rsidP="00426910">
      <w:pPr>
        <w:tabs>
          <w:tab w:val="left" w:pos="1221"/>
        </w:tabs>
        <w:spacing w:line="480" w:lineRule="auto"/>
        <w:jc w:val="both"/>
        <w:rPr>
          <w:rFonts w:cs="Times New Roman"/>
        </w:rPr>
      </w:pPr>
    </w:p>
    <w:p w14:paraId="7ECDD1CA" w14:textId="77777777" w:rsidR="00E5390B" w:rsidRDefault="00E5390B" w:rsidP="00426910">
      <w:pPr>
        <w:tabs>
          <w:tab w:val="left" w:pos="1221"/>
        </w:tabs>
        <w:spacing w:line="480" w:lineRule="auto"/>
        <w:jc w:val="both"/>
        <w:rPr>
          <w:rFonts w:cs="Times New Roman"/>
        </w:rPr>
      </w:pPr>
    </w:p>
    <w:p w14:paraId="3BE7F27D" w14:textId="364E3E48" w:rsidR="00426910" w:rsidRDefault="00426910" w:rsidP="00426910">
      <w:pPr>
        <w:tabs>
          <w:tab w:val="left" w:pos="1221"/>
        </w:tabs>
        <w:spacing w:line="480" w:lineRule="auto"/>
        <w:jc w:val="both"/>
        <w:rPr>
          <w:rFonts w:cs="Times New Roman"/>
        </w:rPr>
      </w:pPr>
      <w:r w:rsidRPr="008223BC">
        <w:rPr>
          <w:rFonts w:cs="Times New Roman"/>
        </w:rPr>
        <w:lastRenderedPageBreak/>
        <w:t>In many sub-Saharan African hospitals, sick newborns do not routinely undergo microbiological investigations.</w:t>
      </w:r>
      <w:r w:rsidR="002220C3" w:rsidRPr="002220C3">
        <w:rPr>
          <w:rFonts w:cs="Times New Roman"/>
          <w:noProof/>
          <w:vertAlign w:val="superscript"/>
        </w:rPr>
        <w:t>124,135</w:t>
      </w:r>
      <w:r w:rsidRPr="008223BC">
        <w:rPr>
          <w:rFonts w:cs="Times New Roman"/>
        </w:rPr>
        <w:t xml:space="preserve"> Considering that the annual need-to-treat population for pSBI in sub-Saharan Africa is 2.6 million</w:t>
      </w:r>
      <w:r w:rsidRPr="008223BC">
        <w:rPr>
          <w:rFonts w:eastAsia="ScalaLancetPro" w:cs="Times New Roman"/>
        </w:rPr>
        <w:t>, with around ten cases of pSBI diagnosed for each associated neonatal death</w:t>
      </w:r>
      <w:r w:rsidRPr="008223BC">
        <w:rPr>
          <w:rFonts w:cs="Times New Roman"/>
        </w:rPr>
        <w:t>,</w:t>
      </w:r>
      <w:r w:rsidR="002220C3" w:rsidRPr="002220C3">
        <w:rPr>
          <w:rFonts w:cs="Times New Roman"/>
          <w:noProof/>
          <w:vertAlign w:val="superscript"/>
        </w:rPr>
        <w:t>136</w:t>
      </w:r>
      <w:r w:rsidRPr="008223BC">
        <w:rPr>
          <w:rFonts w:cs="Times New Roman"/>
        </w:rPr>
        <w:t xml:space="preserve"> the 31, </w:t>
      </w:r>
      <w:r>
        <w:rPr>
          <w:rFonts w:cs="Times New Roman"/>
        </w:rPr>
        <w:t>87</w:t>
      </w:r>
      <w:r w:rsidRPr="008223BC">
        <w:rPr>
          <w:rFonts w:cs="Times New Roman"/>
        </w:rPr>
        <w:t xml:space="preserve">4 blood cultures and </w:t>
      </w:r>
      <w:r>
        <w:rPr>
          <w:rFonts w:cs="Times New Roman"/>
        </w:rPr>
        <w:t>17</w:t>
      </w:r>
      <w:r w:rsidRPr="008223BC">
        <w:rPr>
          <w:rFonts w:cs="Times New Roman"/>
        </w:rPr>
        <w:t xml:space="preserve">42 </w:t>
      </w:r>
      <w:r w:rsidR="00006A27">
        <w:rPr>
          <w:rFonts w:cs="Times New Roman"/>
        </w:rPr>
        <w:t>LPs</w:t>
      </w:r>
      <w:r w:rsidRPr="008223BC">
        <w:rPr>
          <w:rFonts w:cs="Times New Roman"/>
        </w:rPr>
        <w:t xml:space="preserve"> </w:t>
      </w:r>
      <w:r>
        <w:rPr>
          <w:rFonts w:cs="Times New Roman"/>
        </w:rPr>
        <w:t>reported</w:t>
      </w:r>
      <w:r w:rsidRPr="008223BC">
        <w:rPr>
          <w:rFonts w:cs="Times New Roman"/>
        </w:rPr>
        <w:t xml:space="preserve"> in the studies identified in this </w:t>
      </w:r>
      <w:r w:rsidR="004F4669">
        <w:rPr>
          <w:rFonts w:cs="Times New Roman"/>
        </w:rPr>
        <w:t>r</w:t>
      </w:r>
      <w:r w:rsidRPr="008223BC">
        <w:rPr>
          <w:rFonts w:cs="Times New Roman"/>
        </w:rPr>
        <w:t>eview (of which 2</w:t>
      </w:r>
      <w:r>
        <w:rPr>
          <w:rFonts w:cs="Times New Roman"/>
        </w:rPr>
        <w:t>5</w:t>
      </w:r>
      <w:r w:rsidRPr="008223BC">
        <w:rPr>
          <w:rFonts w:cs="Times New Roman"/>
        </w:rPr>
        <w:t xml:space="preserve">% and </w:t>
      </w:r>
      <w:r>
        <w:rPr>
          <w:rFonts w:cs="Times New Roman"/>
        </w:rPr>
        <w:t>8</w:t>
      </w:r>
      <w:r w:rsidRPr="008223BC">
        <w:rPr>
          <w:rFonts w:cs="Times New Roman"/>
        </w:rPr>
        <w:t xml:space="preserve">% respectively were culture-positive) reveal the paucity of </w:t>
      </w:r>
      <w:r>
        <w:rPr>
          <w:rFonts w:cs="Times New Roman"/>
        </w:rPr>
        <w:t>published data</w:t>
      </w:r>
      <w:r w:rsidRPr="008223BC">
        <w:rPr>
          <w:rFonts w:cs="Times New Roman"/>
        </w:rPr>
        <w:t xml:space="preserve"> for such a large population at risk. A published audit of almost </w:t>
      </w:r>
      <w:r>
        <w:rPr>
          <w:rFonts w:cs="Times New Roman"/>
        </w:rPr>
        <w:t>5</w:t>
      </w:r>
      <w:r w:rsidRPr="008223BC">
        <w:rPr>
          <w:rFonts w:cs="Times New Roman"/>
        </w:rPr>
        <w:t xml:space="preserve">000 neonates admitted in the main hospital in The Gambia found that </w:t>
      </w:r>
      <w:r>
        <w:rPr>
          <w:rFonts w:cs="Times New Roman"/>
        </w:rPr>
        <w:t>94</w:t>
      </w:r>
      <w:r w:rsidRPr="008223BC">
        <w:rPr>
          <w:rFonts w:cs="Times New Roman"/>
        </w:rPr>
        <w:t xml:space="preserve">% received antibiotics, but only </w:t>
      </w:r>
      <w:r>
        <w:rPr>
          <w:rFonts w:cs="Times New Roman"/>
        </w:rPr>
        <w:t>26 neonates</w:t>
      </w:r>
      <w:r w:rsidRPr="008223BC">
        <w:rPr>
          <w:rFonts w:cs="Times New Roman"/>
        </w:rPr>
        <w:t xml:space="preserve"> had a blood culture </w:t>
      </w:r>
      <w:r>
        <w:rPr>
          <w:rFonts w:cs="Times New Roman"/>
        </w:rPr>
        <w:t xml:space="preserve">sample taken (of which 6 had a </w:t>
      </w:r>
      <w:r w:rsidRPr="008223BC">
        <w:rPr>
          <w:rFonts w:cs="Times New Roman"/>
        </w:rPr>
        <w:t>result</w:t>
      </w:r>
      <w:r>
        <w:rPr>
          <w:rFonts w:cs="Times New Roman"/>
        </w:rPr>
        <w:t xml:space="preserve">), </w:t>
      </w:r>
      <w:r w:rsidRPr="008223BC">
        <w:rPr>
          <w:rFonts w:cs="Times New Roman"/>
        </w:rPr>
        <w:t>and even fewer had a LP result.</w:t>
      </w:r>
      <w:r w:rsidR="002220C3" w:rsidRPr="002220C3">
        <w:rPr>
          <w:rFonts w:cs="Times New Roman"/>
          <w:noProof/>
          <w:vertAlign w:val="superscript"/>
        </w:rPr>
        <w:t>135</w:t>
      </w:r>
      <w:r w:rsidRPr="008223BC">
        <w:rPr>
          <w:rFonts w:cs="Times New Roman"/>
        </w:rPr>
        <w:t xml:space="preserve"> </w:t>
      </w:r>
      <w:r w:rsidR="00F2327F">
        <w:rPr>
          <w:rFonts w:cs="Times New Roman"/>
        </w:rPr>
        <w:t>An LP</w:t>
      </w:r>
      <w:r>
        <w:rPr>
          <w:rFonts w:cs="Times New Roman"/>
        </w:rPr>
        <w:t xml:space="preserve"> is part of the diagnostic work-up for all sick newborns with pSBI in order to identify meningitis and give the most appropriate antibiotic for the correct time period. Routine investigations for neonates such as blood cultures and LPs need to be instated as standard of care, but requires investments in clinical care workers, commodities and laboratories. </w:t>
      </w:r>
    </w:p>
    <w:p w14:paraId="248C17A5" w14:textId="6EA2AB6C" w:rsidR="00426910" w:rsidRDefault="00837EC1" w:rsidP="002E66A0">
      <w:pPr>
        <w:tabs>
          <w:tab w:val="left" w:pos="1221"/>
        </w:tabs>
        <w:spacing w:line="480" w:lineRule="auto"/>
        <w:jc w:val="both"/>
        <w:rPr>
          <w:rFonts w:cs="Times New Roman"/>
        </w:rPr>
      </w:pPr>
      <w:r w:rsidRPr="008223BC">
        <w:rPr>
          <w:rFonts w:cs="Times New Roman"/>
        </w:rPr>
        <w:t>Nearly a decade ago</w:t>
      </w:r>
      <w:r w:rsidR="001D546C" w:rsidRPr="008223BC">
        <w:rPr>
          <w:rFonts w:cs="Times New Roman"/>
        </w:rPr>
        <w:t>,</w:t>
      </w:r>
      <w:r w:rsidRPr="008223BC">
        <w:rPr>
          <w:rFonts w:cs="Times New Roman"/>
        </w:rPr>
        <w:t xml:space="preserve"> in a review of studies published between 1980 and 2007, Zaidi and colleagues</w:t>
      </w:r>
      <w:r w:rsidR="002220C3" w:rsidRPr="002220C3">
        <w:rPr>
          <w:rFonts w:cs="Times New Roman"/>
          <w:noProof/>
          <w:vertAlign w:val="superscript"/>
        </w:rPr>
        <w:t>15</w:t>
      </w:r>
      <w:r w:rsidR="00EA10C3" w:rsidRPr="008223BC">
        <w:rPr>
          <w:rFonts w:cs="Times New Roman"/>
        </w:rPr>
        <w:t xml:space="preserve"> </w:t>
      </w:r>
      <w:r w:rsidRPr="008223BC">
        <w:rPr>
          <w:rFonts w:cs="Times New Roman"/>
        </w:rPr>
        <w:t xml:space="preserve">reported </w:t>
      </w:r>
      <w:r w:rsidR="00A22FB3">
        <w:rPr>
          <w:rFonts w:cs="Times New Roman"/>
        </w:rPr>
        <w:t>GBS</w:t>
      </w:r>
      <w:r w:rsidRPr="008223BC">
        <w:rPr>
          <w:rFonts w:cs="Times New Roman"/>
        </w:rPr>
        <w:t xml:space="preserve">, </w:t>
      </w:r>
      <w:r w:rsidRPr="008223BC">
        <w:rPr>
          <w:rFonts w:cs="Times New Roman"/>
          <w:i/>
        </w:rPr>
        <w:t>S</w:t>
      </w:r>
      <w:r w:rsidR="00A22FB3">
        <w:rPr>
          <w:rFonts w:cs="Times New Roman"/>
          <w:i/>
        </w:rPr>
        <w:t xml:space="preserve"> </w:t>
      </w:r>
      <w:r w:rsidRPr="008223BC">
        <w:rPr>
          <w:rFonts w:cs="Times New Roman"/>
          <w:i/>
        </w:rPr>
        <w:t>pneumoniae</w:t>
      </w:r>
      <w:r w:rsidRPr="008223BC">
        <w:rPr>
          <w:rFonts w:cs="Times New Roman"/>
        </w:rPr>
        <w:t xml:space="preserve">, </w:t>
      </w:r>
      <w:r w:rsidRPr="004A0B89">
        <w:rPr>
          <w:rFonts w:cs="Times New Roman"/>
          <w:i/>
        </w:rPr>
        <w:t>Salmonella</w:t>
      </w:r>
      <w:r w:rsidR="004A0B89">
        <w:rPr>
          <w:rFonts w:cs="Times New Roman"/>
        </w:rPr>
        <w:t xml:space="preserve"> spp</w:t>
      </w:r>
      <w:r w:rsidRPr="008223BC">
        <w:rPr>
          <w:rFonts w:cs="Times New Roman"/>
        </w:rPr>
        <w:t xml:space="preserve">, and </w:t>
      </w:r>
      <w:r w:rsidR="00A22FB3" w:rsidRPr="008A1567">
        <w:rPr>
          <w:rFonts w:cs="Times New Roman"/>
          <w:i/>
        </w:rPr>
        <w:t>S</w:t>
      </w:r>
      <w:r w:rsidR="00A22FB3">
        <w:rPr>
          <w:rFonts w:cs="Times New Roman"/>
          <w:i/>
        </w:rPr>
        <w:t xml:space="preserve"> </w:t>
      </w:r>
      <w:r w:rsidR="00A22FB3" w:rsidRPr="008223BC">
        <w:rPr>
          <w:rFonts w:cs="Times New Roman"/>
          <w:i/>
        </w:rPr>
        <w:t>aureus</w:t>
      </w:r>
      <w:r w:rsidRPr="008223BC">
        <w:rPr>
          <w:rFonts w:cs="Times New Roman"/>
          <w:i/>
        </w:rPr>
        <w:t xml:space="preserve">, </w:t>
      </w:r>
      <w:r w:rsidRPr="008223BC">
        <w:rPr>
          <w:rFonts w:cs="Times New Roman"/>
        </w:rPr>
        <w:t xml:space="preserve">as </w:t>
      </w:r>
      <w:r w:rsidR="00426910">
        <w:rPr>
          <w:rFonts w:cs="Times New Roman"/>
        </w:rPr>
        <w:t>dominant</w:t>
      </w:r>
      <w:r w:rsidRPr="008223BC">
        <w:rPr>
          <w:rFonts w:cs="Times New Roman"/>
        </w:rPr>
        <w:t xml:space="preserve"> pathogens associated with invasive bacterial infection in African newborns. </w:t>
      </w:r>
      <w:r w:rsidR="00A24538">
        <w:rPr>
          <w:rFonts w:cs="Times New Roman"/>
        </w:rPr>
        <w:t xml:space="preserve">However, this study did not </w:t>
      </w:r>
      <w:r w:rsidR="000122D4">
        <w:rPr>
          <w:rFonts w:cs="Times New Roman"/>
        </w:rPr>
        <w:t>distinguish between causes of bacteraemia</w:t>
      </w:r>
      <w:r w:rsidR="00137FF8">
        <w:rPr>
          <w:rFonts w:cs="Times New Roman"/>
        </w:rPr>
        <w:t>/sepsis</w:t>
      </w:r>
      <w:r w:rsidR="000122D4">
        <w:rPr>
          <w:rFonts w:cs="Times New Roman"/>
        </w:rPr>
        <w:t xml:space="preserve"> and meningitis or </w:t>
      </w:r>
      <w:r w:rsidR="00A24538">
        <w:rPr>
          <w:rFonts w:cs="Times New Roman"/>
        </w:rPr>
        <w:t xml:space="preserve">assess </w:t>
      </w:r>
      <w:r w:rsidR="00F55E28">
        <w:rPr>
          <w:rFonts w:cs="Times New Roman"/>
        </w:rPr>
        <w:t>sub-</w:t>
      </w:r>
      <w:r w:rsidR="00A24538">
        <w:rPr>
          <w:rFonts w:cs="Times New Roman"/>
        </w:rPr>
        <w:t>regional differences</w:t>
      </w:r>
      <w:r w:rsidR="00D065B7">
        <w:rPr>
          <w:rFonts w:cs="Times New Roman"/>
        </w:rPr>
        <w:t xml:space="preserve"> in pathogen distribution. </w:t>
      </w:r>
      <w:r w:rsidR="00E14F4D">
        <w:rPr>
          <w:rFonts w:cs="Times New Roman"/>
        </w:rPr>
        <w:t xml:space="preserve">In our </w:t>
      </w:r>
      <w:r w:rsidR="00426910">
        <w:rPr>
          <w:rFonts w:cs="Times New Roman"/>
        </w:rPr>
        <w:t>r</w:t>
      </w:r>
      <w:r w:rsidR="00E14F4D">
        <w:rPr>
          <w:rFonts w:cs="Times New Roman"/>
        </w:rPr>
        <w:t xml:space="preserve">eview, </w:t>
      </w:r>
      <w:r w:rsidR="00C8717D" w:rsidRPr="008A1567">
        <w:rPr>
          <w:rFonts w:cs="Times New Roman"/>
          <w:i/>
        </w:rPr>
        <w:t>S</w:t>
      </w:r>
      <w:r w:rsidR="00C8717D">
        <w:rPr>
          <w:rFonts w:cs="Times New Roman"/>
          <w:i/>
        </w:rPr>
        <w:t xml:space="preserve"> </w:t>
      </w:r>
      <w:r w:rsidR="00C8717D" w:rsidRPr="008223BC">
        <w:rPr>
          <w:rFonts w:cs="Times New Roman"/>
          <w:i/>
        </w:rPr>
        <w:t>aureus</w:t>
      </w:r>
      <w:r w:rsidR="00C8717D">
        <w:rPr>
          <w:rFonts w:cs="Times New Roman"/>
        </w:rPr>
        <w:t xml:space="preserve"> was a more important cause of bacteraemia/sepsis </w:t>
      </w:r>
      <w:r w:rsidR="00F56971">
        <w:rPr>
          <w:rFonts w:cs="Times New Roman"/>
        </w:rPr>
        <w:t>over the same period (1980 – 2007)</w:t>
      </w:r>
      <w:r w:rsidR="00504B98">
        <w:rPr>
          <w:rFonts w:cs="Times New Roman"/>
        </w:rPr>
        <w:t xml:space="preserve">, </w:t>
      </w:r>
      <w:r w:rsidR="006A2647">
        <w:rPr>
          <w:rFonts w:cs="Times New Roman"/>
        </w:rPr>
        <w:t>while</w:t>
      </w:r>
      <w:r w:rsidR="00C8717D" w:rsidRPr="00C8717D">
        <w:rPr>
          <w:rFonts w:cs="Times New Roman"/>
        </w:rPr>
        <w:t xml:space="preserve"> </w:t>
      </w:r>
      <w:r w:rsidR="00C8717D">
        <w:rPr>
          <w:rFonts w:cs="Times New Roman"/>
        </w:rPr>
        <w:t xml:space="preserve">GBS and </w:t>
      </w:r>
      <w:r w:rsidR="00C8717D" w:rsidRPr="00E14F4D">
        <w:rPr>
          <w:rFonts w:cs="Times New Roman"/>
          <w:i/>
        </w:rPr>
        <w:t>S</w:t>
      </w:r>
      <w:r w:rsidR="00C8717D">
        <w:rPr>
          <w:rFonts w:cs="Times New Roman"/>
          <w:i/>
        </w:rPr>
        <w:t xml:space="preserve"> </w:t>
      </w:r>
      <w:r w:rsidR="00C8717D" w:rsidRPr="008223BC">
        <w:rPr>
          <w:rFonts w:cs="Times New Roman"/>
          <w:i/>
        </w:rPr>
        <w:t>pneumoniae</w:t>
      </w:r>
      <w:r w:rsidR="00F56971">
        <w:rPr>
          <w:rFonts w:cs="Times New Roman"/>
        </w:rPr>
        <w:t xml:space="preserve"> </w:t>
      </w:r>
      <w:r w:rsidR="00C8717D">
        <w:rPr>
          <w:rFonts w:cs="Times New Roman"/>
        </w:rPr>
        <w:t>accounted for over one-third of neonatal meningitis infections for which a pathogen could be isolated</w:t>
      </w:r>
      <w:r w:rsidR="00542EB3">
        <w:rPr>
          <w:rFonts w:cs="Times New Roman"/>
        </w:rPr>
        <w:t>.</w:t>
      </w:r>
      <w:r w:rsidR="004D58DE" w:rsidRPr="008223BC">
        <w:rPr>
          <w:rFonts w:cs="Times New Roman"/>
        </w:rPr>
        <w:t xml:space="preserve"> </w:t>
      </w:r>
      <w:r w:rsidR="00A66042">
        <w:rPr>
          <w:rFonts w:cs="Times New Roman"/>
        </w:rPr>
        <w:t>Our</w:t>
      </w:r>
      <w:r w:rsidR="009D6E3E">
        <w:rPr>
          <w:rFonts w:cs="Times New Roman"/>
        </w:rPr>
        <w:t xml:space="preserve"> </w:t>
      </w:r>
      <w:r w:rsidR="00E20C91">
        <w:rPr>
          <w:rFonts w:cs="Times New Roman"/>
        </w:rPr>
        <w:t xml:space="preserve">results show that </w:t>
      </w:r>
      <w:r w:rsidR="00790AC3">
        <w:rPr>
          <w:rFonts w:cs="Times New Roman"/>
        </w:rPr>
        <w:t>since</w:t>
      </w:r>
      <w:r w:rsidR="00A66042">
        <w:rPr>
          <w:rFonts w:cs="Times New Roman"/>
        </w:rPr>
        <w:t xml:space="preserve"> 2008, </w:t>
      </w:r>
      <w:r w:rsidR="00A22FB3" w:rsidRPr="008A1567">
        <w:rPr>
          <w:rFonts w:cs="Times New Roman"/>
          <w:i/>
        </w:rPr>
        <w:t>S</w:t>
      </w:r>
      <w:r w:rsidR="00A22FB3">
        <w:rPr>
          <w:rFonts w:cs="Times New Roman"/>
          <w:i/>
        </w:rPr>
        <w:t xml:space="preserve"> </w:t>
      </w:r>
      <w:r w:rsidR="00A22FB3" w:rsidRPr="008223BC">
        <w:rPr>
          <w:rFonts w:cs="Times New Roman"/>
          <w:i/>
        </w:rPr>
        <w:t>aureus</w:t>
      </w:r>
      <w:r w:rsidR="00A22FB3">
        <w:rPr>
          <w:rFonts w:cs="Times New Roman"/>
        </w:rPr>
        <w:t xml:space="preserve"> </w:t>
      </w:r>
      <w:r w:rsidR="00790AC3">
        <w:rPr>
          <w:rFonts w:cs="Times New Roman"/>
        </w:rPr>
        <w:t xml:space="preserve">has remained </w:t>
      </w:r>
      <w:r w:rsidR="00BB224C">
        <w:rPr>
          <w:rFonts w:cs="Times New Roman"/>
        </w:rPr>
        <w:t>an important</w:t>
      </w:r>
      <w:r w:rsidR="00790AC3">
        <w:rPr>
          <w:rFonts w:cs="Times New Roman"/>
        </w:rPr>
        <w:t xml:space="preserve"> cause of bacteraemia/sepsis</w:t>
      </w:r>
      <w:r w:rsidR="00426910">
        <w:rPr>
          <w:rFonts w:cs="Times New Roman"/>
        </w:rPr>
        <w:t>, especially in hospital settings,</w:t>
      </w:r>
      <w:r w:rsidR="00790AC3" w:rsidRPr="008223BC">
        <w:rPr>
          <w:rFonts w:cs="Times New Roman"/>
        </w:rPr>
        <w:t xml:space="preserve"> </w:t>
      </w:r>
      <w:r w:rsidR="00790AC3">
        <w:rPr>
          <w:rFonts w:cs="Times New Roman"/>
        </w:rPr>
        <w:t>while</w:t>
      </w:r>
      <w:r w:rsidR="00790AC3" w:rsidRPr="008223BC">
        <w:rPr>
          <w:rFonts w:cs="Times New Roman"/>
        </w:rPr>
        <w:t xml:space="preserve"> </w:t>
      </w:r>
      <w:r w:rsidR="00A22FB3">
        <w:rPr>
          <w:rFonts w:cs="Times New Roman"/>
        </w:rPr>
        <w:t>GBS</w:t>
      </w:r>
      <w:r w:rsidR="0038794B">
        <w:rPr>
          <w:rFonts w:cs="Times New Roman"/>
        </w:rPr>
        <w:t xml:space="preserve"> and </w:t>
      </w:r>
      <w:r w:rsidR="0038794B" w:rsidRPr="00E14F4D">
        <w:rPr>
          <w:rFonts w:cs="Times New Roman"/>
          <w:i/>
        </w:rPr>
        <w:t>S</w:t>
      </w:r>
      <w:r w:rsidR="00A22FB3">
        <w:rPr>
          <w:rFonts w:cs="Times New Roman"/>
          <w:i/>
        </w:rPr>
        <w:t xml:space="preserve"> </w:t>
      </w:r>
      <w:r w:rsidR="0038794B" w:rsidRPr="008223BC">
        <w:rPr>
          <w:rFonts w:cs="Times New Roman"/>
          <w:i/>
        </w:rPr>
        <w:t>pneumoniae</w:t>
      </w:r>
      <w:r w:rsidR="00E91C55">
        <w:rPr>
          <w:rFonts w:cs="Times New Roman"/>
        </w:rPr>
        <w:t xml:space="preserve"> </w:t>
      </w:r>
      <w:r w:rsidR="001A5C36">
        <w:rPr>
          <w:rFonts w:cs="Times New Roman"/>
        </w:rPr>
        <w:t>are</w:t>
      </w:r>
      <w:r w:rsidR="00E91C55">
        <w:rPr>
          <w:rFonts w:cs="Times New Roman"/>
        </w:rPr>
        <w:t xml:space="preserve"> </w:t>
      </w:r>
      <w:r w:rsidR="001A5C36">
        <w:rPr>
          <w:rFonts w:cs="Times New Roman"/>
        </w:rPr>
        <w:t>important</w:t>
      </w:r>
      <w:r w:rsidR="00E91C55">
        <w:rPr>
          <w:rFonts w:cs="Times New Roman"/>
        </w:rPr>
        <w:t xml:space="preserve"> causes of </w:t>
      </w:r>
      <w:r w:rsidR="0038794B">
        <w:rPr>
          <w:rFonts w:cs="Times New Roman"/>
        </w:rPr>
        <w:t>neonatal meningitis</w:t>
      </w:r>
      <w:r w:rsidR="00390EBA">
        <w:rPr>
          <w:rFonts w:cs="Times New Roman"/>
        </w:rPr>
        <w:t xml:space="preserve"> </w:t>
      </w:r>
      <w:r w:rsidR="00390EBA" w:rsidRPr="008223BC">
        <w:rPr>
          <w:rFonts w:cs="Times New Roman"/>
        </w:rPr>
        <w:t>with differences in pathogen distribution between and within regions.</w:t>
      </w:r>
      <w:r w:rsidR="002E614E">
        <w:rPr>
          <w:rFonts w:cs="Times New Roman"/>
        </w:rPr>
        <w:t xml:space="preserve"> </w:t>
      </w:r>
      <w:r w:rsidR="009D08E5">
        <w:rPr>
          <w:rFonts w:cs="Times New Roman"/>
        </w:rPr>
        <w:t>G</w:t>
      </w:r>
      <w:r w:rsidR="00443949">
        <w:rPr>
          <w:rFonts w:cs="Times New Roman"/>
        </w:rPr>
        <w:t xml:space="preserve">BS </w:t>
      </w:r>
      <w:r w:rsidR="009D08E5">
        <w:rPr>
          <w:rFonts w:cs="Times New Roman"/>
        </w:rPr>
        <w:t xml:space="preserve">and </w:t>
      </w:r>
      <w:r w:rsidR="009D08E5" w:rsidRPr="00D14CD0">
        <w:rPr>
          <w:rFonts w:cs="Times New Roman"/>
          <w:i/>
        </w:rPr>
        <w:t>S</w:t>
      </w:r>
      <w:r w:rsidR="00443949">
        <w:rPr>
          <w:rFonts w:cs="Times New Roman"/>
          <w:i/>
        </w:rPr>
        <w:t xml:space="preserve"> </w:t>
      </w:r>
      <w:r w:rsidR="009D08E5" w:rsidRPr="00D14CD0">
        <w:rPr>
          <w:rFonts w:cs="Times New Roman"/>
          <w:i/>
        </w:rPr>
        <w:t>pneumonia</w:t>
      </w:r>
      <w:r w:rsidR="009D08E5" w:rsidRPr="00D6463E">
        <w:rPr>
          <w:rFonts w:cs="Times New Roman"/>
          <w:i/>
        </w:rPr>
        <w:t>e</w:t>
      </w:r>
      <w:r w:rsidR="009D08E5">
        <w:rPr>
          <w:rFonts w:cs="Times New Roman"/>
          <w:i/>
        </w:rPr>
        <w:t xml:space="preserve"> </w:t>
      </w:r>
      <w:r w:rsidR="009D08E5">
        <w:rPr>
          <w:rFonts w:cs="Times New Roman"/>
        </w:rPr>
        <w:t>present specific opportunities</w:t>
      </w:r>
      <w:r w:rsidR="0050103A">
        <w:rPr>
          <w:rFonts w:cs="Times New Roman"/>
        </w:rPr>
        <w:t xml:space="preserve"> for</w:t>
      </w:r>
      <w:r w:rsidR="009D08E5">
        <w:rPr>
          <w:rFonts w:cs="Times New Roman"/>
        </w:rPr>
        <w:t xml:space="preserve"> interventions</w:t>
      </w:r>
      <w:r w:rsidR="0050003F">
        <w:rPr>
          <w:rFonts w:cs="Times New Roman"/>
        </w:rPr>
        <w:t>,</w:t>
      </w:r>
      <w:r w:rsidR="009D08E5">
        <w:rPr>
          <w:rFonts w:cs="Times New Roman"/>
        </w:rPr>
        <w:t xml:space="preserve"> </w:t>
      </w:r>
      <w:r w:rsidR="0050103A">
        <w:rPr>
          <w:rFonts w:cs="Times New Roman"/>
        </w:rPr>
        <w:t xml:space="preserve">for example by </w:t>
      </w:r>
      <w:r w:rsidR="009D08E5">
        <w:rPr>
          <w:rFonts w:cs="Times New Roman"/>
        </w:rPr>
        <w:t>maternal immunisation.</w:t>
      </w:r>
      <w:r w:rsidR="002220C3" w:rsidRPr="002220C3">
        <w:rPr>
          <w:rFonts w:cs="Times New Roman"/>
          <w:noProof/>
          <w:vertAlign w:val="superscript"/>
        </w:rPr>
        <w:t>137-139</w:t>
      </w:r>
      <w:r w:rsidR="00420A51">
        <w:rPr>
          <w:rFonts w:cs="Times New Roman"/>
        </w:rPr>
        <w:t xml:space="preserve"> </w:t>
      </w:r>
    </w:p>
    <w:p w14:paraId="5DDE14DA" w14:textId="272F7B5E" w:rsidR="00D34768" w:rsidRPr="008223BC" w:rsidRDefault="00E608E3" w:rsidP="00D34768">
      <w:pPr>
        <w:tabs>
          <w:tab w:val="left" w:pos="1221"/>
        </w:tabs>
        <w:spacing w:line="480" w:lineRule="auto"/>
        <w:jc w:val="both"/>
        <w:rPr>
          <w:rFonts w:cs="Times New Roman"/>
        </w:rPr>
      </w:pPr>
      <w:r w:rsidRPr="008223BC">
        <w:rPr>
          <w:rFonts w:cs="Times New Roman"/>
        </w:rPr>
        <w:t xml:space="preserve">Our results show </w:t>
      </w:r>
      <w:r w:rsidR="00426910">
        <w:rPr>
          <w:rFonts w:cs="Times New Roman"/>
        </w:rPr>
        <w:t xml:space="preserve">sub-regional </w:t>
      </w:r>
      <w:r w:rsidR="00011F1B">
        <w:rPr>
          <w:rFonts w:cs="Times New Roman"/>
        </w:rPr>
        <w:t>geographical</w:t>
      </w:r>
      <w:r w:rsidR="00426910">
        <w:rPr>
          <w:rFonts w:cs="Times New Roman"/>
        </w:rPr>
        <w:t xml:space="preserve"> variation</w:t>
      </w:r>
      <w:r w:rsidR="00011F1B">
        <w:rPr>
          <w:rFonts w:cs="Times New Roman"/>
        </w:rPr>
        <w:t xml:space="preserve"> </w:t>
      </w:r>
      <w:r w:rsidR="0065697A">
        <w:rPr>
          <w:rFonts w:cs="Times New Roman"/>
        </w:rPr>
        <w:t xml:space="preserve">in the </w:t>
      </w:r>
      <w:r w:rsidR="00011F1B">
        <w:rPr>
          <w:rFonts w:cs="Times New Roman"/>
        </w:rPr>
        <w:t xml:space="preserve">distribution of specific bacterial pathogens </w:t>
      </w:r>
      <w:r w:rsidRPr="008223BC">
        <w:rPr>
          <w:rFonts w:cs="Times New Roman"/>
        </w:rPr>
        <w:t>between and within regions</w:t>
      </w:r>
      <w:r w:rsidR="00966C42">
        <w:rPr>
          <w:rFonts w:cs="Times New Roman"/>
        </w:rPr>
        <w:t xml:space="preserve"> (</w:t>
      </w:r>
      <w:r w:rsidR="0065697A">
        <w:rPr>
          <w:rFonts w:cs="Times New Roman"/>
        </w:rPr>
        <w:t>Table 2</w:t>
      </w:r>
      <w:r w:rsidR="00D33FAA">
        <w:rPr>
          <w:rFonts w:cs="Times New Roman"/>
        </w:rPr>
        <w:t>)</w:t>
      </w:r>
      <w:r w:rsidR="006909D5" w:rsidRPr="008223BC">
        <w:rPr>
          <w:rFonts w:cs="Times New Roman"/>
        </w:rPr>
        <w:t xml:space="preserve">. </w:t>
      </w:r>
      <w:r w:rsidR="00A06A4A">
        <w:t>One key finding was the higher number of studies from Southern Africa reporting GBS infections compared to other regions, although the prevalence of infections did not differ significantly across regions</w:t>
      </w:r>
      <w:r w:rsidR="00A1119D">
        <w:t xml:space="preserve">. </w:t>
      </w:r>
      <w:r w:rsidR="00D34768" w:rsidRPr="008223BC">
        <w:rPr>
          <w:rFonts w:cs="Times New Roman"/>
        </w:rPr>
        <w:t xml:space="preserve"> </w:t>
      </w:r>
      <w:r w:rsidR="00B670A1">
        <w:rPr>
          <w:rFonts w:cs="Times New Roman"/>
        </w:rPr>
        <w:t>Most data</w:t>
      </w:r>
      <w:r w:rsidR="00426910">
        <w:rPr>
          <w:rFonts w:cs="Times New Roman"/>
        </w:rPr>
        <w:t xml:space="preserve"> are</w:t>
      </w:r>
      <w:r w:rsidR="00B670A1">
        <w:rPr>
          <w:rFonts w:cs="Times New Roman"/>
        </w:rPr>
        <w:t xml:space="preserve"> from South Africa</w:t>
      </w:r>
      <w:r w:rsidR="00576E73">
        <w:rPr>
          <w:rFonts w:cs="Times New Roman"/>
        </w:rPr>
        <w:t xml:space="preserve"> and, a</w:t>
      </w:r>
      <w:r w:rsidR="00A8291B">
        <w:rPr>
          <w:rFonts w:cs="Times New Roman"/>
        </w:rPr>
        <w:t xml:space="preserve">s noted by other reviews of </w:t>
      </w:r>
      <w:r w:rsidR="00D26360">
        <w:rPr>
          <w:rFonts w:cs="Times New Roman"/>
        </w:rPr>
        <w:t>aetiology and antimicrobial data in sub-Saharan Africa</w:t>
      </w:r>
      <w:r w:rsidR="00355983">
        <w:rPr>
          <w:rFonts w:cs="Times New Roman"/>
        </w:rPr>
        <w:t>,</w:t>
      </w:r>
      <w:r w:rsidR="002220C3" w:rsidRPr="002220C3">
        <w:rPr>
          <w:rFonts w:cs="Times New Roman"/>
          <w:noProof/>
          <w:vertAlign w:val="superscript"/>
        </w:rPr>
        <w:t>9,140</w:t>
      </w:r>
      <w:r w:rsidR="00355983">
        <w:rPr>
          <w:rFonts w:cs="Times New Roman"/>
        </w:rPr>
        <w:t xml:space="preserve"> a</w:t>
      </w:r>
      <w:r w:rsidR="00C32564">
        <w:rPr>
          <w:rFonts w:cs="Times New Roman"/>
        </w:rPr>
        <w:t xml:space="preserve"> </w:t>
      </w:r>
      <w:r w:rsidR="00576E73">
        <w:rPr>
          <w:rFonts w:cs="Times New Roman"/>
        </w:rPr>
        <w:t xml:space="preserve">specific focus on </w:t>
      </w:r>
      <w:r w:rsidR="00012458">
        <w:rPr>
          <w:rFonts w:cs="Times New Roman"/>
        </w:rPr>
        <w:t>GBS</w:t>
      </w:r>
      <w:r w:rsidR="00576E73" w:rsidRPr="008223BC">
        <w:rPr>
          <w:rFonts w:cs="Times New Roman"/>
        </w:rPr>
        <w:t xml:space="preserve"> </w:t>
      </w:r>
      <w:r w:rsidR="00576E73">
        <w:rPr>
          <w:rFonts w:cs="Times New Roman"/>
        </w:rPr>
        <w:t xml:space="preserve">research in South </w:t>
      </w:r>
      <w:r w:rsidR="00576E73">
        <w:rPr>
          <w:rFonts w:cs="Times New Roman"/>
        </w:rPr>
        <w:lastRenderedPageBreak/>
        <w:t>Africa may have led to</w:t>
      </w:r>
      <w:r w:rsidR="00D34768">
        <w:rPr>
          <w:rFonts w:cs="Times New Roman"/>
        </w:rPr>
        <w:t xml:space="preserve"> </w:t>
      </w:r>
      <w:r w:rsidR="006D1565">
        <w:rPr>
          <w:rFonts w:cs="Times New Roman"/>
        </w:rPr>
        <w:t xml:space="preserve">geographical </w:t>
      </w:r>
      <w:r w:rsidR="00D34768">
        <w:rPr>
          <w:rFonts w:cs="Times New Roman"/>
        </w:rPr>
        <w:t>publication bias</w:t>
      </w:r>
      <w:r w:rsidR="00047E18">
        <w:rPr>
          <w:rFonts w:cs="Times New Roman"/>
        </w:rPr>
        <w:t>.</w:t>
      </w:r>
      <w:r w:rsidR="00D34768">
        <w:rPr>
          <w:rFonts w:cs="Times New Roman"/>
        </w:rPr>
        <w:t xml:space="preserve"> </w:t>
      </w:r>
      <w:r w:rsidR="00D8468B">
        <w:rPr>
          <w:rFonts w:cs="Times New Roman"/>
        </w:rPr>
        <w:t>In spite of this</w:t>
      </w:r>
      <w:r w:rsidR="00047E18">
        <w:rPr>
          <w:rFonts w:cs="Times New Roman"/>
        </w:rPr>
        <w:t xml:space="preserve">, </w:t>
      </w:r>
      <w:r w:rsidR="00736C5D" w:rsidRPr="008223BC">
        <w:rPr>
          <w:rFonts w:cs="Times New Roman"/>
        </w:rPr>
        <w:t>true geographic differences in disease epidemiology</w:t>
      </w:r>
      <w:r w:rsidR="00736C5D">
        <w:rPr>
          <w:rFonts w:cs="Times New Roman"/>
        </w:rPr>
        <w:t xml:space="preserve"> </w:t>
      </w:r>
      <w:r w:rsidR="00736C5D" w:rsidRPr="008223BC">
        <w:rPr>
          <w:rFonts w:cs="Times New Roman"/>
        </w:rPr>
        <w:t>or regional differences in virulence</w:t>
      </w:r>
      <w:r w:rsidR="00736C5D" w:rsidRPr="00E3086E">
        <w:rPr>
          <w:rFonts w:cs="Times New Roman"/>
        </w:rPr>
        <w:t xml:space="preserve"> </w:t>
      </w:r>
      <w:r w:rsidR="00736C5D">
        <w:rPr>
          <w:rFonts w:cs="Times New Roman"/>
        </w:rPr>
        <w:t>and host susceptibility</w:t>
      </w:r>
      <w:r w:rsidR="006408C8">
        <w:rPr>
          <w:rFonts w:cs="Times New Roman"/>
        </w:rPr>
        <w:t xml:space="preserve"> cannot be ruled out</w:t>
      </w:r>
      <w:r w:rsidR="00736C5D">
        <w:rPr>
          <w:rFonts w:cs="Times New Roman"/>
        </w:rPr>
        <w:t>.</w:t>
      </w:r>
      <w:r w:rsidR="002220C3" w:rsidRPr="002220C3">
        <w:rPr>
          <w:rFonts w:cs="Times New Roman"/>
          <w:noProof/>
          <w:vertAlign w:val="superscript"/>
        </w:rPr>
        <w:t>137,141</w:t>
      </w:r>
      <w:r w:rsidR="00387E37">
        <w:rPr>
          <w:rFonts w:cs="Times New Roman"/>
        </w:rPr>
        <w:t xml:space="preserve"> </w:t>
      </w:r>
      <w:r w:rsidR="00426910">
        <w:rPr>
          <w:rFonts w:cs="Times New Roman"/>
        </w:rPr>
        <w:t>V</w:t>
      </w:r>
      <w:r w:rsidR="005A15B9" w:rsidRPr="008223BC">
        <w:rPr>
          <w:rFonts w:cs="Times New Roman"/>
        </w:rPr>
        <w:t xml:space="preserve">ariability in </w:t>
      </w:r>
      <w:r w:rsidR="00012458">
        <w:rPr>
          <w:rFonts w:cs="Times New Roman"/>
        </w:rPr>
        <w:t>GBS</w:t>
      </w:r>
      <w:r w:rsidR="005A15B9" w:rsidRPr="008223BC">
        <w:rPr>
          <w:rFonts w:cs="Times New Roman"/>
        </w:rPr>
        <w:t xml:space="preserve"> disease</w:t>
      </w:r>
      <w:r w:rsidR="005A15B9">
        <w:rPr>
          <w:rFonts w:cs="Times New Roman"/>
        </w:rPr>
        <w:t xml:space="preserve"> </w:t>
      </w:r>
      <w:r w:rsidR="005A15B9" w:rsidRPr="008223BC">
        <w:rPr>
          <w:rFonts w:cs="Times New Roman"/>
        </w:rPr>
        <w:t xml:space="preserve">may </w:t>
      </w:r>
      <w:r w:rsidR="005C5AA4">
        <w:rPr>
          <w:rFonts w:cs="Times New Roman"/>
        </w:rPr>
        <w:t xml:space="preserve">also </w:t>
      </w:r>
      <w:r w:rsidR="005A15B9" w:rsidRPr="008223BC">
        <w:rPr>
          <w:rFonts w:cs="Times New Roman"/>
        </w:rPr>
        <w:t xml:space="preserve">reflect </w:t>
      </w:r>
      <w:r w:rsidR="00D34768" w:rsidRPr="008223BC">
        <w:rPr>
          <w:rFonts w:cs="Times New Roman"/>
        </w:rPr>
        <w:t xml:space="preserve">differences </w:t>
      </w:r>
      <w:r w:rsidR="009B55DB">
        <w:rPr>
          <w:rFonts w:cs="Times New Roman"/>
        </w:rPr>
        <w:t xml:space="preserve">in </w:t>
      </w:r>
      <w:r w:rsidR="008F004B" w:rsidRPr="008223BC">
        <w:rPr>
          <w:rFonts w:cs="Times New Roman"/>
        </w:rPr>
        <w:t>case ascertainment</w:t>
      </w:r>
      <w:r w:rsidR="00426910">
        <w:rPr>
          <w:rFonts w:cs="Times New Roman"/>
        </w:rPr>
        <w:t xml:space="preserve"> (especially amongst home births)</w:t>
      </w:r>
      <w:r w:rsidR="008F004B" w:rsidRPr="008223BC">
        <w:rPr>
          <w:rFonts w:cs="Times New Roman"/>
        </w:rPr>
        <w:t xml:space="preserve">, </w:t>
      </w:r>
      <w:r w:rsidR="00426910">
        <w:rPr>
          <w:rFonts w:cs="Times New Roman"/>
        </w:rPr>
        <w:t xml:space="preserve">prior </w:t>
      </w:r>
      <w:r w:rsidR="00D34768" w:rsidRPr="008223BC">
        <w:rPr>
          <w:rFonts w:cs="Times New Roman"/>
        </w:rPr>
        <w:t>antibiotic treatment</w:t>
      </w:r>
      <w:r w:rsidR="00426910">
        <w:rPr>
          <w:rFonts w:cs="Times New Roman"/>
        </w:rPr>
        <w:t xml:space="preserve">, </w:t>
      </w:r>
      <w:r w:rsidR="00D34768" w:rsidRPr="008223BC">
        <w:rPr>
          <w:rFonts w:cs="Times New Roman"/>
        </w:rPr>
        <w:t>blood cultur</w:t>
      </w:r>
      <w:r w:rsidR="00974049">
        <w:rPr>
          <w:rFonts w:cs="Times New Roman"/>
        </w:rPr>
        <w:t>e</w:t>
      </w:r>
      <w:r w:rsidR="00426910">
        <w:rPr>
          <w:rFonts w:cs="Times New Roman"/>
        </w:rPr>
        <w:t xml:space="preserve"> or LP</w:t>
      </w:r>
      <w:r w:rsidR="00D34768" w:rsidRPr="008223BC">
        <w:rPr>
          <w:rFonts w:cs="Times New Roman"/>
        </w:rPr>
        <w:t xml:space="preserve"> practices, variability in laboratory capacity, and the quality of microbiological investigations.</w:t>
      </w:r>
      <w:r w:rsidR="001C3D4F" w:rsidRPr="001C3D4F">
        <w:rPr>
          <w:rFonts w:cs="Times New Roman"/>
          <w:noProof/>
          <w:vertAlign w:val="superscript"/>
        </w:rPr>
        <w:t>141</w:t>
      </w:r>
      <w:r w:rsidR="00403084" w:rsidRPr="00403084">
        <w:rPr>
          <w:rFonts w:cs="Times New Roman"/>
          <w:noProof/>
          <w:vertAlign w:val="superscript"/>
        </w:rPr>
        <w:t xml:space="preserve"> </w:t>
      </w:r>
      <w:r w:rsidR="00403084">
        <w:rPr>
          <w:rFonts w:cs="Times New Roman"/>
          <w:lang w:eastAsia="en-GB"/>
        </w:rPr>
        <w:t>A</w:t>
      </w:r>
      <w:r w:rsidR="00D34768" w:rsidRPr="008223BC">
        <w:rPr>
          <w:rFonts w:cs="Times New Roman"/>
          <w:lang w:eastAsia="en-GB"/>
        </w:rPr>
        <w:t xml:space="preserve"> South African study, </w:t>
      </w:r>
      <w:r w:rsidR="00403084">
        <w:rPr>
          <w:rFonts w:cs="Times New Roman"/>
          <w:lang w:eastAsia="en-GB"/>
        </w:rPr>
        <w:t xml:space="preserve">reported </w:t>
      </w:r>
      <w:r w:rsidR="00D34768" w:rsidRPr="008223BC">
        <w:rPr>
          <w:rFonts w:cs="Times New Roman"/>
          <w:lang w:eastAsia="en-GB"/>
        </w:rPr>
        <w:t>significant</w:t>
      </w:r>
      <w:r w:rsidR="00403084">
        <w:rPr>
          <w:rFonts w:cs="Times New Roman"/>
          <w:lang w:eastAsia="en-GB"/>
        </w:rPr>
        <w:t xml:space="preserve"> variation in</w:t>
      </w:r>
      <w:r w:rsidR="00403084" w:rsidRPr="008223BC">
        <w:rPr>
          <w:rFonts w:cs="Times New Roman"/>
          <w:lang w:eastAsia="en-GB"/>
        </w:rPr>
        <w:t xml:space="preserve"> neonatal invasive </w:t>
      </w:r>
      <w:r w:rsidR="00403084">
        <w:rPr>
          <w:rFonts w:cs="Times New Roman"/>
        </w:rPr>
        <w:t xml:space="preserve">GBS </w:t>
      </w:r>
      <w:r w:rsidR="00403084" w:rsidRPr="008223BC">
        <w:rPr>
          <w:rFonts w:cs="Times New Roman"/>
          <w:lang w:eastAsia="en-GB"/>
        </w:rPr>
        <w:t xml:space="preserve">disease </w:t>
      </w:r>
      <w:r w:rsidR="00403084">
        <w:rPr>
          <w:rFonts w:cs="Times New Roman"/>
          <w:lang w:eastAsia="en-GB"/>
        </w:rPr>
        <w:t>incidence</w:t>
      </w:r>
      <w:r w:rsidR="00D34768" w:rsidRPr="008223BC">
        <w:rPr>
          <w:rFonts w:cs="Times New Roman"/>
          <w:lang w:eastAsia="en-GB"/>
        </w:rPr>
        <w:t xml:space="preserve"> by province </w:t>
      </w:r>
      <w:r w:rsidR="00403084">
        <w:rPr>
          <w:rFonts w:cs="Times New Roman"/>
          <w:lang w:eastAsia="en-GB"/>
        </w:rPr>
        <w:t>with</w:t>
      </w:r>
      <w:r w:rsidR="00D34768" w:rsidRPr="008223BC">
        <w:rPr>
          <w:rFonts w:cs="Times New Roman"/>
          <w:lang w:eastAsia="en-GB"/>
        </w:rPr>
        <w:t xml:space="preserve"> differential access to healthcare, poor laboratory capacity and varying diagnostic procedures.</w:t>
      </w:r>
      <w:r w:rsidR="002220C3" w:rsidRPr="002220C3">
        <w:rPr>
          <w:rFonts w:cs="Times New Roman"/>
          <w:noProof/>
          <w:vertAlign w:val="superscript"/>
          <w:lang w:eastAsia="en-GB"/>
        </w:rPr>
        <w:t>142</w:t>
      </w:r>
      <w:r w:rsidR="00D34768" w:rsidRPr="008223BC">
        <w:rPr>
          <w:rFonts w:cs="Times New Roman"/>
          <w:lang w:eastAsia="en-GB"/>
        </w:rPr>
        <w:t xml:space="preserve"> </w:t>
      </w:r>
      <w:r w:rsidR="00D34768" w:rsidRPr="008223BC">
        <w:rPr>
          <w:rFonts w:cs="Times New Roman"/>
        </w:rPr>
        <w:t xml:space="preserve">Because early-onset </w:t>
      </w:r>
      <w:r w:rsidR="00012458">
        <w:rPr>
          <w:rFonts w:cs="Times New Roman"/>
        </w:rPr>
        <w:t>GBS</w:t>
      </w:r>
      <w:r w:rsidR="00D34768" w:rsidRPr="008223BC">
        <w:rPr>
          <w:rFonts w:cs="Times New Roman"/>
        </w:rPr>
        <w:t xml:space="preserve"> disease usually occurs within the first 24 hours of life, with the majority presenting within hours of being born,</w:t>
      </w:r>
      <w:r w:rsidR="002220C3" w:rsidRPr="002220C3">
        <w:rPr>
          <w:rFonts w:cs="Times New Roman"/>
          <w:noProof/>
          <w:vertAlign w:val="superscript"/>
        </w:rPr>
        <w:t>143</w:t>
      </w:r>
      <w:r w:rsidR="00D34768" w:rsidRPr="008223BC">
        <w:rPr>
          <w:rFonts w:cs="Times New Roman"/>
        </w:rPr>
        <w:t xml:space="preserve"> those born at home or with limited access to healthcare are missed as they die at home.</w:t>
      </w:r>
      <w:r w:rsidR="002220C3" w:rsidRPr="002220C3">
        <w:rPr>
          <w:rFonts w:cs="Times New Roman"/>
          <w:noProof/>
          <w:vertAlign w:val="superscript"/>
        </w:rPr>
        <w:t>144</w:t>
      </w:r>
      <w:r w:rsidR="00D34768">
        <w:rPr>
          <w:rFonts w:cs="Times New Roman"/>
        </w:rPr>
        <w:t xml:space="preserve"> </w:t>
      </w:r>
    </w:p>
    <w:p w14:paraId="7B09BD12" w14:textId="50B0C1CC" w:rsidR="00D95096" w:rsidRPr="009A6417" w:rsidRDefault="003950DF" w:rsidP="008E6509">
      <w:pPr>
        <w:tabs>
          <w:tab w:val="left" w:pos="1221"/>
        </w:tabs>
        <w:spacing w:line="480" w:lineRule="auto"/>
        <w:jc w:val="both"/>
      </w:pPr>
      <w:r>
        <w:rPr>
          <w:rFonts w:cs="Times New Roman"/>
        </w:rPr>
        <w:t xml:space="preserve">Another </w:t>
      </w:r>
      <w:r w:rsidR="003E3DE1">
        <w:rPr>
          <w:rFonts w:cs="Times New Roman"/>
        </w:rPr>
        <w:t xml:space="preserve">notable </w:t>
      </w:r>
      <w:r>
        <w:rPr>
          <w:rFonts w:cs="Times New Roman"/>
        </w:rPr>
        <w:t xml:space="preserve">finding was the </w:t>
      </w:r>
      <w:r w:rsidR="003E3DE1">
        <w:rPr>
          <w:rFonts w:cs="Times New Roman"/>
        </w:rPr>
        <w:t xml:space="preserve">difference in the </w:t>
      </w:r>
      <w:r w:rsidR="009644D2">
        <w:rPr>
          <w:rFonts w:cs="Times New Roman"/>
        </w:rPr>
        <w:t xml:space="preserve">prevalence of </w:t>
      </w:r>
      <w:r w:rsidR="00423B64" w:rsidRPr="008223BC">
        <w:rPr>
          <w:rFonts w:cs="Times New Roman"/>
          <w:i/>
        </w:rPr>
        <w:t>S</w:t>
      </w:r>
      <w:r w:rsidR="00012458">
        <w:rPr>
          <w:rFonts w:cs="Times New Roman"/>
          <w:i/>
        </w:rPr>
        <w:t xml:space="preserve"> </w:t>
      </w:r>
      <w:r w:rsidR="00423B64" w:rsidRPr="008223BC">
        <w:rPr>
          <w:rFonts w:cs="Times New Roman"/>
          <w:i/>
        </w:rPr>
        <w:t>aureus</w:t>
      </w:r>
      <w:r w:rsidR="00423B64" w:rsidRPr="008223BC">
        <w:rPr>
          <w:rFonts w:cs="Times New Roman"/>
        </w:rPr>
        <w:t xml:space="preserve"> </w:t>
      </w:r>
      <w:r w:rsidR="00360A37">
        <w:rPr>
          <w:rFonts w:cs="Times New Roman"/>
        </w:rPr>
        <w:t>bacteraemia/sepsis</w:t>
      </w:r>
      <w:r w:rsidR="007333C6">
        <w:rPr>
          <w:rFonts w:cs="Times New Roman"/>
        </w:rPr>
        <w:t xml:space="preserve"> </w:t>
      </w:r>
      <w:r w:rsidR="00E1018B">
        <w:rPr>
          <w:rFonts w:cs="Times New Roman"/>
        </w:rPr>
        <w:t>between regions</w:t>
      </w:r>
      <w:r w:rsidR="00B52958">
        <w:rPr>
          <w:rFonts w:cs="Times New Roman"/>
        </w:rPr>
        <w:t xml:space="preserve">, </w:t>
      </w:r>
      <w:r w:rsidR="00042409">
        <w:rPr>
          <w:rFonts w:cs="Times New Roman"/>
        </w:rPr>
        <w:t>which was</w:t>
      </w:r>
      <w:r w:rsidR="00B52958">
        <w:rPr>
          <w:rFonts w:cs="Times New Roman"/>
        </w:rPr>
        <w:t xml:space="preserve"> </w:t>
      </w:r>
      <w:r w:rsidR="00D928D1">
        <w:rPr>
          <w:rFonts w:cs="Times New Roman"/>
        </w:rPr>
        <w:t>significant</w:t>
      </w:r>
      <w:r w:rsidR="00345A2D">
        <w:rPr>
          <w:rFonts w:cs="Times New Roman"/>
        </w:rPr>
        <w:t>ly</w:t>
      </w:r>
      <w:r w:rsidR="00D928D1">
        <w:rPr>
          <w:rFonts w:cs="Times New Roman"/>
        </w:rPr>
        <w:t xml:space="preserve"> higher </w:t>
      </w:r>
      <w:r w:rsidR="00761B4F">
        <w:rPr>
          <w:rFonts w:cs="Times New Roman"/>
        </w:rPr>
        <w:t>in West Africa</w:t>
      </w:r>
      <w:r w:rsidR="00D928D1">
        <w:rPr>
          <w:rFonts w:cs="Times New Roman"/>
        </w:rPr>
        <w:t xml:space="preserve"> </w:t>
      </w:r>
      <w:r w:rsidR="00074D02">
        <w:rPr>
          <w:rFonts w:cs="Times New Roman"/>
        </w:rPr>
        <w:t>compared to Southern Africa</w:t>
      </w:r>
      <w:r w:rsidR="00A63352">
        <w:rPr>
          <w:rFonts w:cs="Times New Roman"/>
        </w:rPr>
        <w:t>. Most</w:t>
      </w:r>
      <w:r w:rsidR="00E6443D">
        <w:rPr>
          <w:rFonts w:cs="Times New Roman"/>
        </w:rPr>
        <w:t xml:space="preserve"> of the</w:t>
      </w:r>
      <w:r w:rsidR="00CC1A26">
        <w:rPr>
          <w:rFonts w:cs="Times New Roman"/>
        </w:rPr>
        <w:t xml:space="preserve"> </w:t>
      </w:r>
      <w:r w:rsidR="002C0EF0">
        <w:rPr>
          <w:rFonts w:cs="Times New Roman"/>
        </w:rPr>
        <w:t xml:space="preserve">West African studies </w:t>
      </w:r>
      <w:r w:rsidR="00A63352">
        <w:rPr>
          <w:rFonts w:cs="Times New Roman"/>
        </w:rPr>
        <w:t xml:space="preserve">were </w:t>
      </w:r>
      <w:r w:rsidR="00227B92">
        <w:rPr>
          <w:rFonts w:cs="Times New Roman"/>
        </w:rPr>
        <w:t xml:space="preserve">from </w:t>
      </w:r>
      <w:r w:rsidR="00473428">
        <w:rPr>
          <w:rFonts w:cs="Times New Roman"/>
        </w:rPr>
        <w:t>Nigeria</w:t>
      </w:r>
      <w:r w:rsidR="006D1141">
        <w:rPr>
          <w:rFonts w:cs="Times New Roman"/>
        </w:rPr>
        <w:t xml:space="preserve"> </w:t>
      </w:r>
      <w:r w:rsidR="006D1141">
        <w:rPr>
          <w:rFonts w:cs="Times New Roman"/>
          <w:lang w:eastAsia="en-GB"/>
        </w:rPr>
        <w:t>where</w:t>
      </w:r>
      <w:r w:rsidR="003F190A">
        <w:rPr>
          <w:rFonts w:cs="Times New Roman"/>
          <w:lang w:eastAsia="en-GB"/>
        </w:rPr>
        <w:t xml:space="preserve"> the </w:t>
      </w:r>
      <w:r w:rsidR="006C16B1">
        <w:rPr>
          <w:rFonts w:cs="Times New Roman"/>
        </w:rPr>
        <w:t xml:space="preserve">prevalence of </w:t>
      </w:r>
      <w:r w:rsidR="006C16B1" w:rsidRPr="008223BC">
        <w:rPr>
          <w:rFonts w:cs="Times New Roman"/>
          <w:lang w:eastAsia="en-GB"/>
        </w:rPr>
        <w:t>S</w:t>
      </w:r>
      <w:r w:rsidR="006C16B1">
        <w:rPr>
          <w:rFonts w:cs="Times New Roman"/>
          <w:i/>
        </w:rPr>
        <w:t xml:space="preserve"> </w:t>
      </w:r>
      <w:r w:rsidR="006C16B1" w:rsidRPr="008223BC">
        <w:rPr>
          <w:rFonts w:cs="Times New Roman"/>
          <w:i/>
        </w:rPr>
        <w:t>aureus</w:t>
      </w:r>
      <w:r w:rsidR="006C16B1" w:rsidRPr="008223BC">
        <w:rPr>
          <w:rFonts w:cs="Times New Roman"/>
        </w:rPr>
        <w:t xml:space="preserve"> </w:t>
      </w:r>
      <w:r w:rsidR="006C16B1">
        <w:rPr>
          <w:rFonts w:cs="Times New Roman"/>
        </w:rPr>
        <w:t xml:space="preserve">bacteraemia/sepsis </w:t>
      </w:r>
      <w:r w:rsidR="00C95626">
        <w:rPr>
          <w:rFonts w:cs="Times New Roman"/>
        </w:rPr>
        <w:t xml:space="preserve">differed significantly </w:t>
      </w:r>
      <w:r w:rsidR="00092578">
        <w:rPr>
          <w:lang w:eastAsia="en-GB"/>
        </w:rPr>
        <w:t xml:space="preserve">according to </w:t>
      </w:r>
      <w:r w:rsidR="008D4AD5">
        <w:rPr>
          <w:lang w:eastAsia="en-GB"/>
        </w:rPr>
        <w:t>method of data collection and level of healthcare facility</w:t>
      </w:r>
      <w:r w:rsidR="001761C0">
        <w:rPr>
          <w:lang w:eastAsia="en-GB"/>
        </w:rPr>
        <w:t>.</w:t>
      </w:r>
      <w:r w:rsidR="00B736D8" w:rsidRPr="00B736D8">
        <w:t xml:space="preserve"> </w:t>
      </w:r>
      <w:r w:rsidR="005842CD">
        <w:t xml:space="preserve">Potential explanations for the higher prevalence of infection </w:t>
      </w:r>
      <w:r w:rsidR="00FC0E23">
        <w:t>among</w:t>
      </w:r>
      <w:r w:rsidR="000857C5">
        <w:t xml:space="preserve"> </w:t>
      </w:r>
      <w:r w:rsidR="00C7753D">
        <w:rPr>
          <w:lang w:eastAsia="en-GB"/>
        </w:rPr>
        <w:t xml:space="preserve">retrospective </w:t>
      </w:r>
      <w:r w:rsidR="00FC0E23">
        <w:rPr>
          <w:lang w:eastAsia="en-GB"/>
        </w:rPr>
        <w:t>compared to</w:t>
      </w:r>
      <w:r w:rsidR="00C7753D">
        <w:rPr>
          <w:lang w:eastAsia="en-GB"/>
        </w:rPr>
        <w:t xml:space="preserve"> prospective</w:t>
      </w:r>
      <w:r w:rsidR="00C7753D" w:rsidRPr="009A6417">
        <w:t xml:space="preserve"> </w:t>
      </w:r>
      <w:r w:rsidR="00C7753D">
        <w:t xml:space="preserve">studies </w:t>
      </w:r>
      <w:r w:rsidR="00FC0E23">
        <w:t>include</w:t>
      </w:r>
      <w:r w:rsidR="008B642A">
        <w:t xml:space="preserve"> </w:t>
      </w:r>
      <w:r w:rsidR="008B642A">
        <w:rPr>
          <w:rFonts w:cs="Times New Roman"/>
          <w:lang w:eastAsia="en-GB"/>
        </w:rPr>
        <w:t xml:space="preserve">variability in what is defined </w:t>
      </w:r>
      <w:r w:rsidR="00462E8B">
        <w:rPr>
          <w:rFonts w:cs="Times New Roman"/>
          <w:lang w:eastAsia="en-GB"/>
        </w:rPr>
        <w:t>as</w:t>
      </w:r>
      <w:r w:rsidR="008B642A">
        <w:rPr>
          <w:rFonts w:cs="Times New Roman"/>
          <w:lang w:eastAsia="en-GB"/>
        </w:rPr>
        <w:t xml:space="preserve"> clinically significant</w:t>
      </w:r>
      <w:r w:rsidR="003D3F82">
        <w:rPr>
          <w:rFonts w:cs="Times New Roman"/>
          <w:lang w:eastAsia="en-GB"/>
        </w:rPr>
        <w:t xml:space="preserve"> and </w:t>
      </w:r>
      <w:r w:rsidR="00B736D8" w:rsidRPr="009A6417">
        <w:t>failure to collect certain data at study design</w:t>
      </w:r>
      <w:r w:rsidR="009E5774">
        <w:t xml:space="preserve"> </w:t>
      </w:r>
      <w:r w:rsidR="00F677A8">
        <w:t xml:space="preserve">or </w:t>
      </w:r>
      <w:r w:rsidR="00F677A8" w:rsidRPr="009A6417">
        <w:t>recognise the significance of reporting certain data</w:t>
      </w:r>
      <w:r w:rsidR="00786FCA">
        <w:rPr>
          <w:rFonts w:cs="Times New Roman"/>
        </w:rPr>
        <w:t xml:space="preserve">. </w:t>
      </w:r>
      <w:r w:rsidR="00D5755C">
        <w:rPr>
          <w:rFonts w:cs="Times New Roman"/>
        </w:rPr>
        <w:t xml:space="preserve">The </w:t>
      </w:r>
      <w:r w:rsidR="00FA5255">
        <w:rPr>
          <w:rFonts w:cs="Times New Roman"/>
        </w:rPr>
        <w:t>higher prevalence of</w:t>
      </w:r>
      <w:r w:rsidR="0042485C">
        <w:rPr>
          <w:rFonts w:cs="Times New Roman"/>
        </w:rPr>
        <w:t xml:space="preserve"> </w:t>
      </w:r>
      <w:r w:rsidR="0042485C" w:rsidRPr="008223BC">
        <w:rPr>
          <w:rFonts w:cs="Times New Roman"/>
          <w:i/>
        </w:rPr>
        <w:t>S</w:t>
      </w:r>
      <w:r w:rsidR="0042485C">
        <w:rPr>
          <w:rFonts w:cs="Times New Roman"/>
          <w:i/>
        </w:rPr>
        <w:t xml:space="preserve"> </w:t>
      </w:r>
      <w:r w:rsidR="0042485C" w:rsidRPr="008223BC">
        <w:rPr>
          <w:rFonts w:cs="Times New Roman"/>
          <w:i/>
        </w:rPr>
        <w:t>aureus</w:t>
      </w:r>
      <w:r w:rsidR="00FA5255">
        <w:rPr>
          <w:rFonts w:cs="Times New Roman"/>
        </w:rPr>
        <w:t xml:space="preserve"> bacteraemia/sepsis </w:t>
      </w:r>
      <w:r w:rsidR="002D2276">
        <w:rPr>
          <w:rFonts w:cs="Times New Roman"/>
        </w:rPr>
        <w:t xml:space="preserve">among </w:t>
      </w:r>
      <w:r w:rsidR="002D7E06" w:rsidRPr="009A6417">
        <w:rPr>
          <w:lang w:eastAsia="en-GB"/>
        </w:rPr>
        <w:t xml:space="preserve">studies from tertiary facilities </w:t>
      </w:r>
      <w:r w:rsidR="00CC7E12">
        <w:rPr>
          <w:rFonts w:cs="Times New Roman"/>
          <w:lang w:eastAsia="en-GB"/>
        </w:rPr>
        <w:t>could be explained by</w:t>
      </w:r>
      <w:r w:rsidR="0045405B">
        <w:rPr>
          <w:rFonts w:cs="Times New Roman"/>
          <w:lang w:eastAsia="en-GB"/>
        </w:rPr>
        <w:t xml:space="preserve"> </w:t>
      </w:r>
      <w:r w:rsidR="005A30B8">
        <w:rPr>
          <w:rFonts w:cs="Times New Roman"/>
          <w:lang w:eastAsia="en-GB"/>
        </w:rPr>
        <w:t xml:space="preserve">the fact that </w:t>
      </w:r>
      <w:r w:rsidR="00813ADA">
        <w:rPr>
          <w:rFonts w:cs="Times New Roman"/>
          <w:lang w:eastAsia="en-GB"/>
        </w:rPr>
        <w:t xml:space="preserve">these </w:t>
      </w:r>
      <w:r w:rsidR="00EE3191">
        <w:rPr>
          <w:rFonts w:cs="Times New Roman"/>
          <w:lang w:eastAsia="en-GB"/>
        </w:rPr>
        <w:t>facilities</w:t>
      </w:r>
      <w:r w:rsidR="00AC020A">
        <w:rPr>
          <w:rFonts w:cs="Times New Roman"/>
          <w:lang w:eastAsia="en-GB"/>
        </w:rPr>
        <w:t xml:space="preserve"> </w:t>
      </w:r>
      <w:r w:rsidR="00EE3191">
        <w:rPr>
          <w:rFonts w:cs="Times New Roman"/>
          <w:lang w:eastAsia="en-GB"/>
        </w:rPr>
        <w:t>receive patients from a</w:t>
      </w:r>
      <w:r w:rsidR="00AC020A">
        <w:rPr>
          <w:rFonts w:cs="Times New Roman"/>
          <w:lang w:eastAsia="en-GB"/>
        </w:rPr>
        <w:t xml:space="preserve"> wider geographical </w:t>
      </w:r>
      <w:r w:rsidR="00EE3191">
        <w:rPr>
          <w:rFonts w:cs="Times New Roman"/>
          <w:lang w:eastAsia="en-GB"/>
        </w:rPr>
        <w:t>area</w:t>
      </w:r>
      <w:r w:rsidR="00985D59">
        <w:rPr>
          <w:rFonts w:cs="Times New Roman"/>
          <w:lang w:eastAsia="en-GB"/>
        </w:rPr>
        <w:t>,</w:t>
      </w:r>
      <w:r w:rsidR="00AC020A">
        <w:rPr>
          <w:rFonts w:cs="Times New Roman"/>
          <w:lang w:eastAsia="en-GB"/>
        </w:rPr>
        <w:t xml:space="preserve"> </w:t>
      </w:r>
      <w:r w:rsidR="00985D59">
        <w:rPr>
          <w:rFonts w:cs="Times New Roman"/>
          <w:lang w:eastAsia="en-GB"/>
        </w:rPr>
        <w:t>usually</w:t>
      </w:r>
      <w:r w:rsidR="00BC411D">
        <w:rPr>
          <w:rFonts w:cs="Times New Roman"/>
          <w:lang w:eastAsia="en-GB"/>
        </w:rPr>
        <w:t xml:space="preserve"> the sickest infants who </w:t>
      </w:r>
      <w:r w:rsidR="00012859">
        <w:rPr>
          <w:rFonts w:cs="Times New Roman"/>
          <w:lang w:eastAsia="en-GB"/>
        </w:rPr>
        <w:t>might</w:t>
      </w:r>
      <w:r w:rsidR="00BC411D">
        <w:rPr>
          <w:rFonts w:cs="Times New Roman"/>
          <w:lang w:eastAsia="en-GB"/>
        </w:rPr>
        <w:t xml:space="preserve"> have </w:t>
      </w:r>
      <w:r w:rsidR="000F4A37">
        <w:rPr>
          <w:rFonts w:cs="Times New Roman"/>
          <w:lang w:eastAsia="en-GB"/>
        </w:rPr>
        <w:t>already</w:t>
      </w:r>
      <w:r w:rsidR="009D3122">
        <w:rPr>
          <w:rFonts w:cs="Times New Roman"/>
          <w:lang w:eastAsia="en-GB"/>
        </w:rPr>
        <w:t xml:space="preserve"> received care from </w:t>
      </w:r>
      <w:r w:rsidR="00066FC3">
        <w:rPr>
          <w:rFonts w:cs="Times New Roman"/>
          <w:lang w:eastAsia="en-GB"/>
        </w:rPr>
        <w:t xml:space="preserve">one or more </w:t>
      </w:r>
      <w:r w:rsidR="00C76443">
        <w:rPr>
          <w:rFonts w:cs="Times New Roman"/>
          <w:lang w:eastAsia="en-GB"/>
        </w:rPr>
        <w:t xml:space="preserve">referral </w:t>
      </w:r>
      <w:r w:rsidR="002261C6">
        <w:rPr>
          <w:rFonts w:cs="Times New Roman"/>
          <w:lang w:eastAsia="en-GB"/>
        </w:rPr>
        <w:t>facilities and</w:t>
      </w:r>
      <w:r w:rsidR="00B073BC">
        <w:rPr>
          <w:rFonts w:cs="Times New Roman"/>
          <w:lang w:eastAsia="en-GB"/>
        </w:rPr>
        <w:t xml:space="preserve"> </w:t>
      </w:r>
      <w:r w:rsidR="007537F8">
        <w:rPr>
          <w:rFonts w:cs="Times New Roman"/>
          <w:lang w:eastAsia="en-GB"/>
        </w:rPr>
        <w:t xml:space="preserve">acquired </w:t>
      </w:r>
      <w:r w:rsidR="00B073BC">
        <w:rPr>
          <w:rFonts w:cs="Times New Roman"/>
          <w:lang w:eastAsia="en-GB"/>
        </w:rPr>
        <w:t>pathogens</w:t>
      </w:r>
      <w:r w:rsidR="007537F8">
        <w:rPr>
          <w:rFonts w:cs="Times New Roman"/>
          <w:lang w:eastAsia="en-GB"/>
        </w:rPr>
        <w:t xml:space="preserve"> from the </w:t>
      </w:r>
      <w:r w:rsidR="00066FC3">
        <w:rPr>
          <w:rFonts w:cs="Times New Roman"/>
          <w:lang w:eastAsia="en-GB"/>
        </w:rPr>
        <w:t>hospital environment.</w:t>
      </w:r>
      <w:r w:rsidR="009D3122">
        <w:rPr>
          <w:rFonts w:cs="Times New Roman"/>
          <w:lang w:eastAsia="en-GB"/>
        </w:rPr>
        <w:t xml:space="preserve"> </w:t>
      </w:r>
      <w:r w:rsidR="00F54A0B" w:rsidRPr="008223BC">
        <w:rPr>
          <w:rFonts w:cs="Times New Roman"/>
          <w:i/>
        </w:rPr>
        <w:t>S</w:t>
      </w:r>
      <w:r w:rsidR="00F54A0B">
        <w:rPr>
          <w:rFonts w:cs="Times New Roman"/>
          <w:i/>
        </w:rPr>
        <w:t xml:space="preserve"> </w:t>
      </w:r>
      <w:r w:rsidR="00F54A0B" w:rsidRPr="008223BC">
        <w:rPr>
          <w:rFonts w:cs="Times New Roman"/>
          <w:i/>
        </w:rPr>
        <w:t>aureus</w:t>
      </w:r>
      <w:r w:rsidR="00F54A0B" w:rsidRPr="008223BC">
        <w:rPr>
          <w:rFonts w:cs="Times New Roman"/>
        </w:rPr>
        <w:t xml:space="preserve"> </w:t>
      </w:r>
      <w:r w:rsidR="00F54A0B">
        <w:rPr>
          <w:rFonts w:cs="Times New Roman"/>
        </w:rPr>
        <w:t xml:space="preserve">is </w:t>
      </w:r>
      <w:r w:rsidR="00F54A0B" w:rsidRPr="008223BC">
        <w:rPr>
          <w:rFonts w:cs="Times New Roman"/>
          <w:lang w:eastAsia="en-GB"/>
        </w:rPr>
        <w:t>a</w:t>
      </w:r>
      <w:r w:rsidR="00F23F9A">
        <w:rPr>
          <w:rFonts w:cs="Times New Roman"/>
          <w:lang w:eastAsia="en-GB"/>
        </w:rPr>
        <w:t xml:space="preserve">n important </w:t>
      </w:r>
      <w:r w:rsidR="00F54A0B" w:rsidRPr="008223BC">
        <w:rPr>
          <w:rFonts w:cs="Times New Roman"/>
          <w:lang w:eastAsia="en-GB"/>
        </w:rPr>
        <w:t xml:space="preserve">cause of </w:t>
      </w:r>
      <w:r w:rsidR="00F54A0B">
        <w:rPr>
          <w:rFonts w:cs="Times New Roman"/>
          <w:lang w:eastAsia="en-GB"/>
        </w:rPr>
        <w:t xml:space="preserve">neonatal </w:t>
      </w:r>
      <w:r w:rsidR="00F54A0B" w:rsidRPr="008223BC">
        <w:rPr>
          <w:rFonts w:cs="Times New Roman"/>
          <w:lang w:eastAsia="en-GB"/>
        </w:rPr>
        <w:t>hospital-acquired infections</w:t>
      </w:r>
      <w:r w:rsidR="00F54A0B">
        <w:rPr>
          <w:rFonts w:cs="Times New Roman"/>
          <w:lang w:eastAsia="en-GB"/>
        </w:rPr>
        <w:t>,</w:t>
      </w:r>
      <w:r w:rsidR="00F54A0B" w:rsidRPr="002220C3">
        <w:rPr>
          <w:rFonts w:cs="Times New Roman"/>
          <w:noProof/>
          <w:vertAlign w:val="superscript"/>
          <w:lang w:eastAsia="en-GB"/>
        </w:rPr>
        <w:t>145,146</w:t>
      </w:r>
      <w:r w:rsidR="00F54A0B">
        <w:rPr>
          <w:rFonts w:cs="Times New Roman"/>
          <w:lang w:eastAsia="en-GB"/>
        </w:rPr>
        <w:t xml:space="preserve"> and </w:t>
      </w:r>
      <w:r w:rsidR="00465FF1" w:rsidRPr="008223BC">
        <w:rPr>
          <w:rFonts w:cs="Times New Roman"/>
        </w:rPr>
        <w:t>nosocomial outbreaks</w:t>
      </w:r>
      <w:r w:rsidR="00465FF1">
        <w:rPr>
          <w:rFonts w:cs="Times New Roman"/>
          <w:lang w:eastAsia="en-GB"/>
        </w:rPr>
        <w:t xml:space="preserve"> may go </w:t>
      </w:r>
      <w:r w:rsidR="00465FF1" w:rsidRPr="008223BC">
        <w:rPr>
          <w:rFonts w:cs="Times New Roman"/>
        </w:rPr>
        <w:t>unrecognised</w:t>
      </w:r>
      <w:r w:rsidR="00465FF1">
        <w:rPr>
          <w:rFonts w:cs="Times New Roman"/>
        </w:rPr>
        <w:t>.</w:t>
      </w:r>
    </w:p>
    <w:p w14:paraId="11A56DE1" w14:textId="1E9C52FD" w:rsidR="001624DE" w:rsidRDefault="00423B64" w:rsidP="00947D41">
      <w:pPr>
        <w:tabs>
          <w:tab w:val="left" w:pos="1221"/>
        </w:tabs>
        <w:spacing w:line="480" w:lineRule="auto"/>
        <w:jc w:val="both"/>
        <w:rPr>
          <w:rFonts w:cs="Times New Roman"/>
        </w:rPr>
      </w:pPr>
      <w:r w:rsidRPr="008223BC">
        <w:rPr>
          <w:rFonts w:cs="Times New Roman"/>
          <w:i/>
        </w:rPr>
        <w:t>Klebsiella</w:t>
      </w:r>
      <w:r w:rsidRPr="008223BC">
        <w:rPr>
          <w:rFonts w:cs="Times New Roman"/>
        </w:rPr>
        <w:t xml:space="preserve"> </w:t>
      </w:r>
      <w:r w:rsidR="007B105F">
        <w:rPr>
          <w:rFonts w:cs="Times New Roman"/>
        </w:rPr>
        <w:t xml:space="preserve">spp </w:t>
      </w:r>
      <w:r w:rsidR="00E67C7B">
        <w:rPr>
          <w:rFonts w:cs="Times New Roman"/>
        </w:rPr>
        <w:t xml:space="preserve">and </w:t>
      </w:r>
      <w:r w:rsidR="00BD689B" w:rsidRPr="000279F8">
        <w:rPr>
          <w:rFonts w:cs="Times New Roman"/>
          <w:i/>
        </w:rPr>
        <w:t>E</w:t>
      </w:r>
      <w:r w:rsidR="00DC282E">
        <w:rPr>
          <w:rFonts w:cs="Times New Roman"/>
          <w:i/>
        </w:rPr>
        <w:t xml:space="preserve"> </w:t>
      </w:r>
      <w:r w:rsidR="00BD689B" w:rsidRPr="000279F8">
        <w:rPr>
          <w:rFonts w:cs="Times New Roman"/>
          <w:i/>
        </w:rPr>
        <w:t>coli</w:t>
      </w:r>
      <w:r w:rsidR="00BD689B">
        <w:rPr>
          <w:rFonts w:cs="Times New Roman"/>
        </w:rPr>
        <w:t xml:space="preserve"> </w:t>
      </w:r>
      <w:r w:rsidRPr="008223BC">
        <w:rPr>
          <w:rFonts w:cs="Times New Roman"/>
        </w:rPr>
        <w:t>normal</w:t>
      </w:r>
      <w:r w:rsidR="00C835B2">
        <w:rPr>
          <w:rFonts w:cs="Times New Roman"/>
        </w:rPr>
        <w:t>ly colonise the</w:t>
      </w:r>
      <w:r w:rsidRPr="008223BC">
        <w:rPr>
          <w:rFonts w:cs="Times New Roman"/>
        </w:rPr>
        <w:t xml:space="preserve"> maternal </w:t>
      </w:r>
      <w:r w:rsidR="00C835B2">
        <w:rPr>
          <w:rFonts w:cs="Times New Roman"/>
        </w:rPr>
        <w:t>genital tract</w:t>
      </w:r>
      <w:r w:rsidR="006229B0">
        <w:rPr>
          <w:rFonts w:cs="Times New Roman"/>
        </w:rPr>
        <w:t xml:space="preserve"> and </w:t>
      </w:r>
      <w:r w:rsidR="00403084">
        <w:rPr>
          <w:rFonts w:cs="Times New Roman"/>
        </w:rPr>
        <w:t xml:space="preserve">can </w:t>
      </w:r>
      <w:r w:rsidR="001C152A">
        <w:rPr>
          <w:rFonts w:cs="Times New Roman"/>
        </w:rPr>
        <w:t>cause early-onset neonatal infections.</w:t>
      </w:r>
      <w:r w:rsidR="002220C3" w:rsidRPr="002220C3">
        <w:rPr>
          <w:rFonts w:cs="Times New Roman"/>
          <w:noProof/>
          <w:vertAlign w:val="superscript"/>
        </w:rPr>
        <w:t>147</w:t>
      </w:r>
      <w:r w:rsidR="00445E74">
        <w:rPr>
          <w:rFonts w:cs="Times New Roman"/>
        </w:rPr>
        <w:t xml:space="preserve"> </w:t>
      </w:r>
      <w:r w:rsidR="00A54A43">
        <w:rPr>
          <w:rFonts w:cs="Times New Roman"/>
        </w:rPr>
        <w:t>However, m</w:t>
      </w:r>
      <w:r w:rsidR="00800596">
        <w:rPr>
          <w:rFonts w:cs="Times New Roman"/>
        </w:rPr>
        <w:t xml:space="preserve">ulti-drug resistant </w:t>
      </w:r>
      <w:r w:rsidR="0005791F">
        <w:rPr>
          <w:rFonts w:cs="Times New Roman"/>
        </w:rPr>
        <w:t xml:space="preserve">ESBL-producing </w:t>
      </w:r>
      <w:r w:rsidR="0005791F" w:rsidRPr="003A0D02">
        <w:rPr>
          <w:rFonts w:cs="Times New Roman"/>
        </w:rPr>
        <w:t>organisms</w:t>
      </w:r>
      <w:r w:rsidR="0005791F">
        <w:rPr>
          <w:rFonts w:cs="Times New Roman"/>
        </w:rPr>
        <w:t xml:space="preserve"> </w:t>
      </w:r>
      <w:r w:rsidR="0076165C">
        <w:rPr>
          <w:rFonts w:cs="Times New Roman"/>
        </w:rPr>
        <w:t xml:space="preserve">observed in several studies </w:t>
      </w:r>
      <w:r w:rsidR="006229B0">
        <w:rPr>
          <w:rFonts w:cs="Times New Roman"/>
        </w:rPr>
        <w:t xml:space="preserve">are </w:t>
      </w:r>
      <w:r w:rsidR="00800596" w:rsidRPr="008223BC">
        <w:rPr>
          <w:rFonts w:cs="Times New Roman"/>
        </w:rPr>
        <w:t>usually acquired from contaminated hospital environments</w:t>
      </w:r>
      <w:r w:rsidR="000F5C7B">
        <w:rPr>
          <w:rFonts w:cs="Times New Roman"/>
        </w:rPr>
        <w:t>,</w:t>
      </w:r>
      <w:r w:rsidR="002220C3" w:rsidRPr="002220C3">
        <w:rPr>
          <w:rFonts w:cs="Times New Roman"/>
          <w:noProof/>
          <w:vertAlign w:val="superscript"/>
        </w:rPr>
        <w:t>148</w:t>
      </w:r>
      <w:r w:rsidR="000F5C7B">
        <w:rPr>
          <w:rFonts w:cs="Times New Roman"/>
        </w:rPr>
        <w:t xml:space="preserve"> </w:t>
      </w:r>
      <w:r w:rsidR="00403084">
        <w:rPr>
          <w:rFonts w:cs="Times New Roman"/>
        </w:rPr>
        <w:t>with</w:t>
      </w:r>
      <w:r w:rsidR="000F5C7B">
        <w:rPr>
          <w:rFonts w:cs="Times New Roman"/>
        </w:rPr>
        <w:t xml:space="preserve"> </w:t>
      </w:r>
      <w:r w:rsidR="00934A61">
        <w:rPr>
          <w:rFonts w:cs="Times New Roman"/>
        </w:rPr>
        <w:t xml:space="preserve">increased </w:t>
      </w:r>
      <w:r w:rsidR="00C4432F">
        <w:rPr>
          <w:rFonts w:cs="Times New Roman"/>
        </w:rPr>
        <w:t xml:space="preserve">risk </w:t>
      </w:r>
      <w:r w:rsidR="004C6F06">
        <w:rPr>
          <w:rFonts w:cs="Times New Roman"/>
        </w:rPr>
        <w:t>of</w:t>
      </w:r>
      <w:r w:rsidR="00C4432F">
        <w:rPr>
          <w:rFonts w:cs="Times New Roman"/>
        </w:rPr>
        <w:t xml:space="preserve"> mortality, </w:t>
      </w:r>
      <w:r w:rsidR="004C6F06">
        <w:rPr>
          <w:rFonts w:cs="Times New Roman"/>
        </w:rPr>
        <w:t>es</w:t>
      </w:r>
      <w:r w:rsidR="002E397E">
        <w:rPr>
          <w:rFonts w:cs="Times New Roman"/>
        </w:rPr>
        <w:t>pecially among preterm babies</w:t>
      </w:r>
      <w:r w:rsidR="002E13BF">
        <w:rPr>
          <w:rFonts w:cs="Times New Roman"/>
        </w:rPr>
        <w:t>.</w:t>
      </w:r>
      <w:r w:rsidR="002220C3" w:rsidRPr="002220C3">
        <w:rPr>
          <w:rFonts w:cs="Times New Roman"/>
          <w:noProof/>
          <w:vertAlign w:val="superscript"/>
        </w:rPr>
        <w:t>149</w:t>
      </w:r>
      <w:r w:rsidR="00421339">
        <w:rPr>
          <w:rFonts w:cs="Times New Roman"/>
        </w:rPr>
        <w:t xml:space="preserve"> In Mali, </w:t>
      </w:r>
      <w:r w:rsidR="00403084">
        <w:rPr>
          <w:rFonts w:cs="Times New Roman"/>
        </w:rPr>
        <w:t xml:space="preserve">typing </w:t>
      </w:r>
      <w:r w:rsidR="00C84AA6">
        <w:rPr>
          <w:rFonts w:cs="Times New Roman"/>
        </w:rPr>
        <w:t xml:space="preserve">of </w:t>
      </w:r>
      <w:r w:rsidR="00AB5ED6">
        <w:rPr>
          <w:rFonts w:cs="Times New Roman"/>
        </w:rPr>
        <w:t xml:space="preserve">ESBL </w:t>
      </w:r>
      <w:r w:rsidR="00B9566B" w:rsidRPr="00CC0224">
        <w:rPr>
          <w:rFonts w:cs="Times New Roman"/>
          <w:i/>
        </w:rPr>
        <w:t>Enterobacteriaceae</w:t>
      </w:r>
      <w:r w:rsidR="00B9566B">
        <w:rPr>
          <w:rFonts w:cs="Times New Roman"/>
        </w:rPr>
        <w:t xml:space="preserve"> </w:t>
      </w:r>
      <w:r w:rsidR="00A330B3">
        <w:rPr>
          <w:rFonts w:cs="Times New Roman"/>
        </w:rPr>
        <w:t xml:space="preserve">among </w:t>
      </w:r>
      <w:r w:rsidR="0099693C">
        <w:rPr>
          <w:rFonts w:cs="Times New Roman"/>
        </w:rPr>
        <w:t xml:space="preserve">bacteraemic </w:t>
      </w:r>
      <w:r w:rsidR="00567F5B">
        <w:rPr>
          <w:rFonts w:cs="Times New Roman"/>
        </w:rPr>
        <w:t xml:space="preserve">children and adults </w:t>
      </w:r>
      <w:r w:rsidR="00D2542C">
        <w:rPr>
          <w:rFonts w:cs="Times New Roman"/>
        </w:rPr>
        <w:t xml:space="preserve">from two </w:t>
      </w:r>
      <w:r w:rsidR="0048400A">
        <w:rPr>
          <w:rFonts w:cs="Times New Roman"/>
        </w:rPr>
        <w:t xml:space="preserve">referral hospitals </w:t>
      </w:r>
      <w:r w:rsidR="00BC1403">
        <w:rPr>
          <w:rFonts w:cs="Times New Roman"/>
        </w:rPr>
        <w:t xml:space="preserve">showed </w:t>
      </w:r>
      <w:r w:rsidR="00B9566B">
        <w:rPr>
          <w:rFonts w:cs="Times New Roman"/>
        </w:rPr>
        <w:t xml:space="preserve">a high rate of cross transmission between </w:t>
      </w:r>
      <w:r w:rsidR="00985C1C">
        <w:rPr>
          <w:rFonts w:cs="Times New Roman"/>
        </w:rPr>
        <w:t>patients and</w:t>
      </w:r>
      <w:r w:rsidR="00145D52">
        <w:rPr>
          <w:rFonts w:cs="Times New Roman"/>
        </w:rPr>
        <w:t xml:space="preserve"> </w:t>
      </w:r>
      <w:r w:rsidR="001C3303">
        <w:rPr>
          <w:rFonts w:cs="Times New Roman"/>
        </w:rPr>
        <w:t xml:space="preserve">spread of strains from one hospital to another </w:t>
      </w:r>
      <w:r w:rsidR="002936C8">
        <w:rPr>
          <w:rFonts w:cs="Times New Roman"/>
        </w:rPr>
        <w:t>due to patient transfers.</w:t>
      </w:r>
      <w:r w:rsidR="002220C3" w:rsidRPr="002220C3">
        <w:rPr>
          <w:rFonts w:cs="Times New Roman"/>
          <w:noProof/>
          <w:vertAlign w:val="superscript"/>
        </w:rPr>
        <w:t>150</w:t>
      </w:r>
      <w:r w:rsidR="002936C8">
        <w:rPr>
          <w:rFonts w:cs="Times New Roman"/>
        </w:rPr>
        <w:t xml:space="preserve"> This </w:t>
      </w:r>
      <w:r w:rsidR="00403084">
        <w:rPr>
          <w:rFonts w:cs="Times New Roman"/>
        </w:rPr>
        <w:t>underlines</w:t>
      </w:r>
      <w:r w:rsidR="002936C8">
        <w:rPr>
          <w:rFonts w:cs="Times New Roman"/>
        </w:rPr>
        <w:t xml:space="preserve"> the </w:t>
      </w:r>
      <w:r w:rsidR="00985C1C">
        <w:rPr>
          <w:rFonts w:cs="Times New Roman"/>
        </w:rPr>
        <w:t xml:space="preserve">crucial </w:t>
      </w:r>
      <w:r w:rsidR="002936C8">
        <w:rPr>
          <w:rFonts w:cs="Times New Roman"/>
        </w:rPr>
        <w:lastRenderedPageBreak/>
        <w:t xml:space="preserve">need for </w:t>
      </w:r>
      <w:r w:rsidR="00403084">
        <w:rPr>
          <w:rFonts w:cs="Times New Roman"/>
        </w:rPr>
        <w:t xml:space="preserve">improved infection prevention </w:t>
      </w:r>
      <w:r w:rsidR="00030FE6">
        <w:rPr>
          <w:rFonts w:cs="Times New Roman"/>
        </w:rPr>
        <w:t>measures</w:t>
      </w:r>
      <w:r w:rsidR="008C1014">
        <w:rPr>
          <w:rFonts w:cs="Times New Roman"/>
        </w:rPr>
        <w:t xml:space="preserve"> particularly </w:t>
      </w:r>
      <w:r w:rsidR="00DB199E">
        <w:rPr>
          <w:rFonts w:cs="Times New Roman"/>
        </w:rPr>
        <w:t xml:space="preserve">in </w:t>
      </w:r>
      <w:r w:rsidR="00800596">
        <w:rPr>
          <w:rFonts w:cs="Times New Roman"/>
        </w:rPr>
        <w:t>congested neo</w:t>
      </w:r>
      <w:r w:rsidR="00267DC5">
        <w:rPr>
          <w:rFonts w:cs="Times New Roman"/>
        </w:rPr>
        <w:t xml:space="preserve">natal </w:t>
      </w:r>
      <w:r w:rsidR="00BA07A7">
        <w:rPr>
          <w:rFonts w:cs="Times New Roman"/>
        </w:rPr>
        <w:t>units</w:t>
      </w:r>
      <w:r w:rsidR="00A402C3">
        <w:rPr>
          <w:rFonts w:cs="Times New Roman"/>
        </w:rPr>
        <w:t xml:space="preserve">, </w:t>
      </w:r>
      <w:r w:rsidR="00403084">
        <w:rPr>
          <w:rFonts w:cs="Times New Roman"/>
        </w:rPr>
        <w:t xml:space="preserve">with </w:t>
      </w:r>
      <w:r w:rsidR="0067303A">
        <w:rPr>
          <w:rFonts w:cs="Times New Roman"/>
        </w:rPr>
        <w:t xml:space="preserve">high antimicrobial </w:t>
      </w:r>
      <w:r w:rsidR="00A402C3">
        <w:rPr>
          <w:rFonts w:cs="Times New Roman"/>
        </w:rPr>
        <w:t>exposure</w:t>
      </w:r>
      <w:r w:rsidR="00B57A6A">
        <w:rPr>
          <w:rFonts w:cs="Times New Roman"/>
        </w:rPr>
        <w:t xml:space="preserve">, </w:t>
      </w:r>
      <w:r w:rsidR="00267DC5">
        <w:rPr>
          <w:rFonts w:cs="Times New Roman"/>
        </w:rPr>
        <w:t>and poor infection control</w:t>
      </w:r>
      <w:r w:rsidR="00802DDB">
        <w:rPr>
          <w:rFonts w:cs="Times New Roman"/>
        </w:rPr>
        <w:t>.</w:t>
      </w:r>
      <w:r w:rsidR="002220C3" w:rsidRPr="002220C3">
        <w:rPr>
          <w:rFonts w:cs="Times New Roman"/>
          <w:noProof/>
          <w:vertAlign w:val="superscript"/>
        </w:rPr>
        <w:t>14,81,146,151</w:t>
      </w:r>
      <w:r w:rsidR="00800596">
        <w:rPr>
          <w:rFonts w:cs="Times New Roman"/>
        </w:rPr>
        <w:t xml:space="preserve"> </w:t>
      </w:r>
    </w:p>
    <w:p w14:paraId="2098B51C" w14:textId="7738FE8F" w:rsidR="004B7E42" w:rsidRPr="00451654" w:rsidRDefault="005376D6" w:rsidP="00451654">
      <w:pPr>
        <w:tabs>
          <w:tab w:val="left" w:pos="1221"/>
        </w:tabs>
        <w:spacing w:line="480" w:lineRule="auto"/>
        <w:jc w:val="both"/>
        <w:rPr>
          <w:rFonts w:cs="Times New Roman"/>
          <w:b/>
        </w:rPr>
      </w:pPr>
      <w:r w:rsidRPr="008223BC">
        <w:rPr>
          <w:rFonts w:cs="Times New Roman"/>
        </w:rPr>
        <w:t xml:space="preserve">We </w:t>
      </w:r>
      <w:r w:rsidR="00403084">
        <w:rPr>
          <w:rFonts w:cs="Times New Roman"/>
        </w:rPr>
        <w:t>identified</w:t>
      </w:r>
      <w:r w:rsidR="00403084" w:rsidRPr="008223BC">
        <w:rPr>
          <w:rFonts w:cs="Times New Roman"/>
        </w:rPr>
        <w:t xml:space="preserve"> </w:t>
      </w:r>
      <w:r w:rsidRPr="008223BC">
        <w:rPr>
          <w:rFonts w:cs="Times New Roman"/>
        </w:rPr>
        <w:t>a</w:t>
      </w:r>
      <w:r w:rsidR="0071225E" w:rsidRPr="008223BC">
        <w:rPr>
          <w:rFonts w:cs="Times New Roman"/>
        </w:rPr>
        <w:t xml:space="preserve"> </w:t>
      </w:r>
      <w:r w:rsidR="00AF2698" w:rsidRPr="008223BC">
        <w:rPr>
          <w:rFonts w:cs="Times New Roman"/>
        </w:rPr>
        <w:t xml:space="preserve">high prevalence of </w:t>
      </w:r>
      <w:r w:rsidR="00AC752A">
        <w:rPr>
          <w:rFonts w:cs="Times New Roman"/>
        </w:rPr>
        <w:t>resistance</w:t>
      </w:r>
      <w:r w:rsidR="00AF2698" w:rsidRPr="008223BC">
        <w:rPr>
          <w:rFonts w:cs="Times New Roman"/>
        </w:rPr>
        <w:t xml:space="preserve"> to recommended empirical therapies</w:t>
      </w:r>
      <w:r w:rsidR="0071225E" w:rsidRPr="008223BC">
        <w:rPr>
          <w:rFonts w:cs="Times New Roman"/>
        </w:rPr>
        <w:t xml:space="preserve">, in keeping with </w:t>
      </w:r>
      <w:r w:rsidR="00AF2698" w:rsidRPr="008223BC">
        <w:rPr>
          <w:rFonts w:cs="Times New Roman"/>
        </w:rPr>
        <w:t xml:space="preserve">reports </w:t>
      </w:r>
      <w:r w:rsidR="006E0DB3">
        <w:rPr>
          <w:rFonts w:cs="Times New Roman"/>
        </w:rPr>
        <w:t xml:space="preserve">from </w:t>
      </w:r>
      <w:r w:rsidR="00777073">
        <w:rPr>
          <w:rFonts w:cs="Times New Roman"/>
        </w:rPr>
        <w:t>older</w:t>
      </w:r>
      <w:r w:rsidR="006E0DB3">
        <w:rPr>
          <w:rFonts w:cs="Times New Roman"/>
        </w:rPr>
        <w:t xml:space="preserve"> paediatric and </w:t>
      </w:r>
      <w:r w:rsidR="00B0511F">
        <w:rPr>
          <w:rFonts w:cs="Times New Roman"/>
        </w:rPr>
        <w:t xml:space="preserve">adult </w:t>
      </w:r>
      <w:r w:rsidR="006E0DB3">
        <w:rPr>
          <w:rFonts w:cs="Times New Roman"/>
        </w:rPr>
        <w:t>populations</w:t>
      </w:r>
      <w:r w:rsidR="00B0511F">
        <w:rPr>
          <w:rFonts w:cs="Times New Roman"/>
        </w:rPr>
        <w:t xml:space="preserve"> </w:t>
      </w:r>
      <w:r w:rsidR="00403084">
        <w:rPr>
          <w:rFonts w:cs="Times New Roman"/>
        </w:rPr>
        <w:t>in</w:t>
      </w:r>
      <w:r w:rsidR="00AF2698" w:rsidRPr="008223BC">
        <w:rPr>
          <w:rFonts w:cs="Times New Roman"/>
        </w:rPr>
        <w:t xml:space="preserve"> </w:t>
      </w:r>
      <w:r w:rsidR="002C1DFB">
        <w:rPr>
          <w:rFonts w:cs="Times New Roman"/>
        </w:rPr>
        <w:t>Africa</w:t>
      </w:r>
      <w:r w:rsidR="00AF2698" w:rsidRPr="008223BC">
        <w:rPr>
          <w:rFonts w:cs="Times New Roman"/>
        </w:rPr>
        <w:t>.</w:t>
      </w:r>
      <w:r w:rsidR="002220C3" w:rsidRPr="002220C3">
        <w:rPr>
          <w:rFonts w:cs="Times New Roman"/>
          <w:noProof/>
          <w:vertAlign w:val="superscript"/>
        </w:rPr>
        <w:t>9,152,153</w:t>
      </w:r>
      <w:r w:rsidR="00AF2698" w:rsidRPr="008223BC">
        <w:rPr>
          <w:rFonts w:cs="Times New Roman"/>
        </w:rPr>
        <w:t xml:space="preserve"> </w:t>
      </w:r>
      <w:r w:rsidR="004D6C5B">
        <w:rPr>
          <w:rFonts w:cs="Times New Roman"/>
        </w:rPr>
        <w:t>Similar</w:t>
      </w:r>
      <w:r w:rsidR="00403084">
        <w:rPr>
          <w:rFonts w:cs="Times New Roman"/>
        </w:rPr>
        <w:t>ly</w:t>
      </w:r>
      <w:r w:rsidR="004D6C5B">
        <w:rPr>
          <w:rFonts w:cs="Times New Roman"/>
        </w:rPr>
        <w:t xml:space="preserve"> high </w:t>
      </w:r>
      <w:r w:rsidR="00403084">
        <w:rPr>
          <w:rFonts w:cs="Times New Roman"/>
        </w:rPr>
        <w:t xml:space="preserve">resistance </w:t>
      </w:r>
      <w:r w:rsidR="004D6C5B">
        <w:rPr>
          <w:rFonts w:cs="Times New Roman"/>
        </w:rPr>
        <w:t xml:space="preserve">rates have been reported </w:t>
      </w:r>
      <w:r w:rsidR="0017785E">
        <w:rPr>
          <w:rFonts w:cs="Times New Roman"/>
        </w:rPr>
        <w:t xml:space="preserve">among </w:t>
      </w:r>
      <w:r w:rsidR="00403084">
        <w:rPr>
          <w:rFonts w:cs="Times New Roman"/>
        </w:rPr>
        <w:t xml:space="preserve">South Asian neonates, including India </w:t>
      </w:r>
      <w:r w:rsidR="001D55F8">
        <w:rPr>
          <w:rFonts w:cs="Times New Roman"/>
        </w:rPr>
        <w:t xml:space="preserve">where an excess of </w:t>
      </w:r>
      <w:r w:rsidR="007E1511">
        <w:rPr>
          <w:rFonts w:cs="Times New Roman"/>
        </w:rPr>
        <w:t>80</w:t>
      </w:r>
      <w:r w:rsidR="00C53A33">
        <w:rPr>
          <w:rFonts w:cs="Times New Roman"/>
        </w:rPr>
        <w:t>000</w:t>
      </w:r>
      <w:r w:rsidR="001D55F8">
        <w:rPr>
          <w:rFonts w:cs="Times New Roman"/>
        </w:rPr>
        <w:t xml:space="preserve"> neonates die each year from resistance-attributable neonatal sepsis deaths.</w:t>
      </w:r>
      <w:r w:rsidR="002220C3" w:rsidRPr="002220C3">
        <w:rPr>
          <w:rFonts w:cs="Times New Roman"/>
          <w:noProof/>
          <w:vertAlign w:val="superscript"/>
        </w:rPr>
        <w:t>8,154</w:t>
      </w:r>
      <w:r w:rsidR="001D55F8">
        <w:rPr>
          <w:rFonts w:cs="Times New Roman"/>
        </w:rPr>
        <w:t xml:space="preserve"> </w:t>
      </w:r>
      <w:r w:rsidR="009643CC" w:rsidRPr="008223BC">
        <w:rPr>
          <w:rFonts w:cs="Times New Roman"/>
        </w:rPr>
        <w:t xml:space="preserve">Alternative therapeutic options such as fluoroquinolones, carbapenems and piperacillin/tazobactam are limited, expensive, </w:t>
      </w:r>
      <w:r w:rsidR="003266E6" w:rsidRPr="008223BC">
        <w:rPr>
          <w:rFonts w:cs="Times New Roman"/>
        </w:rPr>
        <w:t xml:space="preserve">inappropriate for use in community settings, </w:t>
      </w:r>
      <w:r w:rsidR="009643CC" w:rsidRPr="008223BC">
        <w:rPr>
          <w:rFonts w:cs="Times New Roman"/>
        </w:rPr>
        <w:t xml:space="preserve">and </w:t>
      </w:r>
      <w:r w:rsidR="003266E6" w:rsidRPr="008223BC">
        <w:rPr>
          <w:rFonts w:cs="Times New Roman"/>
        </w:rPr>
        <w:t xml:space="preserve">therefore </w:t>
      </w:r>
      <w:r w:rsidR="009643CC" w:rsidRPr="008223BC">
        <w:rPr>
          <w:rFonts w:cs="Times New Roman"/>
        </w:rPr>
        <w:t>considered antibiotics of last resort.</w:t>
      </w:r>
      <w:r w:rsidR="002220C3" w:rsidRPr="002220C3">
        <w:rPr>
          <w:rFonts w:cs="Times New Roman"/>
          <w:noProof/>
          <w:vertAlign w:val="superscript"/>
        </w:rPr>
        <w:t>11,155</w:t>
      </w:r>
      <w:r w:rsidR="009643CC" w:rsidRPr="008223BC">
        <w:rPr>
          <w:rFonts w:cs="Times New Roman"/>
        </w:rPr>
        <w:t xml:space="preserve"> </w:t>
      </w:r>
      <w:r w:rsidR="00142F7E">
        <w:rPr>
          <w:rFonts w:cs="Times New Roman"/>
        </w:rPr>
        <w:t>L</w:t>
      </w:r>
      <w:r w:rsidR="00A53777">
        <w:rPr>
          <w:rFonts w:cs="Times New Roman"/>
        </w:rPr>
        <w:t>ow</w:t>
      </w:r>
      <w:r w:rsidR="009413C2">
        <w:rPr>
          <w:rFonts w:cs="Times New Roman"/>
        </w:rPr>
        <w:t xml:space="preserve"> to </w:t>
      </w:r>
      <w:r w:rsidR="00D42532" w:rsidRPr="008223BC">
        <w:rPr>
          <w:rFonts w:cs="Times New Roman"/>
        </w:rPr>
        <w:t>m</w:t>
      </w:r>
      <w:r w:rsidR="002D4EBA" w:rsidRPr="008223BC">
        <w:rPr>
          <w:rFonts w:cs="Times New Roman"/>
        </w:rPr>
        <w:t xml:space="preserve">oderate rates of resistance to these antimicrobials </w:t>
      </w:r>
      <w:r w:rsidR="009413C2">
        <w:rPr>
          <w:rFonts w:cs="Times New Roman"/>
        </w:rPr>
        <w:t xml:space="preserve">were observed in studies in this </w:t>
      </w:r>
      <w:r w:rsidR="00D6781C">
        <w:rPr>
          <w:rFonts w:cs="Times New Roman"/>
        </w:rPr>
        <w:t>r</w:t>
      </w:r>
      <w:r w:rsidR="009413C2">
        <w:rPr>
          <w:rFonts w:cs="Times New Roman"/>
        </w:rPr>
        <w:t xml:space="preserve">eview. </w:t>
      </w:r>
      <w:r w:rsidR="00403084">
        <w:rPr>
          <w:rFonts w:cs="Times New Roman"/>
        </w:rPr>
        <w:t>Our</w:t>
      </w:r>
      <w:r w:rsidR="00403084" w:rsidRPr="008223BC">
        <w:rPr>
          <w:rFonts w:cs="Times New Roman"/>
        </w:rPr>
        <w:t xml:space="preserve"> </w:t>
      </w:r>
      <w:r w:rsidR="00B01D50" w:rsidRPr="008223BC">
        <w:rPr>
          <w:rFonts w:cs="Times New Roman"/>
        </w:rPr>
        <w:t xml:space="preserve">high </w:t>
      </w:r>
      <w:r w:rsidR="00403084" w:rsidRPr="008223BC">
        <w:rPr>
          <w:rFonts w:cs="Times New Roman"/>
        </w:rPr>
        <w:t xml:space="preserve">reported </w:t>
      </w:r>
      <w:r w:rsidR="00B01D50" w:rsidRPr="008223BC">
        <w:rPr>
          <w:rFonts w:cs="Times New Roman"/>
        </w:rPr>
        <w:t xml:space="preserve">rates of MRSA </w:t>
      </w:r>
      <w:r w:rsidR="000509D6">
        <w:rPr>
          <w:rFonts w:cs="Times New Roman"/>
        </w:rPr>
        <w:t xml:space="preserve">are in keeping with </w:t>
      </w:r>
      <w:r w:rsidR="00830FE0">
        <w:rPr>
          <w:rFonts w:cs="Times New Roman"/>
        </w:rPr>
        <w:t>a previous review MRSA in Africa</w:t>
      </w:r>
      <w:r w:rsidR="003D397B">
        <w:rPr>
          <w:rFonts w:cs="Times New Roman"/>
        </w:rPr>
        <w:t>,</w:t>
      </w:r>
      <w:r w:rsidR="002220C3" w:rsidRPr="002220C3">
        <w:rPr>
          <w:rFonts w:cs="Times New Roman"/>
          <w:noProof/>
          <w:vertAlign w:val="superscript"/>
        </w:rPr>
        <w:t>156</w:t>
      </w:r>
      <w:r w:rsidR="00830FE0">
        <w:rPr>
          <w:rFonts w:cs="Times New Roman"/>
        </w:rPr>
        <w:t xml:space="preserve"> </w:t>
      </w:r>
      <w:r w:rsidR="003D397B">
        <w:rPr>
          <w:rFonts w:cs="Times New Roman"/>
        </w:rPr>
        <w:t>and</w:t>
      </w:r>
      <w:r w:rsidR="006442E4">
        <w:rPr>
          <w:rFonts w:cs="Times New Roman"/>
        </w:rPr>
        <w:t xml:space="preserve"> </w:t>
      </w:r>
      <w:r w:rsidR="00403084">
        <w:rPr>
          <w:rFonts w:cs="Times New Roman"/>
        </w:rPr>
        <w:t>suggest</w:t>
      </w:r>
      <w:r w:rsidR="00403084" w:rsidRPr="008223BC">
        <w:rPr>
          <w:rFonts w:cs="Times New Roman"/>
        </w:rPr>
        <w:t xml:space="preserve"> </w:t>
      </w:r>
      <w:r w:rsidR="006442E4" w:rsidRPr="008223BC">
        <w:rPr>
          <w:rFonts w:cs="Times New Roman"/>
        </w:rPr>
        <w:t xml:space="preserve">that treatment for suspected or confirmed </w:t>
      </w:r>
      <w:r w:rsidR="00DC282E" w:rsidRPr="008223BC">
        <w:rPr>
          <w:rFonts w:cs="Times New Roman"/>
          <w:i/>
        </w:rPr>
        <w:t>S</w:t>
      </w:r>
      <w:r w:rsidR="00DC282E">
        <w:rPr>
          <w:rFonts w:cs="Times New Roman"/>
          <w:i/>
        </w:rPr>
        <w:t xml:space="preserve"> </w:t>
      </w:r>
      <w:r w:rsidR="00DC282E" w:rsidRPr="008223BC">
        <w:rPr>
          <w:rFonts w:cs="Times New Roman"/>
          <w:i/>
        </w:rPr>
        <w:t>aureus</w:t>
      </w:r>
      <w:r w:rsidR="00DC282E" w:rsidRPr="008223BC">
        <w:rPr>
          <w:rFonts w:cs="Times New Roman"/>
        </w:rPr>
        <w:t xml:space="preserve"> </w:t>
      </w:r>
      <w:r w:rsidR="006442E4" w:rsidRPr="008223BC">
        <w:rPr>
          <w:rFonts w:cs="Times New Roman"/>
        </w:rPr>
        <w:t xml:space="preserve">infection must rely on second-line drugs such as vancomycin, </w:t>
      </w:r>
      <w:r w:rsidR="00403084">
        <w:rPr>
          <w:rFonts w:cs="Times New Roman"/>
        </w:rPr>
        <w:t>which are</w:t>
      </w:r>
      <w:r w:rsidR="006442E4" w:rsidRPr="008223BC">
        <w:rPr>
          <w:rFonts w:cs="Times New Roman"/>
        </w:rPr>
        <w:t xml:space="preserve"> expensive </w:t>
      </w:r>
      <w:r w:rsidR="00403084">
        <w:rPr>
          <w:rFonts w:cs="Times New Roman"/>
        </w:rPr>
        <w:t>and</w:t>
      </w:r>
      <w:r w:rsidR="006442E4" w:rsidRPr="008223BC">
        <w:rPr>
          <w:rFonts w:cs="Times New Roman"/>
        </w:rPr>
        <w:t xml:space="preserve"> can have severe side-effects.</w:t>
      </w:r>
      <w:r w:rsidR="002220C3" w:rsidRPr="002220C3">
        <w:rPr>
          <w:rFonts w:cs="Times New Roman"/>
          <w:noProof/>
          <w:vertAlign w:val="superscript"/>
        </w:rPr>
        <w:t>157</w:t>
      </w:r>
      <w:r w:rsidR="00415EA7">
        <w:rPr>
          <w:rFonts w:cs="Times New Roman"/>
        </w:rPr>
        <w:t xml:space="preserve"> </w:t>
      </w:r>
      <w:r w:rsidR="005C601F">
        <w:rPr>
          <w:rFonts w:cs="Times New Roman"/>
        </w:rPr>
        <w:t>Our</w:t>
      </w:r>
      <w:r w:rsidR="006A54DC" w:rsidRPr="008223BC">
        <w:rPr>
          <w:rFonts w:cs="Times New Roman"/>
        </w:rPr>
        <w:t xml:space="preserve"> finding of reduced susceptibility to amoxicillin among </w:t>
      </w:r>
      <w:r w:rsidR="00DC282E" w:rsidRPr="008223BC">
        <w:rPr>
          <w:rFonts w:cs="Times New Roman"/>
          <w:i/>
        </w:rPr>
        <w:t>S</w:t>
      </w:r>
      <w:r w:rsidR="00DC282E">
        <w:rPr>
          <w:rFonts w:cs="Times New Roman"/>
          <w:i/>
        </w:rPr>
        <w:t xml:space="preserve"> </w:t>
      </w:r>
      <w:r w:rsidR="00DC282E" w:rsidRPr="008223BC">
        <w:rPr>
          <w:rFonts w:cs="Times New Roman"/>
          <w:i/>
        </w:rPr>
        <w:t>aureus</w:t>
      </w:r>
      <w:r w:rsidR="002044EF" w:rsidRPr="008223BC">
        <w:rPr>
          <w:rFonts w:cs="Times New Roman"/>
        </w:rPr>
        <w:t xml:space="preserve"> </w:t>
      </w:r>
      <w:r w:rsidR="006A54DC" w:rsidRPr="008223BC">
        <w:rPr>
          <w:rFonts w:cs="Times New Roman"/>
        </w:rPr>
        <w:t xml:space="preserve">is </w:t>
      </w:r>
      <w:r w:rsidR="002044EF" w:rsidRPr="008223BC">
        <w:rPr>
          <w:rFonts w:cs="Times New Roman"/>
        </w:rPr>
        <w:t>particularly</w:t>
      </w:r>
      <w:r w:rsidR="006A54DC" w:rsidRPr="008223BC">
        <w:rPr>
          <w:rFonts w:cs="Times New Roman"/>
        </w:rPr>
        <w:t xml:space="preserve"> worrisome</w:t>
      </w:r>
      <w:r w:rsidR="00484EF5">
        <w:rPr>
          <w:rFonts w:cs="Times New Roman"/>
        </w:rPr>
        <w:t xml:space="preserve"> given that it</w:t>
      </w:r>
      <w:r w:rsidR="006A54DC" w:rsidRPr="008223BC">
        <w:rPr>
          <w:rFonts w:cs="Times New Roman"/>
        </w:rPr>
        <w:t xml:space="preserve"> is </w:t>
      </w:r>
      <w:r w:rsidR="003964AF" w:rsidRPr="008223BC">
        <w:rPr>
          <w:rFonts w:cs="Times New Roman"/>
        </w:rPr>
        <w:t>the only</w:t>
      </w:r>
      <w:r w:rsidR="006A54DC" w:rsidRPr="008223BC">
        <w:rPr>
          <w:rFonts w:cs="Times New Roman"/>
        </w:rPr>
        <w:t xml:space="preserve"> </w:t>
      </w:r>
      <w:r w:rsidR="0038144A">
        <w:rPr>
          <w:rFonts w:cs="Times New Roman"/>
        </w:rPr>
        <w:t>WHO</w:t>
      </w:r>
      <w:r w:rsidR="00AB3EAA">
        <w:rPr>
          <w:rFonts w:cs="Times New Roman"/>
        </w:rPr>
        <w:t>-</w:t>
      </w:r>
      <w:r w:rsidR="0038144A">
        <w:rPr>
          <w:rFonts w:cs="Times New Roman"/>
        </w:rPr>
        <w:t xml:space="preserve">recommended </w:t>
      </w:r>
      <w:r w:rsidR="006A54DC" w:rsidRPr="008223BC">
        <w:rPr>
          <w:rFonts w:cs="Times New Roman"/>
        </w:rPr>
        <w:t xml:space="preserve">oral </w:t>
      </w:r>
      <w:r w:rsidR="003964AF" w:rsidRPr="008223BC">
        <w:rPr>
          <w:rFonts w:cs="Times New Roman"/>
        </w:rPr>
        <w:t>antibiotic</w:t>
      </w:r>
      <w:r w:rsidR="00AB3EAA">
        <w:rPr>
          <w:rFonts w:cs="Times New Roman"/>
        </w:rPr>
        <w:t xml:space="preserve"> </w:t>
      </w:r>
      <w:r w:rsidR="006A54DC" w:rsidRPr="008223BC">
        <w:rPr>
          <w:rFonts w:cs="Times New Roman"/>
        </w:rPr>
        <w:t xml:space="preserve">for </w:t>
      </w:r>
      <w:r w:rsidR="003964AF" w:rsidRPr="008223BC">
        <w:rPr>
          <w:rFonts w:cs="Times New Roman"/>
        </w:rPr>
        <w:t>outpatient treatment of</w:t>
      </w:r>
      <w:r w:rsidR="006A54DC" w:rsidRPr="008223BC">
        <w:rPr>
          <w:rFonts w:cs="Times New Roman"/>
        </w:rPr>
        <w:t xml:space="preserve"> possible serious bacterial infection </w:t>
      </w:r>
      <w:r w:rsidR="003964AF" w:rsidRPr="008223BC">
        <w:rPr>
          <w:rFonts w:cs="Times New Roman"/>
        </w:rPr>
        <w:t xml:space="preserve">in </w:t>
      </w:r>
      <w:r w:rsidR="00B408FE" w:rsidRPr="008223BC">
        <w:rPr>
          <w:rFonts w:cs="Times New Roman"/>
        </w:rPr>
        <w:t>infants whose families do not accept or cannot access</w:t>
      </w:r>
      <w:r w:rsidR="003964AF" w:rsidRPr="008223BC">
        <w:rPr>
          <w:rFonts w:cs="Times New Roman"/>
        </w:rPr>
        <w:t xml:space="preserve"> hospital-based </w:t>
      </w:r>
      <w:r w:rsidR="00B408FE" w:rsidRPr="008223BC">
        <w:rPr>
          <w:rFonts w:cs="Times New Roman"/>
        </w:rPr>
        <w:t>care</w:t>
      </w:r>
      <w:r w:rsidR="006A54DC" w:rsidRPr="008223BC">
        <w:rPr>
          <w:rFonts w:cs="Times New Roman"/>
        </w:rPr>
        <w:t>.</w:t>
      </w:r>
      <w:r w:rsidR="002220C3" w:rsidRPr="002220C3">
        <w:rPr>
          <w:rFonts w:cs="Times New Roman"/>
          <w:noProof/>
          <w:vertAlign w:val="superscript"/>
        </w:rPr>
        <w:t>158</w:t>
      </w:r>
      <w:r w:rsidR="006A54DC" w:rsidRPr="008223BC">
        <w:rPr>
          <w:rFonts w:cs="Times New Roman"/>
        </w:rPr>
        <w:t xml:space="preserve"> </w:t>
      </w:r>
      <w:r w:rsidR="00B408FE" w:rsidRPr="008223BC">
        <w:rPr>
          <w:rFonts w:cs="Times New Roman"/>
        </w:rPr>
        <w:t>The emergence of resistance to this</w:t>
      </w:r>
      <w:r w:rsidR="003964AF" w:rsidRPr="008223BC">
        <w:rPr>
          <w:rFonts w:cs="Times New Roman"/>
        </w:rPr>
        <w:t xml:space="preserve"> simple</w:t>
      </w:r>
      <w:r w:rsidR="00403084">
        <w:rPr>
          <w:rFonts w:cs="Times New Roman"/>
        </w:rPr>
        <w:t xml:space="preserve"> </w:t>
      </w:r>
      <w:r w:rsidR="00B408FE" w:rsidRPr="008223BC">
        <w:rPr>
          <w:rFonts w:cs="Times New Roman"/>
        </w:rPr>
        <w:t xml:space="preserve">option </w:t>
      </w:r>
      <w:r w:rsidR="00403084">
        <w:rPr>
          <w:rFonts w:cs="Times New Roman"/>
        </w:rPr>
        <w:t>is likely to</w:t>
      </w:r>
      <w:r w:rsidR="00403084" w:rsidRPr="008223BC">
        <w:rPr>
          <w:rFonts w:cs="Times New Roman"/>
        </w:rPr>
        <w:t xml:space="preserve"> </w:t>
      </w:r>
      <w:r w:rsidR="00B408FE" w:rsidRPr="008223BC">
        <w:rPr>
          <w:rFonts w:cs="Times New Roman"/>
        </w:rPr>
        <w:t xml:space="preserve">result in </w:t>
      </w:r>
      <w:r w:rsidR="00403084">
        <w:rPr>
          <w:rFonts w:cs="Times New Roman"/>
        </w:rPr>
        <w:t>more</w:t>
      </w:r>
      <w:r w:rsidR="009C6944" w:rsidRPr="008223BC">
        <w:rPr>
          <w:rFonts w:cs="Times New Roman"/>
        </w:rPr>
        <w:t xml:space="preserve"> death</w:t>
      </w:r>
      <w:r w:rsidR="00403084">
        <w:rPr>
          <w:rFonts w:cs="Times New Roman"/>
        </w:rPr>
        <w:t>s</w:t>
      </w:r>
      <w:r w:rsidR="009C6944" w:rsidRPr="008223BC">
        <w:rPr>
          <w:rFonts w:cs="Times New Roman"/>
        </w:rPr>
        <w:t>.</w:t>
      </w:r>
      <w:r w:rsidR="00B408FE" w:rsidRPr="008223BC">
        <w:rPr>
          <w:rFonts w:cs="Times New Roman"/>
        </w:rPr>
        <w:t xml:space="preserve"> </w:t>
      </w:r>
    </w:p>
    <w:p w14:paraId="33EAB1ED" w14:textId="025B6406" w:rsidR="00731AA7" w:rsidRDefault="005376D6" w:rsidP="00FA7DE9">
      <w:pPr>
        <w:spacing w:line="480" w:lineRule="auto"/>
        <w:jc w:val="both"/>
      </w:pPr>
      <w:r w:rsidRPr="008223BC">
        <w:rPr>
          <w:rFonts w:cs="Times New Roman"/>
        </w:rPr>
        <w:t xml:space="preserve">Our </w:t>
      </w:r>
      <w:r w:rsidR="00346623">
        <w:rPr>
          <w:rFonts w:cs="Times New Roman"/>
        </w:rPr>
        <w:t xml:space="preserve">findings </w:t>
      </w:r>
      <w:r w:rsidR="0050103A">
        <w:rPr>
          <w:rFonts w:cs="Times New Roman"/>
        </w:rPr>
        <w:t xml:space="preserve">have </w:t>
      </w:r>
      <w:r w:rsidR="0030262B">
        <w:rPr>
          <w:rFonts w:cs="Times New Roman"/>
        </w:rPr>
        <w:t xml:space="preserve">some limitations. </w:t>
      </w:r>
      <w:r w:rsidR="00EE46AC">
        <w:rPr>
          <w:rFonts w:cs="Times New Roman"/>
        </w:rPr>
        <w:t>First, a</w:t>
      </w:r>
      <w:r w:rsidR="00A7479E">
        <w:rPr>
          <w:rFonts w:cs="Times New Roman"/>
        </w:rPr>
        <w:t xml:space="preserve">lthough our search generated </w:t>
      </w:r>
      <w:r w:rsidR="0030262B">
        <w:rPr>
          <w:rFonts w:cs="Times New Roman"/>
        </w:rPr>
        <w:t>many</w:t>
      </w:r>
      <w:r w:rsidR="00293050">
        <w:rPr>
          <w:rFonts w:cs="Times New Roman"/>
        </w:rPr>
        <w:t xml:space="preserve"> results, </w:t>
      </w:r>
      <w:r w:rsidR="00A932C6">
        <w:rPr>
          <w:rFonts w:cs="Times New Roman"/>
        </w:rPr>
        <w:t xml:space="preserve">some </w:t>
      </w:r>
      <w:r w:rsidR="00336850">
        <w:rPr>
          <w:rFonts w:cs="Times New Roman"/>
        </w:rPr>
        <w:t>poten</w:t>
      </w:r>
      <w:r w:rsidR="00ED234D">
        <w:rPr>
          <w:rFonts w:cs="Times New Roman"/>
        </w:rPr>
        <w:t xml:space="preserve">tially eligible studies </w:t>
      </w:r>
      <w:r w:rsidR="00293050">
        <w:rPr>
          <w:rFonts w:cs="Times New Roman"/>
        </w:rPr>
        <w:t xml:space="preserve">were excluded for </w:t>
      </w:r>
      <w:r w:rsidR="00C86221">
        <w:rPr>
          <w:rFonts w:cs="Times New Roman"/>
        </w:rPr>
        <w:t xml:space="preserve">not </w:t>
      </w:r>
      <w:r w:rsidR="00336850">
        <w:rPr>
          <w:rFonts w:cs="Times New Roman"/>
        </w:rPr>
        <w:t xml:space="preserve">providing separate neonatal </w:t>
      </w:r>
      <w:r w:rsidR="003560A1">
        <w:rPr>
          <w:rFonts w:cs="Times New Roman"/>
        </w:rPr>
        <w:t xml:space="preserve">aetiology </w:t>
      </w:r>
      <w:r w:rsidR="00336850">
        <w:rPr>
          <w:rFonts w:cs="Times New Roman"/>
        </w:rPr>
        <w:t xml:space="preserve">data. </w:t>
      </w:r>
      <w:r w:rsidR="002B7DDF" w:rsidRPr="008223BC">
        <w:rPr>
          <w:rFonts w:cs="Times New Roman"/>
        </w:rPr>
        <w:t>Included studies were mostly from West Africa, with a third of studies from Nigeria, and there was little or no data for other countries with comparable neonatal mortality levels</w:t>
      </w:r>
      <w:r w:rsidR="00895084" w:rsidRPr="008223BC">
        <w:rPr>
          <w:rFonts w:cs="Times New Roman"/>
        </w:rPr>
        <w:t xml:space="preserve">, particularly </w:t>
      </w:r>
      <w:r w:rsidR="00F041A0" w:rsidRPr="008223BC">
        <w:rPr>
          <w:rFonts w:cs="Times New Roman"/>
        </w:rPr>
        <w:t xml:space="preserve">conflict and post-conflict countries. </w:t>
      </w:r>
      <w:r w:rsidR="008C6965" w:rsidRPr="00583AE3">
        <w:rPr>
          <w:rFonts w:cs="Times New Roman"/>
        </w:rPr>
        <w:t xml:space="preserve">Second, </w:t>
      </w:r>
      <w:r w:rsidR="00C42DB9" w:rsidRPr="00583AE3">
        <w:rPr>
          <w:rFonts w:cs="Times New Roman"/>
        </w:rPr>
        <w:t xml:space="preserve">there was </w:t>
      </w:r>
      <w:r w:rsidR="004A4DA2">
        <w:rPr>
          <w:rFonts w:cs="Times New Roman"/>
        </w:rPr>
        <w:t xml:space="preserve">significantly high </w:t>
      </w:r>
      <w:r w:rsidR="00C42DB9" w:rsidRPr="00583AE3">
        <w:rPr>
          <w:rFonts w:cs="Times New Roman"/>
        </w:rPr>
        <w:t>heterogeneity between studies</w:t>
      </w:r>
      <w:r w:rsidR="00A932C6">
        <w:rPr>
          <w:rFonts w:cs="Times New Roman"/>
        </w:rPr>
        <w:t>, although this</w:t>
      </w:r>
      <w:r w:rsidR="00C42DB9" w:rsidRPr="00583AE3">
        <w:rPr>
          <w:rFonts w:cs="Times New Roman"/>
        </w:rPr>
        <w:t xml:space="preserve"> </w:t>
      </w:r>
      <w:r w:rsidR="00DE0C38" w:rsidRPr="00583AE3">
        <w:rPr>
          <w:rFonts w:cs="Times New Roman"/>
        </w:rPr>
        <w:t xml:space="preserve">was expected due to the </w:t>
      </w:r>
      <w:r w:rsidR="002A5CFD" w:rsidRPr="00583AE3">
        <w:rPr>
          <w:rFonts w:cs="Times New Roman"/>
        </w:rPr>
        <w:t xml:space="preserve">differences in </w:t>
      </w:r>
      <w:r w:rsidR="00F326D2" w:rsidRPr="00583AE3">
        <w:rPr>
          <w:rFonts w:cs="Times New Roman"/>
          <w:lang w:eastAsia="en-GB"/>
        </w:rPr>
        <w:t>case ascertainment, microbiological methods</w:t>
      </w:r>
      <w:r w:rsidR="002A5CFD" w:rsidRPr="00583AE3">
        <w:rPr>
          <w:rFonts w:cs="Times New Roman"/>
        </w:rPr>
        <w:t xml:space="preserve">, </w:t>
      </w:r>
      <w:r w:rsidR="00583AE3" w:rsidRPr="00583AE3">
        <w:rPr>
          <w:rFonts w:cs="Times New Roman"/>
        </w:rPr>
        <w:t xml:space="preserve">and </w:t>
      </w:r>
      <w:r w:rsidR="002A5CFD" w:rsidRPr="00583AE3">
        <w:rPr>
          <w:rFonts w:cs="Times New Roman"/>
        </w:rPr>
        <w:t xml:space="preserve">data collection </w:t>
      </w:r>
      <w:r w:rsidR="0050103A">
        <w:rPr>
          <w:rFonts w:cs="Times New Roman"/>
        </w:rPr>
        <w:t xml:space="preserve">methods </w:t>
      </w:r>
      <w:r w:rsidR="009112C9" w:rsidRPr="00583AE3">
        <w:rPr>
          <w:rFonts w:cs="Times New Roman"/>
        </w:rPr>
        <w:t>between the various included studies.</w:t>
      </w:r>
      <w:r w:rsidR="009112C9">
        <w:rPr>
          <w:rFonts w:cs="Times New Roman"/>
        </w:rPr>
        <w:t xml:space="preserve"> </w:t>
      </w:r>
      <w:r w:rsidR="00146866">
        <w:rPr>
          <w:rFonts w:cs="Times New Roman"/>
        </w:rPr>
        <w:t xml:space="preserve">Thirdly, </w:t>
      </w:r>
      <w:r w:rsidR="0083234B">
        <w:rPr>
          <w:rFonts w:cs="Times New Roman"/>
        </w:rPr>
        <w:t>becau</w:t>
      </w:r>
      <w:r w:rsidR="00453817">
        <w:rPr>
          <w:rFonts w:cs="Times New Roman"/>
        </w:rPr>
        <w:t>s</w:t>
      </w:r>
      <w:r w:rsidR="0083234B">
        <w:rPr>
          <w:rFonts w:cs="Times New Roman"/>
        </w:rPr>
        <w:t>e</w:t>
      </w:r>
      <w:r w:rsidR="00453817">
        <w:rPr>
          <w:rFonts w:cs="Times New Roman"/>
        </w:rPr>
        <w:t xml:space="preserve"> most of the studies reported collection of </w:t>
      </w:r>
      <w:r w:rsidR="00453817">
        <w:t xml:space="preserve">only one sample, it </w:t>
      </w:r>
      <w:r w:rsidR="0083234B">
        <w:t>wa</w:t>
      </w:r>
      <w:r w:rsidR="00453817">
        <w:t xml:space="preserve">s difficult to determine in some instances whether a specific </w:t>
      </w:r>
      <w:r w:rsidR="00F179D5">
        <w:t>organism</w:t>
      </w:r>
      <w:r w:rsidR="00453817">
        <w:t xml:space="preserve"> should be considered a contaminant</w:t>
      </w:r>
      <w:r w:rsidR="00F179D5" w:rsidRPr="00F179D5">
        <w:t xml:space="preserve"> </w:t>
      </w:r>
      <w:r w:rsidR="00F179D5">
        <w:t>or not</w:t>
      </w:r>
      <w:r w:rsidR="00453817">
        <w:t xml:space="preserve">, </w:t>
      </w:r>
      <w:r w:rsidR="00F041D9">
        <w:t>particularly</w:t>
      </w:r>
      <w:r w:rsidR="00453817">
        <w:t xml:space="preserve"> CoNS</w:t>
      </w:r>
      <w:r w:rsidR="00F041D9">
        <w:t xml:space="preserve"> which we excluded</w:t>
      </w:r>
      <w:r w:rsidR="00EA2C43">
        <w:t>. It</w:t>
      </w:r>
      <w:r w:rsidR="00453817">
        <w:t xml:space="preserve"> is therefore possible that some real pathogens were missed</w:t>
      </w:r>
      <w:r w:rsidR="00A932C6">
        <w:t>, or some contaminants were included</w:t>
      </w:r>
      <w:r w:rsidR="00453817">
        <w:t>.</w:t>
      </w:r>
    </w:p>
    <w:p w14:paraId="041E60D5" w14:textId="780EB89E" w:rsidR="00D9649C" w:rsidRDefault="006C415C" w:rsidP="00D9649C">
      <w:pPr>
        <w:tabs>
          <w:tab w:val="left" w:pos="1221"/>
        </w:tabs>
        <w:spacing w:line="480" w:lineRule="auto"/>
        <w:jc w:val="both"/>
        <w:rPr>
          <w:rFonts w:cs="Times New Roman"/>
        </w:rPr>
      </w:pPr>
      <w:r w:rsidRPr="008223BC">
        <w:rPr>
          <w:rFonts w:cs="Times New Roman"/>
        </w:rPr>
        <w:lastRenderedPageBreak/>
        <w:t>Nevertheless, the</w:t>
      </w:r>
      <w:r w:rsidR="00A932C6">
        <w:rPr>
          <w:rFonts w:cs="Times New Roman"/>
        </w:rPr>
        <w:t>se</w:t>
      </w:r>
      <w:r w:rsidRPr="008223BC">
        <w:rPr>
          <w:rFonts w:cs="Times New Roman"/>
        </w:rPr>
        <w:t xml:space="preserve"> data provide useful insight</w:t>
      </w:r>
      <w:r w:rsidR="007863F8" w:rsidRPr="008223BC">
        <w:rPr>
          <w:rFonts w:cs="Times New Roman"/>
        </w:rPr>
        <w:t>s</w:t>
      </w:r>
      <w:r w:rsidRPr="008223BC">
        <w:rPr>
          <w:rFonts w:cs="Times New Roman"/>
        </w:rPr>
        <w:t xml:space="preserve"> into the pathogens associated with neonatal invasive bacterial infection in sub-Saharan Africa and the status of </w:t>
      </w:r>
      <w:r w:rsidR="00271202">
        <w:rPr>
          <w:rFonts w:cs="Times New Roman"/>
        </w:rPr>
        <w:t>AMR</w:t>
      </w:r>
      <w:r w:rsidRPr="008223BC">
        <w:rPr>
          <w:rFonts w:cs="Times New Roman"/>
        </w:rPr>
        <w:t xml:space="preserve">. </w:t>
      </w:r>
      <w:r w:rsidR="00E328D4">
        <w:rPr>
          <w:rFonts w:cs="Times New Roman"/>
        </w:rPr>
        <w:t>Inter</w:t>
      </w:r>
      <w:r w:rsidR="00955457">
        <w:rPr>
          <w:rFonts w:cs="Times New Roman"/>
        </w:rPr>
        <w:t xml:space="preserve">ventions that focus on </w:t>
      </w:r>
      <w:r w:rsidR="00A932C6">
        <w:rPr>
          <w:rFonts w:cs="Times New Roman"/>
        </w:rPr>
        <w:t>hospital</w:t>
      </w:r>
      <w:r w:rsidR="002F7827">
        <w:rPr>
          <w:rFonts w:cs="Times New Roman"/>
        </w:rPr>
        <w:t xml:space="preserve">-based </w:t>
      </w:r>
      <w:r w:rsidR="00E328D4">
        <w:rPr>
          <w:rFonts w:cs="Times New Roman"/>
        </w:rPr>
        <w:t xml:space="preserve">care </w:t>
      </w:r>
      <w:r w:rsidR="00955457">
        <w:rPr>
          <w:rFonts w:cs="Times New Roman"/>
        </w:rPr>
        <w:t xml:space="preserve">around the time of birth </w:t>
      </w:r>
      <w:r w:rsidR="00A932C6">
        <w:rPr>
          <w:rFonts w:cs="Times New Roman"/>
        </w:rPr>
        <w:t xml:space="preserve">could </w:t>
      </w:r>
      <w:r w:rsidR="00955457">
        <w:rPr>
          <w:rFonts w:cs="Times New Roman"/>
        </w:rPr>
        <w:t xml:space="preserve">prevent </w:t>
      </w:r>
      <w:r w:rsidR="00A932C6">
        <w:rPr>
          <w:rFonts w:cs="Times New Roman"/>
        </w:rPr>
        <w:t>millions of neonatal and maternal deaths, and stillbirths as well as</w:t>
      </w:r>
      <w:r w:rsidR="001269CA">
        <w:rPr>
          <w:rFonts w:cs="Times New Roman"/>
        </w:rPr>
        <w:t xml:space="preserve"> disability</w:t>
      </w:r>
      <w:r w:rsidR="00A932C6">
        <w:rPr>
          <w:rFonts w:cs="Times New Roman"/>
        </w:rPr>
        <w:t>.</w:t>
      </w:r>
      <w:r w:rsidR="002220C3" w:rsidRPr="002220C3">
        <w:rPr>
          <w:rFonts w:cs="Times New Roman"/>
          <w:noProof/>
          <w:vertAlign w:val="superscript"/>
        </w:rPr>
        <w:t>159</w:t>
      </w:r>
      <w:r w:rsidR="001269CA">
        <w:rPr>
          <w:rFonts w:cs="Times New Roman"/>
        </w:rPr>
        <w:t xml:space="preserve"> </w:t>
      </w:r>
      <w:r w:rsidR="00A932C6">
        <w:rPr>
          <w:rFonts w:cs="Times New Roman"/>
        </w:rPr>
        <w:t xml:space="preserve">Yet with </w:t>
      </w:r>
      <w:r w:rsidR="00154B06">
        <w:rPr>
          <w:rFonts w:cs="Times New Roman"/>
        </w:rPr>
        <w:t xml:space="preserve">poor quality </w:t>
      </w:r>
      <w:r w:rsidR="00A932C6">
        <w:rPr>
          <w:rFonts w:cs="Times New Roman"/>
        </w:rPr>
        <w:t xml:space="preserve">care </w:t>
      </w:r>
      <w:r w:rsidR="00DD6C86">
        <w:rPr>
          <w:rFonts w:cs="Times New Roman"/>
        </w:rPr>
        <w:t xml:space="preserve">is </w:t>
      </w:r>
      <w:r w:rsidR="00604168">
        <w:rPr>
          <w:rFonts w:cs="Times New Roman"/>
        </w:rPr>
        <w:t xml:space="preserve">where </w:t>
      </w:r>
      <w:r w:rsidR="003F3ABC">
        <w:rPr>
          <w:rFonts w:cs="Times New Roman"/>
        </w:rPr>
        <w:t xml:space="preserve">the dangers of infection transmission and </w:t>
      </w:r>
      <w:r w:rsidR="002C41A4">
        <w:rPr>
          <w:rFonts w:cs="Times New Roman"/>
        </w:rPr>
        <w:t>AMR</w:t>
      </w:r>
      <w:r w:rsidR="005A77BE">
        <w:rPr>
          <w:rFonts w:cs="Times New Roman"/>
        </w:rPr>
        <w:t xml:space="preserve"> threaten the gains of </w:t>
      </w:r>
      <w:r w:rsidR="00F3426D">
        <w:rPr>
          <w:rFonts w:cs="Times New Roman"/>
        </w:rPr>
        <w:t>neonatal survival.</w:t>
      </w:r>
      <w:r w:rsidR="002B0093">
        <w:rPr>
          <w:rFonts w:cs="Times New Roman"/>
        </w:rPr>
        <w:t xml:space="preserve"> </w:t>
      </w:r>
      <w:r w:rsidR="006828E6" w:rsidRPr="008223BC">
        <w:rPr>
          <w:rFonts w:cs="Times New Roman"/>
        </w:rPr>
        <w:t xml:space="preserve">Reducing the burden of neonatal infection mortality and morbidity requires a multi-pronged approach. </w:t>
      </w:r>
      <w:r w:rsidR="00705A82">
        <w:rPr>
          <w:rFonts w:cs="Times New Roman"/>
        </w:rPr>
        <w:t>I</w:t>
      </w:r>
      <w:r w:rsidR="00952F0D" w:rsidRPr="008223BC">
        <w:rPr>
          <w:rFonts w:eastAsia="ScalaLancetPro" w:cs="Times New Roman"/>
        </w:rPr>
        <w:t>nfection prevention and surveillance of hospital-acquired infections</w:t>
      </w:r>
      <w:r w:rsidR="006832E1">
        <w:rPr>
          <w:rFonts w:eastAsia="ScalaLancetPro" w:cs="Times New Roman"/>
        </w:rPr>
        <w:t xml:space="preserve"> is critical</w:t>
      </w:r>
      <w:r w:rsidR="00705A82">
        <w:rPr>
          <w:rFonts w:eastAsia="ScalaLancetPro" w:cs="Times New Roman"/>
        </w:rPr>
        <w:t xml:space="preserve"> as well as e</w:t>
      </w:r>
      <w:r w:rsidR="00B55BBE" w:rsidRPr="008223BC">
        <w:rPr>
          <w:rFonts w:cs="Times New Roman"/>
        </w:rPr>
        <w:t xml:space="preserve">xpanded and improved clinical microbiology services for detection and optimum treatment. </w:t>
      </w:r>
      <w:r w:rsidR="001E02F0" w:rsidRPr="008223BC">
        <w:rPr>
          <w:rFonts w:cs="Times New Roman"/>
        </w:rPr>
        <w:t xml:space="preserve">Tailored local antimicrobial guidelines, implementation of antimicrobial stewardship policies, and effective </w:t>
      </w:r>
      <w:r w:rsidR="006F5C9A">
        <w:rPr>
          <w:rFonts w:cs="Times New Roman"/>
        </w:rPr>
        <w:t>AMR</w:t>
      </w:r>
      <w:r w:rsidR="001E02F0" w:rsidRPr="008223BC">
        <w:rPr>
          <w:rFonts w:cs="Times New Roman"/>
        </w:rPr>
        <w:t xml:space="preserve"> surveillance are necessary strategies to tackle </w:t>
      </w:r>
      <w:r w:rsidR="006F5C9A">
        <w:rPr>
          <w:rFonts w:cs="Times New Roman"/>
        </w:rPr>
        <w:t>AMR</w:t>
      </w:r>
      <w:r w:rsidR="001E02F0" w:rsidRPr="008223BC">
        <w:rPr>
          <w:rFonts w:cs="Times New Roman"/>
        </w:rPr>
        <w:t>.</w:t>
      </w:r>
      <w:r w:rsidR="002220C3" w:rsidRPr="002220C3">
        <w:rPr>
          <w:rFonts w:cs="Times New Roman"/>
          <w:noProof/>
          <w:vertAlign w:val="superscript"/>
        </w:rPr>
        <w:t>9</w:t>
      </w:r>
      <w:r w:rsidR="001E02F0" w:rsidRPr="008223BC">
        <w:rPr>
          <w:rFonts w:cs="Times New Roman"/>
        </w:rPr>
        <w:t xml:space="preserve"> </w:t>
      </w:r>
      <w:r w:rsidR="00A932C6">
        <w:rPr>
          <w:rFonts w:cs="Times New Roman"/>
        </w:rPr>
        <w:t xml:space="preserve">Innovative point of care diagnostics would be transformative. </w:t>
      </w:r>
      <w:r w:rsidR="005D78BB">
        <w:rPr>
          <w:rFonts w:cs="Times New Roman"/>
        </w:rPr>
        <w:t xml:space="preserve">Although there is potential </w:t>
      </w:r>
      <w:r w:rsidR="00D83D59">
        <w:rPr>
          <w:rFonts w:cs="Times New Roman"/>
        </w:rPr>
        <w:t>for maternal vaccines</w:t>
      </w:r>
      <w:r w:rsidR="00565245">
        <w:rPr>
          <w:rFonts w:cs="Times New Roman"/>
        </w:rPr>
        <w:t xml:space="preserve"> against </w:t>
      </w:r>
      <w:r w:rsidR="00144F4A">
        <w:rPr>
          <w:rFonts w:cs="Times New Roman"/>
        </w:rPr>
        <w:t>GBS</w:t>
      </w:r>
      <w:r w:rsidR="00565245">
        <w:rPr>
          <w:rFonts w:cs="Times New Roman"/>
        </w:rPr>
        <w:t xml:space="preserve"> and </w:t>
      </w:r>
      <w:r w:rsidR="00565245" w:rsidRPr="00565245">
        <w:rPr>
          <w:rFonts w:cs="Times New Roman"/>
          <w:i/>
        </w:rPr>
        <w:t>S</w:t>
      </w:r>
      <w:r w:rsidR="00C720C9">
        <w:rPr>
          <w:rFonts w:cs="Times New Roman"/>
          <w:i/>
        </w:rPr>
        <w:t xml:space="preserve"> </w:t>
      </w:r>
      <w:r w:rsidR="00565245" w:rsidRPr="00565245">
        <w:rPr>
          <w:rFonts w:cs="Times New Roman"/>
          <w:i/>
        </w:rPr>
        <w:t>pneumoniae</w:t>
      </w:r>
      <w:r w:rsidR="00D83D59">
        <w:rPr>
          <w:rFonts w:cs="Times New Roman"/>
        </w:rPr>
        <w:t>, the value proposition of new vaccines should b</w:t>
      </w:r>
      <w:r w:rsidR="004F5A66">
        <w:rPr>
          <w:rFonts w:cs="Times New Roman"/>
        </w:rPr>
        <w:t xml:space="preserve">e based on sound data. </w:t>
      </w:r>
      <w:r w:rsidR="00D9649C">
        <w:rPr>
          <w:rFonts w:cs="Times New Roman"/>
        </w:rPr>
        <w:t>Differences in geographical distribution of specific bacterial serotypes needs to be determined to guide optimal selection of vaccine targets.</w:t>
      </w:r>
    </w:p>
    <w:p w14:paraId="20702CC1" w14:textId="6D1E6832" w:rsidR="00A932C6" w:rsidRDefault="00842810" w:rsidP="00724D3B">
      <w:pPr>
        <w:spacing w:line="480" w:lineRule="auto"/>
        <w:jc w:val="both"/>
        <w:rPr>
          <w:rFonts w:eastAsia="ScalaLancetPro" w:cs="Times New Roman"/>
        </w:rPr>
      </w:pPr>
      <w:r>
        <w:rPr>
          <w:rFonts w:cs="Times New Roman"/>
        </w:rPr>
        <w:t xml:space="preserve">Despite marked increases in facility births, </w:t>
      </w:r>
      <w:r w:rsidR="00A932C6">
        <w:rPr>
          <w:rFonts w:cs="Times New Roman"/>
        </w:rPr>
        <w:t xml:space="preserve">almost </w:t>
      </w:r>
      <w:r>
        <w:rPr>
          <w:rFonts w:cs="Times New Roman"/>
        </w:rPr>
        <w:t>half of the 36 million annual birth</w:t>
      </w:r>
      <w:r w:rsidR="00A932C6">
        <w:rPr>
          <w:rFonts w:cs="Times New Roman"/>
        </w:rPr>
        <w:t>s</w:t>
      </w:r>
      <w:r>
        <w:rPr>
          <w:rFonts w:cs="Times New Roman"/>
        </w:rPr>
        <w:t xml:space="preserve"> in sub-Saharan Africa still occur at home, many of whom never receive treatment when sick.</w:t>
      </w:r>
      <w:r w:rsidR="002220C3" w:rsidRPr="002220C3">
        <w:rPr>
          <w:rFonts w:cs="Times New Roman"/>
          <w:noProof/>
          <w:vertAlign w:val="superscript"/>
        </w:rPr>
        <w:t>6</w:t>
      </w:r>
      <w:r>
        <w:rPr>
          <w:rFonts w:cs="Times New Roman"/>
        </w:rPr>
        <w:t xml:space="preserve"> The scarcity of aetiology and </w:t>
      </w:r>
      <w:r w:rsidR="0032514B">
        <w:rPr>
          <w:rFonts w:cs="Times New Roman"/>
        </w:rPr>
        <w:t>AMR</w:t>
      </w:r>
      <w:r>
        <w:rPr>
          <w:rFonts w:cs="Times New Roman"/>
        </w:rPr>
        <w:t xml:space="preserve"> data from community-based studies poses a critical gap in the knowledge of pathogens causing infections in babies</w:t>
      </w:r>
      <w:r w:rsidR="00A932C6">
        <w:rPr>
          <w:rFonts w:cs="Times New Roman"/>
        </w:rPr>
        <w:t xml:space="preserve"> born and dying at home</w:t>
      </w:r>
      <w:r>
        <w:rPr>
          <w:rFonts w:cs="Times New Roman"/>
        </w:rPr>
        <w:t>. The Aetiology of Neonatal Infections in South Asia (ANISA)</w:t>
      </w:r>
      <w:r w:rsidR="00A932C6">
        <w:rPr>
          <w:rFonts w:cs="Times New Roman"/>
        </w:rPr>
        <w:t xml:space="preserve">, an observational cohort study, </w:t>
      </w:r>
      <w:r>
        <w:rPr>
          <w:rFonts w:cs="Times New Roman"/>
        </w:rPr>
        <w:t xml:space="preserve">identified atypical bacteria </w:t>
      </w:r>
      <w:r w:rsidR="00741558">
        <w:rPr>
          <w:rFonts w:cs="Times New Roman"/>
        </w:rPr>
        <w:t xml:space="preserve">and </w:t>
      </w:r>
      <w:r>
        <w:rPr>
          <w:rFonts w:cs="Times New Roman"/>
        </w:rPr>
        <w:t xml:space="preserve">respiratory syncytial virus infection as the predominant causes of community-acquired serious infections among infants in </w:t>
      </w:r>
      <w:r w:rsidR="00A932C6">
        <w:rPr>
          <w:rFonts w:cs="Times New Roman"/>
        </w:rPr>
        <w:t>that</w:t>
      </w:r>
      <w:r>
        <w:rPr>
          <w:rFonts w:cs="Times New Roman"/>
        </w:rPr>
        <w:t xml:space="preserve"> region.</w:t>
      </w:r>
      <w:r w:rsidR="002220C3" w:rsidRPr="002220C3">
        <w:rPr>
          <w:rFonts w:cs="Times New Roman"/>
          <w:noProof/>
          <w:vertAlign w:val="superscript"/>
        </w:rPr>
        <w:t>144</w:t>
      </w:r>
      <w:r>
        <w:rPr>
          <w:rFonts w:cs="Times New Roman"/>
        </w:rPr>
        <w:t xml:space="preserve"> No </w:t>
      </w:r>
      <w:r w:rsidR="00A932C6">
        <w:rPr>
          <w:rFonts w:cs="Times New Roman"/>
        </w:rPr>
        <w:t xml:space="preserve">such </w:t>
      </w:r>
      <w:r>
        <w:rPr>
          <w:rFonts w:cs="Times New Roman"/>
        </w:rPr>
        <w:t>study has been conducted in Africa where rates of infection and pathogens seen are likely different from Asia</w:t>
      </w:r>
      <w:r>
        <w:rPr>
          <w:rFonts w:eastAsia="ScalaLancetPro" w:cs="Times New Roman"/>
        </w:rPr>
        <w:t xml:space="preserve">. </w:t>
      </w:r>
    </w:p>
    <w:p w14:paraId="77C96A3B" w14:textId="021E047E" w:rsidR="008C451D" w:rsidRDefault="006828E6" w:rsidP="00724D3B">
      <w:pPr>
        <w:spacing w:line="480" w:lineRule="auto"/>
        <w:jc w:val="both"/>
      </w:pPr>
      <w:r w:rsidRPr="008223BC">
        <w:rPr>
          <w:rFonts w:cs="Times New Roman"/>
        </w:rPr>
        <w:t xml:space="preserve">Our findings </w:t>
      </w:r>
      <w:r w:rsidR="00A932C6">
        <w:rPr>
          <w:rFonts w:cs="Times New Roman"/>
        </w:rPr>
        <w:t xml:space="preserve">also </w:t>
      </w:r>
      <w:r w:rsidRPr="008223BC">
        <w:rPr>
          <w:rFonts w:cs="Times New Roman"/>
        </w:rPr>
        <w:t xml:space="preserve">underscore the </w:t>
      </w:r>
      <w:r w:rsidR="00A932C6">
        <w:rPr>
          <w:rFonts w:cs="Times New Roman"/>
        </w:rPr>
        <w:t>current</w:t>
      </w:r>
      <w:r w:rsidR="005376D6" w:rsidRPr="008223BC">
        <w:rPr>
          <w:rFonts w:cs="Times New Roman"/>
        </w:rPr>
        <w:t xml:space="preserve"> </w:t>
      </w:r>
      <w:r w:rsidR="00A932C6">
        <w:rPr>
          <w:rFonts w:cs="Times New Roman"/>
        </w:rPr>
        <w:t>“</w:t>
      </w:r>
      <w:r w:rsidR="005376D6" w:rsidRPr="008223BC">
        <w:rPr>
          <w:rFonts w:cs="Times New Roman"/>
        </w:rPr>
        <w:t>research</w:t>
      </w:r>
      <w:r w:rsidR="00A932C6">
        <w:rPr>
          <w:rFonts w:cs="Times New Roman"/>
        </w:rPr>
        <w:t xml:space="preserve"> wastage” for</w:t>
      </w:r>
      <w:r w:rsidR="005376D6" w:rsidRPr="008223BC">
        <w:rPr>
          <w:rFonts w:cs="Times New Roman"/>
        </w:rPr>
        <w:t xml:space="preserve"> reported </w:t>
      </w:r>
      <w:r w:rsidRPr="008223BC">
        <w:rPr>
          <w:rFonts w:cs="Times New Roman"/>
        </w:rPr>
        <w:t>data on neonatal infection aetiology, antimicrobial sensitivity and outcomes.</w:t>
      </w:r>
      <w:r w:rsidR="002220C3" w:rsidRPr="002220C3">
        <w:rPr>
          <w:rFonts w:cs="Times New Roman"/>
          <w:noProof/>
          <w:vertAlign w:val="superscript"/>
        </w:rPr>
        <w:t>20</w:t>
      </w:r>
      <w:r w:rsidRPr="008223BC">
        <w:rPr>
          <w:rFonts w:cs="Times New Roman"/>
        </w:rPr>
        <w:t xml:space="preserve"> </w:t>
      </w:r>
      <w:r w:rsidR="00A932C6">
        <w:rPr>
          <w:rFonts w:cs="Times New Roman"/>
        </w:rPr>
        <w:t xml:space="preserve">Application of the </w:t>
      </w:r>
      <w:r w:rsidRPr="008223BC">
        <w:rPr>
          <w:rFonts w:cs="Times New Roman"/>
        </w:rPr>
        <w:t xml:space="preserve">STROBE-NI </w:t>
      </w:r>
      <w:r w:rsidR="00A932C6">
        <w:rPr>
          <w:rFonts w:cs="Times New Roman"/>
        </w:rPr>
        <w:t>checklist</w:t>
      </w:r>
      <w:r w:rsidR="00A932C6" w:rsidRPr="008223BC">
        <w:rPr>
          <w:rFonts w:cs="Times New Roman"/>
        </w:rPr>
        <w:t xml:space="preserve"> </w:t>
      </w:r>
      <w:r w:rsidR="00A932C6">
        <w:rPr>
          <w:rFonts w:cs="Times New Roman"/>
        </w:rPr>
        <w:t xml:space="preserve">could </w:t>
      </w:r>
      <w:r w:rsidRPr="008223BC">
        <w:rPr>
          <w:rFonts w:cs="Times New Roman"/>
        </w:rPr>
        <w:t>improve scientific reporting, increase comparability</w:t>
      </w:r>
      <w:r w:rsidR="00A936F9">
        <w:rPr>
          <w:rFonts w:cs="Times New Roman"/>
        </w:rPr>
        <w:t>,</w:t>
      </w:r>
      <w:r w:rsidRPr="008223BC">
        <w:rPr>
          <w:rFonts w:cs="Times New Roman"/>
        </w:rPr>
        <w:t xml:space="preserve"> and </w:t>
      </w:r>
      <w:r w:rsidR="005376D6" w:rsidRPr="008223BC">
        <w:rPr>
          <w:rFonts w:cs="Times New Roman"/>
        </w:rPr>
        <w:t>reduc</w:t>
      </w:r>
      <w:r w:rsidR="00A936F9">
        <w:rPr>
          <w:rFonts w:cs="Times New Roman"/>
        </w:rPr>
        <w:t>e</w:t>
      </w:r>
      <w:r w:rsidR="005376D6" w:rsidRPr="008223BC">
        <w:rPr>
          <w:rFonts w:cs="Times New Roman"/>
        </w:rPr>
        <w:t xml:space="preserve"> </w:t>
      </w:r>
      <w:r w:rsidR="00A936F9">
        <w:rPr>
          <w:rFonts w:cs="Times New Roman"/>
        </w:rPr>
        <w:t xml:space="preserve">this </w:t>
      </w:r>
      <w:r w:rsidR="005376D6" w:rsidRPr="008223BC">
        <w:rPr>
          <w:rFonts w:cs="Times New Roman"/>
        </w:rPr>
        <w:t>wastage of precious data in high-burden regions</w:t>
      </w:r>
      <w:r w:rsidRPr="008223BC">
        <w:rPr>
          <w:rFonts w:cs="Times New Roman"/>
        </w:rPr>
        <w:t>.</w:t>
      </w:r>
      <w:r w:rsidR="002220C3" w:rsidRPr="002220C3">
        <w:rPr>
          <w:rFonts w:cs="Times New Roman"/>
          <w:noProof/>
          <w:vertAlign w:val="superscript"/>
        </w:rPr>
        <w:t>20</w:t>
      </w:r>
      <w:r w:rsidR="00724D3B">
        <w:rPr>
          <w:rFonts w:cs="Times New Roman"/>
        </w:rPr>
        <w:t xml:space="preserve"> </w:t>
      </w:r>
      <w:r w:rsidR="008C451D" w:rsidRPr="00724D3B">
        <w:t xml:space="preserve">However, while unified reporting standards and more studies are needed, the burden of neonatal infections will only be reduced if these data are </w:t>
      </w:r>
      <w:r w:rsidR="00A936F9">
        <w:t xml:space="preserve">available and </w:t>
      </w:r>
      <w:r w:rsidR="008C451D" w:rsidRPr="00724D3B">
        <w:t xml:space="preserve">used locally by public health </w:t>
      </w:r>
      <w:r w:rsidR="008C451D" w:rsidRPr="00724D3B">
        <w:lastRenderedPageBreak/>
        <w:t>leaders and program</w:t>
      </w:r>
      <w:r w:rsidR="00A936F9">
        <w:t>me</w:t>
      </w:r>
      <w:r w:rsidR="008C451D" w:rsidRPr="00724D3B">
        <w:t xml:space="preserve"> managers,</w:t>
      </w:r>
      <w:r w:rsidR="00A936F9">
        <w:t xml:space="preserve"> and</w:t>
      </w:r>
      <w:r w:rsidR="008C451D" w:rsidRPr="00724D3B">
        <w:t xml:space="preserve"> </w:t>
      </w:r>
      <w:r w:rsidR="00A936F9" w:rsidRPr="00724D3B">
        <w:t>i</w:t>
      </w:r>
      <w:r w:rsidR="00A936F9">
        <w:t>mplemented</w:t>
      </w:r>
      <w:r w:rsidR="00A936F9" w:rsidRPr="00724D3B">
        <w:t xml:space="preserve"> </w:t>
      </w:r>
      <w:r w:rsidR="008C451D" w:rsidRPr="00724D3B">
        <w:t xml:space="preserve">within local healthcare systems, </w:t>
      </w:r>
      <w:r w:rsidR="00A936F9">
        <w:t xml:space="preserve">whilst respecting </w:t>
      </w:r>
      <w:r w:rsidR="008C451D" w:rsidRPr="00724D3B">
        <w:t xml:space="preserve">local </w:t>
      </w:r>
      <w:r w:rsidR="00A936F9">
        <w:t>contexts</w:t>
      </w:r>
      <w:r w:rsidR="008C451D" w:rsidRPr="00724D3B">
        <w:t>.</w:t>
      </w:r>
      <w:r w:rsidR="002220C3" w:rsidRPr="002220C3">
        <w:rPr>
          <w:noProof/>
          <w:vertAlign w:val="superscript"/>
        </w:rPr>
        <w:t>13</w:t>
      </w:r>
    </w:p>
    <w:p w14:paraId="4839B319" w14:textId="77777777" w:rsidR="00844AC0" w:rsidRPr="008223BC" w:rsidRDefault="00844AC0" w:rsidP="000B41A7">
      <w:pPr>
        <w:pStyle w:val="NormalWeb"/>
        <w:spacing w:before="0" w:beforeAutospacing="0" w:after="0" w:afterAutospacing="0" w:line="480" w:lineRule="auto"/>
        <w:jc w:val="both"/>
        <w:rPr>
          <w:b/>
          <w:szCs w:val="22"/>
        </w:rPr>
      </w:pPr>
      <w:r w:rsidRPr="008223BC">
        <w:rPr>
          <w:b/>
          <w:szCs w:val="22"/>
        </w:rPr>
        <w:t>Contributors</w:t>
      </w:r>
    </w:p>
    <w:p w14:paraId="40F44126" w14:textId="7C0CB204" w:rsidR="000042EF" w:rsidRPr="008223BC" w:rsidRDefault="00844AC0" w:rsidP="000B41A7">
      <w:pPr>
        <w:pStyle w:val="NormalWeb"/>
        <w:spacing w:before="0" w:beforeAutospacing="0" w:after="240" w:afterAutospacing="0" w:line="480" w:lineRule="auto"/>
        <w:jc w:val="both"/>
        <w:rPr>
          <w:szCs w:val="22"/>
        </w:rPr>
      </w:pPr>
      <w:r w:rsidRPr="008223BC">
        <w:rPr>
          <w:szCs w:val="22"/>
        </w:rPr>
        <w:t xml:space="preserve">UO </w:t>
      </w:r>
      <w:r w:rsidR="000042EF" w:rsidRPr="008223BC">
        <w:rPr>
          <w:szCs w:val="22"/>
        </w:rPr>
        <w:t xml:space="preserve">and JEL </w:t>
      </w:r>
      <w:r w:rsidR="001726E3" w:rsidRPr="008223BC">
        <w:rPr>
          <w:szCs w:val="22"/>
        </w:rPr>
        <w:t>conceived the idea for this study</w:t>
      </w:r>
      <w:r w:rsidR="000042EF" w:rsidRPr="008223BC">
        <w:rPr>
          <w:szCs w:val="22"/>
        </w:rPr>
        <w:t xml:space="preserve">. UO </w:t>
      </w:r>
      <w:r w:rsidR="001416EC">
        <w:rPr>
          <w:szCs w:val="22"/>
        </w:rPr>
        <w:t xml:space="preserve">developed the checklist of inclusion and exclusion criteria, </w:t>
      </w:r>
      <w:r w:rsidR="00A0783F" w:rsidRPr="008223BC">
        <w:rPr>
          <w:szCs w:val="22"/>
        </w:rPr>
        <w:t xml:space="preserve">and </w:t>
      </w:r>
      <w:r w:rsidR="001416EC">
        <w:rPr>
          <w:szCs w:val="22"/>
        </w:rPr>
        <w:t xml:space="preserve">together with </w:t>
      </w:r>
      <w:r w:rsidR="00A0783F" w:rsidRPr="008223BC">
        <w:rPr>
          <w:szCs w:val="22"/>
        </w:rPr>
        <w:t>E</w:t>
      </w:r>
      <w:r w:rsidR="008B7C0E">
        <w:rPr>
          <w:szCs w:val="22"/>
        </w:rPr>
        <w:t>NK</w:t>
      </w:r>
      <w:r w:rsidR="00A0783F" w:rsidRPr="008223BC">
        <w:rPr>
          <w:szCs w:val="22"/>
        </w:rPr>
        <w:t xml:space="preserve">A </w:t>
      </w:r>
      <w:r w:rsidR="001416EC">
        <w:rPr>
          <w:szCs w:val="22"/>
        </w:rPr>
        <w:t>carried out</w:t>
      </w:r>
      <w:r w:rsidR="001416EC" w:rsidRPr="008223BC">
        <w:rPr>
          <w:szCs w:val="22"/>
        </w:rPr>
        <w:t xml:space="preserve"> </w:t>
      </w:r>
      <w:r w:rsidRPr="008223BC">
        <w:rPr>
          <w:szCs w:val="22"/>
        </w:rPr>
        <w:t>the literature search</w:t>
      </w:r>
      <w:r w:rsidR="00083F87" w:rsidRPr="008223BC">
        <w:rPr>
          <w:szCs w:val="22"/>
        </w:rPr>
        <w:t xml:space="preserve">, </w:t>
      </w:r>
      <w:r w:rsidR="001726E3" w:rsidRPr="008223BC">
        <w:rPr>
          <w:szCs w:val="22"/>
        </w:rPr>
        <w:t xml:space="preserve">reviewed published papers, and made the primary selection of eligible papers. UO compiled the </w:t>
      </w:r>
      <w:r w:rsidR="00083F87" w:rsidRPr="008223BC">
        <w:rPr>
          <w:szCs w:val="22"/>
        </w:rPr>
        <w:t>data</w:t>
      </w:r>
      <w:r w:rsidR="001726E3" w:rsidRPr="008223BC">
        <w:rPr>
          <w:szCs w:val="22"/>
        </w:rPr>
        <w:t>,</w:t>
      </w:r>
      <w:r w:rsidR="00083F87" w:rsidRPr="008223BC">
        <w:rPr>
          <w:szCs w:val="22"/>
        </w:rPr>
        <w:t xml:space="preserve"> </w:t>
      </w:r>
      <w:r w:rsidR="000042EF" w:rsidRPr="008223BC">
        <w:rPr>
          <w:szCs w:val="22"/>
        </w:rPr>
        <w:t xml:space="preserve">designed Figures 1 and </w:t>
      </w:r>
      <w:r w:rsidR="001726E3" w:rsidRPr="008223BC">
        <w:rPr>
          <w:szCs w:val="22"/>
        </w:rPr>
        <w:t>2 and</w:t>
      </w:r>
      <w:r w:rsidR="00083F87" w:rsidRPr="008223BC">
        <w:rPr>
          <w:szCs w:val="22"/>
        </w:rPr>
        <w:t xml:space="preserve"> wrote the first draft of the paper. </w:t>
      </w:r>
      <w:r w:rsidR="001726E3" w:rsidRPr="008223BC">
        <w:rPr>
          <w:szCs w:val="22"/>
        </w:rPr>
        <w:t>UO a</w:t>
      </w:r>
      <w:r w:rsidR="00D96E8D">
        <w:rPr>
          <w:szCs w:val="22"/>
        </w:rPr>
        <w:t xml:space="preserve">nd AJ </w:t>
      </w:r>
      <w:r w:rsidR="001726E3" w:rsidRPr="008223BC">
        <w:rPr>
          <w:szCs w:val="22"/>
        </w:rPr>
        <w:t xml:space="preserve">analysed </w:t>
      </w:r>
      <w:r w:rsidR="00741558">
        <w:rPr>
          <w:szCs w:val="22"/>
        </w:rPr>
        <w:t xml:space="preserve">and interpreted </w:t>
      </w:r>
      <w:r w:rsidR="001726E3" w:rsidRPr="008223BC">
        <w:rPr>
          <w:szCs w:val="22"/>
        </w:rPr>
        <w:t xml:space="preserve">the data with the support of </w:t>
      </w:r>
      <w:r w:rsidR="009652FC">
        <w:rPr>
          <w:szCs w:val="22"/>
        </w:rPr>
        <w:t xml:space="preserve">JEL, </w:t>
      </w:r>
      <w:r w:rsidR="001726E3" w:rsidRPr="008223BC">
        <w:rPr>
          <w:szCs w:val="22"/>
        </w:rPr>
        <w:t>SC</w:t>
      </w:r>
      <w:r w:rsidR="00542854">
        <w:rPr>
          <w:szCs w:val="22"/>
        </w:rPr>
        <w:t>,</w:t>
      </w:r>
      <w:r w:rsidR="00D96E8D">
        <w:rPr>
          <w:szCs w:val="22"/>
        </w:rPr>
        <w:t xml:space="preserve"> KL</w:t>
      </w:r>
      <w:r w:rsidR="00741558">
        <w:rPr>
          <w:szCs w:val="22"/>
        </w:rPr>
        <w:t xml:space="preserve"> and BK</w:t>
      </w:r>
      <w:r w:rsidR="001726E3" w:rsidRPr="008223BC">
        <w:rPr>
          <w:szCs w:val="22"/>
        </w:rPr>
        <w:t>.</w:t>
      </w:r>
      <w:r w:rsidR="000B41A7" w:rsidRPr="008223BC">
        <w:rPr>
          <w:szCs w:val="22"/>
        </w:rPr>
        <w:t xml:space="preserve"> </w:t>
      </w:r>
      <w:r w:rsidR="00F51F95">
        <w:rPr>
          <w:szCs w:val="22"/>
        </w:rPr>
        <w:t xml:space="preserve">AR and MS provided guidance on the analysis and interpretation of antimicrobial resistance </w:t>
      </w:r>
      <w:r w:rsidR="00E4320C">
        <w:rPr>
          <w:szCs w:val="22"/>
        </w:rPr>
        <w:t xml:space="preserve">data. </w:t>
      </w:r>
      <w:r w:rsidR="000B41A7" w:rsidRPr="008223BC">
        <w:rPr>
          <w:szCs w:val="22"/>
        </w:rPr>
        <w:t>UO had full access to all the data in the study. UO, JEL and BK had final responsibility for the decision to submit for publication.</w:t>
      </w:r>
      <w:r w:rsidR="001B112D">
        <w:rPr>
          <w:szCs w:val="22"/>
        </w:rPr>
        <w:t xml:space="preserve"> </w:t>
      </w:r>
      <w:r w:rsidR="000042EF" w:rsidRPr="008223BC">
        <w:rPr>
          <w:szCs w:val="22"/>
        </w:rPr>
        <w:t xml:space="preserve">All authors provided input to the overall direction </w:t>
      </w:r>
      <w:r w:rsidR="00083F87" w:rsidRPr="008223BC">
        <w:rPr>
          <w:szCs w:val="22"/>
        </w:rPr>
        <w:t xml:space="preserve">and content </w:t>
      </w:r>
      <w:r w:rsidR="000042EF" w:rsidRPr="008223BC">
        <w:rPr>
          <w:szCs w:val="22"/>
        </w:rPr>
        <w:t xml:space="preserve">of the </w:t>
      </w:r>
      <w:r w:rsidR="001726E3" w:rsidRPr="008223BC">
        <w:rPr>
          <w:szCs w:val="22"/>
        </w:rPr>
        <w:t xml:space="preserve">paper, </w:t>
      </w:r>
      <w:r w:rsidR="000042EF" w:rsidRPr="008223BC">
        <w:rPr>
          <w:szCs w:val="22"/>
        </w:rPr>
        <w:t>reviewed each draft of the paper</w:t>
      </w:r>
      <w:r w:rsidR="001726E3" w:rsidRPr="008223BC">
        <w:rPr>
          <w:szCs w:val="22"/>
        </w:rPr>
        <w:t>, and have seen and approved the final version.</w:t>
      </w:r>
    </w:p>
    <w:p w14:paraId="757431A2" w14:textId="7F4C1593" w:rsidR="000042EF" w:rsidRPr="008223BC" w:rsidRDefault="0028471A" w:rsidP="000B41A7">
      <w:pPr>
        <w:pStyle w:val="NormalWeb"/>
        <w:spacing w:before="0" w:beforeAutospacing="0" w:after="0" w:afterAutospacing="0" w:line="480" w:lineRule="auto"/>
        <w:jc w:val="both"/>
        <w:rPr>
          <w:b/>
          <w:szCs w:val="22"/>
        </w:rPr>
      </w:pPr>
      <w:r>
        <w:rPr>
          <w:b/>
          <w:szCs w:val="22"/>
        </w:rPr>
        <w:t>Conflicts</w:t>
      </w:r>
      <w:r w:rsidR="000042EF" w:rsidRPr="008223BC">
        <w:rPr>
          <w:b/>
          <w:szCs w:val="22"/>
        </w:rPr>
        <w:t xml:space="preserve"> of interests</w:t>
      </w:r>
    </w:p>
    <w:p w14:paraId="05A10419" w14:textId="33454679" w:rsidR="000042EF" w:rsidRPr="008223BC" w:rsidRDefault="00A756C6" w:rsidP="000B41A7">
      <w:pPr>
        <w:pStyle w:val="NormalWeb"/>
        <w:spacing w:before="0" w:beforeAutospacing="0" w:after="240" w:afterAutospacing="0" w:line="480" w:lineRule="auto"/>
        <w:jc w:val="both"/>
        <w:rPr>
          <w:szCs w:val="22"/>
        </w:rPr>
      </w:pPr>
      <w:r>
        <w:rPr>
          <w:szCs w:val="22"/>
        </w:rPr>
        <w:t>We declare that we have no conflicts of interest</w:t>
      </w:r>
      <w:r w:rsidR="000042EF" w:rsidRPr="008223BC">
        <w:rPr>
          <w:szCs w:val="22"/>
        </w:rPr>
        <w:t>.</w:t>
      </w:r>
    </w:p>
    <w:p w14:paraId="0D26EA75" w14:textId="77777777" w:rsidR="000042EF" w:rsidRPr="008223BC" w:rsidRDefault="000042EF" w:rsidP="000B41A7">
      <w:pPr>
        <w:pStyle w:val="NormalWeb"/>
        <w:spacing w:before="0" w:beforeAutospacing="0" w:after="0" w:afterAutospacing="0" w:line="480" w:lineRule="auto"/>
        <w:jc w:val="both"/>
        <w:rPr>
          <w:b/>
          <w:szCs w:val="22"/>
        </w:rPr>
      </w:pPr>
      <w:r w:rsidRPr="008223BC">
        <w:rPr>
          <w:b/>
          <w:szCs w:val="22"/>
        </w:rPr>
        <w:t>Acknowledgements</w:t>
      </w:r>
    </w:p>
    <w:p w14:paraId="0A7C6E42" w14:textId="180666E3" w:rsidR="001B112D" w:rsidRDefault="00A0783F" w:rsidP="000B41A7">
      <w:pPr>
        <w:pStyle w:val="NormalWeb"/>
        <w:spacing w:before="0" w:beforeAutospacing="0" w:after="240" w:afterAutospacing="0" w:line="480" w:lineRule="auto"/>
        <w:jc w:val="both"/>
        <w:rPr>
          <w:szCs w:val="22"/>
        </w:rPr>
        <w:sectPr w:rsidR="001B112D" w:rsidSect="00525B12">
          <w:pgSz w:w="11906" w:h="16838"/>
          <w:pgMar w:top="1440" w:right="1440" w:bottom="1440" w:left="1440" w:header="708" w:footer="708" w:gutter="0"/>
          <w:cols w:space="708"/>
          <w:docGrid w:linePitch="360"/>
        </w:sectPr>
      </w:pPr>
      <w:r w:rsidRPr="008223BC">
        <w:rPr>
          <w:szCs w:val="22"/>
        </w:rPr>
        <w:t>UO was supported by a Medical R</w:t>
      </w:r>
      <w:r w:rsidR="000B41A7" w:rsidRPr="008223BC">
        <w:rPr>
          <w:szCs w:val="22"/>
        </w:rPr>
        <w:t>esearch Council PhD Studentship</w:t>
      </w:r>
      <w:r w:rsidR="000042EF" w:rsidRPr="008223BC">
        <w:rPr>
          <w:szCs w:val="22"/>
        </w:rPr>
        <w:t xml:space="preserve">. </w:t>
      </w:r>
      <w:r w:rsidR="001726E3" w:rsidRPr="008223BC">
        <w:rPr>
          <w:szCs w:val="22"/>
        </w:rPr>
        <w:t xml:space="preserve">The authors gratefully acknowledge </w:t>
      </w:r>
      <w:r w:rsidR="00083F87" w:rsidRPr="008223BC">
        <w:rPr>
          <w:szCs w:val="22"/>
        </w:rPr>
        <w:t xml:space="preserve">Professor Martin Meremikwu </w:t>
      </w:r>
      <w:r w:rsidR="00901409">
        <w:rPr>
          <w:szCs w:val="22"/>
        </w:rPr>
        <w:t xml:space="preserve">and Dr Henry J. Lawson </w:t>
      </w:r>
      <w:r w:rsidR="00ED74E3" w:rsidRPr="008223BC">
        <w:rPr>
          <w:szCs w:val="22"/>
        </w:rPr>
        <w:t xml:space="preserve">for </w:t>
      </w:r>
      <w:r w:rsidR="00901409">
        <w:rPr>
          <w:szCs w:val="22"/>
        </w:rPr>
        <w:t>their</w:t>
      </w:r>
      <w:r w:rsidR="00ED74E3" w:rsidRPr="008223BC">
        <w:rPr>
          <w:szCs w:val="22"/>
        </w:rPr>
        <w:t xml:space="preserve"> insights.</w:t>
      </w:r>
      <w:r w:rsidR="00083F87" w:rsidRPr="008223BC">
        <w:rPr>
          <w:szCs w:val="22"/>
        </w:rPr>
        <w:t xml:space="preserve"> </w:t>
      </w:r>
    </w:p>
    <w:p w14:paraId="3E6920DB" w14:textId="77777777" w:rsidR="00525B12" w:rsidRPr="008223BC" w:rsidRDefault="006F3BF7" w:rsidP="000B074D">
      <w:pPr>
        <w:outlineLvl w:val="0"/>
        <w:rPr>
          <w:rFonts w:cs="Times New Roman"/>
          <w:b/>
        </w:rPr>
      </w:pPr>
      <w:r w:rsidRPr="008223BC">
        <w:rPr>
          <w:rFonts w:cs="Times New Roman"/>
          <w:b/>
        </w:rPr>
        <w:lastRenderedPageBreak/>
        <w:t>References</w:t>
      </w:r>
    </w:p>
    <w:p w14:paraId="03E56885" w14:textId="16932656" w:rsidR="005203B1" w:rsidRPr="005203B1" w:rsidRDefault="005203B1" w:rsidP="005203B1">
      <w:pPr>
        <w:pStyle w:val="EndNoteBibliography"/>
        <w:spacing w:after="0"/>
        <w:rPr>
          <w:noProof/>
        </w:rPr>
      </w:pPr>
      <w:r w:rsidRPr="005203B1">
        <w:rPr>
          <w:noProof/>
        </w:rPr>
        <w:t>1.</w:t>
      </w:r>
      <w:r w:rsidRPr="005203B1">
        <w:rPr>
          <w:noProof/>
        </w:rPr>
        <w:tab/>
        <w:t>United Nations Inter-agency Group for Child Mortality Estimation (UN IGME). Levels &amp; Trends in Child Mortality: Report 2018, Estimates Developed by the UN Inter-agency Group for Child Mortality Estimation, 2018.</w:t>
      </w:r>
    </w:p>
    <w:p w14:paraId="254F40EF" w14:textId="77777777" w:rsidR="005203B1" w:rsidRPr="005203B1" w:rsidRDefault="005203B1" w:rsidP="005203B1">
      <w:pPr>
        <w:pStyle w:val="EndNoteBibliography"/>
        <w:spacing w:after="0"/>
        <w:rPr>
          <w:noProof/>
        </w:rPr>
      </w:pPr>
      <w:r w:rsidRPr="005203B1">
        <w:rPr>
          <w:noProof/>
        </w:rPr>
        <w:t>2.</w:t>
      </w:r>
      <w:r w:rsidRPr="005203B1">
        <w:rPr>
          <w:noProof/>
        </w:rPr>
        <w:tab/>
        <w:t xml:space="preserve">Grady SC, Frake AN, Zhang Q, et al. Neonatal mortality in East Africa and West Africa: a geographic analysis of district-level demographic and health survey data. </w:t>
      </w:r>
      <w:r w:rsidRPr="005203B1">
        <w:rPr>
          <w:i/>
          <w:noProof/>
        </w:rPr>
        <w:t>Geospat Health</w:t>
      </w:r>
      <w:r w:rsidRPr="005203B1">
        <w:rPr>
          <w:noProof/>
        </w:rPr>
        <w:t xml:space="preserve"> 2017; </w:t>
      </w:r>
      <w:r w:rsidRPr="005203B1">
        <w:rPr>
          <w:b/>
          <w:noProof/>
        </w:rPr>
        <w:t>12</w:t>
      </w:r>
      <w:r w:rsidRPr="005203B1">
        <w:rPr>
          <w:noProof/>
        </w:rPr>
        <w:t>(1): 501.</w:t>
      </w:r>
    </w:p>
    <w:p w14:paraId="01E608CD" w14:textId="77777777" w:rsidR="005203B1" w:rsidRPr="005203B1" w:rsidRDefault="005203B1" w:rsidP="005203B1">
      <w:pPr>
        <w:pStyle w:val="EndNoteBibliography"/>
        <w:spacing w:after="0"/>
        <w:rPr>
          <w:noProof/>
        </w:rPr>
      </w:pPr>
      <w:r w:rsidRPr="005203B1">
        <w:rPr>
          <w:noProof/>
          <w:lang w:val="fr-FR"/>
        </w:rPr>
        <w:t>3.</w:t>
      </w:r>
      <w:r w:rsidRPr="005203B1">
        <w:rPr>
          <w:noProof/>
          <w:lang w:val="fr-FR"/>
        </w:rPr>
        <w:tab/>
        <w:t xml:space="preserve">Lawn JE, Blencowe H, Oza S, et al. </w:t>
      </w:r>
      <w:r w:rsidRPr="005203B1">
        <w:rPr>
          <w:noProof/>
        </w:rPr>
        <w:t xml:space="preserve">Every Newborn: progress, priorities, and potential beyond survival. </w:t>
      </w:r>
      <w:r w:rsidRPr="005203B1">
        <w:rPr>
          <w:i/>
          <w:noProof/>
        </w:rPr>
        <w:t>Lancet</w:t>
      </w:r>
      <w:r w:rsidRPr="005203B1">
        <w:rPr>
          <w:noProof/>
        </w:rPr>
        <w:t xml:space="preserve"> 2014; </w:t>
      </w:r>
      <w:r w:rsidRPr="005203B1">
        <w:rPr>
          <w:b/>
          <w:noProof/>
        </w:rPr>
        <w:t>384</w:t>
      </w:r>
      <w:r w:rsidRPr="005203B1">
        <w:rPr>
          <w:noProof/>
        </w:rPr>
        <w:t>(9938): 189-205.</w:t>
      </w:r>
    </w:p>
    <w:p w14:paraId="32E21F89" w14:textId="77777777" w:rsidR="005203B1" w:rsidRPr="005203B1" w:rsidRDefault="005203B1" w:rsidP="005203B1">
      <w:pPr>
        <w:pStyle w:val="EndNoteBibliography"/>
        <w:spacing w:after="0"/>
        <w:rPr>
          <w:noProof/>
        </w:rPr>
      </w:pPr>
      <w:r w:rsidRPr="005203B1">
        <w:rPr>
          <w:noProof/>
        </w:rPr>
        <w:t>4.</w:t>
      </w:r>
      <w:r w:rsidRPr="005203B1">
        <w:rPr>
          <w:noProof/>
        </w:rPr>
        <w:tab/>
        <w:t>WHO, UNICEF. Every Newborn Action Plan: 2018 Progress Report; Reaching every newborn national 2020 milestones World Health Organization; United Nations Children's Fund. 2018.</w:t>
      </w:r>
    </w:p>
    <w:p w14:paraId="2C82ACF9" w14:textId="77777777" w:rsidR="005203B1" w:rsidRPr="005203B1" w:rsidRDefault="005203B1" w:rsidP="005203B1">
      <w:pPr>
        <w:pStyle w:val="EndNoteBibliography"/>
        <w:spacing w:after="0"/>
        <w:rPr>
          <w:noProof/>
        </w:rPr>
      </w:pPr>
      <w:r w:rsidRPr="005203B1">
        <w:rPr>
          <w:noProof/>
        </w:rPr>
        <w:t>5.</w:t>
      </w:r>
      <w:r w:rsidRPr="005203B1">
        <w:rPr>
          <w:noProof/>
        </w:rPr>
        <w:tab/>
        <w:t xml:space="preserve">Oza S, Lawn JE, Hogan DR, Mathers C, Cousens SN. Neonatal cause-of-death estimates for the early and late neonatal periods for 194 countries: 2000-2013. </w:t>
      </w:r>
      <w:r w:rsidRPr="005203B1">
        <w:rPr>
          <w:i/>
          <w:noProof/>
        </w:rPr>
        <w:t>Bull World Health Organ</w:t>
      </w:r>
      <w:r w:rsidRPr="005203B1">
        <w:rPr>
          <w:noProof/>
        </w:rPr>
        <w:t xml:space="preserve"> 2015; </w:t>
      </w:r>
      <w:r w:rsidRPr="005203B1">
        <w:rPr>
          <w:b/>
          <w:noProof/>
        </w:rPr>
        <w:t>93</w:t>
      </w:r>
      <w:r w:rsidRPr="005203B1">
        <w:rPr>
          <w:noProof/>
        </w:rPr>
        <w:t>(1): 19-28.</w:t>
      </w:r>
    </w:p>
    <w:p w14:paraId="2A56EEFF" w14:textId="77777777" w:rsidR="005203B1" w:rsidRPr="005203B1" w:rsidRDefault="005203B1" w:rsidP="005203B1">
      <w:pPr>
        <w:pStyle w:val="EndNoteBibliography"/>
        <w:spacing w:after="0"/>
        <w:rPr>
          <w:noProof/>
        </w:rPr>
      </w:pPr>
      <w:r w:rsidRPr="005203B1">
        <w:rPr>
          <w:noProof/>
        </w:rPr>
        <w:t>6.</w:t>
      </w:r>
      <w:r w:rsidRPr="005203B1">
        <w:rPr>
          <w:noProof/>
        </w:rPr>
        <w:tab/>
        <w:t>UNICEF. State of the World's Children 2017 Statistical Tables. Geneva, 2017.</w:t>
      </w:r>
    </w:p>
    <w:p w14:paraId="65BA4C06" w14:textId="77777777" w:rsidR="005203B1" w:rsidRPr="005203B1" w:rsidRDefault="005203B1" w:rsidP="005203B1">
      <w:pPr>
        <w:pStyle w:val="EndNoteBibliography"/>
        <w:spacing w:after="0"/>
        <w:rPr>
          <w:noProof/>
        </w:rPr>
      </w:pPr>
      <w:r w:rsidRPr="005203B1">
        <w:rPr>
          <w:noProof/>
        </w:rPr>
        <w:t>7.</w:t>
      </w:r>
      <w:r w:rsidRPr="005203B1">
        <w:rPr>
          <w:noProof/>
        </w:rPr>
        <w:tab/>
        <w:t>WHO. Pocket book of hospital care for children: Guidelines for the management of common childhood illnesses. 2nd ed. Geneva: World Health Organisation; 2013.</w:t>
      </w:r>
    </w:p>
    <w:p w14:paraId="52B6F5A1" w14:textId="77777777" w:rsidR="005203B1" w:rsidRPr="005203B1" w:rsidRDefault="005203B1" w:rsidP="005203B1">
      <w:pPr>
        <w:pStyle w:val="EndNoteBibliography"/>
        <w:spacing w:after="0"/>
        <w:rPr>
          <w:noProof/>
        </w:rPr>
      </w:pPr>
      <w:r w:rsidRPr="005203B1">
        <w:rPr>
          <w:noProof/>
        </w:rPr>
        <w:t>8.</w:t>
      </w:r>
      <w:r w:rsidRPr="005203B1">
        <w:rPr>
          <w:noProof/>
        </w:rPr>
        <w:tab/>
        <w:t xml:space="preserve">Laxminarayan R, Bhutta ZA. Antimicrobial resistance-a threat to neonate survival. </w:t>
      </w:r>
      <w:r w:rsidRPr="005203B1">
        <w:rPr>
          <w:i/>
          <w:noProof/>
        </w:rPr>
        <w:t>Lancet Glob Health</w:t>
      </w:r>
      <w:r w:rsidRPr="005203B1">
        <w:rPr>
          <w:noProof/>
        </w:rPr>
        <w:t xml:space="preserve"> 2016; </w:t>
      </w:r>
      <w:r w:rsidRPr="005203B1">
        <w:rPr>
          <w:b/>
          <w:noProof/>
        </w:rPr>
        <w:t>4</w:t>
      </w:r>
      <w:r w:rsidRPr="005203B1">
        <w:rPr>
          <w:noProof/>
        </w:rPr>
        <w:t>(10): e676-7.</w:t>
      </w:r>
    </w:p>
    <w:p w14:paraId="47A6AF19" w14:textId="77777777" w:rsidR="005203B1" w:rsidRPr="005203B1" w:rsidRDefault="005203B1" w:rsidP="005203B1">
      <w:pPr>
        <w:pStyle w:val="EndNoteBibliography"/>
        <w:spacing w:after="0"/>
        <w:rPr>
          <w:noProof/>
        </w:rPr>
      </w:pPr>
      <w:r w:rsidRPr="005203B1">
        <w:rPr>
          <w:noProof/>
        </w:rPr>
        <w:t>9.</w:t>
      </w:r>
      <w:r w:rsidRPr="005203B1">
        <w:rPr>
          <w:noProof/>
        </w:rPr>
        <w:tab/>
        <w:t xml:space="preserve">Williams PCM, Isaacs D, Berkley JA. Antimicrobial resistance among children in sub-Saharan Africa. </w:t>
      </w:r>
      <w:r w:rsidRPr="005203B1">
        <w:rPr>
          <w:i/>
          <w:noProof/>
        </w:rPr>
        <w:t>Lancet Infect Dis</w:t>
      </w:r>
      <w:r w:rsidRPr="005203B1">
        <w:rPr>
          <w:noProof/>
        </w:rPr>
        <w:t xml:space="preserve"> 2018; </w:t>
      </w:r>
      <w:r w:rsidRPr="005203B1">
        <w:rPr>
          <w:b/>
          <w:noProof/>
        </w:rPr>
        <w:t>18</w:t>
      </w:r>
      <w:r w:rsidRPr="005203B1">
        <w:rPr>
          <w:noProof/>
        </w:rPr>
        <w:t>(2): e33-e44.</w:t>
      </w:r>
    </w:p>
    <w:p w14:paraId="7ACE16A9" w14:textId="77777777" w:rsidR="005203B1" w:rsidRPr="005203B1" w:rsidRDefault="005203B1" w:rsidP="005203B1">
      <w:pPr>
        <w:pStyle w:val="EndNoteBibliography"/>
        <w:spacing w:after="0"/>
        <w:rPr>
          <w:noProof/>
        </w:rPr>
      </w:pPr>
      <w:r w:rsidRPr="005203B1">
        <w:rPr>
          <w:noProof/>
          <w:lang w:val="fr-FR"/>
        </w:rPr>
        <w:t>10.</w:t>
      </w:r>
      <w:r w:rsidRPr="005203B1">
        <w:rPr>
          <w:noProof/>
          <w:lang w:val="fr-FR"/>
        </w:rPr>
        <w:tab/>
        <w:t xml:space="preserve">Huynh BT, Padget M, Garin B, et al. </w:t>
      </w:r>
      <w:r w:rsidRPr="005203B1">
        <w:rPr>
          <w:noProof/>
        </w:rPr>
        <w:t xml:space="preserve">Burden of bacterial resistance among neonatal infections in low income countries: how convincing is the epidemiological evidence? </w:t>
      </w:r>
      <w:r w:rsidRPr="005203B1">
        <w:rPr>
          <w:i/>
          <w:noProof/>
        </w:rPr>
        <w:t>BMC Infect Dis</w:t>
      </w:r>
      <w:r w:rsidRPr="005203B1">
        <w:rPr>
          <w:noProof/>
        </w:rPr>
        <w:t xml:space="preserve"> 2015; </w:t>
      </w:r>
      <w:r w:rsidRPr="005203B1">
        <w:rPr>
          <w:b/>
          <w:noProof/>
        </w:rPr>
        <w:t>15</w:t>
      </w:r>
      <w:r w:rsidRPr="005203B1">
        <w:rPr>
          <w:noProof/>
        </w:rPr>
        <w:t>: 127.</w:t>
      </w:r>
    </w:p>
    <w:p w14:paraId="10FC1D76" w14:textId="77777777" w:rsidR="005203B1" w:rsidRPr="005203B1" w:rsidRDefault="005203B1" w:rsidP="005203B1">
      <w:pPr>
        <w:pStyle w:val="EndNoteBibliography"/>
        <w:spacing w:after="0"/>
        <w:rPr>
          <w:noProof/>
        </w:rPr>
      </w:pPr>
      <w:r w:rsidRPr="005203B1">
        <w:rPr>
          <w:noProof/>
        </w:rPr>
        <w:t>11.</w:t>
      </w:r>
      <w:r w:rsidRPr="005203B1">
        <w:rPr>
          <w:noProof/>
        </w:rPr>
        <w:tab/>
        <w:t xml:space="preserve">Downie L, Armiento R, Subhi R, Kelly J, Clifford V, Duke T. Community-acquired neonatal and infant sepsis in developing countries: efficacy of WHO's currently recommended antibiotics--systematic review and meta-analysis. </w:t>
      </w:r>
      <w:r w:rsidRPr="005203B1">
        <w:rPr>
          <w:i/>
          <w:noProof/>
        </w:rPr>
        <w:t>Arch Dis Child</w:t>
      </w:r>
      <w:r w:rsidRPr="005203B1">
        <w:rPr>
          <w:noProof/>
        </w:rPr>
        <w:t xml:space="preserve"> 2013; </w:t>
      </w:r>
      <w:r w:rsidRPr="005203B1">
        <w:rPr>
          <w:b/>
          <w:noProof/>
        </w:rPr>
        <w:t>98</w:t>
      </w:r>
      <w:r w:rsidRPr="005203B1">
        <w:rPr>
          <w:noProof/>
        </w:rPr>
        <w:t>(2): 146-54.</w:t>
      </w:r>
    </w:p>
    <w:p w14:paraId="31C9E432" w14:textId="77777777" w:rsidR="005203B1" w:rsidRPr="005203B1" w:rsidRDefault="005203B1" w:rsidP="005203B1">
      <w:pPr>
        <w:pStyle w:val="EndNoteBibliography"/>
        <w:spacing w:after="0"/>
        <w:rPr>
          <w:noProof/>
        </w:rPr>
      </w:pPr>
      <w:r w:rsidRPr="005203B1">
        <w:rPr>
          <w:noProof/>
        </w:rPr>
        <w:t>12.</w:t>
      </w:r>
      <w:r w:rsidRPr="005203B1">
        <w:rPr>
          <w:noProof/>
        </w:rPr>
        <w:tab/>
        <w:t xml:space="preserve">Le Doare K, Bielicki J, Heath PT, Sharland M. Systematic Review of Antibiotic Resistance Rates Among Gram-Negative Bacteria in Children With Sepsis in Resource-Limited Countries. </w:t>
      </w:r>
      <w:r w:rsidRPr="005203B1">
        <w:rPr>
          <w:i/>
          <w:noProof/>
        </w:rPr>
        <w:t>J Pediatric Infect Dis Soc</w:t>
      </w:r>
      <w:r w:rsidRPr="005203B1">
        <w:rPr>
          <w:noProof/>
        </w:rPr>
        <w:t xml:space="preserve"> 2015; </w:t>
      </w:r>
      <w:r w:rsidRPr="005203B1">
        <w:rPr>
          <w:b/>
          <w:noProof/>
        </w:rPr>
        <w:t>4</w:t>
      </w:r>
      <w:r w:rsidRPr="005203B1">
        <w:rPr>
          <w:noProof/>
        </w:rPr>
        <w:t>(1): 11-20.</w:t>
      </w:r>
    </w:p>
    <w:p w14:paraId="459A1DB2" w14:textId="77777777" w:rsidR="005203B1" w:rsidRPr="005203B1" w:rsidRDefault="005203B1" w:rsidP="005203B1">
      <w:pPr>
        <w:pStyle w:val="EndNoteBibliography"/>
        <w:spacing w:after="0"/>
        <w:rPr>
          <w:noProof/>
        </w:rPr>
      </w:pPr>
      <w:r w:rsidRPr="005203B1">
        <w:rPr>
          <w:noProof/>
        </w:rPr>
        <w:t>13.</w:t>
      </w:r>
      <w:r w:rsidRPr="005203B1">
        <w:rPr>
          <w:noProof/>
        </w:rPr>
        <w:tab/>
        <w:t xml:space="preserve">Lawn JE, Patterson J, Claeson M, Ayede AI, Stoll B. Opening the Black Box for Etiology of Neonatal Infections in High Burden Settings: The Contribution of ANISA. </w:t>
      </w:r>
      <w:r w:rsidRPr="005203B1">
        <w:rPr>
          <w:i/>
          <w:noProof/>
        </w:rPr>
        <w:t>Pediatr Infect Dis J</w:t>
      </w:r>
      <w:r w:rsidRPr="005203B1">
        <w:rPr>
          <w:noProof/>
        </w:rPr>
        <w:t xml:space="preserve"> 2016; </w:t>
      </w:r>
      <w:r w:rsidRPr="005203B1">
        <w:rPr>
          <w:b/>
          <w:noProof/>
        </w:rPr>
        <w:t>35</w:t>
      </w:r>
      <w:r w:rsidRPr="005203B1">
        <w:rPr>
          <w:noProof/>
        </w:rPr>
        <w:t>(5 Suppl 1): S3-5.</w:t>
      </w:r>
    </w:p>
    <w:p w14:paraId="696FFB03" w14:textId="77777777" w:rsidR="005203B1" w:rsidRPr="005203B1" w:rsidRDefault="005203B1" w:rsidP="005203B1">
      <w:pPr>
        <w:pStyle w:val="EndNoteBibliography"/>
        <w:spacing w:after="0"/>
        <w:rPr>
          <w:noProof/>
        </w:rPr>
      </w:pPr>
      <w:r w:rsidRPr="005203B1">
        <w:rPr>
          <w:noProof/>
        </w:rPr>
        <w:t>14.</w:t>
      </w:r>
      <w:r w:rsidRPr="005203B1">
        <w:rPr>
          <w:noProof/>
        </w:rPr>
        <w:tab/>
        <w:t xml:space="preserve">Zaidi AK, Huskins WC, Thaver D, Bhutta ZA, Abbas Z, Goldmann DA. Hospital-acquired neonatal infections in developing countries. </w:t>
      </w:r>
      <w:r w:rsidRPr="005203B1">
        <w:rPr>
          <w:i/>
          <w:noProof/>
        </w:rPr>
        <w:t>Lancet</w:t>
      </w:r>
      <w:r w:rsidRPr="005203B1">
        <w:rPr>
          <w:noProof/>
        </w:rPr>
        <w:t xml:space="preserve"> 2005; </w:t>
      </w:r>
      <w:r w:rsidRPr="005203B1">
        <w:rPr>
          <w:b/>
          <w:noProof/>
        </w:rPr>
        <w:t>365</w:t>
      </w:r>
      <w:r w:rsidRPr="005203B1">
        <w:rPr>
          <w:noProof/>
        </w:rPr>
        <w:t>(9465): 1175-88.</w:t>
      </w:r>
    </w:p>
    <w:p w14:paraId="4A966919" w14:textId="77777777" w:rsidR="005203B1" w:rsidRPr="005203B1" w:rsidRDefault="005203B1" w:rsidP="005203B1">
      <w:pPr>
        <w:pStyle w:val="EndNoteBibliography"/>
        <w:spacing w:after="0"/>
        <w:rPr>
          <w:noProof/>
        </w:rPr>
      </w:pPr>
      <w:r w:rsidRPr="005203B1">
        <w:rPr>
          <w:noProof/>
        </w:rPr>
        <w:t>15.</w:t>
      </w:r>
      <w:r w:rsidRPr="005203B1">
        <w:rPr>
          <w:noProof/>
        </w:rPr>
        <w:tab/>
        <w:t xml:space="preserve">Zaidi AK, Thaver D, Ali SA, Khan TA. Pathogens associated with sepsis in newborns and young infants in developing countries. </w:t>
      </w:r>
      <w:r w:rsidRPr="005203B1">
        <w:rPr>
          <w:i/>
          <w:noProof/>
        </w:rPr>
        <w:t>Pediatr Infect Dis J</w:t>
      </w:r>
      <w:r w:rsidRPr="005203B1">
        <w:rPr>
          <w:noProof/>
        </w:rPr>
        <w:t xml:space="preserve"> 2009; </w:t>
      </w:r>
      <w:r w:rsidRPr="005203B1">
        <w:rPr>
          <w:b/>
          <w:noProof/>
        </w:rPr>
        <w:t>28</w:t>
      </w:r>
      <w:r w:rsidRPr="005203B1">
        <w:rPr>
          <w:noProof/>
        </w:rPr>
        <w:t>(1 Suppl): S10-8.</w:t>
      </w:r>
    </w:p>
    <w:p w14:paraId="4607ABD7" w14:textId="77777777" w:rsidR="005203B1" w:rsidRPr="005203B1" w:rsidRDefault="005203B1" w:rsidP="005203B1">
      <w:pPr>
        <w:pStyle w:val="EndNoteBibliography"/>
        <w:spacing w:after="0"/>
        <w:rPr>
          <w:noProof/>
        </w:rPr>
      </w:pPr>
      <w:r w:rsidRPr="005203B1">
        <w:rPr>
          <w:noProof/>
        </w:rPr>
        <w:t>16.</w:t>
      </w:r>
      <w:r w:rsidRPr="005203B1">
        <w:rPr>
          <w:noProof/>
        </w:rPr>
        <w:tab/>
        <w:t xml:space="preserve">Vergnano S, Sharland M, Kazembe P, Mwansambo C, Heath PT. Neonatal sepsis: an international perspective. </w:t>
      </w:r>
      <w:r w:rsidRPr="005203B1">
        <w:rPr>
          <w:i/>
          <w:noProof/>
        </w:rPr>
        <w:t>Arch Dis Child Fetal Neonatal Ed</w:t>
      </w:r>
      <w:r w:rsidRPr="005203B1">
        <w:rPr>
          <w:noProof/>
        </w:rPr>
        <w:t xml:space="preserve"> 2005; </w:t>
      </w:r>
      <w:r w:rsidRPr="005203B1">
        <w:rPr>
          <w:b/>
          <w:noProof/>
        </w:rPr>
        <w:t>90</w:t>
      </w:r>
      <w:r w:rsidRPr="005203B1">
        <w:rPr>
          <w:noProof/>
        </w:rPr>
        <w:t>(3): F220-4.</w:t>
      </w:r>
    </w:p>
    <w:p w14:paraId="65EFFEDC" w14:textId="77777777" w:rsidR="005203B1" w:rsidRPr="005203B1" w:rsidRDefault="005203B1" w:rsidP="005203B1">
      <w:pPr>
        <w:pStyle w:val="EndNoteBibliography"/>
        <w:spacing w:after="0"/>
        <w:rPr>
          <w:noProof/>
        </w:rPr>
      </w:pPr>
      <w:r w:rsidRPr="005203B1">
        <w:rPr>
          <w:noProof/>
        </w:rPr>
        <w:t>17.</w:t>
      </w:r>
      <w:r w:rsidRPr="005203B1">
        <w:rPr>
          <w:noProof/>
        </w:rPr>
        <w:tab/>
        <w:t xml:space="preserve">Seale AC, Mwaniki M, Newton CR, Berkley JA. Maternal and early onset neonatal bacterial sepsis: burden and strategies for prevention in sub-Saharan Africa. </w:t>
      </w:r>
      <w:r w:rsidRPr="005203B1">
        <w:rPr>
          <w:i/>
          <w:noProof/>
        </w:rPr>
        <w:t>Lancet Infect Dis</w:t>
      </w:r>
      <w:r w:rsidRPr="005203B1">
        <w:rPr>
          <w:noProof/>
        </w:rPr>
        <w:t xml:space="preserve"> 2009; </w:t>
      </w:r>
      <w:r w:rsidRPr="005203B1">
        <w:rPr>
          <w:b/>
          <w:noProof/>
        </w:rPr>
        <w:t>9</w:t>
      </w:r>
      <w:r w:rsidRPr="005203B1">
        <w:rPr>
          <w:noProof/>
        </w:rPr>
        <w:t>(7): 428-38.</w:t>
      </w:r>
    </w:p>
    <w:p w14:paraId="62F16174" w14:textId="77777777" w:rsidR="005203B1" w:rsidRPr="005203B1" w:rsidRDefault="005203B1" w:rsidP="005203B1">
      <w:pPr>
        <w:pStyle w:val="EndNoteBibliography"/>
        <w:spacing w:after="0"/>
        <w:rPr>
          <w:noProof/>
        </w:rPr>
      </w:pPr>
      <w:r w:rsidRPr="005203B1">
        <w:rPr>
          <w:noProof/>
        </w:rPr>
        <w:t>18.</w:t>
      </w:r>
      <w:r w:rsidRPr="005203B1">
        <w:rPr>
          <w:noProof/>
        </w:rPr>
        <w:tab/>
        <w:t xml:space="preserve">Waters D, Jawad I, Ahmad A, et al. Aetiology of community-acquired neonatal sepsis in low and middle income countries. </w:t>
      </w:r>
      <w:r w:rsidRPr="005203B1">
        <w:rPr>
          <w:i/>
          <w:noProof/>
        </w:rPr>
        <w:t>J Glob Health</w:t>
      </w:r>
      <w:r w:rsidRPr="005203B1">
        <w:rPr>
          <w:noProof/>
        </w:rPr>
        <w:t xml:space="preserve"> 2011; </w:t>
      </w:r>
      <w:r w:rsidRPr="005203B1">
        <w:rPr>
          <w:b/>
          <w:noProof/>
        </w:rPr>
        <w:t>1</w:t>
      </w:r>
      <w:r w:rsidRPr="005203B1">
        <w:rPr>
          <w:noProof/>
        </w:rPr>
        <w:t>(2): 154-70.</w:t>
      </w:r>
    </w:p>
    <w:p w14:paraId="6D75FF42" w14:textId="77777777" w:rsidR="005203B1" w:rsidRPr="005203B1" w:rsidRDefault="005203B1" w:rsidP="005203B1">
      <w:pPr>
        <w:pStyle w:val="EndNoteBibliography"/>
        <w:spacing w:after="0"/>
        <w:rPr>
          <w:noProof/>
        </w:rPr>
      </w:pPr>
      <w:r w:rsidRPr="005203B1">
        <w:rPr>
          <w:noProof/>
        </w:rPr>
        <w:t>19.</w:t>
      </w:r>
      <w:r w:rsidRPr="005203B1">
        <w:rPr>
          <w:noProof/>
        </w:rPr>
        <w:tab/>
        <w:t xml:space="preserve">Furyk JS, Swann O, Molyneux E. Systematic review: neonatal meningitis in the developing world. </w:t>
      </w:r>
      <w:r w:rsidRPr="005203B1">
        <w:rPr>
          <w:i/>
          <w:noProof/>
        </w:rPr>
        <w:t>Trop Med Int Health</w:t>
      </w:r>
      <w:r w:rsidRPr="005203B1">
        <w:rPr>
          <w:noProof/>
        </w:rPr>
        <w:t xml:space="preserve"> 2011; </w:t>
      </w:r>
      <w:r w:rsidRPr="005203B1">
        <w:rPr>
          <w:b/>
          <w:noProof/>
        </w:rPr>
        <w:t>16</w:t>
      </w:r>
      <w:r w:rsidRPr="005203B1">
        <w:rPr>
          <w:noProof/>
        </w:rPr>
        <w:t>(6): 672-9.</w:t>
      </w:r>
    </w:p>
    <w:p w14:paraId="0266084A" w14:textId="77777777" w:rsidR="005203B1" w:rsidRPr="005203B1" w:rsidRDefault="005203B1" w:rsidP="005203B1">
      <w:pPr>
        <w:pStyle w:val="EndNoteBibliography"/>
        <w:spacing w:after="0"/>
        <w:rPr>
          <w:noProof/>
          <w:lang w:val="fr-FR"/>
        </w:rPr>
      </w:pPr>
      <w:r w:rsidRPr="005203B1">
        <w:rPr>
          <w:noProof/>
        </w:rPr>
        <w:lastRenderedPageBreak/>
        <w:t>20.</w:t>
      </w:r>
      <w:r w:rsidRPr="005203B1">
        <w:rPr>
          <w:noProof/>
        </w:rPr>
        <w:tab/>
        <w:t xml:space="preserve">Fitchett EJ, Seale AC, Vergnano S, et al. Strengthening the Reporting of Observational Studies in Epidemiology for Newborn Infection (STROBE-NI): an extension of the STROBE statement for neonatal infection research. </w:t>
      </w:r>
      <w:r w:rsidRPr="005203B1">
        <w:rPr>
          <w:i/>
          <w:noProof/>
          <w:lang w:val="fr-FR"/>
        </w:rPr>
        <w:t>Lancet Infect Dis</w:t>
      </w:r>
      <w:r w:rsidRPr="005203B1">
        <w:rPr>
          <w:noProof/>
          <w:lang w:val="fr-FR"/>
        </w:rPr>
        <w:t xml:space="preserve"> 2016; </w:t>
      </w:r>
      <w:r w:rsidRPr="005203B1">
        <w:rPr>
          <w:b/>
          <w:noProof/>
          <w:lang w:val="fr-FR"/>
        </w:rPr>
        <w:t>16</w:t>
      </w:r>
      <w:r w:rsidRPr="005203B1">
        <w:rPr>
          <w:noProof/>
          <w:lang w:val="fr-FR"/>
        </w:rPr>
        <w:t>(10): e202-13.</w:t>
      </w:r>
    </w:p>
    <w:p w14:paraId="279A124A" w14:textId="77777777" w:rsidR="005203B1" w:rsidRPr="005203B1" w:rsidRDefault="005203B1" w:rsidP="005203B1">
      <w:pPr>
        <w:pStyle w:val="EndNoteBibliography"/>
        <w:spacing w:after="0"/>
        <w:rPr>
          <w:noProof/>
        </w:rPr>
      </w:pPr>
      <w:r w:rsidRPr="005203B1">
        <w:rPr>
          <w:noProof/>
          <w:lang w:val="fr-FR"/>
        </w:rPr>
        <w:t>21.</w:t>
      </w:r>
      <w:r w:rsidRPr="005203B1">
        <w:rPr>
          <w:noProof/>
          <w:lang w:val="fr-FR"/>
        </w:rPr>
        <w:tab/>
        <w:t xml:space="preserve">von Elm E, Altman DG, Egger M, et al. </w:t>
      </w:r>
      <w:r w:rsidRPr="005203B1">
        <w:rPr>
          <w:noProof/>
        </w:rPr>
        <w:t xml:space="preserve">The Strengthening the Reporting of Observational Studies in Epidemiology (STROBE) statement: guidelines for reporting observational studies. </w:t>
      </w:r>
      <w:r w:rsidRPr="005203B1">
        <w:rPr>
          <w:i/>
          <w:noProof/>
        </w:rPr>
        <w:t>Lancet</w:t>
      </w:r>
      <w:r w:rsidRPr="005203B1">
        <w:rPr>
          <w:noProof/>
        </w:rPr>
        <w:t xml:space="preserve"> 2007; </w:t>
      </w:r>
      <w:r w:rsidRPr="005203B1">
        <w:rPr>
          <w:b/>
          <w:noProof/>
        </w:rPr>
        <w:t>370</w:t>
      </w:r>
      <w:r w:rsidRPr="005203B1">
        <w:rPr>
          <w:noProof/>
        </w:rPr>
        <w:t>(9596): 1453-7.</w:t>
      </w:r>
    </w:p>
    <w:p w14:paraId="1B5C1C9B" w14:textId="356FCDC0" w:rsidR="005203B1" w:rsidRPr="005203B1" w:rsidRDefault="005203B1" w:rsidP="005203B1">
      <w:pPr>
        <w:pStyle w:val="EndNoteBibliography"/>
        <w:spacing w:after="0"/>
        <w:rPr>
          <w:noProof/>
        </w:rPr>
      </w:pPr>
      <w:r w:rsidRPr="005203B1">
        <w:rPr>
          <w:noProof/>
        </w:rPr>
        <w:t>22.</w:t>
      </w:r>
      <w:r w:rsidRPr="005203B1">
        <w:rPr>
          <w:noProof/>
        </w:rPr>
        <w:tab/>
        <w:t>Regions of the African Union 2016 https://en.wikipedia.org/wiki/Regions_of_the_African_Union.</w:t>
      </w:r>
    </w:p>
    <w:p w14:paraId="2ED0E9C2" w14:textId="77777777" w:rsidR="005203B1" w:rsidRPr="005203B1" w:rsidRDefault="005203B1" w:rsidP="005203B1">
      <w:pPr>
        <w:pStyle w:val="EndNoteBibliography"/>
        <w:spacing w:after="0"/>
        <w:rPr>
          <w:noProof/>
        </w:rPr>
      </w:pPr>
      <w:r w:rsidRPr="005203B1">
        <w:rPr>
          <w:noProof/>
          <w:lang w:val="fr-FR"/>
        </w:rPr>
        <w:t>23.</w:t>
      </w:r>
      <w:r w:rsidRPr="005203B1">
        <w:rPr>
          <w:noProof/>
          <w:lang w:val="fr-FR"/>
        </w:rPr>
        <w:tab/>
        <w:t xml:space="preserve">Aluvaala J, Nyamai R, Were F, et al. </w:t>
      </w:r>
      <w:r w:rsidRPr="005203B1">
        <w:rPr>
          <w:noProof/>
        </w:rPr>
        <w:t xml:space="preserve">Assessment of neonatal care in clinical training facilities in Kenya. </w:t>
      </w:r>
      <w:r w:rsidRPr="005203B1">
        <w:rPr>
          <w:i/>
          <w:noProof/>
        </w:rPr>
        <w:t>Arch Dis Child</w:t>
      </w:r>
      <w:r w:rsidRPr="005203B1">
        <w:rPr>
          <w:noProof/>
        </w:rPr>
        <w:t xml:space="preserve"> 2015; </w:t>
      </w:r>
      <w:r w:rsidRPr="005203B1">
        <w:rPr>
          <w:b/>
          <w:noProof/>
        </w:rPr>
        <w:t>100</w:t>
      </w:r>
      <w:r w:rsidRPr="005203B1">
        <w:rPr>
          <w:noProof/>
        </w:rPr>
        <w:t>(1): 42-7.</w:t>
      </w:r>
    </w:p>
    <w:p w14:paraId="4B80F280" w14:textId="77777777" w:rsidR="005203B1" w:rsidRPr="005203B1" w:rsidRDefault="005203B1" w:rsidP="005203B1">
      <w:pPr>
        <w:pStyle w:val="EndNoteBibliography"/>
        <w:spacing w:after="0"/>
        <w:rPr>
          <w:noProof/>
        </w:rPr>
      </w:pPr>
      <w:r w:rsidRPr="005203B1">
        <w:rPr>
          <w:noProof/>
        </w:rPr>
        <w:t>24.</w:t>
      </w:r>
      <w:r w:rsidRPr="005203B1">
        <w:rPr>
          <w:noProof/>
        </w:rPr>
        <w:tab/>
        <w:t xml:space="preserve">Dramowski A, Madide A, Bekker A. Neonatal nosocomial bloodstream infections at a referral hospital in a middle-income country: burden, pathogens, antimicrobial resistance and mortality. </w:t>
      </w:r>
      <w:r w:rsidRPr="005203B1">
        <w:rPr>
          <w:i/>
          <w:noProof/>
        </w:rPr>
        <w:t>Paediatr Int Child Health</w:t>
      </w:r>
      <w:r w:rsidRPr="005203B1">
        <w:rPr>
          <w:noProof/>
        </w:rPr>
        <w:t xml:space="preserve"> 2015; </w:t>
      </w:r>
      <w:r w:rsidRPr="005203B1">
        <w:rPr>
          <w:b/>
          <w:noProof/>
        </w:rPr>
        <w:t>35</w:t>
      </w:r>
      <w:r w:rsidRPr="005203B1">
        <w:rPr>
          <w:noProof/>
        </w:rPr>
        <w:t>(3): 265-72.</w:t>
      </w:r>
    </w:p>
    <w:p w14:paraId="3D8B3949" w14:textId="77777777" w:rsidR="005203B1" w:rsidRPr="005203B1" w:rsidRDefault="005203B1" w:rsidP="005203B1">
      <w:pPr>
        <w:pStyle w:val="EndNoteBibliography"/>
        <w:spacing w:after="0"/>
        <w:rPr>
          <w:noProof/>
        </w:rPr>
      </w:pPr>
      <w:r w:rsidRPr="005203B1">
        <w:rPr>
          <w:noProof/>
        </w:rPr>
        <w:t>25.</w:t>
      </w:r>
      <w:r w:rsidRPr="005203B1">
        <w:rPr>
          <w:noProof/>
        </w:rPr>
        <w:tab/>
        <w:t xml:space="preserve">Nyaga VN, Arbyn M, Aerts M. Metaprop: a Stata command to perform meta-analysis of binomial data. </w:t>
      </w:r>
      <w:r w:rsidRPr="005203B1">
        <w:rPr>
          <w:i/>
          <w:noProof/>
        </w:rPr>
        <w:t>Arch Public Health</w:t>
      </w:r>
      <w:r w:rsidRPr="005203B1">
        <w:rPr>
          <w:noProof/>
        </w:rPr>
        <w:t xml:space="preserve"> 2014; </w:t>
      </w:r>
      <w:r w:rsidRPr="005203B1">
        <w:rPr>
          <w:b/>
          <w:noProof/>
        </w:rPr>
        <w:t>72</w:t>
      </w:r>
      <w:r w:rsidRPr="005203B1">
        <w:rPr>
          <w:noProof/>
        </w:rPr>
        <w:t>(1): 39.</w:t>
      </w:r>
    </w:p>
    <w:p w14:paraId="1C0BCA83" w14:textId="77777777" w:rsidR="005203B1" w:rsidRPr="005203B1" w:rsidRDefault="005203B1" w:rsidP="005203B1">
      <w:pPr>
        <w:pStyle w:val="EndNoteBibliography"/>
        <w:spacing w:after="0"/>
        <w:rPr>
          <w:noProof/>
        </w:rPr>
      </w:pPr>
      <w:r w:rsidRPr="005203B1">
        <w:rPr>
          <w:noProof/>
        </w:rPr>
        <w:t>26.</w:t>
      </w:r>
      <w:r w:rsidRPr="005203B1">
        <w:rPr>
          <w:noProof/>
        </w:rPr>
        <w:tab/>
        <w:t xml:space="preserve">Freeman MF, Tukey JW. Transformations Related to the Angular and the Square Root. </w:t>
      </w:r>
      <w:r w:rsidRPr="005203B1">
        <w:rPr>
          <w:i/>
          <w:noProof/>
        </w:rPr>
        <w:t>The Annals of Mathematical Statistics</w:t>
      </w:r>
      <w:r w:rsidRPr="005203B1">
        <w:rPr>
          <w:noProof/>
        </w:rPr>
        <w:t xml:space="preserve"> 1950; </w:t>
      </w:r>
      <w:r w:rsidRPr="005203B1">
        <w:rPr>
          <w:b/>
          <w:noProof/>
        </w:rPr>
        <w:t>21</w:t>
      </w:r>
      <w:r w:rsidRPr="005203B1">
        <w:rPr>
          <w:noProof/>
        </w:rPr>
        <w:t>(4): 607-11.</w:t>
      </w:r>
    </w:p>
    <w:p w14:paraId="641A8962" w14:textId="77777777" w:rsidR="005203B1" w:rsidRPr="005203B1" w:rsidRDefault="005203B1" w:rsidP="005203B1">
      <w:pPr>
        <w:pStyle w:val="EndNoteBibliography"/>
        <w:spacing w:after="0"/>
        <w:rPr>
          <w:noProof/>
        </w:rPr>
      </w:pPr>
      <w:r w:rsidRPr="005203B1">
        <w:rPr>
          <w:noProof/>
        </w:rPr>
        <w:t>27.</w:t>
      </w:r>
      <w:r w:rsidRPr="005203B1">
        <w:rPr>
          <w:noProof/>
        </w:rPr>
        <w:tab/>
        <w:t xml:space="preserve">Higgins JP, Thompson SG, Deeks JJ, Altman DG. Measuring inconsistency in meta-analyses. </w:t>
      </w:r>
      <w:r w:rsidRPr="005203B1">
        <w:rPr>
          <w:i/>
          <w:noProof/>
        </w:rPr>
        <w:t>BMJ</w:t>
      </w:r>
      <w:r w:rsidRPr="005203B1">
        <w:rPr>
          <w:noProof/>
        </w:rPr>
        <w:t xml:space="preserve"> 2003; </w:t>
      </w:r>
      <w:r w:rsidRPr="005203B1">
        <w:rPr>
          <w:b/>
          <w:noProof/>
        </w:rPr>
        <w:t>327</w:t>
      </w:r>
      <w:r w:rsidRPr="005203B1">
        <w:rPr>
          <w:noProof/>
        </w:rPr>
        <w:t>(7414): 557-60.</w:t>
      </w:r>
    </w:p>
    <w:p w14:paraId="2C1C2B56" w14:textId="77777777" w:rsidR="005203B1" w:rsidRPr="005203B1" w:rsidRDefault="005203B1" w:rsidP="005203B1">
      <w:pPr>
        <w:pStyle w:val="EndNoteBibliography"/>
        <w:spacing w:after="0"/>
        <w:rPr>
          <w:noProof/>
          <w:lang w:val="fr-FR"/>
        </w:rPr>
      </w:pPr>
      <w:r w:rsidRPr="005203B1">
        <w:rPr>
          <w:noProof/>
        </w:rPr>
        <w:t>28.</w:t>
      </w:r>
      <w:r w:rsidRPr="005203B1">
        <w:rPr>
          <w:noProof/>
        </w:rPr>
        <w:tab/>
        <w:t xml:space="preserve">Ahamed F. Role of serial C-reactive protein in determining duration of antibiotic use for neonates with suspected neonatal sepsis: A randomised controlled trial [MMed Dissertation]. </w:t>
      </w:r>
      <w:r w:rsidRPr="005203B1">
        <w:rPr>
          <w:noProof/>
          <w:lang w:val="fr-FR"/>
        </w:rPr>
        <w:t>Nairobi: University of Nairobi; 2016.</w:t>
      </w:r>
    </w:p>
    <w:p w14:paraId="6EA37AFB" w14:textId="77777777" w:rsidR="005203B1" w:rsidRPr="005203B1" w:rsidRDefault="005203B1" w:rsidP="005203B1">
      <w:pPr>
        <w:pStyle w:val="EndNoteBibliography"/>
        <w:spacing w:after="0"/>
        <w:rPr>
          <w:noProof/>
          <w:lang w:val="fr-FR"/>
        </w:rPr>
      </w:pPr>
      <w:r w:rsidRPr="005203B1">
        <w:rPr>
          <w:noProof/>
          <w:lang w:val="fr-FR"/>
        </w:rPr>
        <w:t>29.</w:t>
      </w:r>
      <w:r w:rsidRPr="005203B1">
        <w:rPr>
          <w:noProof/>
          <w:lang w:val="fr-FR"/>
        </w:rPr>
        <w:tab/>
        <w:t>Chokoteu YD. Infections bacteriennes du nouveau-né dans l’unite de reanimation neonatale du CHU Gabriel Touré [Docteur en Médecine Thesis]. Bamako: Universite De Bamako; 2005.</w:t>
      </w:r>
    </w:p>
    <w:p w14:paraId="10B30EC2" w14:textId="77777777" w:rsidR="005203B1" w:rsidRPr="005203B1" w:rsidRDefault="005203B1" w:rsidP="005203B1">
      <w:pPr>
        <w:pStyle w:val="EndNoteBibliography"/>
        <w:spacing w:after="0"/>
        <w:rPr>
          <w:noProof/>
        </w:rPr>
      </w:pPr>
      <w:r w:rsidRPr="005203B1">
        <w:rPr>
          <w:noProof/>
        </w:rPr>
        <w:t>30.</w:t>
      </w:r>
      <w:r w:rsidRPr="005203B1">
        <w:rPr>
          <w:noProof/>
        </w:rPr>
        <w:tab/>
        <w:t>Fubisha R. Bacterial aetiology, associated factors and immediate outcome of neonatal meningitis at the University Teaching Hospital, Lusaka [MMed Dissertation]. Lusaka: University of Zambia; 2005.</w:t>
      </w:r>
    </w:p>
    <w:p w14:paraId="5D31F45C" w14:textId="77777777" w:rsidR="005203B1" w:rsidRPr="005203B1" w:rsidRDefault="005203B1" w:rsidP="005203B1">
      <w:pPr>
        <w:pStyle w:val="EndNoteBibliography"/>
        <w:spacing w:after="0"/>
        <w:rPr>
          <w:noProof/>
          <w:lang w:val="fr-FR"/>
        </w:rPr>
      </w:pPr>
      <w:r w:rsidRPr="005203B1">
        <w:rPr>
          <w:noProof/>
        </w:rPr>
        <w:t>31.</w:t>
      </w:r>
      <w:r w:rsidRPr="005203B1">
        <w:rPr>
          <w:noProof/>
        </w:rPr>
        <w:tab/>
        <w:t xml:space="preserve">Hassen M. Prevalence of bacterial isolates from cerebrospinal fluid, their  antimicrobial susceptibility pattern and associated risk factors with special emphasis on streptococcus pneomoniae among pediatrics suspected meningitis patients at Tikur Anbessa and Yekatit 12 specialized hospitals, Addis Ababa, Ethiopia. </w:t>
      </w:r>
      <w:r w:rsidRPr="005203B1">
        <w:rPr>
          <w:noProof/>
          <w:lang w:val="fr-FR"/>
        </w:rPr>
        <w:t>[MSc Thesis]. Addis Ababa: Addis Ababa University; 2014.</w:t>
      </w:r>
    </w:p>
    <w:p w14:paraId="6C1B1929" w14:textId="77777777" w:rsidR="005203B1" w:rsidRPr="005203B1" w:rsidRDefault="005203B1" w:rsidP="005203B1">
      <w:pPr>
        <w:pStyle w:val="EndNoteBibliography"/>
        <w:spacing w:after="0"/>
        <w:rPr>
          <w:noProof/>
        </w:rPr>
      </w:pPr>
      <w:r w:rsidRPr="005203B1">
        <w:rPr>
          <w:noProof/>
          <w:lang w:val="fr-FR"/>
        </w:rPr>
        <w:t>32.</w:t>
      </w:r>
      <w:r w:rsidRPr="005203B1">
        <w:rPr>
          <w:noProof/>
          <w:lang w:val="fr-FR"/>
        </w:rPr>
        <w:tab/>
        <w:t xml:space="preserve">Hein A. Les meningites purulentes de l'enfant dans le service de maladies infectieuses du Centre Hospitalier National Yalgado Ouedraogo: aspects epidemiologiques, bacteriologiques et therapeutiques (a propos de 696 cas) [Docteur en Pharmacie Thesis]. </w:t>
      </w:r>
      <w:r w:rsidRPr="005203B1">
        <w:rPr>
          <w:noProof/>
        </w:rPr>
        <w:t>Ouagadougou: Universite De Ouagadougou; 2001.</w:t>
      </w:r>
    </w:p>
    <w:p w14:paraId="330DB2AC" w14:textId="77777777" w:rsidR="005203B1" w:rsidRPr="005203B1" w:rsidRDefault="005203B1" w:rsidP="005203B1">
      <w:pPr>
        <w:pStyle w:val="EndNoteBibliography"/>
        <w:spacing w:after="0"/>
        <w:rPr>
          <w:noProof/>
        </w:rPr>
      </w:pPr>
      <w:r w:rsidRPr="005203B1">
        <w:rPr>
          <w:noProof/>
        </w:rPr>
        <w:t>33.</w:t>
      </w:r>
      <w:r w:rsidRPr="005203B1">
        <w:rPr>
          <w:noProof/>
        </w:rPr>
        <w:tab/>
        <w:t>Kasirye - Bainda E. Neonatal morbidity and mortality at Kenyatta National Hospital newborn unit: A prospective study [MMed Dissertation]. Nairobi: University of Nairobi; 1983.</w:t>
      </w:r>
    </w:p>
    <w:p w14:paraId="3273F631" w14:textId="77777777" w:rsidR="005203B1" w:rsidRPr="005203B1" w:rsidRDefault="005203B1" w:rsidP="005203B1">
      <w:pPr>
        <w:pStyle w:val="EndNoteBibliography"/>
        <w:spacing w:after="0"/>
        <w:rPr>
          <w:noProof/>
        </w:rPr>
      </w:pPr>
      <w:r w:rsidRPr="005203B1">
        <w:rPr>
          <w:noProof/>
        </w:rPr>
        <w:t>34.</w:t>
      </w:r>
      <w:r w:rsidRPr="005203B1">
        <w:rPr>
          <w:noProof/>
        </w:rPr>
        <w:tab/>
        <w:t>Kitambala S. Cost of antibiotics used for nosocomial infections in a neonatal unit at Kalafong Hospital [MSc Dissertation]: University of the Witwatersrand; 2012.</w:t>
      </w:r>
    </w:p>
    <w:p w14:paraId="726CEB0F" w14:textId="77777777" w:rsidR="005203B1" w:rsidRPr="005203B1" w:rsidRDefault="005203B1" w:rsidP="005203B1">
      <w:pPr>
        <w:pStyle w:val="EndNoteBibliography"/>
        <w:spacing w:after="0"/>
        <w:rPr>
          <w:noProof/>
        </w:rPr>
      </w:pPr>
      <w:r w:rsidRPr="005203B1">
        <w:rPr>
          <w:noProof/>
        </w:rPr>
        <w:t>35.</w:t>
      </w:r>
      <w:r w:rsidRPr="005203B1">
        <w:rPr>
          <w:noProof/>
        </w:rPr>
        <w:tab/>
        <w:t>Thomas KM. Bacterial meningitis in neonates and children in South Africa [MMed Dissertation]. Cape Town: University of Cape Town; 2013.</w:t>
      </w:r>
    </w:p>
    <w:p w14:paraId="5D2FF822" w14:textId="77777777" w:rsidR="005203B1" w:rsidRPr="005203B1" w:rsidRDefault="005203B1" w:rsidP="005203B1">
      <w:pPr>
        <w:pStyle w:val="EndNoteBibliography"/>
        <w:spacing w:after="0"/>
        <w:rPr>
          <w:noProof/>
        </w:rPr>
      </w:pPr>
      <w:r w:rsidRPr="005203B1">
        <w:rPr>
          <w:noProof/>
        </w:rPr>
        <w:t>36.</w:t>
      </w:r>
      <w:r w:rsidRPr="005203B1">
        <w:rPr>
          <w:noProof/>
        </w:rPr>
        <w:tab/>
        <w:t>Okomo UA. Neonatal Infections; a hospital-based study in The Gambia examining aetiology and associated maternal Colonisation. [PhD Thesis]: London School of Hygiene &amp; Tropical Medicine; 2018.</w:t>
      </w:r>
    </w:p>
    <w:p w14:paraId="38A57BB2" w14:textId="77777777" w:rsidR="005203B1" w:rsidRPr="005203B1" w:rsidRDefault="005203B1" w:rsidP="005203B1">
      <w:pPr>
        <w:pStyle w:val="EndNoteBibliography"/>
        <w:spacing w:after="0"/>
        <w:rPr>
          <w:noProof/>
        </w:rPr>
      </w:pPr>
      <w:r w:rsidRPr="005203B1">
        <w:rPr>
          <w:noProof/>
        </w:rPr>
        <w:lastRenderedPageBreak/>
        <w:t>37.</w:t>
      </w:r>
      <w:r w:rsidRPr="005203B1">
        <w:rPr>
          <w:noProof/>
        </w:rPr>
        <w:tab/>
        <w:t xml:space="preserve">Balaka B, Bonkoungou P, Sqalli M, Bambara M, Millogo A, Agbèrè AD. Comparative study of neonatal bacterial meningitis in Lomé, Bobo-Dioulasso, Casablanca and Lyon. </w:t>
      </w:r>
      <w:r w:rsidRPr="005203B1">
        <w:rPr>
          <w:i/>
          <w:noProof/>
        </w:rPr>
        <w:t>Bull Soc Pathol Exot</w:t>
      </w:r>
      <w:r w:rsidRPr="005203B1">
        <w:rPr>
          <w:noProof/>
        </w:rPr>
        <w:t xml:space="preserve"> 2004; </w:t>
      </w:r>
      <w:r w:rsidRPr="005203B1">
        <w:rPr>
          <w:b/>
          <w:noProof/>
        </w:rPr>
        <w:t>97</w:t>
      </w:r>
      <w:r w:rsidRPr="005203B1">
        <w:rPr>
          <w:noProof/>
        </w:rPr>
        <w:t>(2): 131-4.</w:t>
      </w:r>
    </w:p>
    <w:p w14:paraId="150E42F5" w14:textId="77777777" w:rsidR="005203B1" w:rsidRPr="005203B1" w:rsidRDefault="005203B1" w:rsidP="005203B1">
      <w:pPr>
        <w:pStyle w:val="EndNoteBibliography"/>
        <w:spacing w:after="0"/>
        <w:rPr>
          <w:noProof/>
        </w:rPr>
      </w:pPr>
      <w:r w:rsidRPr="005203B1">
        <w:rPr>
          <w:noProof/>
        </w:rPr>
        <w:t>38.</w:t>
      </w:r>
      <w:r w:rsidRPr="005203B1">
        <w:rPr>
          <w:noProof/>
        </w:rPr>
        <w:tab/>
        <w:t xml:space="preserve">Andrianarivelo AM, Rafaravavy NE, Rafalimanana C, Andrianantahiana TN, Robinson AL. Bacteriological profile of neonatal infection at the neonatal intensive care unit of the maternity hospital of Befelatanana. </w:t>
      </w:r>
      <w:r w:rsidRPr="005203B1">
        <w:rPr>
          <w:i/>
          <w:noProof/>
        </w:rPr>
        <w:t>Revue d’Anesthésie-Réanimation et de Médecine d’Urgence</w:t>
      </w:r>
      <w:r w:rsidRPr="005203B1">
        <w:rPr>
          <w:noProof/>
        </w:rPr>
        <w:t xml:space="preserve"> 2010; </w:t>
      </w:r>
      <w:r w:rsidRPr="005203B1">
        <w:rPr>
          <w:b/>
          <w:noProof/>
        </w:rPr>
        <w:t>2</w:t>
      </w:r>
      <w:r w:rsidRPr="005203B1">
        <w:rPr>
          <w:noProof/>
        </w:rPr>
        <w:t>(2): 1-4.</w:t>
      </w:r>
    </w:p>
    <w:p w14:paraId="1F898B0C" w14:textId="77777777" w:rsidR="005203B1" w:rsidRPr="005203B1" w:rsidRDefault="005203B1" w:rsidP="005203B1">
      <w:pPr>
        <w:pStyle w:val="EndNoteBibliography"/>
        <w:spacing w:after="0"/>
        <w:rPr>
          <w:noProof/>
        </w:rPr>
      </w:pPr>
      <w:r w:rsidRPr="005203B1">
        <w:rPr>
          <w:noProof/>
        </w:rPr>
        <w:t>39.</w:t>
      </w:r>
      <w:r w:rsidRPr="005203B1">
        <w:rPr>
          <w:noProof/>
        </w:rPr>
        <w:tab/>
        <w:t xml:space="preserve">Balaka B, Bonkoungou B, Matey K, Napo-Bitantem S, Kessie K, Assimadi K. Neonatal septicaemia: Bacteriological and evolutive aspects in the Teaching Hospital of Lomé. </w:t>
      </w:r>
      <w:r w:rsidRPr="005203B1">
        <w:rPr>
          <w:i/>
          <w:noProof/>
        </w:rPr>
        <w:t>Bull Soc Pathol Exot</w:t>
      </w:r>
      <w:r w:rsidRPr="005203B1">
        <w:rPr>
          <w:noProof/>
        </w:rPr>
        <w:t xml:space="preserve"> 2004; </w:t>
      </w:r>
      <w:r w:rsidRPr="005203B1">
        <w:rPr>
          <w:b/>
          <w:noProof/>
        </w:rPr>
        <w:t>97</w:t>
      </w:r>
      <w:r w:rsidRPr="005203B1">
        <w:rPr>
          <w:noProof/>
        </w:rPr>
        <w:t>(2): 97-9.</w:t>
      </w:r>
    </w:p>
    <w:p w14:paraId="7A4B66AE" w14:textId="77777777" w:rsidR="005203B1" w:rsidRPr="005203B1" w:rsidRDefault="005203B1" w:rsidP="005203B1">
      <w:pPr>
        <w:pStyle w:val="EndNoteBibliography"/>
        <w:spacing w:after="0"/>
        <w:rPr>
          <w:noProof/>
        </w:rPr>
      </w:pPr>
      <w:r w:rsidRPr="005203B1">
        <w:rPr>
          <w:noProof/>
        </w:rPr>
        <w:t>40.</w:t>
      </w:r>
      <w:r w:rsidRPr="005203B1">
        <w:rPr>
          <w:noProof/>
        </w:rPr>
        <w:tab/>
        <w:t xml:space="preserve">Camara B, Diouf S, Faye PM, et al. Prevalence and sensitivity of bacteria responsible for purulent meningitis in a pediatric hospital of Dakar, Senegal. </w:t>
      </w:r>
      <w:r w:rsidRPr="005203B1">
        <w:rPr>
          <w:i/>
          <w:noProof/>
        </w:rPr>
        <w:t>Arch Pediatr</w:t>
      </w:r>
      <w:r w:rsidRPr="005203B1">
        <w:rPr>
          <w:noProof/>
        </w:rPr>
        <w:t xml:space="preserve"> 2003; </w:t>
      </w:r>
      <w:r w:rsidRPr="005203B1">
        <w:rPr>
          <w:b/>
          <w:noProof/>
        </w:rPr>
        <w:t>10</w:t>
      </w:r>
      <w:r w:rsidRPr="005203B1">
        <w:rPr>
          <w:noProof/>
        </w:rPr>
        <w:t>(4): 354-6.</w:t>
      </w:r>
    </w:p>
    <w:p w14:paraId="196FC2B4" w14:textId="77777777" w:rsidR="005203B1" w:rsidRPr="005203B1" w:rsidRDefault="005203B1" w:rsidP="005203B1">
      <w:pPr>
        <w:pStyle w:val="EndNoteBibliography"/>
        <w:spacing w:after="0"/>
        <w:rPr>
          <w:noProof/>
          <w:lang w:val="fr-FR"/>
        </w:rPr>
      </w:pPr>
      <w:r w:rsidRPr="005203B1">
        <w:rPr>
          <w:noProof/>
        </w:rPr>
        <w:t>41.</w:t>
      </w:r>
      <w:r w:rsidRPr="005203B1">
        <w:rPr>
          <w:noProof/>
        </w:rPr>
        <w:tab/>
        <w:t xml:space="preserve">Cissé, M F, Sow AI, Ba M, Ouangre AR, Samb A. Bacteriology of neonatal septicemia in Dakar. </w:t>
      </w:r>
      <w:r w:rsidRPr="005203B1">
        <w:rPr>
          <w:i/>
          <w:noProof/>
          <w:lang w:val="fr-FR"/>
        </w:rPr>
        <w:t>Presse Med</w:t>
      </w:r>
      <w:r w:rsidRPr="005203B1">
        <w:rPr>
          <w:noProof/>
          <w:lang w:val="fr-FR"/>
        </w:rPr>
        <w:t xml:space="preserve"> 1992; </w:t>
      </w:r>
      <w:r w:rsidRPr="005203B1">
        <w:rPr>
          <w:b/>
          <w:noProof/>
          <w:lang w:val="fr-FR"/>
        </w:rPr>
        <w:t>21</w:t>
      </w:r>
      <w:r w:rsidRPr="005203B1">
        <w:rPr>
          <w:noProof/>
          <w:lang w:val="fr-FR"/>
        </w:rPr>
        <w:t>(9): 413-6.</w:t>
      </w:r>
    </w:p>
    <w:p w14:paraId="16EA8F5F" w14:textId="77777777" w:rsidR="005203B1" w:rsidRPr="005203B1" w:rsidRDefault="005203B1" w:rsidP="005203B1">
      <w:pPr>
        <w:pStyle w:val="EndNoteBibliography"/>
        <w:spacing w:after="0"/>
        <w:rPr>
          <w:noProof/>
        </w:rPr>
      </w:pPr>
      <w:r w:rsidRPr="005203B1">
        <w:rPr>
          <w:noProof/>
          <w:lang w:val="fr-FR"/>
        </w:rPr>
        <w:t>42.</w:t>
      </w:r>
      <w:r w:rsidRPr="005203B1">
        <w:rPr>
          <w:noProof/>
          <w:lang w:val="fr-FR"/>
        </w:rPr>
        <w:tab/>
        <w:t xml:space="preserve">Cisse CT, Mbengue-Diop R, Moubarek M, et al. </w:t>
      </w:r>
      <w:r w:rsidRPr="005203B1">
        <w:rPr>
          <w:noProof/>
        </w:rPr>
        <w:t xml:space="preserve">Neonatal bacterial infections at the CHU of Dakar. </w:t>
      </w:r>
      <w:r w:rsidRPr="005203B1">
        <w:rPr>
          <w:i/>
          <w:noProof/>
        </w:rPr>
        <w:t>Gynecol Obstet Fertil</w:t>
      </w:r>
      <w:r w:rsidRPr="005203B1">
        <w:rPr>
          <w:noProof/>
        </w:rPr>
        <w:t xml:space="preserve"> 2001; </w:t>
      </w:r>
      <w:r w:rsidRPr="005203B1">
        <w:rPr>
          <w:b/>
          <w:noProof/>
        </w:rPr>
        <w:t>29</w:t>
      </w:r>
      <w:r w:rsidRPr="005203B1">
        <w:rPr>
          <w:noProof/>
        </w:rPr>
        <w:t>(6): 433-9.</w:t>
      </w:r>
    </w:p>
    <w:p w14:paraId="49BCA5B8" w14:textId="77777777" w:rsidR="005203B1" w:rsidRPr="005203B1" w:rsidRDefault="005203B1" w:rsidP="005203B1">
      <w:pPr>
        <w:pStyle w:val="EndNoteBibliography"/>
        <w:spacing w:after="0"/>
        <w:rPr>
          <w:noProof/>
        </w:rPr>
      </w:pPr>
      <w:r w:rsidRPr="005203B1">
        <w:rPr>
          <w:noProof/>
        </w:rPr>
        <w:t>43.</w:t>
      </w:r>
      <w:r w:rsidRPr="005203B1">
        <w:rPr>
          <w:noProof/>
        </w:rPr>
        <w:tab/>
        <w:t xml:space="preserve">Fonkoua MC, Cunin P, Sorlin P, Musi J, Martin PM. Bacterial meningitis in Yaounde, Cameroon in 1999-2000. </w:t>
      </w:r>
      <w:r w:rsidRPr="005203B1">
        <w:rPr>
          <w:i/>
          <w:noProof/>
        </w:rPr>
        <w:t>Bull Soc Pathol Exot</w:t>
      </w:r>
      <w:r w:rsidRPr="005203B1">
        <w:rPr>
          <w:noProof/>
        </w:rPr>
        <w:t xml:space="preserve"> 2001; </w:t>
      </w:r>
      <w:r w:rsidRPr="005203B1">
        <w:rPr>
          <w:b/>
          <w:noProof/>
        </w:rPr>
        <w:t>94</w:t>
      </w:r>
      <w:r w:rsidRPr="005203B1">
        <w:rPr>
          <w:noProof/>
        </w:rPr>
        <w:t>(4): 300-3.</w:t>
      </w:r>
    </w:p>
    <w:p w14:paraId="0C6E4D2A" w14:textId="77777777" w:rsidR="005203B1" w:rsidRPr="005203B1" w:rsidRDefault="005203B1" w:rsidP="005203B1">
      <w:pPr>
        <w:pStyle w:val="EndNoteBibliography"/>
        <w:spacing w:after="0"/>
        <w:rPr>
          <w:noProof/>
          <w:lang w:val="fr-FR"/>
        </w:rPr>
      </w:pPr>
      <w:r w:rsidRPr="005203B1">
        <w:rPr>
          <w:noProof/>
        </w:rPr>
        <w:t>44.</w:t>
      </w:r>
      <w:r w:rsidRPr="005203B1">
        <w:rPr>
          <w:noProof/>
        </w:rPr>
        <w:tab/>
        <w:t xml:space="preserve">Kago I, Ekoe T, Tchokoteu PF, Doumbe P, N'Koulou H, Ndayo MW. Neonatal purulent meningitis in Yaounde: epidemiological, clinical and prognostic aspects. </w:t>
      </w:r>
      <w:r w:rsidRPr="005203B1">
        <w:rPr>
          <w:i/>
          <w:noProof/>
          <w:lang w:val="fr-FR"/>
        </w:rPr>
        <w:t>Med Mal Infect</w:t>
      </w:r>
      <w:r w:rsidRPr="005203B1">
        <w:rPr>
          <w:noProof/>
          <w:lang w:val="fr-FR"/>
        </w:rPr>
        <w:t xml:space="preserve"> 1990; </w:t>
      </w:r>
      <w:r w:rsidRPr="005203B1">
        <w:rPr>
          <w:b/>
          <w:noProof/>
          <w:lang w:val="fr-FR"/>
        </w:rPr>
        <w:t>20</w:t>
      </w:r>
      <w:r w:rsidRPr="005203B1">
        <w:rPr>
          <w:noProof/>
          <w:lang w:val="fr-FR"/>
        </w:rPr>
        <w:t>(10): 507-11.</w:t>
      </w:r>
    </w:p>
    <w:p w14:paraId="663F8417" w14:textId="77777777" w:rsidR="005203B1" w:rsidRPr="005203B1" w:rsidRDefault="005203B1" w:rsidP="005203B1">
      <w:pPr>
        <w:pStyle w:val="EndNoteBibliography"/>
        <w:spacing w:after="0"/>
        <w:rPr>
          <w:noProof/>
          <w:lang w:val="fr-FR"/>
        </w:rPr>
      </w:pPr>
      <w:r w:rsidRPr="005203B1">
        <w:rPr>
          <w:noProof/>
          <w:lang w:val="fr-FR"/>
        </w:rPr>
        <w:t>45.</w:t>
      </w:r>
      <w:r w:rsidRPr="005203B1">
        <w:rPr>
          <w:noProof/>
          <w:lang w:val="fr-FR"/>
        </w:rPr>
        <w:tab/>
        <w:t xml:space="preserve">Oréga M, Plo KJ, Ouattara AL, et al. </w:t>
      </w:r>
      <w:r w:rsidRPr="005203B1">
        <w:rPr>
          <w:noProof/>
        </w:rPr>
        <w:t xml:space="preserve">Purulent meningitis in infants in Abidjan (study of 521 cases). </w:t>
      </w:r>
      <w:r w:rsidRPr="005203B1">
        <w:rPr>
          <w:i/>
          <w:noProof/>
          <w:lang w:val="fr-FR"/>
        </w:rPr>
        <w:t>Med Afr Noire</w:t>
      </w:r>
      <w:r w:rsidRPr="005203B1">
        <w:rPr>
          <w:noProof/>
          <w:lang w:val="fr-FR"/>
        </w:rPr>
        <w:t xml:space="preserve"> 1997; </w:t>
      </w:r>
      <w:r w:rsidRPr="005203B1">
        <w:rPr>
          <w:b/>
          <w:noProof/>
          <w:lang w:val="fr-FR"/>
        </w:rPr>
        <w:t>44</w:t>
      </w:r>
      <w:r w:rsidRPr="005203B1">
        <w:rPr>
          <w:noProof/>
          <w:lang w:val="fr-FR"/>
        </w:rPr>
        <w:t>(4): 215-8.</w:t>
      </w:r>
    </w:p>
    <w:p w14:paraId="5374D973" w14:textId="77777777" w:rsidR="005203B1" w:rsidRPr="005203B1" w:rsidRDefault="005203B1" w:rsidP="005203B1">
      <w:pPr>
        <w:pStyle w:val="EndNoteBibliography"/>
        <w:spacing w:after="0"/>
        <w:rPr>
          <w:noProof/>
        </w:rPr>
      </w:pPr>
      <w:r w:rsidRPr="005203B1">
        <w:rPr>
          <w:noProof/>
          <w:lang w:val="fr-FR"/>
        </w:rPr>
        <w:t>46.</w:t>
      </w:r>
      <w:r w:rsidRPr="005203B1">
        <w:rPr>
          <w:noProof/>
          <w:lang w:val="fr-FR"/>
        </w:rPr>
        <w:tab/>
        <w:t xml:space="preserve">Akoua-Koffi C, Anghui H, Faye-Ketté H, et al. </w:t>
      </w:r>
      <w:r w:rsidRPr="005203B1">
        <w:rPr>
          <w:noProof/>
        </w:rPr>
        <w:t xml:space="preserve">Bacteriological aspects of purulent meningitis in the Yopougon university hospital, 1995–1998. </w:t>
      </w:r>
      <w:r w:rsidRPr="005203B1">
        <w:rPr>
          <w:i/>
          <w:noProof/>
        </w:rPr>
        <w:t>Med Mal Infect</w:t>
      </w:r>
      <w:r w:rsidRPr="005203B1">
        <w:rPr>
          <w:noProof/>
        </w:rPr>
        <w:t xml:space="preserve"> 2001; </w:t>
      </w:r>
      <w:r w:rsidRPr="005203B1">
        <w:rPr>
          <w:b/>
          <w:noProof/>
        </w:rPr>
        <w:t>31</w:t>
      </w:r>
      <w:r w:rsidRPr="005203B1">
        <w:rPr>
          <w:noProof/>
        </w:rPr>
        <w:t>: 475-81.</w:t>
      </w:r>
    </w:p>
    <w:p w14:paraId="592D6C71" w14:textId="77777777" w:rsidR="005203B1" w:rsidRPr="005203B1" w:rsidRDefault="005203B1" w:rsidP="005203B1">
      <w:pPr>
        <w:pStyle w:val="EndNoteBibliography"/>
        <w:spacing w:after="0"/>
        <w:rPr>
          <w:noProof/>
        </w:rPr>
      </w:pPr>
      <w:r w:rsidRPr="005203B1">
        <w:rPr>
          <w:noProof/>
        </w:rPr>
        <w:t>47.</w:t>
      </w:r>
      <w:r w:rsidRPr="005203B1">
        <w:rPr>
          <w:noProof/>
        </w:rPr>
        <w:tab/>
        <w:t xml:space="preserve">Bercion R, Bobossi-Serengbe G, Gody JC, Beyam EN, Manirakiza A, Le Faou A. Acute bacterial meningitis at the 'Complexe Pediatrique' of Bangui, Central African Republic. </w:t>
      </w:r>
      <w:r w:rsidRPr="005203B1">
        <w:rPr>
          <w:i/>
          <w:noProof/>
        </w:rPr>
        <w:t>J Trop Pediatr</w:t>
      </w:r>
      <w:r w:rsidRPr="005203B1">
        <w:rPr>
          <w:noProof/>
        </w:rPr>
        <w:t xml:space="preserve"> 2007; </w:t>
      </w:r>
      <w:r w:rsidRPr="005203B1">
        <w:rPr>
          <w:b/>
          <w:noProof/>
        </w:rPr>
        <w:t>54</w:t>
      </w:r>
      <w:r w:rsidRPr="005203B1">
        <w:rPr>
          <w:noProof/>
        </w:rPr>
        <w:t>(2): 125-8.</w:t>
      </w:r>
    </w:p>
    <w:p w14:paraId="01363A97" w14:textId="77777777" w:rsidR="005203B1" w:rsidRPr="005203B1" w:rsidRDefault="005203B1" w:rsidP="005203B1">
      <w:pPr>
        <w:pStyle w:val="EndNoteBibliography"/>
        <w:spacing w:after="0"/>
        <w:rPr>
          <w:noProof/>
        </w:rPr>
      </w:pPr>
      <w:r w:rsidRPr="005203B1">
        <w:rPr>
          <w:noProof/>
        </w:rPr>
        <w:t>48.</w:t>
      </w:r>
      <w:r w:rsidRPr="005203B1">
        <w:rPr>
          <w:noProof/>
        </w:rPr>
        <w:tab/>
        <w:t xml:space="preserve">Le Doare K, Jarju S, Darboe S, et al. Risk factors for Group B streptococcus colonisation and disease in Gambian women and their infants. </w:t>
      </w:r>
      <w:r w:rsidRPr="005203B1">
        <w:rPr>
          <w:i/>
          <w:noProof/>
        </w:rPr>
        <w:t>The Journal of infection</w:t>
      </w:r>
      <w:r w:rsidRPr="005203B1">
        <w:rPr>
          <w:noProof/>
        </w:rPr>
        <w:t xml:space="preserve"> 2016; </w:t>
      </w:r>
      <w:r w:rsidRPr="005203B1">
        <w:rPr>
          <w:b/>
          <w:noProof/>
        </w:rPr>
        <w:t>72</w:t>
      </w:r>
      <w:r w:rsidRPr="005203B1">
        <w:rPr>
          <w:noProof/>
        </w:rPr>
        <w:t>(3): 283-94.</w:t>
      </w:r>
    </w:p>
    <w:p w14:paraId="7B54758E" w14:textId="77777777" w:rsidR="005203B1" w:rsidRPr="005203B1" w:rsidRDefault="005203B1" w:rsidP="005203B1">
      <w:pPr>
        <w:pStyle w:val="EndNoteBibliography"/>
        <w:spacing w:after="0"/>
        <w:rPr>
          <w:noProof/>
        </w:rPr>
      </w:pPr>
      <w:r w:rsidRPr="005203B1">
        <w:rPr>
          <w:noProof/>
        </w:rPr>
        <w:t>49.</w:t>
      </w:r>
      <w:r w:rsidRPr="005203B1">
        <w:rPr>
          <w:noProof/>
        </w:rPr>
        <w:tab/>
        <w:t xml:space="preserve">Liebowitz LD, Koornhof HJ, Barrett M, et al. Bacterial meningitis in Johannesburg - 1980-1982. </w:t>
      </w:r>
      <w:r w:rsidRPr="005203B1">
        <w:rPr>
          <w:i/>
          <w:noProof/>
        </w:rPr>
        <w:t>S Afr Med J</w:t>
      </w:r>
      <w:r w:rsidRPr="005203B1">
        <w:rPr>
          <w:noProof/>
        </w:rPr>
        <w:t xml:space="preserve"> 1984; </w:t>
      </w:r>
      <w:r w:rsidRPr="005203B1">
        <w:rPr>
          <w:b/>
          <w:noProof/>
        </w:rPr>
        <w:t>66</w:t>
      </w:r>
      <w:r w:rsidRPr="005203B1">
        <w:rPr>
          <w:noProof/>
        </w:rPr>
        <w:t>(18): 677-9.</w:t>
      </w:r>
    </w:p>
    <w:p w14:paraId="2FF8D604" w14:textId="77777777" w:rsidR="005203B1" w:rsidRPr="005203B1" w:rsidRDefault="005203B1" w:rsidP="005203B1">
      <w:pPr>
        <w:pStyle w:val="EndNoteBibliography"/>
        <w:spacing w:after="0"/>
        <w:rPr>
          <w:noProof/>
        </w:rPr>
      </w:pPr>
      <w:r w:rsidRPr="005203B1">
        <w:rPr>
          <w:noProof/>
          <w:lang w:val="fr-FR"/>
        </w:rPr>
        <w:t>50.</w:t>
      </w:r>
      <w:r w:rsidRPr="005203B1">
        <w:rPr>
          <w:noProof/>
          <w:lang w:val="fr-FR"/>
        </w:rPr>
        <w:tab/>
        <w:t xml:space="preserve">Mengistu A, Gaeseb J, Uaaka G, et al. </w:t>
      </w:r>
      <w:r w:rsidRPr="005203B1">
        <w:rPr>
          <w:noProof/>
        </w:rPr>
        <w:t xml:space="preserve">Antimicrobial sensitivity patterns of cerebrospinal fluid (CSF) isolates in Namibia: Implications for empirical antibiotic treatment of meningitis. </w:t>
      </w:r>
      <w:r w:rsidRPr="005203B1">
        <w:rPr>
          <w:i/>
          <w:noProof/>
        </w:rPr>
        <w:t>Journal of pharmaceutical policy and practice</w:t>
      </w:r>
      <w:r w:rsidRPr="005203B1">
        <w:rPr>
          <w:noProof/>
        </w:rPr>
        <w:t xml:space="preserve"> 2013; </w:t>
      </w:r>
      <w:r w:rsidRPr="005203B1">
        <w:rPr>
          <w:b/>
          <w:noProof/>
        </w:rPr>
        <w:t>6</w:t>
      </w:r>
      <w:r w:rsidRPr="005203B1">
        <w:rPr>
          <w:noProof/>
        </w:rPr>
        <w:t>: 4-.</w:t>
      </w:r>
    </w:p>
    <w:p w14:paraId="5A925D96" w14:textId="77777777" w:rsidR="005203B1" w:rsidRPr="005203B1" w:rsidRDefault="005203B1" w:rsidP="005203B1">
      <w:pPr>
        <w:pStyle w:val="EndNoteBibliography"/>
        <w:spacing w:after="0"/>
        <w:rPr>
          <w:noProof/>
        </w:rPr>
      </w:pPr>
      <w:r w:rsidRPr="005203B1">
        <w:rPr>
          <w:noProof/>
        </w:rPr>
        <w:t>51.</w:t>
      </w:r>
      <w:r w:rsidRPr="005203B1">
        <w:rPr>
          <w:noProof/>
        </w:rPr>
        <w:tab/>
        <w:t xml:space="preserve">Molyneux E, Walsh A, Phiri A, Molyneux M. Acute bacterial meningitis in children admitted to the Queen Elizabeth Central Hospital Blantyre, Malawi in 1996-97. </w:t>
      </w:r>
      <w:r w:rsidRPr="005203B1">
        <w:rPr>
          <w:i/>
          <w:noProof/>
        </w:rPr>
        <w:t>Malawi Med J</w:t>
      </w:r>
      <w:r w:rsidRPr="005203B1">
        <w:rPr>
          <w:noProof/>
        </w:rPr>
        <w:t xml:space="preserve"> 1998; </w:t>
      </w:r>
      <w:r w:rsidRPr="005203B1">
        <w:rPr>
          <w:b/>
          <w:noProof/>
        </w:rPr>
        <w:t>11</w:t>
      </w:r>
      <w:r w:rsidRPr="005203B1">
        <w:rPr>
          <w:noProof/>
        </w:rPr>
        <w:t>(2): 64-9.</w:t>
      </w:r>
    </w:p>
    <w:p w14:paraId="47EEEA07" w14:textId="77777777" w:rsidR="005203B1" w:rsidRPr="005203B1" w:rsidRDefault="005203B1" w:rsidP="005203B1">
      <w:pPr>
        <w:pStyle w:val="EndNoteBibliography"/>
        <w:spacing w:after="0"/>
        <w:rPr>
          <w:noProof/>
        </w:rPr>
      </w:pPr>
      <w:r w:rsidRPr="005203B1">
        <w:rPr>
          <w:noProof/>
        </w:rPr>
        <w:t>52.</w:t>
      </w:r>
      <w:r w:rsidRPr="005203B1">
        <w:rPr>
          <w:noProof/>
        </w:rPr>
        <w:tab/>
        <w:t xml:space="preserve">Muhe L, Tilahun M, Lulseged S, et al. Etiology of pneumonia, sepsis and meningitis in infants younger than three months of age in Ethiopia. </w:t>
      </w:r>
      <w:r w:rsidRPr="005203B1">
        <w:rPr>
          <w:i/>
          <w:noProof/>
        </w:rPr>
        <w:t>Pediatr Infect Dis J</w:t>
      </w:r>
      <w:r w:rsidRPr="005203B1">
        <w:rPr>
          <w:noProof/>
        </w:rPr>
        <w:t xml:space="preserve"> 1999; </w:t>
      </w:r>
      <w:r w:rsidRPr="005203B1">
        <w:rPr>
          <w:b/>
          <w:noProof/>
        </w:rPr>
        <w:t>18</w:t>
      </w:r>
      <w:r w:rsidRPr="005203B1">
        <w:rPr>
          <w:noProof/>
        </w:rPr>
        <w:t>(10 Suppl): S56-S61.</w:t>
      </w:r>
    </w:p>
    <w:p w14:paraId="552E95FA" w14:textId="77777777" w:rsidR="005203B1" w:rsidRPr="005203B1" w:rsidRDefault="005203B1" w:rsidP="005203B1">
      <w:pPr>
        <w:pStyle w:val="EndNoteBibliography"/>
        <w:spacing w:after="0"/>
        <w:rPr>
          <w:noProof/>
        </w:rPr>
      </w:pPr>
      <w:r w:rsidRPr="005203B1">
        <w:rPr>
          <w:noProof/>
        </w:rPr>
        <w:t>53.</w:t>
      </w:r>
      <w:r w:rsidRPr="005203B1">
        <w:rPr>
          <w:noProof/>
        </w:rPr>
        <w:tab/>
        <w:t xml:space="preserve">Mulholland EK, Ogunlesi OO, Adegbola RA, et al. Etiology of serious infections in young Gambian infants. </w:t>
      </w:r>
      <w:r w:rsidRPr="005203B1">
        <w:rPr>
          <w:i/>
          <w:noProof/>
        </w:rPr>
        <w:t>Pediatr Infect Dis J</w:t>
      </w:r>
      <w:r w:rsidRPr="005203B1">
        <w:rPr>
          <w:noProof/>
        </w:rPr>
        <w:t xml:space="preserve"> 1999; </w:t>
      </w:r>
      <w:r w:rsidRPr="005203B1">
        <w:rPr>
          <w:b/>
          <w:noProof/>
        </w:rPr>
        <w:t>18</w:t>
      </w:r>
      <w:r w:rsidRPr="005203B1">
        <w:rPr>
          <w:noProof/>
        </w:rPr>
        <w:t>(10 Suppl): S35-S41.</w:t>
      </w:r>
    </w:p>
    <w:p w14:paraId="2FB4FF5A" w14:textId="77777777" w:rsidR="005203B1" w:rsidRPr="005203B1" w:rsidRDefault="005203B1" w:rsidP="005203B1">
      <w:pPr>
        <w:pStyle w:val="EndNoteBibliography"/>
        <w:spacing w:after="0"/>
        <w:rPr>
          <w:noProof/>
        </w:rPr>
      </w:pPr>
      <w:r w:rsidRPr="005203B1">
        <w:rPr>
          <w:noProof/>
        </w:rPr>
        <w:t>54.</w:t>
      </w:r>
      <w:r w:rsidRPr="005203B1">
        <w:rPr>
          <w:noProof/>
        </w:rPr>
        <w:tab/>
        <w:t xml:space="preserve">Mwangi I, Berkley J, Lowe B, Peshu N, Marsh K, Newton CRJC. Acute bacterial meningitis in children admitted to a rural Kenyan hospital: Increasing antibiotic resistance and outcome. </w:t>
      </w:r>
      <w:r w:rsidRPr="005203B1">
        <w:rPr>
          <w:i/>
          <w:noProof/>
        </w:rPr>
        <w:t>Pediatr Infect Dis J</w:t>
      </w:r>
      <w:r w:rsidRPr="005203B1">
        <w:rPr>
          <w:noProof/>
        </w:rPr>
        <w:t xml:space="preserve"> 2002; </w:t>
      </w:r>
      <w:r w:rsidRPr="005203B1">
        <w:rPr>
          <w:b/>
          <w:noProof/>
        </w:rPr>
        <w:t>21</w:t>
      </w:r>
      <w:r w:rsidRPr="005203B1">
        <w:rPr>
          <w:noProof/>
        </w:rPr>
        <w:t>(11): 1042-8.</w:t>
      </w:r>
    </w:p>
    <w:p w14:paraId="0A7D472D" w14:textId="77777777" w:rsidR="005203B1" w:rsidRPr="005203B1" w:rsidRDefault="005203B1" w:rsidP="005203B1">
      <w:pPr>
        <w:pStyle w:val="EndNoteBibliography"/>
        <w:spacing w:after="0"/>
        <w:rPr>
          <w:noProof/>
        </w:rPr>
      </w:pPr>
      <w:r w:rsidRPr="005203B1">
        <w:rPr>
          <w:noProof/>
        </w:rPr>
        <w:lastRenderedPageBreak/>
        <w:t>55.</w:t>
      </w:r>
      <w:r w:rsidRPr="005203B1">
        <w:rPr>
          <w:noProof/>
        </w:rPr>
        <w:tab/>
        <w:t xml:space="preserve">Okon KO, Askira UM, Ghamba PE, et al. Childhood Septicemia; Retrospective Analysis of Bacterial Pathogens and Antimicrobial Susceptibility Pattern in Maiduguri, Nigeria. </w:t>
      </w:r>
      <w:r w:rsidRPr="005203B1">
        <w:rPr>
          <w:i/>
          <w:noProof/>
        </w:rPr>
        <w:t>New York Science Journal</w:t>
      </w:r>
      <w:r w:rsidRPr="005203B1">
        <w:rPr>
          <w:noProof/>
        </w:rPr>
        <w:t xml:space="preserve"> 2014; </w:t>
      </w:r>
      <w:r w:rsidRPr="005203B1">
        <w:rPr>
          <w:b/>
          <w:noProof/>
        </w:rPr>
        <w:t>7</w:t>
      </w:r>
      <w:r w:rsidRPr="005203B1">
        <w:rPr>
          <w:noProof/>
        </w:rPr>
        <w:t>(6): 9-13.</w:t>
      </w:r>
    </w:p>
    <w:p w14:paraId="07490C2F" w14:textId="77777777" w:rsidR="005203B1" w:rsidRPr="005203B1" w:rsidRDefault="005203B1" w:rsidP="005203B1">
      <w:pPr>
        <w:pStyle w:val="EndNoteBibliography"/>
        <w:spacing w:after="0"/>
        <w:rPr>
          <w:noProof/>
        </w:rPr>
      </w:pPr>
      <w:r w:rsidRPr="005203B1">
        <w:rPr>
          <w:noProof/>
        </w:rPr>
        <w:t>56.</w:t>
      </w:r>
      <w:r w:rsidRPr="005203B1">
        <w:rPr>
          <w:noProof/>
        </w:rPr>
        <w:tab/>
        <w:t xml:space="preserve">Owusu M, Nguah SB, Boaitey YA, et al. Aetiological agents of cerebrospinal meningitis: a retrospective study from a Teaching Hospital in Ghana. </w:t>
      </w:r>
      <w:r w:rsidRPr="005203B1">
        <w:rPr>
          <w:i/>
          <w:noProof/>
        </w:rPr>
        <w:t>Ann Clin Microbiol Antimicrob</w:t>
      </w:r>
      <w:r w:rsidRPr="005203B1">
        <w:rPr>
          <w:noProof/>
        </w:rPr>
        <w:t xml:space="preserve"> 2012; </w:t>
      </w:r>
      <w:r w:rsidRPr="005203B1">
        <w:rPr>
          <w:b/>
          <w:noProof/>
        </w:rPr>
        <w:t>11</w:t>
      </w:r>
      <w:r w:rsidRPr="005203B1">
        <w:rPr>
          <w:noProof/>
        </w:rPr>
        <w:t>: 28.</w:t>
      </w:r>
    </w:p>
    <w:p w14:paraId="773425E0" w14:textId="77777777" w:rsidR="005203B1" w:rsidRPr="005203B1" w:rsidRDefault="005203B1" w:rsidP="005203B1">
      <w:pPr>
        <w:pStyle w:val="EndNoteBibliography"/>
        <w:spacing w:after="0"/>
        <w:rPr>
          <w:noProof/>
        </w:rPr>
      </w:pPr>
      <w:r w:rsidRPr="005203B1">
        <w:rPr>
          <w:noProof/>
        </w:rPr>
        <w:t>57.</w:t>
      </w:r>
      <w:r w:rsidRPr="005203B1">
        <w:rPr>
          <w:noProof/>
        </w:rPr>
        <w:tab/>
        <w:t xml:space="preserve">Palmer A, Weber M, Bojang K, McKay T, Adegbola R. Acute bacterial meningitis in the Gambia: A four-year review of paediatric hospital admissions. </w:t>
      </w:r>
      <w:r w:rsidRPr="005203B1">
        <w:rPr>
          <w:i/>
          <w:noProof/>
        </w:rPr>
        <w:t>J Trop Pediatr</w:t>
      </w:r>
      <w:r w:rsidRPr="005203B1">
        <w:rPr>
          <w:noProof/>
        </w:rPr>
        <w:t xml:space="preserve"> 1999; </w:t>
      </w:r>
      <w:r w:rsidRPr="005203B1">
        <w:rPr>
          <w:b/>
          <w:noProof/>
        </w:rPr>
        <w:t>45</w:t>
      </w:r>
      <w:r w:rsidRPr="005203B1">
        <w:rPr>
          <w:noProof/>
        </w:rPr>
        <w:t>(1): 51-3.</w:t>
      </w:r>
    </w:p>
    <w:p w14:paraId="68E5F678" w14:textId="77777777" w:rsidR="005203B1" w:rsidRPr="005203B1" w:rsidRDefault="005203B1" w:rsidP="005203B1">
      <w:pPr>
        <w:pStyle w:val="EndNoteBibliography"/>
        <w:spacing w:after="0"/>
        <w:rPr>
          <w:noProof/>
          <w:lang w:val="fr-FR"/>
        </w:rPr>
      </w:pPr>
      <w:r w:rsidRPr="005203B1">
        <w:rPr>
          <w:noProof/>
        </w:rPr>
        <w:t>58.</w:t>
      </w:r>
      <w:r w:rsidRPr="005203B1">
        <w:rPr>
          <w:noProof/>
        </w:rPr>
        <w:tab/>
        <w:t xml:space="preserve">Potter PC, Donald PR, Moodie J, Slater C, Kibel MA. Meningitis in Cape Town children. </w:t>
      </w:r>
      <w:r w:rsidRPr="005203B1">
        <w:rPr>
          <w:i/>
          <w:noProof/>
          <w:lang w:val="fr-FR"/>
        </w:rPr>
        <w:t>S Afr Med J</w:t>
      </w:r>
      <w:r w:rsidRPr="005203B1">
        <w:rPr>
          <w:noProof/>
          <w:lang w:val="fr-FR"/>
        </w:rPr>
        <w:t xml:space="preserve"> 1984; </w:t>
      </w:r>
      <w:r w:rsidRPr="005203B1">
        <w:rPr>
          <w:b/>
          <w:noProof/>
          <w:lang w:val="fr-FR"/>
        </w:rPr>
        <w:t>66</w:t>
      </w:r>
      <w:r w:rsidRPr="005203B1">
        <w:rPr>
          <w:noProof/>
          <w:lang w:val="fr-FR"/>
        </w:rPr>
        <w:t>(20): 759-62.</w:t>
      </w:r>
    </w:p>
    <w:p w14:paraId="6AE061F1" w14:textId="77777777" w:rsidR="005203B1" w:rsidRPr="005203B1" w:rsidRDefault="005203B1" w:rsidP="005203B1">
      <w:pPr>
        <w:pStyle w:val="EndNoteBibliography"/>
        <w:spacing w:after="0"/>
        <w:rPr>
          <w:noProof/>
        </w:rPr>
      </w:pPr>
      <w:r w:rsidRPr="005203B1">
        <w:rPr>
          <w:noProof/>
          <w:lang w:val="fr-FR"/>
        </w:rPr>
        <w:t>59.</w:t>
      </w:r>
      <w:r w:rsidRPr="005203B1">
        <w:rPr>
          <w:noProof/>
          <w:lang w:val="fr-FR"/>
        </w:rPr>
        <w:tab/>
        <w:t xml:space="preserve">Sigauque B, Kobayashi M, Vubil D, et al. </w:t>
      </w:r>
      <w:r w:rsidRPr="005203B1">
        <w:rPr>
          <w:noProof/>
        </w:rPr>
        <w:t xml:space="preserve">Invasive bacterial disease trends and characterization of Group B streptococcal isolates among young infants in Southern Mozambique, 2001-2015. </w:t>
      </w:r>
      <w:r w:rsidRPr="005203B1">
        <w:rPr>
          <w:i/>
          <w:noProof/>
        </w:rPr>
        <w:t>PLoS One</w:t>
      </w:r>
      <w:r w:rsidRPr="005203B1">
        <w:rPr>
          <w:noProof/>
        </w:rPr>
        <w:t xml:space="preserve"> 2018; </w:t>
      </w:r>
      <w:r w:rsidRPr="005203B1">
        <w:rPr>
          <w:b/>
          <w:noProof/>
        </w:rPr>
        <w:t>13</w:t>
      </w:r>
      <w:r w:rsidRPr="005203B1">
        <w:rPr>
          <w:noProof/>
        </w:rPr>
        <w:t>(1): e0191193.</w:t>
      </w:r>
    </w:p>
    <w:p w14:paraId="36A2953D" w14:textId="77777777" w:rsidR="005203B1" w:rsidRPr="005203B1" w:rsidRDefault="005203B1" w:rsidP="005203B1">
      <w:pPr>
        <w:pStyle w:val="EndNoteBibliography"/>
        <w:spacing w:after="0"/>
        <w:rPr>
          <w:noProof/>
        </w:rPr>
      </w:pPr>
      <w:r w:rsidRPr="005203B1">
        <w:rPr>
          <w:noProof/>
        </w:rPr>
        <w:t>60.</w:t>
      </w:r>
      <w:r w:rsidRPr="005203B1">
        <w:rPr>
          <w:noProof/>
        </w:rPr>
        <w:tab/>
        <w:t xml:space="preserve">Swann O, Everett DB, Furyk JS, et al. Bacterial meningitis in Malawian infants &lt;2 months of age: etiology and susceptibility to World Health Organization first-line antibiotics. </w:t>
      </w:r>
      <w:r w:rsidRPr="005203B1">
        <w:rPr>
          <w:i/>
          <w:noProof/>
        </w:rPr>
        <w:t>Pediatr Infect Dis J</w:t>
      </w:r>
      <w:r w:rsidRPr="005203B1">
        <w:rPr>
          <w:noProof/>
        </w:rPr>
        <w:t xml:space="preserve"> 2014; </w:t>
      </w:r>
      <w:r w:rsidRPr="005203B1">
        <w:rPr>
          <w:b/>
          <w:noProof/>
        </w:rPr>
        <w:t>33</w:t>
      </w:r>
      <w:r w:rsidRPr="005203B1">
        <w:rPr>
          <w:noProof/>
        </w:rPr>
        <w:t>(6): 560-5.</w:t>
      </w:r>
    </w:p>
    <w:p w14:paraId="64D22F8A" w14:textId="77777777" w:rsidR="005203B1" w:rsidRPr="005203B1" w:rsidRDefault="005203B1" w:rsidP="005203B1">
      <w:pPr>
        <w:pStyle w:val="EndNoteBibliography"/>
        <w:spacing w:after="0"/>
        <w:rPr>
          <w:noProof/>
        </w:rPr>
      </w:pPr>
      <w:r w:rsidRPr="005203B1">
        <w:rPr>
          <w:noProof/>
        </w:rPr>
        <w:t>61.</w:t>
      </w:r>
      <w:r w:rsidRPr="005203B1">
        <w:rPr>
          <w:noProof/>
        </w:rPr>
        <w:tab/>
        <w:t xml:space="preserve">Talbert AWA, Mwaniki M, Mwarumba S, Newton CRJC, Berkley JA. Invasive bacterial infections in neonates and young infants born outside hospital admitted to a rural hospital in Kenya. </w:t>
      </w:r>
      <w:r w:rsidRPr="005203B1">
        <w:rPr>
          <w:i/>
          <w:noProof/>
        </w:rPr>
        <w:t>Pediatr Infect Dis J</w:t>
      </w:r>
      <w:r w:rsidRPr="005203B1">
        <w:rPr>
          <w:noProof/>
        </w:rPr>
        <w:t xml:space="preserve"> 2010; </w:t>
      </w:r>
      <w:r w:rsidRPr="005203B1">
        <w:rPr>
          <w:b/>
          <w:noProof/>
        </w:rPr>
        <w:t>29</w:t>
      </w:r>
      <w:r w:rsidRPr="005203B1">
        <w:rPr>
          <w:noProof/>
        </w:rPr>
        <w:t>(10): 945-9.</w:t>
      </w:r>
    </w:p>
    <w:p w14:paraId="3941FCDA" w14:textId="77777777" w:rsidR="005203B1" w:rsidRPr="005203B1" w:rsidRDefault="005203B1" w:rsidP="005203B1">
      <w:pPr>
        <w:pStyle w:val="EndNoteBibliography"/>
        <w:spacing w:after="0"/>
        <w:rPr>
          <w:noProof/>
        </w:rPr>
      </w:pPr>
      <w:r w:rsidRPr="005203B1">
        <w:rPr>
          <w:noProof/>
        </w:rPr>
        <w:t>62.</w:t>
      </w:r>
      <w:r w:rsidRPr="005203B1">
        <w:rPr>
          <w:noProof/>
        </w:rPr>
        <w:tab/>
        <w:t xml:space="preserve">Walsh AL, Phiri AJ, Graham SM, Molyneux EM, Molyneux ME. Bacteremia in febrile Malawian children: Clinical and microbiologic features. </w:t>
      </w:r>
      <w:r w:rsidRPr="005203B1">
        <w:rPr>
          <w:i/>
          <w:noProof/>
        </w:rPr>
        <w:t>Pediatr Infect Dis J</w:t>
      </w:r>
      <w:r w:rsidRPr="005203B1">
        <w:rPr>
          <w:noProof/>
        </w:rPr>
        <w:t xml:space="preserve"> 2000; </w:t>
      </w:r>
      <w:r w:rsidRPr="005203B1">
        <w:rPr>
          <w:b/>
          <w:noProof/>
        </w:rPr>
        <w:t>19</w:t>
      </w:r>
      <w:r w:rsidRPr="005203B1">
        <w:rPr>
          <w:noProof/>
        </w:rPr>
        <w:t>(4): 312-8.</w:t>
      </w:r>
    </w:p>
    <w:p w14:paraId="5146AF1A" w14:textId="77777777" w:rsidR="005203B1" w:rsidRPr="005203B1" w:rsidRDefault="005203B1" w:rsidP="005203B1">
      <w:pPr>
        <w:pStyle w:val="EndNoteBibliography"/>
        <w:spacing w:after="0"/>
        <w:rPr>
          <w:noProof/>
        </w:rPr>
      </w:pPr>
      <w:r w:rsidRPr="005203B1">
        <w:rPr>
          <w:noProof/>
        </w:rPr>
        <w:t>63.</w:t>
      </w:r>
      <w:r w:rsidRPr="005203B1">
        <w:rPr>
          <w:noProof/>
        </w:rPr>
        <w:tab/>
        <w:t xml:space="preserve">Huynh BT, Kermorvant-Duchemin E, Herindrainy P, et al. Bacterial infections in neonates, Madagascar, 2012-2014. </w:t>
      </w:r>
      <w:r w:rsidRPr="005203B1">
        <w:rPr>
          <w:i/>
          <w:noProof/>
        </w:rPr>
        <w:t>Emerg Infect Dis</w:t>
      </w:r>
      <w:r w:rsidRPr="005203B1">
        <w:rPr>
          <w:noProof/>
        </w:rPr>
        <w:t xml:space="preserve"> 2018; </w:t>
      </w:r>
      <w:r w:rsidRPr="005203B1">
        <w:rPr>
          <w:b/>
          <w:noProof/>
        </w:rPr>
        <w:t>24</w:t>
      </w:r>
      <w:r w:rsidRPr="005203B1">
        <w:rPr>
          <w:noProof/>
        </w:rPr>
        <w:t>(4): 710-7.</w:t>
      </w:r>
    </w:p>
    <w:p w14:paraId="7CBB11E1" w14:textId="77777777" w:rsidR="005203B1" w:rsidRPr="005203B1" w:rsidRDefault="005203B1" w:rsidP="005203B1">
      <w:pPr>
        <w:pStyle w:val="EndNoteBibliography"/>
        <w:spacing w:after="0"/>
        <w:rPr>
          <w:noProof/>
        </w:rPr>
      </w:pPr>
      <w:r w:rsidRPr="005203B1">
        <w:rPr>
          <w:noProof/>
        </w:rPr>
        <w:t>64.</w:t>
      </w:r>
      <w:r w:rsidRPr="005203B1">
        <w:rPr>
          <w:noProof/>
        </w:rPr>
        <w:tab/>
        <w:t xml:space="preserve">Berkley JA, Lowe BS, Mwangi I, et al. Bacteremia among children admitted to a rural hospital in Kenya. </w:t>
      </w:r>
      <w:r w:rsidRPr="005203B1">
        <w:rPr>
          <w:i/>
          <w:noProof/>
        </w:rPr>
        <w:t>N Engl J Med</w:t>
      </w:r>
      <w:r w:rsidRPr="005203B1">
        <w:rPr>
          <w:noProof/>
        </w:rPr>
        <w:t xml:space="preserve"> 2005; </w:t>
      </w:r>
      <w:r w:rsidRPr="005203B1">
        <w:rPr>
          <w:b/>
          <w:noProof/>
        </w:rPr>
        <w:t>352</w:t>
      </w:r>
      <w:r w:rsidRPr="005203B1">
        <w:rPr>
          <w:noProof/>
        </w:rPr>
        <w:t>(1): 39-47.</w:t>
      </w:r>
    </w:p>
    <w:p w14:paraId="50E8B6EE" w14:textId="77777777" w:rsidR="005203B1" w:rsidRPr="005203B1" w:rsidRDefault="005203B1" w:rsidP="005203B1">
      <w:pPr>
        <w:pStyle w:val="EndNoteBibliography"/>
        <w:spacing w:after="0"/>
        <w:rPr>
          <w:noProof/>
        </w:rPr>
      </w:pPr>
      <w:r w:rsidRPr="005203B1">
        <w:rPr>
          <w:noProof/>
        </w:rPr>
        <w:t>65.</w:t>
      </w:r>
      <w:r w:rsidRPr="005203B1">
        <w:rPr>
          <w:noProof/>
        </w:rPr>
        <w:tab/>
        <w:t xml:space="preserve">English M, Ngama M, Musumba C, et al. Causes and outcome of young infant admissions to a Kenyan district hospital. </w:t>
      </w:r>
      <w:r w:rsidRPr="005203B1">
        <w:rPr>
          <w:i/>
          <w:noProof/>
        </w:rPr>
        <w:t>Arch Dis Child</w:t>
      </w:r>
      <w:r w:rsidRPr="005203B1">
        <w:rPr>
          <w:noProof/>
        </w:rPr>
        <w:t xml:space="preserve"> 2003; </w:t>
      </w:r>
      <w:r w:rsidRPr="005203B1">
        <w:rPr>
          <w:b/>
          <w:noProof/>
        </w:rPr>
        <w:t>88</w:t>
      </w:r>
      <w:r w:rsidRPr="005203B1">
        <w:rPr>
          <w:noProof/>
        </w:rPr>
        <w:t>(5): 438-43.</w:t>
      </w:r>
    </w:p>
    <w:p w14:paraId="4AE29325" w14:textId="77777777" w:rsidR="005203B1" w:rsidRPr="005203B1" w:rsidRDefault="005203B1" w:rsidP="005203B1">
      <w:pPr>
        <w:pStyle w:val="EndNoteBibliography"/>
        <w:spacing w:after="0"/>
        <w:rPr>
          <w:noProof/>
        </w:rPr>
      </w:pPr>
      <w:r w:rsidRPr="005203B1">
        <w:rPr>
          <w:noProof/>
        </w:rPr>
        <w:t>66.</w:t>
      </w:r>
      <w:r w:rsidRPr="005203B1">
        <w:rPr>
          <w:noProof/>
        </w:rPr>
        <w:tab/>
        <w:t xml:space="preserve">Kemeze S, Moudze B, Chiabi A, et al. Clinical and bacteriological profile of neonatal bacterial infection at Laquintinie Hospital, Douala, Cameroon. </w:t>
      </w:r>
      <w:r w:rsidRPr="005203B1">
        <w:rPr>
          <w:i/>
          <w:noProof/>
        </w:rPr>
        <w:t>Pan Afr Med J</w:t>
      </w:r>
      <w:r w:rsidRPr="005203B1">
        <w:rPr>
          <w:noProof/>
        </w:rPr>
        <w:t xml:space="preserve"> 2016; </w:t>
      </w:r>
      <w:r w:rsidRPr="005203B1">
        <w:rPr>
          <w:b/>
          <w:noProof/>
        </w:rPr>
        <w:t>23</w:t>
      </w:r>
      <w:r w:rsidRPr="005203B1">
        <w:rPr>
          <w:noProof/>
        </w:rPr>
        <w:t>: 97-.</w:t>
      </w:r>
    </w:p>
    <w:p w14:paraId="6E2A758E" w14:textId="77777777" w:rsidR="005203B1" w:rsidRPr="005203B1" w:rsidRDefault="005203B1" w:rsidP="005203B1">
      <w:pPr>
        <w:pStyle w:val="EndNoteBibliography"/>
        <w:spacing w:after="0"/>
        <w:rPr>
          <w:noProof/>
        </w:rPr>
      </w:pPr>
      <w:r w:rsidRPr="005203B1">
        <w:rPr>
          <w:noProof/>
        </w:rPr>
        <w:t>67.</w:t>
      </w:r>
      <w:r w:rsidRPr="005203B1">
        <w:rPr>
          <w:noProof/>
        </w:rPr>
        <w:tab/>
        <w:t xml:space="preserve">Milledge J, Calis JCJ, Graham SM, et al. Aetiology of neonatal sepsis in Blantyre, Malawi: 1996-2001. </w:t>
      </w:r>
      <w:r w:rsidRPr="005203B1">
        <w:rPr>
          <w:i/>
          <w:noProof/>
        </w:rPr>
        <w:t>Ann Trop Paediatr</w:t>
      </w:r>
      <w:r w:rsidRPr="005203B1">
        <w:rPr>
          <w:noProof/>
        </w:rPr>
        <w:t xml:space="preserve"> 2005; </w:t>
      </w:r>
      <w:r w:rsidRPr="005203B1">
        <w:rPr>
          <w:b/>
          <w:noProof/>
        </w:rPr>
        <w:t>25</w:t>
      </w:r>
      <w:r w:rsidRPr="005203B1">
        <w:rPr>
          <w:noProof/>
        </w:rPr>
        <w:t>(2): 101-10.</w:t>
      </w:r>
    </w:p>
    <w:p w14:paraId="1A97481A" w14:textId="77777777" w:rsidR="005203B1" w:rsidRPr="005203B1" w:rsidRDefault="005203B1" w:rsidP="005203B1">
      <w:pPr>
        <w:pStyle w:val="EndNoteBibliography"/>
        <w:spacing w:after="0"/>
        <w:rPr>
          <w:noProof/>
        </w:rPr>
      </w:pPr>
      <w:r w:rsidRPr="005203B1">
        <w:rPr>
          <w:noProof/>
        </w:rPr>
        <w:t>68.</w:t>
      </w:r>
      <w:r w:rsidRPr="005203B1">
        <w:rPr>
          <w:noProof/>
        </w:rPr>
        <w:tab/>
        <w:t xml:space="preserve">Mwaniki MK, Talbert AW, Njuguna P, et al. Clinical indicators of bacterial meningitis among neonates and young infants in rural Kenya. </w:t>
      </w:r>
      <w:r w:rsidRPr="005203B1">
        <w:rPr>
          <w:i/>
          <w:noProof/>
        </w:rPr>
        <w:t>BMC Infect Dis</w:t>
      </w:r>
      <w:r w:rsidRPr="005203B1">
        <w:rPr>
          <w:noProof/>
        </w:rPr>
        <w:t xml:space="preserve"> 2011; </w:t>
      </w:r>
      <w:r w:rsidRPr="005203B1">
        <w:rPr>
          <w:b/>
          <w:noProof/>
        </w:rPr>
        <w:t>11</w:t>
      </w:r>
      <w:r w:rsidRPr="005203B1">
        <w:rPr>
          <w:noProof/>
        </w:rPr>
        <w:t>: 301-.</w:t>
      </w:r>
    </w:p>
    <w:p w14:paraId="31F2F5AC" w14:textId="77777777" w:rsidR="005203B1" w:rsidRPr="005203B1" w:rsidRDefault="005203B1" w:rsidP="005203B1">
      <w:pPr>
        <w:pStyle w:val="EndNoteBibliography"/>
        <w:spacing w:after="0"/>
        <w:rPr>
          <w:noProof/>
        </w:rPr>
      </w:pPr>
      <w:r w:rsidRPr="005203B1">
        <w:rPr>
          <w:noProof/>
        </w:rPr>
        <w:t>69.</w:t>
      </w:r>
      <w:r w:rsidRPr="005203B1">
        <w:rPr>
          <w:noProof/>
        </w:rPr>
        <w:tab/>
        <w:t xml:space="preserve">Nathoo KJ, Pazvakavamba I, Chidede OS, Chirisa C. Neonatal meningitis in Harare, Zimbabwe: A 2-year review. </w:t>
      </w:r>
      <w:r w:rsidRPr="005203B1">
        <w:rPr>
          <w:i/>
          <w:noProof/>
        </w:rPr>
        <w:t>Ann Trop Paediatr</w:t>
      </w:r>
      <w:r w:rsidRPr="005203B1">
        <w:rPr>
          <w:noProof/>
        </w:rPr>
        <w:t xml:space="preserve"> 1991; </w:t>
      </w:r>
      <w:r w:rsidRPr="005203B1">
        <w:rPr>
          <w:b/>
          <w:noProof/>
        </w:rPr>
        <w:t>11</w:t>
      </w:r>
      <w:r w:rsidRPr="005203B1">
        <w:rPr>
          <w:noProof/>
        </w:rPr>
        <w:t>(1): 11-5.</w:t>
      </w:r>
    </w:p>
    <w:p w14:paraId="67DD2DCC" w14:textId="77777777" w:rsidR="005203B1" w:rsidRPr="005203B1" w:rsidRDefault="005203B1" w:rsidP="005203B1">
      <w:pPr>
        <w:pStyle w:val="EndNoteBibliography"/>
        <w:spacing w:after="0"/>
        <w:rPr>
          <w:noProof/>
        </w:rPr>
      </w:pPr>
      <w:r w:rsidRPr="005203B1">
        <w:rPr>
          <w:noProof/>
        </w:rPr>
        <w:t>70.</w:t>
      </w:r>
      <w:r w:rsidRPr="005203B1">
        <w:rPr>
          <w:noProof/>
        </w:rPr>
        <w:tab/>
        <w:t xml:space="preserve">Nielsen MV, Sarpong N, Krumkamp R, et al. Incidence and characteristics of bacteremia among children in rural Ghana. </w:t>
      </w:r>
      <w:r w:rsidRPr="005203B1">
        <w:rPr>
          <w:i/>
          <w:noProof/>
        </w:rPr>
        <w:t>PLoS One</w:t>
      </w:r>
      <w:r w:rsidRPr="005203B1">
        <w:rPr>
          <w:noProof/>
        </w:rPr>
        <w:t xml:space="preserve"> 2012; </w:t>
      </w:r>
      <w:r w:rsidRPr="005203B1">
        <w:rPr>
          <w:b/>
          <w:noProof/>
        </w:rPr>
        <w:t>7</w:t>
      </w:r>
      <w:r w:rsidRPr="005203B1">
        <w:rPr>
          <w:noProof/>
        </w:rPr>
        <w:t>(9): e44063.</w:t>
      </w:r>
    </w:p>
    <w:p w14:paraId="32914077" w14:textId="77777777" w:rsidR="005203B1" w:rsidRPr="005203B1" w:rsidRDefault="005203B1" w:rsidP="005203B1">
      <w:pPr>
        <w:pStyle w:val="EndNoteBibliography"/>
        <w:spacing w:after="0"/>
        <w:rPr>
          <w:noProof/>
        </w:rPr>
      </w:pPr>
      <w:r w:rsidRPr="005203B1">
        <w:rPr>
          <w:noProof/>
        </w:rPr>
        <w:t>71.</w:t>
      </w:r>
      <w:r w:rsidRPr="005203B1">
        <w:rPr>
          <w:noProof/>
        </w:rPr>
        <w:tab/>
        <w:t xml:space="preserve">Shittu MO, Orisadare OP, Jikeme OE, Shittu  BT, Bello LA, Oluremi AS. Antibiotic susceptibility pattern of bacteria isolates in neonates at a childrens' hospital, Nigeria. </w:t>
      </w:r>
      <w:r w:rsidRPr="005203B1">
        <w:rPr>
          <w:i/>
          <w:noProof/>
        </w:rPr>
        <w:t>J Med Sci Clin Res</w:t>
      </w:r>
      <w:r w:rsidRPr="005203B1">
        <w:rPr>
          <w:noProof/>
        </w:rPr>
        <w:t xml:space="preserve"> 2014; </w:t>
      </w:r>
      <w:r w:rsidRPr="005203B1">
        <w:rPr>
          <w:b/>
          <w:noProof/>
        </w:rPr>
        <w:t>2</w:t>
      </w:r>
      <w:r w:rsidRPr="005203B1">
        <w:rPr>
          <w:noProof/>
        </w:rPr>
        <w:t>(10): 2576-83.</w:t>
      </w:r>
    </w:p>
    <w:p w14:paraId="30699A85" w14:textId="77777777" w:rsidR="005203B1" w:rsidRPr="005203B1" w:rsidRDefault="005203B1" w:rsidP="005203B1">
      <w:pPr>
        <w:pStyle w:val="EndNoteBibliography"/>
        <w:spacing w:after="0"/>
        <w:rPr>
          <w:noProof/>
        </w:rPr>
      </w:pPr>
      <w:r w:rsidRPr="005203B1">
        <w:rPr>
          <w:noProof/>
        </w:rPr>
        <w:t>72.</w:t>
      </w:r>
      <w:r w:rsidRPr="005203B1">
        <w:rPr>
          <w:noProof/>
        </w:rPr>
        <w:tab/>
        <w:t xml:space="preserve">Sigauque B, Roca A, Mandomando I, et al. Community-acquired bacteremia among children admitted to a rural hospital in Mozambique. </w:t>
      </w:r>
      <w:r w:rsidRPr="005203B1">
        <w:rPr>
          <w:i/>
          <w:noProof/>
        </w:rPr>
        <w:t>Pediatr Infect Dis J</w:t>
      </w:r>
      <w:r w:rsidRPr="005203B1">
        <w:rPr>
          <w:noProof/>
        </w:rPr>
        <w:t xml:space="preserve"> 2009; </w:t>
      </w:r>
      <w:r w:rsidRPr="005203B1">
        <w:rPr>
          <w:b/>
          <w:noProof/>
        </w:rPr>
        <w:t>28</w:t>
      </w:r>
      <w:r w:rsidRPr="005203B1">
        <w:rPr>
          <w:noProof/>
        </w:rPr>
        <w:t>(2): 108-13.</w:t>
      </w:r>
    </w:p>
    <w:p w14:paraId="22040EA9" w14:textId="77777777" w:rsidR="005203B1" w:rsidRPr="005203B1" w:rsidRDefault="005203B1" w:rsidP="005203B1">
      <w:pPr>
        <w:pStyle w:val="EndNoteBibliography"/>
        <w:spacing w:after="0"/>
        <w:rPr>
          <w:noProof/>
        </w:rPr>
      </w:pPr>
      <w:r w:rsidRPr="005203B1">
        <w:rPr>
          <w:noProof/>
        </w:rPr>
        <w:t>73.</w:t>
      </w:r>
      <w:r w:rsidRPr="005203B1">
        <w:rPr>
          <w:noProof/>
        </w:rPr>
        <w:tab/>
        <w:t xml:space="preserve">Sigauque B, Roca A, Sanz S, et al. Acute bacterial meningitis among children, in Manhica, a rural area in Southern Mozambique. </w:t>
      </w:r>
      <w:r w:rsidRPr="005203B1">
        <w:rPr>
          <w:i/>
          <w:noProof/>
        </w:rPr>
        <w:t>Acta Trop</w:t>
      </w:r>
      <w:r w:rsidRPr="005203B1">
        <w:rPr>
          <w:noProof/>
        </w:rPr>
        <w:t xml:space="preserve"> 2008; </w:t>
      </w:r>
      <w:r w:rsidRPr="005203B1">
        <w:rPr>
          <w:b/>
          <w:noProof/>
        </w:rPr>
        <w:t>105</w:t>
      </w:r>
      <w:r w:rsidRPr="005203B1">
        <w:rPr>
          <w:noProof/>
        </w:rPr>
        <w:t>(1): 21-7.</w:t>
      </w:r>
    </w:p>
    <w:p w14:paraId="061CEFE1" w14:textId="77777777" w:rsidR="005203B1" w:rsidRPr="005203B1" w:rsidRDefault="005203B1" w:rsidP="005203B1">
      <w:pPr>
        <w:pStyle w:val="EndNoteBibliography"/>
        <w:spacing w:after="0"/>
        <w:rPr>
          <w:noProof/>
        </w:rPr>
      </w:pPr>
      <w:r w:rsidRPr="005203B1">
        <w:rPr>
          <w:noProof/>
        </w:rPr>
        <w:t>74.</w:t>
      </w:r>
      <w:r w:rsidRPr="005203B1">
        <w:rPr>
          <w:noProof/>
        </w:rPr>
        <w:tab/>
        <w:t xml:space="preserve">Arowosegbe AO, Ojo DA, Dedeke IO, Shittu OB, Akingbade OA. Neonatal sepsis in a nigerian tertiary hospital: clinical features, clinical outcome, aetiology and antibiotic susceptibility pattern. </w:t>
      </w:r>
      <w:r w:rsidRPr="005203B1">
        <w:rPr>
          <w:i/>
          <w:noProof/>
        </w:rPr>
        <w:t>S Afr J Epidemiol Infect</w:t>
      </w:r>
      <w:r w:rsidRPr="005203B1">
        <w:rPr>
          <w:noProof/>
        </w:rPr>
        <w:t xml:space="preserve"> 2017; </w:t>
      </w:r>
      <w:r w:rsidRPr="005203B1">
        <w:rPr>
          <w:b/>
          <w:noProof/>
        </w:rPr>
        <w:t>32</w:t>
      </w:r>
      <w:r w:rsidRPr="005203B1">
        <w:rPr>
          <w:noProof/>
        </w:rPr>
        <w:t>(4): 127-31.</w:t>
      </w:r>
    </w:p>
    <w:p w14:paraId="2213848B" w14:textId="77777777" w:rsidR="005203B1" w:rsidRPr="005203B1" w:rsidRDefault="005203B1" w:rsidP="005203B1">
      <w:pPr>
        <w:pStyle w:val="EndNoteBibliography"/>
        <w:spacing w:after="0"/>
        <w:rPr>
          <w:noProof/>
        </w:rPr>
      </w:pPr>
      <w:r w:rsidRPr="005203B1">
        <w:rPr>
          <w:noProof/>
        </w:rPr>
        <w:lastRenderedPageBreak/>
        <w:t>75.</w:t>
      </w:r>
      <w:r w:rsidRPr="005203B1">
        <w:rPr>
          <w:noProof/>
        </w:rPr>
        <w:tab/>
        <w:t xml:space="preserve">Ballot DE, Perovic O, Galpin J, Cooper PA. Serum procalcitonin as an early marker of neonatal sepsis. </w:t>
      </w:r>
      <w:r w:rsidRPr="005203B1">
        <w:rPr>
          <w:i/>
          <w:noProof/>
        </w:rPr>
        <w:t>S Afr Med J</w:t>
      </w:r>
      <w:r w:rsidRPr="005203B1">
        <w:rPr>
          <w:noProof/>
        </w:rPr>
        <w:t xml:space="preserve"> 2004; </w:t>
      </w:r>
      <w:r w:rsidRPr="005203B1">
        <w:rPr>
          <w:b/>
          <w:noProof/>
        </w:rPr>
        <w:t>94</w:t>
      </w:r>
      <w:r w:rsidRPr="005203B1">
        <w:rPr>
          <w:noProof/>
        </w:rPr>
        <w:t>(10): 851.</w:t>
      </w:r>
    </w:p>
    <w:p w14:paraId="1B7D9417" w14:textId="77777777" w:rsidR="005203B1" w:rsidRPr="005203B1" w:rsidRDefault="005203B1" w:rsidP="005203B1">
      <w:pPr>
        <w:pStyle w:val="EndNoteBibliography"/>
        <w:spacing w:after="0"/>
        <w:rPr>
          <w:noProof/>
          <w:lang w:val="fr-FR"/>
        </w:rPr>
      </w:pPr>
      <w:r w:rsidRPr="005203B1">
        <w:rPr>
          <w:noProof/>
        </w:rPr>
        <w:t>76.</w:t>
      </w:r>
      <w:r w:rsidRPr="005203B1">
        <w:rPr>
          <w:noProof/>
        </w:rPr>
        <w:tab/>
        <w:t xml:space="preserve">Bomela HN, Ballot DE, Cory BJ, Cooper PA. Use of C-reactive protein  to guide duration of empiric antibiotic therapy in suspected early neonatal sepsis. </w:t>
      </w:r>
      <w:r w:rsidRPr="005203B1">
        <w:rPr>
          <w:i/>
          <w:noProof/>
          <w:lang w:val="fr-FR"/>
        </w:rPr>
        <w:t>Pediatr Infect Dis J</w:t>
      </w:r>
      <w:r w:rsidRPr="005203B1">
        <w:rPr>
          <w:noProof/>
          <w:lang w:val="fr-FR"/>
        </w:rPr>
        <w:t xml:space="preserve"> 2000; </w:t>
      </w:r>
      <w:r w:rsidRPr="005203B1">
        <w:rPr>
          <w:b/>
          <w:noProof/>
          <w:lang w:val="fr-FR"/>
        </w:rPr>
        <w:t>19</w:t>
      </w:r>
      <w:r w:rsidRPr="005203B1">
        <w:rPr>
          <w:noProof/>
          <w:lang w:val="fr-FR"/>
        </w:rPr>
        <w:t>(6): 531-5.</w:t>
      </w:r>
    </w:p>
    <w:p w14:paraId="6997CA26" w14:textId="77777777" w:rsidR="005203B1" w:rsidRPr="005203B1" w:rsidRDefault="005203B1" w:rsidP="005203B1">
      <w:pPr>
        <w:pStyle w:val="EndNoteBibliography"/>
        <w:spacing w:after="0"/>
        <w:rPr>
          <w:noProof/>
        </w:rPr>
      </w:pPr>
      <w:r w:rsidRPr="005203B1">
        <w:rPr>
          <w:noProof/>
          <w:lang w:val="fr-FR"/>
        </w:rPr>
        <w:t>77.</w:t>
      </w:r>
      <w:r w:rsidRPr="005203B1">
        <w:rPr>
          <w:noProof/>
          <w:lang w:val="fr-FR"/>
        </w:rPr>
        <w:tab/>
        <w:t xml:space="preserve">Chiabi A, Fokam P, Toupouri A, et al. Les infections neonatales bacteriennes en milieu rural au Cameroun. </w:t>
      </w:r>
      <w:r w:rsidRPr="005203B1">
        <w:rPr>
          <w:i/>
          <w:noProof/>
        </w:rPr>
        <w:t>Clinics in Mother and Child Health</w:t>
      </w:r>
      <w:r w:rsidRPr="005203B1">
        <w:rPr>
          <w:noProof/>
        </w:rPr>
        <w:t xml:space="preserve"> 2005; </w:t>
      </w:r>
      <w:r w:rsidRPr="005203B1">
        <w:rPr>
          <w:b/>
          <w:noProof/>
        </w:rPr>
        <w:t>2</w:t>
      </w:r>
      <w:r w:rsidRPr="005203B1">
        <w:rPr>
          <w:noProof/>
        </w:rPr>
        <w:t>(1): 229-34.</w:t>
      </w:r>
    </w:p>
    <w:p w14:paraId="78B3039C" w14:textId="77777777" w:rsidR="005203B1" w:rsidRPr="005203B1" w:rsidRDefault="005203B1" w:rsidP="005203B1">
      <w:pPr>
        <w:pStyle w:val="EndNoteBibliography"/>
        <w:spacing w:after="0"/>
        <w:rPr>
          <w:noProof/>
        </w:rPr>
      </w:pPr>
      <w:r w:rsidRPr="005203B1">
        <w:rPr>
          <w:noProof/>
        </w:rPr>
        <w:t>78.</w:t>
      </w:r>
      <w:r w:rsidRPr="005203B1">
        <w:rPr>
          <w:noProof/>
        </w:rPr>
        <w:tab/>
        <w:t xml:space="preserve">Nathoo KJ, Mason PR, Chimbira TH. Neonatal septicaemia in Harare Hospital: aetiology and risk factors. The puerperal sepsis study group. </w:t>
      </w:r>
      <w:r w:rsidRPr="005203B1">
        <w:rPr>
          <w:i/>
          <w:noProof/>
        </w:rPr>
        <w:t>Centr Afr J Med</w:t>
      </w:r>
      <w:r w:rsidRPr="005203B1">
        <w:rPr>
          <w:noProof/>
        </w:rPr>
        <w:t xml:space="preserve"> 1990; </w:t>
      </w:r>
      <w:r w:rsidRPr="005203B1">
        <w:rPr>
          <w:b/>
          <w:noProof/>
        </w:rPr>
        <w:t>36</w:t>
      </w:r>
      <w:r w:rsidRPr="005203B1">
        <w:rPr>
          <w:noProof/>
        </w:rPr>
        <w:t>(6): 150-6.</w:t>
      </w:r>
    </w:p>
    <w:p w14:paraId="05811F8C" w14:textId="77777777" w:rsidR="005203B1" w:rsidRPr="005203B1" w:rsidRDefault="005203B1" w:rsidP="005203B1">
      <w:pPr>
        <w:pStyle w:val="EndNoteBibliography"/>
        <w:spacing w:after="0"/>
        <w:rPr>
          <w:noProof/>
        </w:rPr>
      </w:pPr>
      <w:r w:rsidRPr="005203B1">
        <w:rPr>
          <w:noProof/>
        </w:rPr>
        <w:t>79.</w:t>
      </w:r>
      <w:r w:rsidRPr="005203B1">
        <w:rPr>
          <w:noProof/>
        </w:rPr>
        <w:tab/>
        <w:t xml:space="preserve">Ogundare EO, Akintayo AA, Dedeke IO, F, et al. Neonatal septicaemia in a rural Nigerian hospital: aetiology, presentation and antibiotic sensitivity pattern. </w:t>
      </w:r>
      <w:r w:rsidRPr="005203B1">
        <w:rPr>
          <w:i/>
          <w:noProof/>
        </w:rPr>
        <w:t>Br J Med Med Res</w:t>
      </w:r>
      <w:r w:rsidRPr="005203B1">
        <w:rPr>
          <w:noProof/>
        </w:rPr>
        <w:t xml:space="preserve"> 2016; </w:t>
      </w:r>
      <w:r w:rsidRPr="005203B1">
        <w:rPr>
          <w:b/>
          <w:noProof/>
        </w:rPr>
        <w:t>12</w:t>
      </w:r>
      <w:r w:rsidRPr="005203B1">
        <w:rPr>
          <w:noProof/>
        </w:rPr>
        <w:t>(7): 1-11.</w:t>
      </w:r>
    </w:p>
    <w:p w14:paraId="01356802" w14:textId="77777777" w:rsidR="005203B1" w:rsidRPr="005203B1" w:rsidRDefault="005203B1" w:rsidP="005203B1">
      <w:pPr>
        <w:pStyle w:val="EndNoteBibliography"/>
        <w:spacing w:after="0"/>
        <w:rPr>
          <w:noProof/>
        </w:rPr>
      </w:pPr>
      <w:r w:rsidRPr="005203B1">
        <w:rPr>
          <w:noProof/>
        </w:rPr>
        <w:t>80.</w:t>
      </w:r>
      <w:r w:rsidRPr="005203B1">
        <w:rPr>
          <w:noProof/>
        </w:rPr>
        <w:tab/>
        <w:t xml:space="preserve">Owa JA, Olusanya O. Neonatal bacteraemia in Wesley Guild Hospital, Ilesha, Nigeria. </w:t>
      </w:r>
      <w:r w:rsidRPr="005203B1">
        <w:rPr>
          <w:i/>
          <w:noProof/>
        </w:rPr>
        <w:t>Ann Trop Paediatr</w:t>
      </w:r>
      <w:r w:rsidRPr="005203B1">
        <w:rPr>
          <w:noProof/>
        </w:rPr>
        <w:t xml:space="preserve"> 1988; </w:t>
      </w:r>
      <w:r w:rsidRPr="005203B1">
        <w:rPr>
          <w:b/>
          <w:noProof/>
        </w:rPr>
        <w:t>8</w:t>
      </w:r>
      <w:r w:rsidRPr="005203B1">
        <w:rPr>
          <w:noProof/>
        </w:rPr>
        <w:t>(2): 80-4.</w:t>
      </w:r>
    </w:p>
    <w:p w14:paraId="2B123B3D" w14:textId="77777777" w:rsidR="005203B1" w:rsidRPr="005203B1" w:rsidRDefault="005203B1" w:rsidP="005203B1">
      <w:pPr>
        <w:pStyle w:val="EndNoteBibliography"/>
        <w:spacing w:after="0"/>
        <w:rPr>
          <w:noProof/>
        </w:rPr>
      </w:pPr>
      <w:r w:rsidRPr="005203B1">
        <w:rPr>
          <w:noProof/>
        </w:rPr>
        <w:t>81.</w:t>
      </w:r>
      <w:r w:rsidRPr="005203B1">
        <w:rPr>
          <w:noProof/>
        </w:rPr>
        <w:tab/>
        <w:t xml:space="preserve">Landre-Peigne C, Ka AS, Peigne V, Bougere J, Seye MN, Imbert P. Efficacy of an infection control programme in reducing nosocomial bloodstream infections in a Senegalese neonatal unit. </w:t>
      </w:r>
      <w:r w:rsidRPr="005203B1">
        <w:rPr>
          <w:i/>
          <w:noProof/>
        </w:rPr>
        <w:t>The Journal of hospital infection</w:t>
      </w:r>
      <w:r w:rsidRPr="005203B1">
        <w:rPr>
          <w:noProof/>
        </w:rPr>
        <w:t xml:space="preserve"> 2011; </w:t>
      </w:r>
      <w:r w:rsidRPr="005203B1">
        <w:rPr>
          <w:b/>
          <w:noProof/>
        </w:rPr>
        <w:t>79</w:t>
      </w:r>
      <w:r w:rsidRPr="005203B1">
        <w:rPr>
          <w:noProof/>
        </w:rPr>
        <w:t>(2): 161-5.</w:t>
      </w:r>
    </w:p>
    <w:p w14:paraId="1F61486D" w14:textId="77777777" w:rsidR="005203B1" w:rsidRPr="005203B1" w:rsidRDefault="005203B1" w:rsidP="005203B1">
      <w:pPr>
        <w:pStyle w:val="EndNoteBibliography"/>
        <w:spacing w:after="0"/>
        <w:rPr>
          <w:noProof/>
        </w:rPr>
      </w:pPr>
      <w:r w:rsidRPr="005203B1">
        <w:rPr>
          <w:noProof/>
        </w:rPr>
        <w:t>82.</w:t>
      </w:r>
      <w:r w:rsidRPr="005203B1">
        <w:rPr>
          <w:noProof/>
        </w:rPr>
        <w:tab/>
        <w:t xml:space="preserve">Ekwochi U, Ifediora C, Osuorah CDI. A 4-year prospective study of clinico-bacterial profile and antibiogram of neonatal bacterial sepsis at a tertiary health facility in a resource-limited setting. </w:t>
      </w:r>
      <w:r w:rsidRPr="005203B1">
        <w:rPr>
          <w:i/>
          <w:noProof/>
        </w:rPr>
        <w:t>Journal of Clinical Neonatology</w:t>
      </w:r>
      <w:r w:rsidRPr="005203B1">
        <w:rPr>
          <w:noProof/>
        </w:rPr>
        <w:t xml:space="preserve"> 2018; </w:t>
      </w:r>
      <w:r w:rsidRPr="005203B1">
        <w:rPr>
          <w:b/>
          <w:noProof/>
        </w:rPr>
        <w:t>7</w:t>
      </w:r>
      <w:r w:rsidRPr="005203B1">
        <w:rPr>
          <w:noProof/>
        </w:rPr>
        <w:t>(2): 80-8.</w:t>
      </w:r>
    </w:p>
    <w:p w14:paraId="59E6F8E2" w14:textId="77777777" w:rsidR="005203B1" w:rsidRPr="005203B1" w:rsidRDefault="005203B1" w:rsidP="005203B1">
      <w:pPr>
        <w:pStyle w:val="EndNoteBibliography"/>
        <w:spacing w:after="0"/>
        <w:rPr>
          <w:noProof/>
        </w:rPr>
      </w:pPr>
      <w:r w:rsidRPr="005203B1">
        <w:rPr>
          <w:noProof/>
        </w:rPr>
        <w:t>83.</w:t>
      </w:r>
      <w:r w:rsidRPr="005203B1">
        <w:rPr>
          <w:noProof/>
        </w:rPr>
        <w:tab/>
        <w:t xml:space="preserve">Cowden CL, Mwananyanda L, Pierre C, et al. Microbiology and outcomes in hospitalized neonates with sepsis: A Zambian cohort study. </w:t>
      </w:r>
      <w:r w:rsidRPr="005203B1">
        <w:rPr>
          <w:i/>
          <w:noProof/>
        </w:rPr>
        <w:t>Am J Trop Med Hyg</w:t>
      </w:r>
      <w:r w:rsidRPr="005203B1">
        <w:rPr>
          <w:noProof/>
        </w:rPr>
        <w:t xml:space="preserve"> 2017; </w:t>
      </w:r>
      <w:r w:rsidRPr="005203B1">
        <w:rPr>
          <w:b/>
          <w:noProof/>
        </w:rPr>
        <w:t xml:space="preserve">95 </w:t>
      </w:r>
      <w:r w:rsidRPr="005203B1">
        <w:rPr>
          <w:noProof/>
        </w:rPr>
        <w:t>(5_Suppl): 601-2.</w:t>
      </w:r>
    </w:p>
    <w:p w14:paraId="11397A65" w14:textId="77777777" w:rsidR="005203B1" w:rsidRPr="005203B1" w:rsidRDefault="005203B1" w:rsidP="005203B1">
      <w:pPr>
        <w:pStyle w:val="EndNoteBibliography"/>
        <w:spacing w:after="0"/>
        <w:rPr>
          <w:noProof/>
        </w:rPr>
      </w:pPr>
      <w:r w:rsidRPr="005203B1">
        <w:rPr>
          <w:noProof/>
        </w:rPr>
        <w:t>84.</w:t>
      </w:r>
      <w:r w:rsidRPr="005203B1">
        <w:rPr>
          <w:noProof/>
        </w:rPr>
        <w:tab/>
        <w:t xml:space="preserve">Nwankwo EOK, Shehu AU, Farouk ZL. Risk factors and bacterial profile of suspected neonatal septicaemia at a Teaching Hospital in Kano, Northwestern, Nigeria. </w:t>
      </w:r>
      <w:r w:rsidRPr="005203B1">
        <w:rPr>
          <w:i/>
          <w:noProof/>
        </w:rPr>
        <w:t>Sierra Leone J Biomed Res</w:t>
      </w:r>
      <w:r w:rsidRPr="005203B1">
        <w:rPr>
          <w:noProof/>
        </w:rPr>
        <w:t xml:space="preserve"> 2011; </w:t>
      </w:r>
      <w:r w:rsidRPr="005203B1">
        <w:rPr>
          <w:b/>
          <w:noProof/>
        </w:rPr>
        <w:t>3</w:t>
      </w:r>
      <w:r w:rsidRPr="005203B1">
        <w:rPr>
          <w:noProof/>
        </w:rPr>
        <w:t>(2): 104-9.</w:t>
      </w:r>
    </w:p>
    <w:p w14:paraId="0E91271B" w14:textId="77777777" w:rsidR="005203B1" w:rsidRPr="005203B1" w:rsidRDefault="005203B1" w:rsidP="005203B1">
      <w:pPr>
        <w:pStyle w:val="EndNoteBibliography"/>
        <w:spacing w:after="0"/>
        <w:rPr>
          <w:noProof/>
        </w:rPr>
      </w:pPr>
      <w:r w:rsidRPr="005203B1">
        <w:rPr>
          <w:noProof/>
        </w:rPr>
        <w:t>85.</w:t>
      </w:r>
      <w:r w:rsidRPr="005203B1">
        <w:rPr>
          <w:noProof/>
        </w:rPr>
        <w:tab/>
        <w:t xml:space="preserve">Schrag SJ, Cutland CL, Zell ER, et al. Risk factors for neonatal sepsis and perinatal death among infants enrolled in the prevention of perinatal sepsis trial, Soweto, South Africa. </w:t>
      </w:r>
      <w:r w:rsidRPr="005203B1">
        <w:rPr>
          <w:i/>
          <w:noProof/>
        </w:rPr>
        <w:t>Pediatr Infect Dis J</w:t>
      </w:r>
      <w:r w:rsidRPr="005203B1">
        <w:rPr>
          <w:noProof/>
        </w:rPr>
        <w:t xml:space="preserve"> 2012; </w:t>
      </w:r>
      <w:r w:rsidRPr="005203B1">
        <w:rPr>
          <w:b/>
          <w:noProof/>
        </w:rPr>
        <w:t>31</w:t>
      </w:r>
      <w:r w:rsidRPr="005203B1">
        <w:rPr>
          <w:noProof/>
        </w:rPr>
        <w:t>(8): 821-6.</w:t>
      </w:r>
    </w:p>
    <w:p w14:paraId="0366A792" w14:textId="77777777" w:rsidR="005203B1" w:rsidRPr="005203B1" w:rsidRDefault="005203B1" w:rsidP="005203B1">
      <w:pPr>
        <w:pStyle w:val="EndNoteBibliography"/>
        <w:spacing w:after="0"/>
        <w:rPr>
          <w:noProof/>
        </w:rPr>
      </w:pPr>
      <w:r w:rsidRPr="005203B1">
        <w:rPr>
          <w:noProof/>
        </w:rPr>
        <w:t>86.</w:t>
      </w:r>
      <w:r w:rsidRPr="005203B1">
        <w:rPr>
          <w:noProof/>
        </w:rPr>
        <w:tab/>
        <w:t xml:space="preserve">Kayange N, Kamugisha E, Mwizamholya DL, Jeremiah S, Mshana SE. Predictors of positive blood culture and deaths among neonates with suspected neonatal sepsis in a tertiary hospital, Mwanza-Tanzania. </w:t>
      </w:r>
      <w:r w:rsidRPr="005203B1">
        <w:rPr>
          <w:i/>
          <w:noProof/>
        </w:rPr>
        <w:t>BMC Pediatr</w:t>
      </w:r>
      <w:r w:rsidRPr="005203B1">
        <w:rPr>
          <w:noProof/>
        </w:rPr>
        <w:t xml:space="preserve"> 2010; </w:t>
      </w:r>
      <w:r w:rsidRPr="005203B1">
        <w:rPr>
          <w:b/>
          <w:noProof/>
        </w:rPr>
        <w:t>10</w:t>
      </w:r>
      <w:r w:rsidRPr="005203B1">
        <w:rPr>
          <w:noProof/>
        </w:rPr>
        <w:t>: 39-.</w:t>
      </w:r>
    </w:p>
    <w:p w14:paraId="29DBBDC8" w14:textId="77777777" w:rsidR="005203B1" w:rsidRPr="005203B1" w:rsidRDefault="005203B1" w:rsidP="005203B1">
      <w:pPr>
        <w:pStyle w:val="EndNoteBibliography"/>
        <w:spacing w:after="0"/>
        <w:rPr>
          <w:noProof/>
        </w:rPr>
      </w:pPr>
      <w:r w:rsidRPr="005203B1">
        <w:rPr>
          <w:noProof/>
        </w:rPr>
        <w:t>87.</w:t>
      </w:r>
      <w:r w:rsidRPr="005203B1">
        <w:rPr>
          <w:noProof/>
        </w:rPr>
        <w:tab/>
        <w:t xml:space="preserve">Mkony MF, Mizinduko MM, Massawe A, Matee M. Management of neonatal sepsis at Muhimbili National Hospital in Dar es Salaam: diagnostic accuracy of C-reactive protein and newborn scale of sepsis and antimicrobial resistance pattern of etiological bacteria. </w:t>
      </w:r>
      <w:r w:rsidRPr="005203B1">
        <w:rPr>
          <w:i/>
          <w:noProof/>
        </w:rPr>
        <w:t>BMC Pediatr</w:t>
      </w:r>
      <w:r w:rsidRPr="005203B1">
        <w:rPr>
          <w:noProof/>
        </w:rPr>
        <w:t xml:space="preserve"> 2014; </w:t>
      </w:r>
      <w:r w:rsidRPr="005203B1">
        <w:rPr>
          <w:b/>
          <w:noProof/>
        </w:rPr>
        <w:t>14</w:t>
      </w:r>
      <w:r w:rsidRPr="005203B1">
        <w:rPr>
          <w:noProof/>
        </w:rPr>
        <w:t>: 293-.</w:t>
      </w:r>
    </w:p>
    <w:p w14:paraId="4F4A80DB" w14:textId="77777777" w:rsidR="005203B1" w:rsidRPr="005203B1" w:rsidRDefault="005203B1" w:rsidP="005203B1">
      <w:pPr>
        <w:pStyle w:val="EndNoteBibliography"/>
        <w:spacing w:after="0"/>
        <w:rPr>
          <w:noProof/>
        </w:rPr>
      </w:pPr>
      <w:r w:rsidRPr="005203B1">
        <w:rPr>
          <w:noProof/>
        </w:rPr>
        <w:t>88.</w:t>
      </w:r>
      <w:r w:rsidRPr="005203B1">
        <w:rPr>
          <w:noProof/>
        </w:rPr>
        <w:tab/>
        <w:t xml:space="preserve">Onyedibe KI, Bode-Thomas F, Afolaranmi TO, Okolo MO, Banwat EB, Egah DZ. Bacteriologic profile, antibiotic regimen and clinical outcome of neonatal sepsis in a University Teaching Hospital in North Central Nigeria. </w:t>
      </w:r>
      <w:r w:rsidRPr="005203B1">
        <w:rPr>
          <w:i/>
          <w:noProof/>
        </w:rPr>
        <w:t>Bri J Med Medical Res</w:t>
      </w:r>
      <w:r w:rsidRPr="005203B1">
        <w:rPr>
          <w:noProof/>
        </w:rPr>
        <w:t xml:space="preserve"> 2015; </w:t>
      </w:r>
      <w:r w:rsidRPr="005203B1">
        <w:rPr>
          <w:b/>
          <w:noProof/>
        </w:rPr>
        <w:t>7</w:t>
      </w:r>
      <w:r w:rsidRPr="005203B1">
        <w:rPr>
          <w:noProof/>
        </w:rPr>
        <w:t>(7): 567-79.</w:t>
      </w:r>
    </w:p>
    <w:p w14:paraId="0B647E5E" w14:textId="77777777" w:rsidR="005203B1" w:rsidRPr="005203B1" w:rsidRDefault="005203B1" w:rsidP="005203B1">
      <w:pPr>
        <w:pStyle w:val="EndNoteBibliography"/>
        <w:spacing w:after="0"/>
        <w:rPr>
          <w:noProof/>
        </w:rPr>
      </w:pPr>
      <w:r w:rsidRPr="005203B1">
        <w:rPr>
          <w:noProof/>
        </w:rPr>
        <w:t>89.</w:t>
      </w:r>
      <w:r w:rsidRPr="005203B1">
        <w:rPr>
          <w:noProof/>
        </w:rPr>
        <w:tab/>
        <w:t xml:space="preserve">Onyedibe KI, Okolo MO, Toma B, Tafolaranmi T. The necessity of full sepsis screen in neonatal sepsis: experience in a resource-limited setting. </w:t>
      </w:r>
      <w:r w:rsidRPr="005203B1">
        <w:rPr>
          <w:i/>
          <w:noProof/>
        </w:rPr>
        <w:t>Sahel Med J</w:t>
      </w:r>
      <w:r w:rsidRPr="005203B1">
        <w:rPr>
          <w:noProof/>
        </w:rPr>
        <w:t xml:space="preserve"> 2016; </w:t>
      </w:r>
      <w:r w:rsidRPr="005203B1">
        <w:rPr>
          <w:b/>
          <w:noProof/>
        </w:rPr>
        <w:t>19</w:t>
      </w:r>
      <w:r w:rsidRPr="005203B1">
        <w:rPr>
          <w:noProof/>
        </w:rPr>
        <w:t>: 89-93.</w:t>
      </w:r>
    </w:p>
    <w:p w14:paraId="7C3B4D5D" w14:textId="77777777" w:rsidR="005203B1" w:rsidRPr="005203B1" w:rsidRDefault="005203B1" w:rsidP="005203B1">
      <w:pPr>
        <w:pStyle w:val="EndNoteBibliography"/>
        <w:spacing w:after="0"/>
        <w:rPr>
          <w:noProof/>
          <w:lang w:val="fr-FR"/>
        </w:rPr>
      </w:pPr>
      <w:r w:rsidRPr="005203B1">
        <w:rPr>
          <w:noProof/>
        </w:rPr>
        <w:t>90.</w:t>
      </w:r>
      <w:r w:rsidRPr="005203B1">
        <w:rPr>
          <w:noProof/>
        </w:rPr>
        <w:tab/>
        <w:t xml:space="preserve">Chiabi A, Djoupomb M, Mah E, et al. The clinical and bacteriogical spectrum of neonatal sepsis in a tertiary hospital in Yaounde, Cameroon. </w:t>
      </w:r>
      <w:r w:rsidRPr="005203B1">
        <w:rPr>
          <w:i/>
          <w:noProof/>
          <w:lang w:val="fr-FR"/>
        </w:rPr>
        <w:t>Iranian journal of pediatrics</w:t>
      </w:r>
      <w:r w:rsidRPr="005203B1">
        <w:rPr>
          <w:noProof/>
          <w:lang w:val="fr-FR"/>
        </w:rPr>
        <w:t xml:space="preserve"> 2011; </w:t>
      </w:r>
      <w:r w:rsidRPr="005203B1">
        <w:rPr>
          <w:b/>
          <w:noProof/>
          <w:lang w:val="fr-FR"/>
        </w:rPr>
        <w:t>21</w:t>
      </w:r>
      <w:r w:rsidRPr="005203B1">
        <w:rPr>
          <w:noProof/>
          <w:lang w:val="fr-FR"/>
        </w:rPr>
        <w:t>(4): 441-8.</w:t>
      </w:r>
    </w:p>
    <w:p w14:paraId="390C0197" w14:textId="77777777" w:rsidR="005203B1" w:rsidRPr="005203B1" w:rsidRDefault="005203B1" w:rsidP="005203B1">
      <w:pPr>
        <w:pStyle w:val="EndNoteBibliography"/>
        <w:spacing w:after="0"/>
        <w:rPr>
          <w:noProof/>
          <w:lang w:val="fr-FR"/>
        </w:rPr>
      </w:pPr>
      <w:r w:rsidRPr="005203B1">
        <w:rPr>
          <w:noProof/>
          <w:lang w:val="fr-FR"/>
        </w:rPr>
        <w:t>91.</w:t>
      </w:r>
      <w:r w:rsidRPr="005203B1">
        <w:rPr>
          <w:noProof/>
          <w:lang w:val="fr-FR"/>
        </w:rPr>
        <w:tab/>
        <w:t xml:space="preserve">Ekouya Bowassa G, Ontsira-Ngoyi EN, Okoko AR, et al. </w:t>
      </w:r>
      <w:r w:rsidRPr="005203B1">
        <w:rPr>
          <w:noProof/>
        </w:rPr>
        <w:t xml:space="preserve">Bacteriology of early neonatal infection in Brazzaville, Congo. </w:t>
      </w:r>
      <w:r w:rsidRPr="005203B1">
        <w:rPr>
          <w:i/>
          <w:noProof/>
          <w:lang w:val="fr-FR"/>
        </w:rPr>
        <w:t>Arch Pediatr</w:t>
      </w:r>
      <w:r w:rsidRPr="005203B1">
        <w:rPr>
          <w:noProof/>
          <w:lang w:val="fr-FR"/>
        </w:rPr>
        <w:t xml:space="preserve"> 2014; </w:t>
      </w:r>
      <w:r w:rsidRPr="005203B1">
        <w:rPr>
          <w:b/>
          <w:noProof/>
          <w:lang w:val="fr-FR"/>
        </w:rPr>
        <w:t>22</w:t>
      </w:r>
      <w:r w:rsidRPr="005203B1">
        <w:rPr>
          <w:noProof/>
          <w:lang w:val="fr-FR"/>
        </w:rPr>
        <w:t>(10): 1099-101.</w:t>
      </w:r>
    </w:p>
    <w:p w14:paraId="20CD165C" w14:textId="77777777" w:rsidR="005203B1" w:rsidRPr="005203B1" w:rsidRDefault="005203B1" w:rsidP="005203B1">
      <w:pPr>
        <w:pStyle w:val="EndNoteBibliography"/>
        <w:spacing w:after="0"/>
        <w:rPr>
          <w:noProof/>
        </w:rPr>
      </w:pPr>
      <w:r w:rsidRPr="005203B1">
        <w:rPr>
          <w:noProof/>
          <w:lang w:val="fr-FR"/>
        </w:rPr>
        <w:lastRenderedPageBreak/>
        <w:t>92.</w:t>
      </w:r>
      <w:r w:rsidRPr="005203B1">
        <w:rPr>
          <w:noProof/>
          <w:lang w:val="fr-FR"/>
        </w:rPr>
        <w:tab/>
        <w:t xml:space="preserve">Agence nationale d’accreditation et d’evaluation en sante (Anaes). Diagnostic et traitement curatif de l’infection bacterienne precoce du nouveau-ne. </w:t>
      </w:r>
      <w:r w:rsidRPr="005203B1">
        <w:rPr>
          <w:i/>
          <w:noProof/>
        </w:rPr>
        <w:t>Arch Pediatr</w:t>
      </w:r>
      <w:r w:rsidRPr="005203B1">
        <w:rPr>
          <w:noProof/>
        </w:rPr>
        <w:t xml:space="preserve"> 2003; </w:t>
      </w:r>
      <w:r w:rsidRPr="005203B1">
        <w:rPr>
          <w:b/>
          <w:noProof/>
        </w:rPr>
        <w:t>10</w:t>
      </w:r>
      <w:r w:rsidRPr="005203B1">
        <w:rPr>
          <w:noProof/>
        </w:rPr>
        <w:t>: 489-96.</w:t>
      </w:r>
    </w:p>
    <w:p w14:paraId="0207EC3D" w14:textId="77777777" w:rsidR="005203B1" w:rsidRPr="005203B1" w:rsidRDefault="005203B1" w:rsidP="005203B1">
      <w:pPr>
        <w:pStyle w:val="EndNoteBibliography"/>
        <w:spacing w:after="0"/>
        <w:rPr>
          <w:noProof/>
        </w:rPr>
      </w:pPr>
      <w:r w:rsidRPr="005203B1">
        <w:rPr>
          <w:noProof/>
        </w:rPr>
        <w:t>93.</w:t>
      </w:r>
      <w:r w:rsidRPr="005203B1">
        <w:rPr>
          <w:noProof/>
        </w:rPr>
        <w:tab/>
        <w:t xml:space="preserve">John B, David M, Mathias L, Elizabeth N. Risk factors and practices contributing to newborn sepsis in a rural district of Eastern Uganda, august 2013: A cross sectional study. </w:t>
      </w:r>
      <w:r w:rsidRPr="005203B1">
        <w:rPr>
          <w:i/>
          <w:noProof/>
        </w:rPr>
        <w:t>BMC Res Notes</w:t>
      </w:r>
      <w:r w:rsidRPr="005203B1">
        <w:rPr>
          <w:noProof/>
        </w:rPr>
        <w:t xml:space="preserve"> 2015; </w:t>
      </w:r>
      <w:r w:rsidRPr="005203B1">
        <w:rPr>
          <w:b/>
          <w:noProof/>
        </w:rPr>
        <w:t>8</w:t>
      </w:r>
      <w:r w:rsidRPr="005203B1">
        <w:rPr>
          <w:noProof/>
        </w:rPr>
        <w:t>: 339-.</w:t>
      </w:r>
    </w:p>
    <w:p w14:paraId="221E7F79" w14:textId="77777777" w:rsidR="005203B1" w:rsidRPr="005203B1" w:rsidRDefault="005203B1" w:rsidP="005203B1">
      <w:pPr>
        <w:pStyle w:val="EndNoteBibliography"/>
        <w:spacing w:after="0"/>
        <w:rPr>
          <w:noProof/>
        </w:rPr>
      </w:pPr>
      <w:r w:rsidRPr="005203B1">
        <w:rPr>
          <w:noProof/>
        </w:rPr>
        <w:t>94.</w:t>
      </w:r>
      <w:r w:rsidRPr="005203B1">
        <w:rPr>
          <w:noProof/>
        </w:rPr>
        <w:tab/>
        <w:t xml:space="preserve">Goldstein B, Giroir B, Randolph A, International Consensus Conference on Pediatric S. International pediatric sepsis consensus conference: definitions for sepsis and organ dysfunction in pediatrics. </w:t>
      </w:r>
      <w:r w:rsidRPr="005203B1">
        <w:rPr>
          <w:i/>
          <w:noProof/>
        </w:rPr>
        <w:t>Pediatr Crit Care Med</w:t>
      </w:r>
      <w:r w:rsidRPr="005203B1">
        <w:rPr>
          <w:noProof/>
        </w:rPr>
        <w:t xml:space="preserve"> 2005; </w:t>
      </w:r>
      <w:r w:rsidRPr="005203B1">
        <w:rPr>
          <w:b/>
          <w:noProof/>
        </w:rPr>
        <w:t>6</w:t>
      </w:r>
      <w:r w:rsidRPr="005203B1">
        <w:rPr>
          <w:noProof/>
        </w:rPr>
        <w:t>(1): 2-8.</w:t>
      </w:r>
    </w:p>
    <w:p w14:paraId="7BFCC899" w14:textId="77777777" w:rsidR="005203B1" w:rsidRPr="005203B1" w:rsidRDefault="005203B1" w:rsidP="005203B1">
      <w:pPr>
        <w:pStyle w:val="EndNoteBibliography"/>
        <w:spacing w:after="0"/>
        <w:rPr>
          <w:noProof/>
        </w:rPr>
      </w:pPr>
      <w:r w:rsidRPr="005203B1">
        <w:rPr>
          <w:noProof/>
        </w:rPr>
        <w:t>95.</w:t>
      </w:r>
      <w:r w:rsidRPr="005203B1">
        <w:rPr>
          <w:noProof/>
        </w:rPr>
        <w:tab/>
        <w:t xml:space="preserve">Sachdev A, Ramachandran B, Santhanam I, et al. Pediatric Sepsis Guidelines: summary for resource-limited countries. </w:t>
      </w:r>
      <w:r w:rsidRPr="005203B1">
        <w:rPr>
          <w:i/>
          <w:noProof/>
        </w:rPr>
        <w:t>Indian J Crit Care Med</w:t>
      </w:r>
      <w:r w:rsidRPr="005203B1">
        <w:rPr>
          <w:noProof/>
        </w:rPr>
        <w:t xml:space="preserve"> 2010; </w:t>
      </w:r>
      <w:r w:rsidRPr="005203B1">
        <w:rPr>
          <w:b/>
          <w:noProof/>
        </w:rPr>
        <w:t>14</w:t>
      </w:r>
      <w:r w:rsidRPr="005203B1">
        <w:rPr>
          <w:noProof/>
        </w:rPr>
        <w:t>(1): 41-52.</w:t>
      </w:r>
    </w:p>
    <w:p w14:paraId="7BE7B47D" w14:textId="77777777" w:rsidR="005203B1" w:rsidRPr="005203B1" w:rsidRDefault="005203B1" w:rsidP="005203B1">
      <w:pPr>
        <w:pStyle w:val="EndNoteBibliography"/>
        <w:spacing w:after="0"/>
        <w:rPr>
          <w:noProof/>
        </w:rPr>
      </w:pPr>
      <w:r w:rsidRPr="005203B1">
        <w:rPr>
          <w:noProof/>
        </w:rPr>
        <w:t>96.</w:t>
      </w:r>
      <w:r w:rsidRPr="005203B1">
        <w:rPr>
          <w:noProof/>
        </w:rPr>
        <w:tab/>
        <w:t xml:space="preserve">Dagnew M, Yismaw G, Gizachew M, et al. Bacterial profile and antimicrobial susceptibility pattern in septicemia suspected patients attending Gondar University hospital, Northwest Ethiopia. </w:t>
      </w:r>
      <w:r w:rsidRPr="005203B1">
        <w:rPr>
          <w:i/>
          <w:noProof/>
        </w:rPr>
        <w:t>BMC Res Notes</w:t>
      </w:r>
      <w:r w:rsidRPr="005203B1">
        <w:rPr>
          <w:noProof/>
        </w:rPr>
        <w:t xml:space="preserve"> 2013; </w:t>
      </w:r>
      <w:r w:rsidRPr="005203B1">
        <w:rPr>
          <w:b/>
          <w:noProof/>
        </w:rPr>
        <w:t>6</w:t>
      </w:r>
      <w:r w:rsidRPr="005203B1">
        <w:rPr>
          <w:noProof/>
        </w:rPr>
        <w:t>: 283.</w:t>
      </w:r>
    </w:p>
    <w:p w14:paraId="16035E49" w14:textId="77777777" w:rsidR="005203B1" w:rsidRPr="005203B1" w:rsidRDefault="005203B1" w:rsidP="005203B1">
      <w:pPr>
        <w:pStyle w:val="EndNoteBibliography"/>
        <w:spacing w:after="0"/>
        <w:rPr>
          <w:noProof/>
        </w:rPr>
      </w:pPr>
      <w:r w:rsidRPr="005203B1">
        <w:rPr>
          <w:noProof/>
        </w:rPr>
        <w:t>97.</w:t>
      </w:r>
      <w:r w:rsidRPr="005203B1">
        <w:rPr>
          <w:noProof/>
        </w:rPr>
        <w:tab/>
        <w:t xml:space="preserve">Omoregie R, Egbe CA, Dirisu J, Ogefere HO. Microbiology of neonatal septicemia in a tertiary hospital in Benin City, Nigeria. </w:t>
      </w:r>
      <w:r w:rsidRPr="005203B1">
        <w:rPr>
          <w:i/>
          <w:noProof/>
        </w:rPr>
        <w:t>Biomarkers and Genomic Medicine</w:t>
      </w:r>
      <w:r w:rsidRPr="005203B1">
        <w:rPr>
          <w:noProof/>
        </w:rPr>
        <w:t xml:space="preserve"> 2013; </w:t>
      </w:r>
      <w:r w:rsidRPr="005203B1">
        <w:rPr>
          <w:b/>
          <w:noProof/>
        </w:rPr>
        <w:t>5</w:t>
      </w:r>
      <w:r w:rsidRPr="005203B1">
        <w:rPr>
          <w:noProof/>
        </w:rPr>
        <w:t>(4): 142-6.</w:t>
      </w:r>
    </w:p>
    <w:p w14:paraId="63347F2B" w14:textId="77777777" w:rsidR="005203B1" w:rsidRPr="005203B1" w:rsidRDefault="005203B1" w:rsidP="005203B1">
      <w:pPr>
        <w:pStyle w:val="EndNoteBibliography"/>
        <w:spacing w:after="0"/>
        <w:rPr>
          <w:noProof/>
        </w:rPr>
      </w:pPr>
      <w:r w:rsidRPr="005203B1">
        <w:rPr>
          <w:noProof/>
        </w:rPr>
        <w:t>98.</w:t>
      </w:r>
      <w:r w:rsidRPr="005203B1">
        <w:rPr>
          <w:noProof/>
        </w:rPr>
        <w:tab/>
        <w:t xml:space="preserve">Ogunlesi TA, Ogunfowora OB, Osinupebi O, Olanrewaju DM. Changing trends in newborn sepsis in Sagamu, Nigeria: Bacterial aetiology, risk factors and antibiotic susceptibility. </w:t>
      </w:r>
      <w:r w:rsidRPr="005203B1">
        <w:rPr>
          <w:i/>
          <w:noProof/>
        </w:rPr>
        <w:t>J Paediatr Child Health</w:t>
      </w:r>
      <w:r w:rsidRPr="005203B1">
        <w:rPr>
          <w:noProof/>
        </w:rPr>
        <w:t xml:space="preserve"> 2011; </w:t>
      </w:r>
      <w:r w:rsidRPr="005203B1">
        <w:rPr>
          <w:b/>
          <w:noProof/>
        </w:rPr>
        <w:t>47</w:t>
      </w:r>
      <w:r w:rsidRPr="005203B1">
        <w:rPr>
          <w:noProof/>
        </w:rPr>
        <w:t>(1-2): 5-11.</w:t>
      </w:r>
    </w:p>
    <w:p w14:paraId="113EB6E2" w14:textId="77777777" w:rsidR="005203B1" w:rsidRPr="005203B1" w:rsidRDefault="005203B1" w:rsidP="005203B1">
      <w:pPr>
        <w:pStyle w:val="EndNoteBibliography"/>
        <w:spacing w:after="0"/>
        <w:rPr>
          <w:noProof/>
        </w:rPr>
      </w:pPr>
      <w:r w:rsidRPr="005203B1">
        <w:rPr>
          <w:noProof/>
        </w:rPr>
        <w:t>99.</w:t>
      </w:r>
      <w:r w:rsidRPr="005203B1">
        <w:rPr>
          <w:noProof/>
        </w:rPr>
        <w:tab/>
        <w:t xml:space="preserve">Nwadioha I, Odimayo MS, Omotayo J, Olu-Taiwo A, Olabiyi E. A Retrospective Cross Sectional Study of Blood Culture Results in a Tertiary Hospital, Ekiti, Nigeria. </w:t>
      </w:r>
      <w:r w:rsidRPr="005203B1">
        <w:rPr>
          <w:i/>
          <w:noProof/>
        </w:rPr>
        <w:t>Open Journal of Medical Microbiology</w:t>
      </w:r>
      <w:r w:rsidRPr="005203B1">
        <w:rPr>
          <w:noProof/>
        </w:rPr>
        <w:t xml:space="preserve"> 2015; </w:t>
      </w:r>
      <w:r w:rsidRPr="005203B1">
        <w:rPr>
          <w:b/>
          <w:noProof/>
        </w:rPr>
        <w:t>5</w:t>
      </w:r>
      <w:r w:rsidRPr="005203B1">
        <w:rPr>
          <w:noProof/>
        </w:rPr>
        <w:t>: 202-108.</w:t>
      </w:r>
    </w:p>
    <w:p w14:paraId="77F1CDC1" w14:textId="77777777" w:rsidR="005203B1" w:rsidRPr="005203B1" w:rsidRDefault="005203B1" w:rsidP="005203B1">
      <w:pPr>
        <w:pStyle w:val="EndNoteBibliography"/>
        <w:spacing w:after="0"/>
        <w:rPr>
          <w:noProof/>
        </w:rPr>
      </w:pPr>
      <w:r w:rsidRPr="005203B1">
        <w:rPr>
          <w:noProof/>
        </w:rPr>
        <w:t>100.</w:t>
      </w:r>
      <w:r w:rsidRPr="005203B1">
        <w:rPr>
          <w:noProof/>
        </w:rPr>
        <w:tab/>
        <w:t xml:space="preserve">Mordi RM, Ibadin MO, Ofovwe GE. Bacterial isolates from blood samples of patients in University of Benin Teaching Hospital Benin City, Edo state, Nigeria. </w:t>
      </w:r>
      <w:r w:rsidRPr="005203B1">
        <w:rPr>
          <w:i/>
          <w:noProof/>
        </w:rPr>
        <w:t>Nig Med Pract</w:t>
      </w:r>
      <w:r w:rsidRPr="005203B1">
        <w:rPr>
          <w:noProof/>
        </w:rPr>
        <w:t xml:space="preserve"> 2010; </w:t>
      </w:r>
      <w:r w:rsidRPr="005203B1">
        <w:rPr>
          <w:b/>
          <w:noProof/>
        </w:rPr>
        <w:t>58</w:t>
      </w:r>
      <w:r w:rsidRPr="005203B1">
        <w:rPr>
          <w:noProof/>
        </w:rPr>
        <w:t>(3).</w:t>
      </w:r>
    </w:p>
    <w:p w14:paraId="57DC172B" w14:textId="77777777" w:rsidR="005203B1" w:rsidRPr="005203B1" w:rsidRDefault="005203B1" w:rsidP="005203B1">
      <w:pPr>
        <w:pStyle w:val="EndNoteBibliography"/>
        <w:spacing w:after="0"/>
        <w:rPr>
          <w:noProof/>
        </w:rPr>
      </w:pPr>
      <w:r w:rsidRPr="005203B1">
        <w:rPr>
          <w:noProof/>
        </w:rPr>
        <w:t>101.</w:t>
      </w:r>
      <w:r w:rsidRPr="005203B1">
        <w:rPr>
          <w:noProof/>
        </w:rPr>
        <w:tab/>
        <w:t xml:space="preserve">Mugalu J, Nakakeeto MK, Kiguli S, Kaddu-Mulindwa DH. Aetiology, risk factors and immediate outcome of bacteriologically confirmed neonatal septicaemia in Mulago hospital, Uganda. </w:t>
      </w:r>
      <w:r w:rsidRPr="005203B1">
        <w:rPr>
          <w:i/>
          <w:noProof/>
        </w:rPr>
        <w:t>Afr Health Sci</w:t>
      </w:r>
      <w:r w:rsidRPr="005203B1">
        <w:rPr>
          <w:noProof/>
        </w:rPr>
        <w:t xml:space="preserve"> 2006; </w:t>
      </w:r>
      <w:r w:rsidRPr="005203B1">
        <w:rPr>
          <w:b/>
          <w:noProof/>
        </w:rPr>
        <w:t>6</w:t>
      </w:r>
      <w:r w:rsidRPr="005203B1">
        <w:rPr>
          <w:noProof/>
        </w:rPr>
        <w:t>(2): 120-6.</w:t>
      </w:r>
    </w:p>
    <w:p w14:paraId="6DD783D5" w14:textId="77777777" w:rsidR="005203B1" w:rsidRPr="005203B1" w:rsidRDefault="005203B1" w:rsidP="005203B1">
      <w:pPr>
        <w:pStyle w:val="EndNoteBibliography"/>
        <w:spacing w:after="0"/>
        <w:rPr>
          <w:noProof/>
        </w:rPr>
      </w:pPr>
      <w:r w:rsidRPr="005203B1">
        <w:rPr>
          <w:noProof/>
        </w:rPr>
        <w:t>102.</w:t>
      </w:r>
      <w:r w:rsidRPr="005203B1">
        <w:rPr>
          <w:noProof/>
        </w:rPr>
        <w:tab/>
        <w:t xml:space="preserve">Airede KI, Adeyemi O, Ibrahim T. Neonatal bacterial meningitis and dexamethasone adjunctive usage in Nigeria. </w:t>
      </w:r>
      <w:r w:rsidRPr="005203B1">
        <w:rPr>
          <w:i/>
          <w:noProof/>
        </w:rPr>
        <w:t>Niger J Clin Pract</w:t>
      </w:r>
      <w:r w:rsidRPr="005203B1">
        <w:rPr>
          <w:noProof/>
        </w:rPr>
        <w:t xml:space="preserve"> 2008; </w:t>
      </w:r>
      <w:r w:rsidRPr="005203B1">
        <w:rPr>
          <w:b/>
          <w:noProof/>
        </w:rPr>
        <w:t>11</w:t>
      </w:r>
      <w:r w:rsidRPr="005203B1">
        <w:rPr>
          <w:noProof/>
        </w:rPr>
        <w:t>(3): 235-45.</w:t>
      </w:r>
    </w:p>
    <w:p w14:paraId="5D09773B" w14:textId="77777777" w:rsidR="005203B1" w:rsidRPr="005203B1" w:rsidRDefault="005203B1" w:rsidP="005203B1">
      <w:pPr>
        <w:pStyle w:val="EndNoteBibliography"/>
        <w:spacing w:after="0"/>
        <w:rPr>
          <w:noProof/>
        </w:rPr>
      </w:pPr>
      <w:r w:rsidRPr="005203B1">
        <w:rPr>
          <w:noProof/>
        </w:rPr>
        <w:t>103.</w:t>
      </w:r>
      <w:r w:rsidRPr="005203B1">
        <w:rPr>
          <w:noProof/>
        </w:rPr>
        <w:tab/>
        <w:t xml:space="preserve">Iregbu KC, Zubair KO, Modibbo IF, Aigbe AI, Sonibare SA, Ayoola OM. Neonatal infections caused by </w:t>
      </w:r>
      <w:r w:rsidRPr="005203B1">
        <w:rPr>
          <w:i/>
          <w:noProof/>
        </w:rPr>
        <w:t>Escherichia coli</w:t>
      </w:r>
      <w:r w:rsidRPr="005203B1">
        <w:rPr>
          <w:noProof/>
        </w:rPr>
        <w:t xml:space="preserve"> at the National Hospital, Abuja: a three-year retrospective study. </w:t>
      </w:r>
      <w:r w:rsidRPr="005203B1">
        <w:rPr>
          <w:i/>
          <w:noProof/>
        </w:rPr>
        <w:t>Afr J Clinl Exp Microbiol</w:t>
      </w:r>
      <w:r w:rsidRPr="005203B1">
        <w:rPr>
          <w:noProof/>
        </w:rPr>
        <w:t xml:space="preserve"> 2013; </w:t>
      </w:r>
      <w:r w:rsidRPr="005203B1">
        <w:rPr>
          <w:b/>
          <w:noProof/>
        </w:rPr>
        <w:t>14</w:t>
      </w:r>
      <w:r w:rsidRPr="005203B1">
        <w:rPr>
          <w:noProof/>
        </w:rPr>
        <w:t>(2): 95-9.</w:t>
      </w:r>
    </w:p>
    <w:p w14:paraId="29A504D2" w14:textId="77777777" w:rsidR="005203B1" w:rsidRPr="005203B1" w:rsidRDefault="005203B1" w:rsidP="005203B1">
      <w:pPr>
        <w:pStyle w:val="EndNoteBibliography"/>
        <w:spacing w:after="0"/>
        <w:rPr>
          <w:noProof/>
        </w:rPr>
      </w:pPr>
      <w:r w:rsidRPr="005203B1">
        <w:rPr>
          <w:noProof/>
        </w:rPr>
        <w:t>104.</w:t>
      </w:r>
      <w:r w:rsidRPr="005203B1">
        <w:rPr>
          <w:noProof/>
        </w:rPr>
        <w:tab/>
        <w:t xml:space="preserve">Wolzak NK, Cooke ML, Orth H, van Toorn R. The changing profile of pediatric meningitis at a referral centre in Cape Town, South Africa. </w:t>
      </w:r>
      <w:r w:rsidRPr="005203B1">
        <w:rPr>
          <w:i/>
          <w:noProof/>
        </w:rPr>
        <w:t>J Trop Pediatr</w:t>
      </w:r>
      <w:r w:rsidRPr="005203B1">
        <w:rPr>
          <w:noProof/>
        </w:rPr>
        <w:t xml:space="preserve"> 2012; </w:t>
      </w:r>
      <w:r w:rsidRPr="005203B1">
        <w:rPr>
          <w:b/>
          <w:noProof/>
        </w:rPr>
        <w:t>58</w:t>
      </w:r>
      <w:r w:rsidRPr="005203B1">
        <w:rPr>
          <w:noProof/>
        </w:rPr>
        <w:t>(6): 491-5.</w:t>
      </w:r>
    </w:p>
    <w:p w14:paraId="0E9CCB87" w14:textId="77777777" w:rsidR="005203B1" w:rsidRPr="005203B1" w:rsidRDefault="005203B1" w:rsidP="005203B1">
      <w:pPr>
        <w:pStyle w:val="EndNoteBibliography"/>
        <w:spacing w:after="0"/>
        <w:rPr>
          <w:noProof/>
        </w:rPr>
      </w:pPr>
      <w:r w:rsidRPr="005203B1">
        <w:rPr>
          <w:noProof/>
        </w:rPr>
        <w:t>105.</w:t>
      </w:r>
      <w:r w:rsidRPr="005203B1">
        <w:rPr>
          <w:noProof/>
        </w:rPr>
        <w:tab/>
        <w:t xml:space="preserve">Kiwanuka J, Bazira J, Mwanga J, et al. The microbial spectrum of neonatal sepsis in Uganda: Recovery of culturable bacteria in mother-infant pairs. </w:t>
      </w:r>
      <w:r w:rsidRPr="005203B1">
        <w:rPr>
          <w:i/>
          <w:noProof/>
        </w:rPr>
        <w:t>PLoS One</w:t>
      </w:r>
      <w:r w:rsidRPr="005203B1">
        <w:rPr>
          <w:noProof/>
        </w:rPr>
        <w:t xml:space="preserve"> 2013; </w:t>
      </w:r>
      <w:r w:rsidRPr="005203B1">
        <w:rPr>
          <w:b/>
          <w:noProof/>
        </w:rPr>
        <w:t>8</w:t>
      </w:r>
      <w:r w:rsidRPr="005203B1">
        <w:rPr>
          <w:noProof/>
        </w:rPr>
        <w:t>(8): ee72775-ee.</w:t>
      </w:r>
    </w:p>
    <w:p w14:paraId="583B14D7" w14:textId="77777777" w:rsidR="005203B1" w:rsidRPr="005203B1" w:rsidRDefault="005203B1" w:rsidP="005203B1">
      <w:pPr>
        <w:pStyle w:val="EndNoteBibliography"/>
        <w:spacing w:after="0"/>
        <w:rPr>
          <w:noProof/>
        </w:rPr>
      </w:pPr>
      <w:r w:rsidRPr="005203B1">
        <w:rPr>
          <w:noProof/>
        </w:rPr>
        <w:t>106.</w:t>
      </w:r>
      <w:r w:rsidRPr="005203B1">
        <w:rPr>
          <w:noProof/>
        </w:rPr>
        <w:tab/>
        <w:t xml:space="preserve">Kabwe M, Tembo J, Chilukutu L, et al. Etiology, antibiotic resistance and risk factors for neonatal sepsis in a large referral center in Zambia. </w:t>
      </w:r>
      <w:r w:rsidRPr="005203B1">
        <w:rPr>
          <w:i/>
          <w:noProof/>
        </w:rPr>
        <w:t>Pediatr Infect Dis J</w:t>
      </w:r>
      <w:r w:rsidRPr="005203B1">
        <w:rPr>
          <w:noProof/>
        </w:rPr>
        <w:t xml:space="preserve"> 2016; </w:t>
      </w:r>
      <w:r w:rsidRPr="005203B1">
        <w:rPr>
          <w:b/>
          <w:noProof/>
        </w:rPr>
        <w:t>35</w:t>
      </w:r>
      <w:r w:rsidRPr="005203B1">
        <w:rPr>
          <w:noProof/>
        </w:rPr>
        <w:t>(7): 194.</w:t>
      </w:r>
    </w:p>
    <w:p w14:paraId="47538491" w14:textId="77777777" w:rsidR="005203B1" w:rsidRPr="005203B1" w:rsidRDefault="005203B1" w:rsidP="005203B1">
      <w:pPr>
        <w:pStyle w:val="EndNoteBibliography"/>
        <w:spacing w:after="0"/>
        <w:rPr>
          <w:noProof/>
        </w:rPr>
      </w:pPr>
      <w:r w:rsidRPr="005203B1">
        <w:rPr>
          <w:noProof/>
        </w:rPr>
        <w:t>107.</w:t>
      </w:r>
      <w:r w:rsidRPr="005203B1">
        <w:rPr>
          <w:noProof/>
        </w:rPr>
        <w:tab/>
        <w:t xml:space="preserve">Onken A, Said AK, Jorstad M, Jenum PA, Blomberg B. Prevalence and antimicrobial resistance of microbes causing bloodstream infections in Unguja, Zanzibar. </w:t>
      </w:r>
      <w:r w:rsidRPr="005203B1">
        <w:rPr>
          <w:i/>
          <w:noProof/>
        </w:rPr>
        <w:t>PLoS One</w:t>
      </w:r>
      <w:r w:rsidRPr="005203B1">
        <w:rPr>
          <w:noProof/>
        </w:rPr>
        <w:t xml:space="preserve"> 2015; </w:t>
      </w:r>
      <w:r w:rsidRPr="005203B1">
        <w:rPr>
          <w:b/>
          <w:noProof/>
        </w:rPr>
        <w:t>10</w:t>
      </w:r>
      <w:r w:rsidRPr="005203B1">
        <w:rPr>
          <w:noProof/>
        </w:rPr>
        <w:t>(12): e0145632.</w:t>
      </w:r>
    </w:p>
    <w:p w14:paraId="7BB9123C" w14:textId="77777777" w:rsidR="005203B1" w:rsidRPr="005203B1" w:rsidRDefault="005203B1" w:rsidP="005203B1">
      <w:pPr>
        <w:pStyle w:val="EndNoteBibliography"/>
        <w:spacing w:after="0"/>
        <w:rPr>
          <w:noProof/>
        </w:rPr>
      </w:pPr>
      <w:r w:rsidRPr="005203B1">
        <w:rPr>
          <w:noProof/>
        </w:rPr>
        <w:t>108.</w:t>
      </w:r>
      <w:r w:rsidRPr="005203B1">
        <w:rPr>
          <w:noProof/>
        </w:rPr>
        <w:tab/>
        <w:t xml:space="preserve">Morkel G, Bekker A, Marais BJ, Kirsten G, van Wyk J, Dramowski A. Bloodstream infections and antimicrobial resistance patterns in a South African neonatal intensive care unit. </w:t>
      </w:r>
      <w:r w:rsidRPr="005203B1">
        <w:rPr>
          <w:i/>
          <w:noProof/>
        </w:rPr>
        <w:t>Paediatr Int Child Health</w:t>
      </w:r>
      <w:r w:rsidRPr="005203B1">
        <w:rPr>
          <w:noProof/>
        </w:rPr>
        <w:t xml:space="preserve"> 2014; </w:t>
      </w:r>
      <w:r w:rsidRPr="005203B1">
        <w:rPr>
          <w:b/>
          <w:noProof/>
        </w:rPr>
        <w:t>34</w:t>
      </w:r>
      <w:r w:rsidRPr="005203B1">
        <w:rPr>
          <w:noProof/>
        </w:rPr>
        <w:t>(2): 108-14.</w:t>
      </w:r>
    </w:p>
    <w:p w14:paraId="53229827" w14:textId="77777777" w:rsidR="005203B1" w:rsidRPr="005203B1" w:rsidRDefault="005203B1" w:rsidP="005203B1">
      <w:pPr>
        <w:pStyle w:val="EndNoteBibliography"/>
        <w:spacing w:after="0"/>
        <w:rPr>
          <w:noProof/>
        </w:rPr>
      </w:pPr>
      <w:r w:rsidRPr="005203B1">
        <w:rPr>
          <w:noProof/>
        </w:rPr>
        <w:lastRenderedPageBreak/>
        <w:t>109.</w:t>
      </w:r>
      <w:r w:rsidRPr="005203B1">
        <w:rPr>
          <w:noProof/>
        </w:rPr>
        <w:tab/>
        <w:t xml:space="preserve">Acquah SEK, Quaye L, Sagoe K, Ziem JB, Bromberger PI, Amponsem AA. Susceptibility of bacterial etiological agents to commonly-used antimicrobial agents in children with sepsis at the Tamale Teaching Hospital. </w:t>
      </w:r>
      <w:r w:rsidRPr="005203B1">
        <w:rPr>
          <w:i/>
          <w:noProof/>
        </w:rPr>
        <w:t>BMC Infect Dis</w:t>
      </w:r>
      <w:r w:rsidRPr="005203B1">
        <w:rPr>
          <w:noProof/>
        </w:rPr>
        <w:t xml:space="preserve"> 2013; </w:t>
      </w:r>
      <w:r w:rsidRPr="005203B1">
        <w:rPr>
          <w:b/>
          <w:noProof/>
        </w:rPr>
        <w:t>13</w:t>
      </w:r>
      <w:r w:rsidRPr="005203B1">
        <w:rPr>
          <w:noProof/>
        </w:rPr>
        <w:t>: 89-.</w:t>
      </w:r>
    </w:p>
    <w:p w14:paraId="5F830F2C" w14:textId="77777777" w:rsidR="005203B1" w:rsidRPr="005203B1" w:rsidRDefault="005203B1" w:rsidP="005203B1">
      <w:pPr>
        <w:pStyle w:val="EndNoteBibliography"/>
        <w:spacing w:after="0"/>
        <w:rPr>
          <w:noProof/>
        </w:rPr>
      </w:pPr>
      <w:r w:rsidRPr="005203B1">
        <w:rPr>
          <w:noProof/>
        </w:rPr>
        <w:t>110.</w:t>
      </w:r>
      <w:r w:rsidRPr="005203B1">
        <w:rPr>
          <w:noProof/>
        </w:rPr>
        <w:tab/>
        <w:t xml:space="preserve">Adesiyun OO, Mokuolu OA, Johnson AW, M.A. B, Adeniyi A. Prevalence of early onset sepsis in relation to exclusive breast feeding among newborns in Ilorin. </w:t>
      </w:r>
      <w:r w:rsidRPr="005203B1">
        <w:rPr>
          <w:i/>
          <w:noProof/>
        </w:rPr>
        <w:t>Tropical J Health Sci</w:t>
      </w:r>
      <w:r w:rsidRPr="005203B1">
        <w:rPr>
          <w:noProof/>
        </w:rPr>
        <w:t xml:space="preserve"> 2012; </w:t>
      </w:r>
      <w:r w:rsidRPr="005203B1">
        <w:rPr>
          <w:b/>
          <w:noProof/>
        </w:rPr>
        <w:t>19</w:t>
      </w:r>
      <w:r w:rsidRPr="005203B1">
        <w:rPr>
          <w:noProof/>
        </w:rPr>
        <w:t>(1).</w:t>
      </w:r>
    </w:p>
    <w:p w14:paraId="47D0A3BC" w14:textId="77777777" w:rsidR="005203B1" w:rsidRPr="005203B1" w:rsidRDefault="005203B1" w:rsidP="005203B1">
      <w:pPr>
        <w:pStyle w:val="EndNoteBibliography"/>
        <w:spacing w:after="0"/>
        <w:rPr>
          <w:noProof/>
        </w:rPr>
      </w:pPr>
      <w:r w:rsidRPr="005203B1">
        <w:rPr>
          <w:noProof/>
        </w:rPr>
        <w:t>111.</w:t>
      </w:r>
      <w:r w:rsidRPr="005203B1">
        <w:rPr>
          <w:noProof/>
        </w:rPr>
        <w:tab/>
        <w:t xml:space="preserve">Aku FY, Akweongo P, Nyarko K, et al. Bacteriological profile and antibiotic susceptibility pattern of common isolates of neonatal sepsis, Ho Municipality, Ghana-2016. </w:t>
      </w:r>
      <w:r w:rsidRPr="005203B1">
        <w:rPr>
          <w:i/>
          <w:noProof/>
        </w:rPr>
        <w:t>Matern Health Neonatol Perinatol</w:t>
      </w:r>
      <w:r w:rsidRPr="005203B1">
        <w:rPr>
          <w:noProof/>
        </w:rPr>
        <w:t xml:space="preserve"> 2018; </w:t>
      </w:r>
      <w:r w:rsidRPr="005203B1">
        <w:rPr>
          <w:b/>
          <w:noProof/>
        </w:rPr>
        <w:t>4</w:t>
      </w:r>
      <w:r w:rsidRPr="005203B1">
        <w:rPr>
          <w:noProof/>
        </w:rPr>
        <w:t>: 2.</w:t>
      </w:r>
    </w:p>
    <w:p w14:paraId="5D8D04F2" w14:textId="77777777" w:rsidR="005203B1" w:rsidRPr="005203B1" w:rsidRDefault="005203B1" w:rsidP="005203B1">
      <w:pPr>
        <w:pStyle w:val="EndNoteBibliography"/>
        <w:spacing w:after="0"/>
        <w:rPr>
          <w:noProof/>
        </w:rPr>
      </w:pPr>
      <w:r w:rsidRPr="005203B1">
        <w:rPr>
          <w:noProof/>
        </w:rPr>
        <w:t>112.</w:t>
      </w:r>
      <w:r w:rsidRPr="005203B1">
        <w:rPr>
          <w:noProof/>
        </w:rPr>
        <w:tab/>
        <w:t xml:space="preserve">Gebrehiwot A, Lakew W, Moges F, et al. Bacterial profile and drug susceptibility pattern of neonatal sepsis in Gondar University Hospital, Gondar Northwest Ethiopia. </w:t>
      </w:r>
      <w:r w:rsidRPr="005203B1">
        <w:rPr>
          <w:i/>
          <w:noProof/>
        </w:rPr>
        <w:t>Der Pharmacia Lettre</w:t>
      </w:r>
      <w:r w:rsidRPr="005203B1">
        <w:rPr>
          <w:noProof/>
        </w:rPr>
        <w:t xml:space="preserve"> 2012; </w:t>
      </w:r>
      <w:r w:rsidRPr="005203B1">
        <w:rPr>
          <w:b/>
          <w:noProof/>
        </w:rPr>
        <w:t>4</w:t>
      </w:r>
      <w:r w:rsidRPr="005203B1">
        <w:rPr>
          <w:noProof/>
        </w:rPr>
        <w:t>(6): 1811-6.</w:t>
      </w:r>
    </w:p>
    <w:p w14:paraId="07AB4857" w14:textId="77777777" w:rsidR="005203B1" w:rsidRPr="005203B1" w:rsidRDefault="005203B1" w:rsidP="005203B1">
      <w:pPr>
        <w:pStyle w:val="EndNoteBibliography"/>
        <w:spacing w:after="0"/>
        <w:rPr>
          <w:noProof/>
        </w:rPr>
      </w:pPr>
      <w:r w:rsidRPr="005203B1">
        <w:rPr>
          <w:noProof/>
        </w:rPr>
        <w:t>113.</w:t>
      </w:r>
      <w:r w:rsidRPr="005203B1">
        <w:rPr>
          <w:noProof/>
        </w:rPr>
        <w:tab/>
        <w:t xml:space="preserve">Geyesus T, Moges F, Eshetie S, Yeshitela B, Abate E. Bacterial etiologic agents causing neonatal sepsis and associated risk factors in Gondar, Northwest Ethiopia. </w:t>
      </w:r>
      <w:r w:rsidRPr="005203B1">
        <w:rPr>
          <w:i/>
          <w:noProof/>
        </w:rPr>
        <w:t>BMC Pediatr</w:t>
      </w:r>
      <w:r w:rsidRPr="005203B1">
        <w:rPr>
          <w:noProof/>
        </w:rPr>
        <w:t xml:space="preserve"> 2017; </w:t>
      </w:r>
      <w:r w:rsidRPr="005203B1">
        <w:rPr>
          <w:b/>
          <w:noProof/>
        </w:rPr>
        <w:t>17</w:t>
      </w:r>
      <w:r w:rsidRPr="005203B1">
        <w:rPr>
          <w:noProof/>
        </w:rPr>
        <w:t>(1): 137.</w:t>
      </w:r>
    </w:p>
    <w:p w14:paraId="329A0BEE" w14:textId="77777777" w:rsidR="005203B1" w:rsidRPr="005203B1" w:rsidRDefault="005203B1" w:rsidP="005203B1">
      <w:pPr>
        <w:pStyle w:val="EndNoteBibliography"/>
        <w:spacing w:after="0"/>
        <w:rPr>
          <w:noProof/>
        </w:rPr>
      </w:pPr>
      <w:r w:rsidRPr="005203B1">
        <w:rPr>
          <w:noProof/>
        </w:rPr>
        <w:t>114.</w:t>
      </w:r>
      <w:r w:rsidRPr="005203B1">
        <w:rPr>
          <w:noProof/>
        </w:rPr>
        <w:tab/>
        <w:t xml:space="preserve">Kumar R, Musoke R, Macharia WM, Revathi G. Validation of C-reactive protein in the early diagnosis of neonatal sepsis in a tertiary care hospital in Kenya. </w:t>
      </w:r>
      <w:r w:rsidRPr="005203B1">
        <w:rPr>
          <w:i/>
          <w:noProof/>
        </w:rPr>
        <w:t>East Afr Med J</w:t>
      </w:r>
      <w:r w:rsidRPr="005203B1">
        <w:rPr>
          <w:noProof/>
        </w:rPr>
        <w:t xml:space="preserve"> 2010; </w:t>
      </w:r>
      <w:r w:rsidRPr="005203B1">
        <w:rPr>
          <w:b/>
          <w:noProof/>
        </w:rPr>
        <w:t>87</w:t>
      </w:r>
      <w:r w:rsidRPr="005203B1">
        <w:rPr>
          <w:noProof/>
        </w:rPr>
        <w:t>(6): 255-61.</w:t>
      </w:r>
    </w:p>
    <w:p w14:paraId="55B8DCCE" w14:textId="77777777" w:rsidR="005203B1" w:rsidRPr="005203B1" w:rsidRDefault="005203B1" w:rsidP="005203B1">
      <w:pPr>
        <w:pStyle w:val="EndNoteBibliography"/>
        <w:spacing w:after="0"/>
        <w:rPr>
          <w:noProof/>
        </w:rPr>
      </w:pPr>
      <w:r w:rsidRPr="005203B1">
        <w:rPr>
          <w:noProof/>
        </w:rPr>
        <w:t>115.</w:t>
      </w:r>
      <w:r w:rsidRPr="005203B1">
        <w:rPr>
          <w:noProof/>
        </w:rPr>
        <w:tab/>
        <w:t xml:space="preserve">Medugu N, Iregbu KC. Trends in profiles of bacteria causing neonatal sepsis in Central Nigeria hospital. </w:t>
      </w:r>
      <w:r w:rsidRPr="005203B1">
        <w:rPr>
          <w:i/>
          <w:noProof/>
        </w:rPr>
        <w:t>African Journal of Clinical and Experimental Microbiology</w:t>
      </w:r>
      <w:r w:rsidRPr="005203B1">
        <w:rPr>
          <w:noProof/>
        </w:rPr>
        <w:t xml:space="preserve"> 2016; </w:t>
      </w:r>
      <w:r w:rsidRPr="005203B1">
        <w:rPr>
          <w:b/>
          <w:noProof/>
        </w:rPr>
        <w:t>18</w:t>
      </w:r>
      <w:r w:rsidRPr="005203B1">
        <w:rPr>
          <w:noProof/>
        </w:rPr>
        <w:t>(1).</w:t>
      </w:r>
    </w:p>
    <w:p w14:paraId="42293945" w14:textId="77777777" w:rsidR="005203B1" w:rsidRPr="005203B1" w:rsidRDefault="005203B1" w:rsidP="005203B1">
      <w:pPr>
        <w:pStyle w:val="EndNoteBibliography"/>
        <w:spacing w:after="0"/>
        <w:rPr>
          <w:noProof/>
        </w:rPr>
      </w:pPr>
      <w:r w:rsidRPr="005203B1">
        <w:rPr>
          <w:noProof/>
        </w:rPr>
        <w:t>116.</w:t>
      </w:r>
      <w:r w:rsidRPr="005203B1">
        <w:rPr>
          <w:noProof/>
        </w:rPr>
        <w:tab/>
        <w:t xml:space="preserve">Negussie A, Mulugeta G, Bedru A, et al. Bacteriological Profile and Antimicrobial Susceptibility Pattern of Blood Culture Isolates among Septicemia Suspected Children in Selected Hospitals Addis Ababa, Ethiopia. </w:t>
      </w:r>
      <w:r w:rsidRPr="005203B1">
        <w:rPr>
          <w:i/>
          <w:noProof/>
        </w:rPr>
        <w:t>Int J Biol Med Res</w:t>
      </w:r>
      <w:r w:rsidRPr="005203B1">
        <w:rPr>
          <w:noProof/>
        </w:rPr>
        <w:t xml:space="preserve"> 2015; </w:t>
      </w:r>
      <w:r w:rsidRPr="005203B1">
        <w:rPr>
          <w:b/>
          <w:noProof/>
        </w:rPr>
        <w:t>6</w:t>
      </w:r>
      <w:r w:rsidRPr="005203B1">
        <w:rPr>
          <w:noProof/>
        </w:rPr>
        <w:t>(1): 4709-17.</w:t>
      </w:r>
    </w:p>
    <w:p w14:paraId="127180CB" w14:textId="77777777" w:rsidR="005203B1" w:rsidRPr="005203B1" w:rsidRDefault="005203B1" w:rsidP="005203B1">
      <w:pPr>
        <w:pStyle w:val="EndNoteBibliography"/>
        <w:spacing w:after="0"/>
        <w:rPr>
          <w:noProof/>
        </w:rPr>
      </w:pPr>
      <w:r w:rsidRPr="005203B1">
        <w:rPr>
          <w:noProof/>
        </w:rPr>
        <w:t>117.</w:t>
      </w:r>
      <w:r w:rsidRPr="005203B1">
        <w:rPr>
          <w:noProof/>
        </w:rPr>
        <w:tab/>
        <w:t xml:space="preserve">Ojide CK, Onwuezobe IA, Asuquo EE, Obiagwu CS. Bacteriologic profile and antibiotic susceptibility pattern of suspected septicaemic patients in Uyo, Nigeria. </w:t>
      </w:r>
      <w:r w:rsidRPr="005203B1">
        <w:rPr>
          <w:i/>
          <w:noProof/>
        </w:rPr>
        <w:t>Res J Med Sci</w:t>
      </w:r>
      <w:r w:rsidRPr="005203B1">
        <w:rPr>
          <w:noProof/>
        </w:rPr>
        <w:t xml:space="preserve"> 2013; </w:t>
      </w:r>
      <w:r w:rsidRPr="005203B1">
        <w:rPr>
          <w:b/>
          <w:noProof/>
        </w:rPr>
        <w:t>7</w:t>
      </w:r>
      <w:r w:rsidRPr="005203B1">
        <w:rPr>
          <w:noProof/>
        </w:rPr>
        <w:t>(2): 35-9.</w:t>
      </w:r>
    </w:p>
    <w:p w14:paraId="02D7E46C" w14:textId="77777777" w:rsidR="005203B1" w:rsidRPr="005203B1" w:rsidRDefault="005203B1" w:rsidP="005203B1">
      <w:pPr>
        <w:pStyle w:val="EndNoteBibliography"/>
        <w:spacing w:after="0"/>
        <w:rPr>
          <w:noProof/>
        </w:rPr>
      </w:pPr>
      <w:r w:rsidRPr="005203B1">
        <w:rPr>
          <w:noProof/>
        </w:rPr>
        <w:t>118.</w:t>
      </w:r>
      <w:r w:rsidRPr="005203B1">
        <w:rPr>
          <w:noProof/>
        </w:rPr>
        <w:tab/>
        <w:t xml:space="preserve">Shitaye D, Asrat D, Woldeamanuel Y, Worku B. Risk factors and etiology of neonatal sepsis in Tikur Anbessa University Hospital, Ethiopia. </w:t>
      </w:r>
      <w:r w:rsidRPr="005203B1">
        <w:rPr>
          <w:i/>
          <w:noProof/>
        </w:rPr>
        <w:t>Ethiop Med J</w:t>
      </w:r>
      <w:r w:rsidRPr="005203B1">
        <w:rPr>
          <w:noProof/>
        </w:rPr>
        <w:t xml:space="preserve"> 2010; </w:t>
      </w:r>
      <w:r w:rsidRPr="005203B1">
        <w:rPr>
          <w:b/>
          <w:noProof/>
        </w:rPr>
        <w:t>48</w:t>
      </w:r>
      <w:r w:rsidRPr="005203B1">
        <w:rPr>
          <w:noProof/>
        </w:rPr>
        <w:t>(1): 11-21.</w:t>
      </w:r>
    </w:p>
    <w:p w14:paraId="438803A0" w14:textId="77777777" w:rsidR="005203B1" w:rsidRPr="005203B1" w:rsidRDefault="005203B1" w:rsidP="005203B1">
      <w:pPr>
        <w:pStyle w:val="EndNoteBibliography"/>
        <w:spacing w:after="0"/>
        <w:rPr>
          <w:noProof/>
        </w:rPr>
      </w:pPr>
      <w:r w:rsidRPr="005203B1">
        <w:rPr>
          <w:noProof/>
        </w:rPr>
        <w:t>119.</w:t>
      </w:r>
      <w:r w:rsidRPr="005203B1">
        <w:rPr>
          <w:noProof/>
        </w:rPr>
        <w:tab/>
        <w:t xml:space="preserve">Shobowale EO, Ogunsola FT, Oduyebo OO, Ezeaka VI. A study on the outcome of neonates with sepsis at the Lagos University Teaching Hospital. </w:t>
      </w:r>
      <w:r w:rsidRPr="005203B1">
        <w:rPr>
          <w:i/>
          <w:noProof/>
        </w:rPr>
        <w:t>International Journal of Medicine and Biomedical Research</w:t>
      </w:r>
      <w:r w:rsidRPr="005203B1">
        <w:rPr>
          <w:noProof/>
        </w:rPr>
        <w:t xml:space="preserve"> 2015; </w:t>
      </w:r>
      <w:r w:rsidRPr="005203B1">
        <w:rPr>
          <w:b/>
          <w:noProof/>
        </w:rPr>
        <w:t>4</w:t>
      </w:r>
      <w:r w:rsidRPr="005203B1">
        <w:rPr>
          <w:noProof/>
        </w:rPr>
        <w:t>(1): 41-9.</w:t>
      </w:r>
    </w:p>
    <w:p w14:paraId="66EEBC30" w14:textId="77777777" w:rsidR="005203B1" w:rsidRPr="005203B1" w:rsidRDefault="005203B1" w:rsidP="005203B1">
      <w:pPr>
        <w:pStyle w:val="EndNoteBibliography"/>
        <w:spacing w:after="0"/>
        <w:rPr>
          <w:noProof/>
        </w:rPr>
      </w:pPr>
      <w:r w:rsidRPr="005203B1">
        <w:rPr>
          <w:noProof/>
        </w:rPr>
        <w:t>120.</w:t>
      </w:r>
      <w:r w:rsidRPr="005203B1">
        <w:rPr>
          <w:noProof/>
        </w:rPr>
        <w:tab/>
        <w:t xml:space="preserve">Shobowale EO, Solarin AU, Elikwu CJ, Onyedibe KI, Akinola IJ, Faniran AA. Neonatal sepsis in a nigerian private tertiary hospital: bacterial isolates, risk factors, and antibiotic susceptibility patterns. </w:t>
      </w:r>
      <w:r w:rsidRPr="005203B1">
        <w:rPr>
          <w:i/>
          <w:noProof/>
        </w:rPr>
        <w:t>Ann Afr Med</w:t>
      </w:r>
      <w:r w:rsidRPr="005203B1">
        <w:rPr>
          <w:noProof/>
        </w:rPr>
        <w:t xml:space="preserve"> 2017; </w:t>
      </w:r>
      <w:r w:rsidRPr="005203B1">
        <w:rPr>
          <w:b/>
          <w:noProof/>
        </w:rPr>
        <w:t>16</w:t>
      </w:r>
      <w:r w:rsidRPr="005203B1">
        <w:rPr>
          <w:noProof/>
        </w:rPr>
        <w:t>(2): 52-8.</w:t>
      </w:r>
    </w:p>
    <w:p w14:paraId="1300538B" w14:textId="77777777" w:rsidR="005203B1" w:rsidRPr="005203B1" w:rsidRDefault="005203B1" w:rsidP="005203B1">
      <w:pPr>
        <w:pStyle w:val="EndNoteBibliography"/>
        <w:spacing w:after="0"/>
        <w:rPr>
          <w:noProof/>
        </w:rPr>
      </w:pPr>
      <w:r w:rsidRPr="005203B1">
        <w:rPr>
          <w:noProof/>
        </w:rPr>
        <w:t>121.</w:t>
      </w:r>
      <w:r w:rsidRPr="005203B1">
        <w:rPr>
          <w:noProof/>
        </w:rPr>
        <w:tab/>
        <w:t xml:space="preserve">Ako-Nai A, Lawal O, Adejuyigbe E, Onipede A, Kassim O. The determination of C-reactive protein (CRP) and tumor necrosis factor alpha (TNF-alpha) in sera of neonates with sepsis. </w:t>
      </w:r>
      <w:r w:rsidRPr="005203B1">
        <w:rPr>
          <w:i/>
          <w:noProof/>
        </w:rPr>
        <w:t>International Journal of Tropical Medicine</w:t>
      </w:r>
      <w:r w:rsidRPr="005203B1">
        <w:rPr>
          <w:noProof/>
        </w:rPr>
        <w:t xml:space="preserve"> 2011; </w:t>
      </w:r>
      <w:r w:rsidRPr="005203B1">
        <w:rPr>
          <w:b/>
          <w:noProof/>
        </w:rPr>
        <w:t>6</w:t>
      </w:r>
      <w:r w:rsidRPr="005203B1">
        <w:rPr>
          <w:noProof/>
        </w:rPr>
        <w:t>(2): 30-4.</w:t>
      </w:r>
    </w:p>
    <w:p w14:paraId="0570FDF4" w14:textId="77777777" w:rsidR="005203B1" w:rsidRPr="005203B1" w:rsidRDefault="005203B1" w:rsidP="005203B1">
      <w:pPr>
        <w:pStyle w:val="EndNoteBibliography"/>
        <w:spacing w:after="0"/>
        <w:rPr>
          <w:noProof/>
        </w:rPr>
      </w:pPr>
      <w:r w:rsidRPr="005203B1">
        <w:rPr>
          <w:noProof/>
        </w:rPr>
        <w:t>122.</w:t>
      </w:r>
      <w:r w:rsidRPr="005203B1">
        <w:rPr>
          <w:noProof/>
        </w:rPr>
        <w:tab/>
        <w:t xml:space="preserve">Ballot DE, Nana T, Sriruttan C, Cooper PA. Bacterial bloodstream infections in neonates in a developing country. </w:t>
      </w:r>
      <w:r w:rsidRPr="005203B1">
        <w:rPr>
          <w:i/>
          <w:noProof/>
        </w:rPr>
        <w:t>ISRN pediatrics</w:t>
      </w:r>
      <w:r w:rsidRPr="005203B1">
        <w:rPr>
          <w:noProof/>
        </w:rPr>
        <w:t xml:space="preserve"> 2012; </w:t>
      </w:r>
      <w:r w:rsidRPr="005203B1">
        <w:rPr>
          <w:b/>
          <w:noProof/>
        </w:rPr>
        <w:t>2012</w:t>
      </w:r>
      <w:r w:rsidRPr="005203B1">
        <w:rPr>
          <w:noProof/>
        </w:rPr>
        <w:t>: 508512-.</w:t>
      </w:r>
    </w:p>
    <w:p w14:paraId="2C047B61" w14:textId="77777777" w:rsidR="005203B1" w:rsidRPr="005203B1" w:rsidRDefault="005203B1" w:rsidP="005203B1">
      <w:pPr>
        <w:pStyle w:val="EndNoteBibliography"/>
        <w:spacing w:after="0"/>
        <w:rPr>
          <w:noProof/>
        </w:rPr>
      </w:pPr>
      <w:r w:rsidRPr="005203B1">
        <w:rPr>
          <w:noProof/>
        </w:rPr>
        <w:t>123.</w:t>
      </w:r>
      <w:r w:rsidRPr="005203B1">
        <w:rPr>
          <w:noProof/>
        </w:rPr>
        <w:tab/>
        <w:t xml:space="preserve">Lebea MM, Davies V. Evaluation of culture-proven neonatal sepsis at a tertiary care hospital in Johannesburg, South Africa. </w:t>
      </w:r>
      <w:r w:rsidRPr="005203B1">
        <w:rPr>
          <w:i/>
          <w:noProof/>
        </w:rPr>
        <w:t>S Afr J Child Health</w:t>
      </w:r>
      <w:r w:rsidRPr="005203B1">
        <w:rPr>
          <w:noProof/>
        </w:rPr>
        <w:t xml:space="preserve"> 2017; </w:t>
      </w:r>
      <w:r w:rsidRPr="005203B1">
        <w:rPr>
          <w:b/>
          <w:noProof/>
        </w:rPr>
        <w:t>11</w:t>
      </w:r>
      <w:r w:rsidRPr="005203B1">
        <w:rPr>
          <w:noProof/>
        </w:rPr>
        <w:t>(4): 170-3.</w:t>
      </w:r>
    </w:p>
    <w:p w14:paraId="2CA0F94B" w14:textId="77777777" w:rsidR="005203B1" w:rsidRPr="005203B1" w:rsidRDefault="005203B1" w:rsidP="005203B1">
      <w:pPr>
        <w:pStyle w:val="EndNoteBibliography"/>
        <w:spacing w:after="0"/>
        <w:rPr>
          <w:noProof/>
        </w:rPr>
      </w:pPr>
      <w:r w:rsidRPr="005203B1">
        <w:rPr>
          <w:noProof/>
        </w:rPr>
        <w:t>124.</w:t>
      </w:r>
      <w:r w:rsidRPr="005203B1">
        <w:rPr>
          <w:noProof/>
        </w:rPr>
        <w:tab/>
        <w:t xml:space="preserve">Agossou J, Hounnou-d’Almeida M, Noudamadjo A, Adédémy JD, Nékoua WS, Ayivi B. Neonatal bacterial infections in Parakou in 2013. </w:t>
      </w:r>
      <w:r w:rsidRPr="005203B1">
        <w:rPr>
          <w:i/>
          <w:noProof/>
        </w:rPr>
        <w:t>Open Journal of Pediatrics</w:t>
      </w:r>
      <w:r w:rsidRPr="005203B1">
        <w:rPr>
          <w:noProof/>
        </w:rPr>
        <w:t xml:space="preserve"> 2016; </w:t>
      </w:r>
      <w:r w:rsidRPr="005203B1">
        <w:rPr>
          <w:b/>
          <w:noProof/>
        </w:rPr>
        <w:t>6</w:t>
      </w:r>
      <w:r w:rsidRPr="005203B1">
        <w:rPr>
          <w:noProof/>
        </w:rPr>
        <w:t>: 100-8.</w:t>
      </w:r>
    </w:p>
    <w:p w14:paraId="2DF4AADE" w14:textId="77777777" w:rsidR="005203B1" w:rsidRPr="005203B1" w:rsidRDefault="005203B1" w:rsidP="005203B1">
      <w:pPr>
        <w:pStyle w:val="EndNoteBibliography"/>
        <w:spacing w:after="0"/>
        <w:rPr>
          <w:noProof/>
        </w:rPr>
      </w:pPr>
      <w:r w:rsidRPr="005203B1">
        <w:rPr>
          <w:noProof/>
        </w:rPr>
        <w:t>125.</w:t>
      </w:r>
      <w:r w:rsidRPr="005203B1">
        <w:rPr>
          <w:noProof/>
        </w:rPr>
        <w:tab/>
        <w:t xml:space="preserve">Kohli-Kochhar R, Omuse G, Revathi G. A ten-year review of neonatal bloodstream infections in a tertiary private hospital in Kenya. </w:t>
      </w:r>
      <w:r w:rsidRPr="005203B1">
        <w:rPr>
          <w:i/>
          <w:noProof/>
        </w:rPr>
        <w:t>Journal of infection in developing countries</w:t>
      </w:r>
      <w:r w:rsidRPr="005203B1">
        <w:rPr>
          <w:noProof/>
        </w:rPr>
        <w:t xml:space="preserve"> 2011; </w:t>
      </w:r>
      <w:r w:rsidRPr="005203B1">
        <w:rPr>
          <w:b/>
          <w:noProof/>
        </w:rPr>
        <w:t>5</w:t>
      </w:r>
      <w:r w:rsidRPr="005203B1">
        <w:rPr>
          <w:noProof/>
        </w:rPr>
        <w:t>(11): 799-803.</w:t>
      </w:r>
    </w:p>
    <w:p w14:paraId="425BA295" w14:textId="77777777" w:rsidR="005203B1" w:rsidRPr="005203B1" w:rsidRDefault="005203B1" w:rsidP="005203B1">
      <w:pPr>
        <w:pStyle w:val="EndNoteBibliography"/>
        <w:spacing w:after="0"/>
        <w:rPr>
          <w:noProof/>
        </w:rPr>
      </w:pPr>
      <w:r w:rsidRPr="005203B1">
        <w:rPr>
          <w:noProof/>
        </w:rPr>
        <w:t>126.</w:t>
      </w:r>
      <w:r w:rsidRPr="005203B1">
        <w:rPr>
          <w:noProof/>
        </w:rPr>
        <w:tab/>
        <w:t xml:space="preserve">West BA, Peterside O. Sensitivity pattern among bacterial isolates in neonatal septicaemia in Port Harcourt, Nigeria. </w:t>
      </w:r>
      <w:r w:rsidRPr="005203B1">
        <w:rPr>
          <w:i/>
          <w:noProof/>
        </w:rPr>
        <w:t>Ann Clin Microbiol Antimicrob</w:t>
      </w:r>
      <w:r w:rsidRPr="005203B1">
        <w:rPr>
          <w:noProof/>
        </w:rPr>
        <w:t xml:space="preserve"> 2012; </w:t>
      </w:r>
      <w:r w:rsidRPr="005203B1">
        <w:rPr>
          <w:b/>
          <w:noProof/>
        </w:rPr>
        <w:t>11</w:t>
      </w:r>
      <w:r w:rsidRPr="005203B1">
        <w:rPr>
          <w:noProof/>
        </w:rPr>
        <w:t>(7).</w:t>
      </w:r>
    </w:p>
    <w:p w14:paraId="08399E71" w14:textId="77777777" w:rsidR="005203B1" w:rsidRPr="005203B1" w:rsidRDefault="005203B1" w:rsidP="005203B1">
      <w:pPr>
        <w:pStyle w:val="EndNoteBibliography"/>
        <w:spacing w:after="0"/>
        <w:rPr>
          <w:noProof/>
        </w:rPr>
      </w:pPr>
      <w:r w:rsidRPr="005203B1">
        <w:rPr>
          <w:noProof/>
        </w:rPr>
        <w:lastRenderedPageBreak/>
        <w:t>127.</w:t>
      </w:r>
      <w:r w:rsidRPr="005203B1">
        <w:rPr>
          <w:noProof/>
        </w:rPr>
        <w:tab/>
        <w:t xml:space="preserve">Labi AK, Obeng-Nkrumah N, Bjerrum S, Enweronu-Laryea C, Newman MJ. Neonatal bloodstream infections in a Ghanaian tertiary hospital: Are the current antibiotic recommendations adequate. </w:t>
      </w:r>
      <w:r w:rsidRPr="005203B1">
        <w:rPr>
          <w:i/>
          <w:noProof/>
        </w:rPr>
        <w:t>BMC Infect Dis</w:t>
      </w:r>
      <w:r w:rsidRPr="005203B1">
        <w:rPr>
          <w:noProof/>
        </w:rPr>
        <w:t xml:space="preserve"> 2016; </w:t>
      </w:r>
      <w:r w:rsidRPr="005203B1">
        <w:rPr>
          <w:b/>
          <w:noProof/>
        </w:rPr>
        <w:t>16</w:t>
      </w:r>
      <w:r w:rsidRPr="005203B1">
        <w:rPr>
          <w:noProof/>
        </w:rPr>
        <w:t>(1): 598-.</w:t>
      </w:r>
    </w:p>
    <w:p w14:paraId="6100640B" w14:textId="77777777" w:rsidR="005203B1" w:rsidRPr="005203B1" w:rsidRDefault="005203B1" w:rsidP="005203B1">
      <w:pPr>
        <w:pStyle w:val="EndNoteBibliography"/>
        <w:spacing w:after="0"/>
        <w:rPr>
          <w:noProof/>
        </w:rPr>
      </w:pPr>
      <w:r w:rsidRPr="005203B1">
        <w:rPr>
          <w:noProof/>
        </w:rPr>
        <w:t>128.</w:t>
      </w:r>
      <w:r w:rsidRPr="005203B1">
        <w:rPr>
          <w:noProof/>
        </w:rPr>
        <w:tab/>
        <w:t xml:space="preserve">Mudzikati L, Dramowski A. Neonatal septicaemia: Prevalence and antimicrobial susceptibility patterns of common pathogens at Princess Marina Hospital, Botswana. </w:t>
      </w:r>
      <w:r w:rsidRPr="005203B1">
        <w:rPr>
          <w:i/>
          <w:noProof/>
        </w:rPr>
        <w:t>S Afr J Epidemiol Infect</w:t>
      </w:r>
      <w:r w:rsidRPr="005203B1">
        <w:rPr>
          <w:noProof/>
        </w:rPr>
        <w:t xml:space="preserve"> 2015; </w:t>
      </w:r>
      <w:r w:rsidRPr="005203B1">
        <w:rPr>
          <w:b/>
          <w:noProof/>
        </w:rPr>
        <w:t>30</w:t>
      </w:r>
      <w:r w:rsidRPr="005203B1">
        <w:rPr>
          <w:noProof/>
        </w:rPr>
        <w:t>(3): 96-101.</w:t>
      </w:r>
    </w:p>
    <w:p w14:paraId="13E423B7" w14:textId="77777777" w:rsidR="005203B1" w:rsidRPr="005203B1" w:rsidRDefault="005203B1" w:rsidP="005203B1">
      <w:pPr>
        <w:pStyle w:val="EndNoteBibliography"/>
        <w:spacing w:after="0"/>
        <w:rPr>
          <w:noProof/>
        </w:rPr>
      </w:pPr>
      <w:r w:rsidRPr="005203B1">
        <w:rPr>
          <w:noProof/>
        </w:rPr>
        <w:t>129.</w:t>
      </w:r>
      <w:r w:rsidRPr="005203B1">
        <w:rPr>
          <w:noProof/>
        </w:rPr>
        <w:tab/>
        <w:t xml:space="preserve">Osinupebi OA, Ogunlesi TA, Fetuga MB. Pattern of nosocomial infections in the Special Care Baby Unit of the Olabisi Onabanjo University Teaching Hospital, Sagamu, Nigeria. </w:t>
      </w:r>
      <w:r w:rsidRPr="005203B1">
        <w:rPr>
          <w:i/>
          <w:noProof/>
        </w:rPr>
        <w:t>Niger J Paediatr</w:t>
      </w:r>
      <w:r w:rsidRPr="005203B1">
        <w:rPr>
          <w:noProof/>
        </w:rPr>
        <w:t xml:space="preserve"> 2013; </w:t>
      </w:r>
      <w:r w:rsidRPr="005203B1">
        <w:rPr>
          <w:b/>
          <w:noProof/>
        </w:rPr>
        <w:t>41</w:t>
      </w:r>
      <w:r w:rsidRPr="005203B1">
        <w:rPr>
          <w:noProof/>
        </w:rPr>
        <w:t>(1): 54-8.</w:t>
      </w:r>
    </w:p>
    <w:p w14:paraId="15B72DCB" w14:textId="77777777" w:rsidR="005203B1" w:rsidRPr="005203B1" w:rsidRDefault="005203B1" w:rsidP="005203B1">
      <w:pPr>
        <w:pStyle w:val="EndNoteBibliography"/>
        <w:spacing w:after="0"/>
        <w:rPr>
          <w:noProof/>
        </w:rPr>
      </w:pPr>
      <w:r w:rsidRPr="005203B1">
        <w:rPr>
          <w:noProof/>
        </w:rPr>
        <w:t>130.</w:t>
      </w:r>
      <w:r w:rsidRPr="005203B1">
        <w:rPr>
          <w:noProof/>
        </w:rPr>
        <w:tab/>
        <w:t xml:space="preserve">Egbule OS, Ehwarieme AD, Owhe-Ureghe UB. High rate of antibiotic resistance in a neonatal intensive care unit of a university hospital. </w:t>
      </w:r>
      <w:r w:rsidRPr="005203B1">
        <w:rPr>
          <w:i/>
          <w:noProof/>
        </w:rPr>
        <w:t>Br Microbiol Res J</w:t>
      </w:r>
      <w:r w:rsidRPr="005203B1">
        <w:rPr>
          <w:noProof/>
        </w:rPr>
        <w:t xml:space="preserve"> 2016; </w:t>
      </w:r>
      <w:r w:rsidRPr="005203B1">
        <w:rPr>
          <w:b/>
          <w:noProof/>
        </w:rPr>
        <w:t>15</w:t>
      </w:r>
      <w:r w:rsidRPr="005203B1">
        <w:rPr>
          <w:noProof/>
        </w:rPr>
        <w:t>(1): 1-6.</w:t>
      </w:r>
    </w:p>
    <w:p w14:paraId="336C1A6C" w14:textId="77777777" w:rsidR="005203B1" w:rsidRPr="005203B1" w:rsidRDefault="005203B1" w:rsidP="005203B1">
      <w:pPr>
        <w:pStyle w:val="EndNoteBibliography"/>
        <w:spacing w:after="0"/>
        <w:rPr>
          <w:noProof/>
        </w:rPr>
      </w:pPr>
      <w:r w:rsidRPr="005203B1">
        <w:rPr>
          <w:noProof/>
        </w:rPr>
        <w:t>131.</w:t>
      </w:r>
      <w:r w:rsidRPr="005203B1">
        <w:rPr>
          <w:noProof/>
        </w:rPr>
        <w:tab/>
        <w:t xml:space="preserve">Mhada TV, Fredrick F, Matee MI, Massawe A. Neonatal sepsis at Muhimbili National Hospital, Dar es Salaam, Tanzania; aetiology, antimicrobial sensitivity pattern and clinical outcome. </w:t>
      </w:r>
      <w:r w:rsidRPr="005203B1">
        <w:rPr>
          <w:i/>
          <w:noProof/>
        </w:rPr>
        <w:t>BMC Pub Health</w:t>
      </w:r>
      <w:r w:rsidRPr="005203B1">
        <w:rPr>
          <w:noProof/>
        </w:rPr>
        <w:t xml:space="preserve"> 2012; </w:t>
      </w:r>
      <w:r w:rsidRPr="005203B1">
        <w:rPr>
          <w:b/>
          <w:noProof/>
        </w:rPr>
        <w:t>12</w:t>
      </w:r>
      <w:r w:rsidRPr="005203B1">
        <w:rPr>
          <w:noProof/>
        </w:rPr>
        <w:t>: 904-.</w:t>
      </w:r>
    </w:p>
    <w:p w14:paraId="383B43BC" w14:textId="77777777" w:rsidR="005203B1" w:rsidRPr="005203B1" w:rsidRDefault="005203B1" w:rsidP="005203B1">
      <w:pPr>
        <w:pStyle w:val="EndNoteBibliography"/>
        <w:spacing w:after="0"/>
        <w:rPr>
          <w:noProof/>
        </w:rPr>
      </w:pPr>
      <w:r w:rsidRPr="005203B1">
        <w:rPr>
          <w:noProof/>
        </w:rPr>
        <w:t>132.</w:t>
      </w:r>
      <w:r w:rsidRPr="005203B1">
        <w:rPr>
          <w:noProof/>
        </w:rPr>
        <w:tab/>
        <w:t xml:space="preserve">Shatalov A, Awwad F, Mangue P, Foqahaa RJ. Predominance of multi-drug resistant Klebsiella pneumonia and other gram negative bacteria in neonatal sepsis in Equatorial Guinea. </w:t>
      </w:r>
      <w:r w:rsidRPr="005203B1">
        <w:rPr>
          <w:i/>
          <w:noProof/>
        </w:rPr>
        <w:t>Open Journal of Medical Microbiology</w:t>
      </w:r>
      <w:r w:rsidRPr="005203B1">
        <w:rPr>
          <w:noProof/>
        </w:rPr>
        <w:t xml:space="preserve"> 2015; </w:t>
      </w:r>
      <w:r w:rsidRPr="005203B1">
        <w:rPr>
          <w:b/>
          <w:noProof/>
        </w:rPr>
        <w:t>5</w:t>
      </w:r>
      <w:r w:rsidRPr="005203B1">
        <w:rPr>
          <w:noProof/>
        </w:rPr>
        <w:t>: 254-8.</w:t>
      </w:r>
    </w:p>
    <w:p w14:paraId="293FE4FD" w14:textId="77777777" w:rsidR="005203B1" w:rsidRPr="005203B1" w:rsidRDefault="005203B1" w:rsidP="005203B1">
      <w:pPr>
        <w:pStyle w:val="EndNoteBibliography"/>
        <w:spacing w:after="0"/>
        <w:rPr>
          <w:noProof/>
        </w:rPr>
      </w:pPr>
      <w:r w:rsidRPr="005203B1">
        <w:rPr>
          <w:noProof/>
        </w:rPr>
        <w:t>133.</w:t>
      </w:r>
      <w:r w:rsidRPr="005203B1">
        <w:rPr>
          <w:noProof/>
        </w:rPr>
        <w:tab/>
        <w:t xml:space="preserve">Akindolire AE, Tongo O, Dada-Adegbola H, Akinyinka O. Etiology of early onset septicemia among neonates at the University College Hospital, Ibadan, Nigeria. </w:t>
      </w:r>
      <w:r w:rsidRPr="005203B1">
        <w:rPr>
          <w:i/>
          <w:noProof/>
        </w:rPr>
        <w:t>Journal of infection in developing countries</w:t>
      </w:r>
      <w:r w:rsidRPr="005203B1">
        <w:rPr>
          <w:noProof/>
        </w:rPr>
        <w:t xml:space="preserve"> 2016; </w:t>
      </w:r>
      <w:r w:rsidRPr="005203B1">
        <w:rPr>
          <w:b/>
          <w:noProof/>
        </w:rPr>
        <w:t>10</w:t>
      </w:r>
      <w:r w:rsidRPr="005203B1">
        <w:rPr>
          <w:noProof/>
        </w:rPr>
        <w:t>(12): 1338-44.</w:t>
      </w:r>
    </w:p>
    <w:p w14:paraId="76B89C8D" w14:textId="77777777" w:rsidR="005203B1" w:rsidRPr="005203B1" w:rsidRDefault="005203B1" w:rsidP="005203B1">
      <w:pPr>
        <w:pStyle w:val="EndNoteBibliography"/>
        <w:spacing w:after="0"/>
        <w:rPr>
          <w:noProof/>
        </w:rPr>
      </w:pPr>
      <w:r w:rsidRPr="005203B1">
        <w:rPr>
          <w:noProof/>
        </w:rPr>
        <w:t>134.</w:t>
      </w:r>
      <w:r w:rsidRPr="005203B1">
        <w:rPr>
          <w:noProof/>
        </w:rPr>
        <w:tab/>
        <w:t>CLSI. Performance standards for antimicrobial susceptibility testing; 17th informational supplement. CLSI M100-S17. Wayne, PA: CLSI; 2007.</w:t>
      </w:r>
    </w:p>
    <w:p w14:paraId="6E1479EE" w14:textId="77777777" w:rsidR="005203B1" w:rsidRPr="005203B1" w:rsidRDefault="005203B1" w:rsidP="005203B1">
      <w:pPr>
        <w:pStyle w:val="EndNoteBibliography"/>
        <w:spacing w:after="0"/>
        <w:rPr>
          <w:noProof/>
        </w:rPr>
      </w:pPr>
      <w:r w:rsidRPr="005203B1">
        <w:rPr>
          <w:noProof/>
        </w:rPr>
        <w:t>135.</w:t>
      </w:r>
      <w:r w:rsidRPr="005203B1">
        <w:rPr>
          <w:noProof/>
        </w:rPr>
        <w:tab/>
        <w:t xml:space="preserve">Okomo UA, Dibbasey T, Kassama K, et al. Neonatal admissions, quality of care and outcome: 4 years of inpatient audit data from The Gambia's teaching hospital. </w:t>
      </w:r>
      <w:r w:rsidRPr="005203B1">
        <w:rPr>
          <w:i/>
          <w:noProof/>
        </w:rPr>
        <w:t>Paediatr Int Child Health</w:t>
      </w:r>
      <w:r w:rsidRPr="005203B1">
        <w:rPr>
          <w:noProof/>
        </w:rPr>
        <w:t xml:space="preserve"> 2015: 2046905515Y0000000036.</w:t>
      </w:r>
    </w:p>
    <w:p w14:paraId="670BD882" w14:textId="77777777" w:rsidR="005203B1" w:rsidRPr="005203B1" w:rsidRDefault="005203B1" w:rsidP="005203B1">
      <w:pPr>
        <w:pStyle w:val="EndNoteBibliography"/>
        <w:spacing w:after="0"/>
        <w:rPr>
          <w:noProof/>
        </w:rPr>
      </w:pPr>
      <w:r w:rsidRPr="005203B1">
        <w:rPr>
          <w:noProof/>
        </w:rPr>
        <w:t>136.</w:t>
      </w:r>
      <w:r w:rsidRPr="005203B1">
        <w:rPr>
          <w:noProof/>
        </w:rPr>
        <w:tab/>
        <w:t xml:space="preserve">Seale AC, Blencowe H, Manu AA, et al. Estimates of possible severe bacterial infection in neonates in sub-Saharan Africa, south Asia, and Latin America for 2012: a systematic review and meta-analysis. </w:t>
      </w:r>
      <w:r w:rsidRPr="005203B1">
        <w:rPr>
          <w:i/>
          <w:noProof/>
        </w:rPr>
        <w:t>Lancet Infect Dis</w:t>
      </w:r>
      <w:r w:rsidRPr="005203B1">
        <w:rPr>
          <w:noProof/>
        </w:rPr>
        <w:t xml:space="preserve"> 2014; </w:t>
      </w:r>
      <w:r w:rsidRPr="005203B1">
        <w:rPr>
          <w:b/>
          <w:noProof/>
        </w:rPr>
        <w:t>14</w:t>
      </w:r>
      <w:r w:rsidRPr="005203B1">
        <w:rPr>
          <w:noProof/>
        </w:rPr>
        <w:t>(8): 731-41.</w:t>
      </w:r>
    </w:p>
    <w:p w14:paraId="5C897251" w14:textId="77777777" w:rsidR="005203B1" w:rsidRPr="005203B1" w:rsidRDefault="005203B1" w:rsidP="005203B1">
      <w:pPr>
        <w:pStyle w:val="EndNoteBibliography"/>
        <w:spacing w:after="0"/>
        <w:rPr>
          <w:noProof/>
        </w:rPr>
      </w:pPr>
      <w:r w:rsidRPr="005203B1">
        <w:rPr>
          <w:noProof/>
        </w:rPr>
        <w:t>137.</w:t>
      </w:r>
      <w:r w:rsidRPr="005203B1">
        <w:rPr>
          <w:noProof/>
        </w:rPr>
        <w:tab/>
        <w:t xml:space="preserve">Lawn JE, Bianchi-Jassir F, Russell NJ, et al. Group B Streptococcal Disease Worldwide for Pregnant Women, Stillbirths, and Children: Why, What, and How to Undertake Estimates? </w:t>
      </w:r>
      <w:r w:rsidRPr="005203B1">
        <w:rPr>
          <w:i/>
          <w:noProof/>
        </w:rPr>
        <w:t>Clin Infect Dis</w:t>
      </w:r>
      <w:r w:rsidRPr="005203B1">
        <w:rPr>
          <w:noProof/>
        </w:rPr>
        <w:t xml:space="preserve"> 2017; </w:t>
      </w:r>
      <w:r w:rsidRPr="005203B1">
        <w:rPr>
          <w:b/>
          <w:noProof/>
        </w:rPr>
        <w:t>65</w:t>
      </w:r>
      <w:r w:rsidRPr="005203B1">
        <w:rPr>
          <w:noProof/>
        </w:rPr>
        <w:t>(suppl_2): S89-S99.</w:t>
      </w:r>
    </w:p>
    <w:p w14:paraId="088B66B2" w14:textId="77777777" w:rsidR="005203B1" w:rsidRPr="005203B1" w:rsidRDefault="005203B1" w:rsidP="005203B1">
      <w:pPr>
        <w:pStyle w:val="EndNoteBibliography"/>
        <w:spacing w:after="0"/>
        <w:rPr>
          <w:noProof/>
        </w:rPr>
      </w:pPr>
      <w:r w:rsidRPr="005203B1">
        <w:rPr>
          <w:noProof/>
        </w:rPr>
        <w:t>138.</w:t>
      </w:r>
      <w:r w:rsidRPr="005203B1">
        <w:rPr>
          <w:noProof/>
        </w:rPr>
        <w:tab/>
        <w:t xml:space="preserve">Clarke E, Kampmann B, Goldblatt D. Maternal and neonatal pneumococcal vaccination - where are we now? </w:t>
      </w:r>
      <w:r w:rsidRPr="005203B1">
        <w:rPr>
          <w:i/>
          <w:noProof/>
        </w:rPr>
        <w:t>Expert Rev Vaccines</w:t>
      </w:r>
      <w:r w:rsidRPr="005203B1">
        <w:rPr>
          <w:noProof/>
        </w:rPr>
        <w:t xml:space="preserve"> 2016; </w:t>
      </w:r>
      <w:r w:rsidRPr="005203B1">
        <w:rPr>
          <w:b/>
          <w:noProof/>
        </w:rPr>
        <w:t>15</w:t>
      </w:r>
      <w:r w:rsidRPr="005203B1">
        <w:rPr>
          <w:noProof/>
        </w:rPr>
        <w:t>(10): 1305-17.</w:t>
      </w:r>
    </w:p>
    <w:p w14:paraId="2BB08D33" w14:textId="77777777" w:rsidR="005203B1" w:rsidRPr="005203B1" w:rsidRDefault="005203B1" w:rsidP="005203B1">
      <w:pPr>
        <w:pStyle w:val="EndNoteBibliography"/>
        <w:spacing w:after="0"/>
        <w:rPr>
          <w:noProof/>
        </w:rPr>
      </w:pPr>
      <w:r w:rsidRPr="005203B1">
        <w:rPr>
          <w:noProof/>
        </w:rPr>
        <w:t>139.</w:t>
      </w:r>
      <w:r w:rsidRPr="005203B1">
        <w:rPr>
          <w:noProof/>
        </w:rPr>
        <w:tab/>
        <w:t xml:space="preserve">Lindsey B, Jones C, Kampmann B. Bridging the gap: maternal immunisation as a means to reduce neonatal deaths from infectious diseases. </w:t>
      </w:r>
      <w:r w:rsidRPr="005203B1">
        <w:rPr>
          <w:i/>
          <w:noProof/>
        </w:rPr>
        <w:t>Pathog Glob Health</w:t>
      </w:r>
      <w:r w:rsidRPr="005203B1">
        <w:rPr>
          <w:noProof/>
        </w:rPr>
        <w:t xml:space="preserve"> 2012; </w:t>
      </w:r>
      <w:r w:rsidRPr="005203B1">
        <w:rPr>
          <w:b/>
          <w:noProof/>
        </w:rPr>
        <w:t>106</w:t>
      </w:r>
      <w:r w:rsidRPr="005203B1">
        <w:rPr>
          <w:noProof/>
        </w:rPr>
        <w:t>(3): 137-8.</w:t>
      </w:r>
    </w:p>
    <w:p w14:paraId="53D05024" w14:textId="77777777" w:rsidR="005203B1" w:rsidRPr="005203B1" w:rsidRDefault="005203B1" w:rsidP="005203B1">
      <w:pPr>
        <w:pStyle w:val="EndNoteBibliography"/>
        <w:spacing w:after="0"/>
        <w:rPr>
          <w:noProof/>
        </w:rPr>
      </w:pPr>
      <w:r w:rsidRPr="005203B1">
        <w:rPr>
          <w:noProof/>
        </w:rPr>
        <w:t>140.</w:t>
      </w:r>
      <w:r w:rsidRPr="005203B1">
        <w:rPr>
          <w:noProof/>
        </w:rPr>
        <w:tab/>
        <w:t xml:space="preserve">Reddy EA, Shaw AV, Crump JA. Community-acquired bloodstream infections in Africa: a systematic review and meta-analysis. </w:t>
      </w:r>
      <w:r w:rsidRPr="005203B1">
        <w:rPr>
          <w:i/>
          <w:noProof/>
        </w:rPr>
        <w:t>Lancet Infect Dis</w:t>
      </w:r>
      <w:r w:rsidRPr="005203B1">
        <w:rPr>
          <w:noProof/>
        </w:rPr>
        <w:t xml:space="preserve"> 2010; </w:t>
      </w:r>
      <w:r w:rsidRPr="005203B1">
        <w:rPr>
          <w:b/>
          <w:noProof/>
        </w:rPr>
        <w:t>10</w:t>
      </w:r>
      <w:r w:rsidRPr="005203B1">
        <w:rPr>
          <w:noProof/>
        </w:rPr>
        <w:t>(6): 417-32.</w:t>
      </w:r>
    </w:p>
    <w:p w14:paraId="0AEF2D83" w14:textId="77777777" w:rsidR="005203B1" w:rsidRPr="005203B1" w:rsidRDefault="005203B1" w:rsidP="005203B1">
      <w:pPr>
        <w:pStyle w:val="EndNoteBibliography"/>
        <w:spacing w:after="0"/>
        <w:rPr>
          <w:noProof/>
        </w:rPr>
      </w:pPr>
      <w:r w:rsidRPr="005203B1">
        <w:rPr>
          <w:noProof/>
        </w:rPr>
        <w:t>141.</w:t>
      </w:r>
      <w:r w:rsidRPr="005203B1">
        <w:rPr>
          <w:noProof/>
        </w:rPr>
        <w:tab/>
        <w:t xml:space="preserve">Dagnew AF, Cunnington MC, Dube Q, et al. Variation in reported neonatal group B streptococcal disease incidence in developing countries. </w:t>
      </w:r>
      <w:r w:rsidRPr="005203B1">
        <w:rPr>
          <w:i/>
          <w:noProof/>
        </w:rPr>
        <w:t>Clin Infect Dis</w:t>
      </w:r>
      <w:r w:rsidRPr="005203B1">
        <w:rPr>
          <w:noProof/>
        </w:rPr>
        <w:t xml:space="preserve"> 2012; </w:t>
      </w:r>
      <w:r w:rsidRPr="005203B1">
        <w:rPr>
          <w:b/>
          <w:noProof/>
        </w:rPr>
        <w:t>55</w:t>
      </w:r>
      <w:r w:rsidRPr="005203B1">
        <w:rPr>
          <w:noProof/>
        </w:rPr>
        <w:t>(1): 91-102.</w:t>
      </w:r>
    </w:p>
    <w:p w14:paraId="56E26121" w14:textId="77777777" w:rsidR="005203B1" w:rsidRPr="005203B1" w:rsidRDefault="005203B1" w:rsidP="005203B1">
      <w:pPr>
        <w:pStyle w:val="EndNoteBibliography"/>
        <w:spacing w:after="0"/>
        <w:rPr>
          <w:noProof/>
        </w:rPr>
      </w:pPr>
      <w:r w:rsidRPr="005203B1">
        <w:rPr>
          <w:noProof/>
        </w:rPr>
        <w:t>142.</w:t>
      </w:r>
      <w:r w:rsidRPr="005203B1">
        <w:rPr>
          <w:noProof/>
        </w:rPr>
        <w:tab/>
        <w:t xml:space="preserve">Quan V, Verani JR, Cohen C, et al. Invasive Group B Streptococcal Disease in South Africa: Importance of Surveillance Methodology. </w:t>
      </w:r>
      <w:r w:rsidRPr="005203B1">
        <w:rPr>
          <w:i/>
          <w:noProof/>
        </w:rPr>
        <w:t>PLoS One</w:t>
      </w:r>
      <w:r w:rsidRPr="005203B1">
        <w:rPr>
          <w:noProof/>
        </w:rPr>
        <w:t xml:space="preserve"> 2016; </w:t>
      </w:r>
      <w:r w:rsidRPr="005203B1">
        <w:rPr>
          <w:b/>
          <w:noProof/>
        </w:rPr>
        <w:t>11</w:t>
      </w:r>
      <w:r w:rsidRPr="005203B1">
        <w:rPr>
          <w:noProof/>
        </w:rPr>
        <w:t>(4): e0152524.</w:t>
      </w:r>
    </w:p>
    <w:p w14:paraId="4F8A9145" w14:textId="77777777" w:rsidR="005203B1" w:rsidRPr="005203B1" w:rsidRDefault="005203B1" w:rsidP="005203B1">
      <w:pPr>
        <w:pStyle w:val="EndNoteBibliography"/>
        <w:spacing w:after="0"/>
        <w:rPr>
          <w:noProof/>
        </w:rPr>
      </w:pPr>
      <w:r w:rsidRPr="005203B1">
        <w:rPr>
          <w:noProof/>
        </w:rPr>
        <w:t>143.</w:t>
      </w:r>
      <w:r w:rsidRPr="005203B1">
        <w:rPr>
          <w:noProof/>
        </w:rPr>
        <w:tab/>
        <w:t xml:space="preserve">Schuchat A. Epidemiology of group B streptococcal disease in the United States: shifting paradigms. </w:t>
      </w:r>
      <w:r w:rsidRPr="005203B1">
        <w:rPr>
          <w:i/>
          <w:noProof/>
        </w:rPr>
        <w:t>Clin Microbiol Rev</w:t>
      </w:r>
      <w:r w:rsidRPr="005203B1">
        <w:rPr>
          <w:noProof/>
        </w:rPr>
        <w:t xml:space="preserve"> 1998; </w:t>
      </w:r>
      <w:r w:rsidRPr="005203B1">
        <w:rPr>
          <w:b/>
          <w:noProof/>
        </w:rPr>
        <w:t>11</w:t>
      </w:r>
      <w:r w:rsidRPr="005203B1">
        <w:rPr>
          <w:noProof/>
        </w:rPr>
        <w:t>(3): 497-513.</w:t>
      </w:r>
    </w:p>
    <w:p w14:paraId="4E7ED70A" w14:textId="77777777" w:rsidR="005203B1" w:rsidRPr="005203B1" w:rsidRDefault="005203B1" w:rsidP="005203B1">
      <w:pPr>
        <w:pStyle w:val="EndNoteBibliography"/>
        <w:spacing w:after="0"/>
        <w:rPr>
          <w:noProof/>
        </w:rPr>
      </w:pPr>
      <w:r w:rsidRPr="005203B1">
        <w:rPr>
          <w:noProof/>
        </w:rPr>
        <w:t>144.</w:t>
      </w:r>
      <w:r w:rsidRPr="005203B1">
        <w:rPr>
          <w:noProof/>
        </w:rPr>
        <w:tab/>
        <w:t xml:space="preserve">Saha SK, Schrag SJ, El Arifeen S, et al. Causes and incidence of community-acquired serious infections among young children in south Asia (ANISA): an observational cohort study. </w:t>
      </w:r>
      <w:r w:rsidRPr="005203B1">
        <w:rPr>
          <w:i/>
          <w:noProof/>
        </w:rPr>
        <w:t>Lancet</w:t>
      </w:r>
      <w:r w:rsidRPr="005203B1">
        <w:rPr>
          <w:noProof/>
        </w:rPr>
        <w:t xml:space="preserve"> 2018; </w:t>
      </w:r>
      <w:r w:rsidRPr="005203B1">
        <w:rPr>
          <w:b/>
          <w:noProof/>
        </w:rPr>
        <w:t>392</w:t>
      </w:r>
      <w:r w:rsidRPr="005203B1">
        <w:rPr>
          <w:noProof/>
        </w:rPr>
        <w:t>(10142): 145-59.</w:t>
      </w:r>
    </w:p>
    <w:p w14:paraId="273DAAEC" w14:textId="77777777" w:rsidR="005203B1" w:rsidRPr="005203B1" w:rsidRDefault="005203B1" w:rsidP="005203B1">
      <w:pPr>
        <w:pStyle w:val="EndNoteBibliography"/>
        <w:spacing w:after="0"/>
        <w:rPr>
          <w:noProof/>
        </w:rPr>
      </w:pPr>
      <w:r w:rsidRPr="005203B1">
        <w:rPr>
          <w:noProof/>
        </w:rPr>
        <w:t>145.</w:t>
      </w:r>
      <w:r w:rsidRPr="005203B1">
        <w:rPr>
          <w:noProof/>
        </w:rPr>
        <w:tab/>
        <w:t xml:space="preserve">Carey AJ, Long SS. Staphylococcus aureus: a continuously evolving and formidable pathogen in the neonatal intensive care unit. </w:t>
      </w:r>
      <w:r w:rsidRPr="005203B1">
        <w:rPr>
          <w:i/>
          <w:noProof/>
        </w:rPr>
        <w:t>Clin Perinatol</w:t>
      </w:r>
      <w:r w:rsidRPr="005203B1">
        <w:rPr>
          <w:noProof/>
        </w:rPr>
        <w:t xml:space="preserve"> 2010; </w:t>
      </w:r>
      <w:r w:rsidRPr="005203B1">
        <w:rPr>
          <w:b/>
          <w:noProof/>
        </w:rPr>
        <w:t>37</w:t>
      </w:r>
      <w:r w:rsidRPr="005203B1">
        <w:rPr>
          <w:noProof/>
        </w:rPr>
        <w:t>(3): 535-46.</w:t>
      </w:r>
    </w:p>
    <w:p w14:paraId="4C229796" w14:textId="77777777" w:rsidR="005203B1" w:rsidRPr="005203B1" w:rsidRDefault="005203B1" w:rsidP="005203B1">
      <w:pPr>
        <w:pStyle w:val="EndNoteBibliography"/>
        <w:spacing w:after="0"/>
        <w:rPr>
          <w:noProof/>
        </w:rPr>
      </w:pPr>
      <w:r w:rsidRPr="005203B1">
        <w:rPr>
          <w:noProof/>
        </w:rPr>
        <w:lastRenderedPageBreak/>
        <w:t>146.</w:t>
      </w:r>
      <w:r w:rsidRPr="005203B1">
        <w:rPr>
          <w:noProof/>
        </w:rPr>
        <w:tab/>
        <w:t xml:space="preserve">Newman MJ. Neonatal intensive care unit: reservoirs of nosocomial pathogens. </w:t>
      </w:r>
      <w:r w:rsidRPr="005203B1">
        <w:rPr>
          <w:i/>
          <w:noProof/>
        </w:rPr>
        <w:t>West Afr J Med</w:t>
      </w:r>
      <w:r w:rsidRPr="005203B1">
        <w:rPr>
          <w:noProof/>
        </w:rPr>
        <w:t xml:space="preserve"> 2002; </w:t>
      </w:r>
      <w:r w:rsidRPr="005203B1">
        <w:rPr>
          <w:b/>
          <w:noProof/>
        </w:rPr>
        <w:t>21</w:t>
      </w:r>
      <w:r w:rsidRPr="005203B1">
        <w:rPr>
          <w:noProof/>
        </w:rPr>
        <w:t>(4): 310-2.</w:t>
      </w:r>
    </w:p>
    <w:p w14:paraId="162E2744" w14:textId="77777777" w:rsidR="005203B1" w:rsidRPr="005203B1" w:rsidRDefault="005203B1" w:rsidP="005203B1">
      <w:pPr>
        <w:pStyle w:val="EndNoteBibliography"/>
        <w:spacing w:after="0"/>
        <w:rPr>
          <w:noProof/>
        </w:rPr>
      </w:pPr>
      <w:r w:rsidRPr="005203B1">
        <w:rPr>
          <w:noProof/>
        </w:rPr>
        <w:t>147.</w:t>
      </w:r>
      <w:r w:rsidRPr="005203B1">
        <w:rPr>
          <w:noProof/>
        </w:rPr>
        <w:tab/>
        <w:t xml:space="preserve">Kerur BM, Vishnu Bhat B, Harish BN, Habeebullah S, Uday Kumar C. Maternal genital bacteria and surface colonization in early neonatal sepsis. </w:t>
      </w:r>
      <w:r w:rsidRPr="005203B1">
        <w:rPr>
          <w:i/>
          <w:noProof/>
        </w:rPr>
        <w:t>The Indian Journal of Pediatrics</w:t>
      </w:r>
      <w:r w:rsidRPr="005203B1">
        <w:rPr>
          <w:noProof/>
        </w:rPr>
        <w:t xml:space="preserve"> 2006; </w:t>
      </w:r>
      <w:r w:rsidRPr="005203B1">
        <w:rPr>
          <w:b/>
          <w:noProof/>
        </w:rPr>
        <w:t>73</w:t>
      </w:r>
      <w:r w:rsidRPr="005203B1">
        <w:rPr>
          <w:noProof/>
        </w:rPr>
        <w:t>(1): 29-32.</w:t>
      </w:r>
    </w:p>
    <w:p w14:paraId="7B1B2F25" w14:textId="77777777" w:rsidR="005203B1" w:rsidRPr="005203B1" w:rsidRDefault="005203B1" w:rsidP="005203B1">
      <w:pPr>
        <w:pStyle w:val="EndNoteBibliography"/>
        <w:spacing w:after="0"/>
        <w:rPr>
          <w:noProof/>
        </w:rPr>
      </w:pPr>
      <w:r w:rsidRPr="005203B1">
        <w:rPr>
          <w:noProof/>
        </w:rPr>
        <w:t>148.</w:t>
      </w:r>
      <w:r w:rsidRPr="005203B1">
        <w:rPr>
          <w:noProof/>
        </w:rPr>
        <w:tab/>
        <w:t xml:space="preserve">Schaumburg F, Alabi A, Kokou C, et al. High burden of extended-spectrum beta-lactamase-producing Enterobacteriaceae in Gabon. </w:t>
      </w:r>
      <w:r w:rsidRPr="005203B1">
        <w:rPr>
          <w:i/>
          <w:noProof/>
        </w:rPr>
        <w:t>J Antimicrob Chemother</w:t>
      </w:r>
      <w:r w:rsidRPr="005203B1">
        <w:rPr>
          <w:noProof/>
        </w:rPr>
        <w:t xml:space="preserve"> 2013; </w:t>
      </w:r>
      <w:r w:rsidRPr="005203B1">
        <w:rPr>
          <w:b/>
          <w:noProof/>
        </w:rPr>
        <w:t>68</w:t>
      </w:r>
      <w:r w:rsidRPr="005203B1">
        <w:rPr>
          <w:noProof/>
        </w:rPr>
        <w:t>(9): 2140-3.</w:t>
      </w:r>
    </w:p>
    <w:p w14:paraId="3C40DFEC" w14:textId="77777777" w:rsidR="005203B1" w:rsidRPr="005203B1" w:rsidRDefault="005203B1" w:rsidP="005203B1">
      <w:pPr>
        <w:pStyle w:val="EndNoteBibliography"/>
        <w:spacing w:after="0"/>
        <w:rPr>
          <w:noProof/>
        </w:rPr>
      </w:pPr>
      <w:r w:rsidRPr="005203B1">
        <w:rPr>
          <w:noProof/>
        </w:rPr>
        <w:t>149.</w:t>
      </w:r>
      <w:r w:rsidRPr="005203B1">
        <w:rPr>
          <w:noProof/>
        </w:rPr>
        <w:tab/>
        <w:t xml:space="preserve">Ndir A, Diop A, Ka R, et al. Infections caused by extended-spectrum beta-lactamases producing Enterobacteriaceae: clinical and economic impact in patients hospitalized in 2 teaching hospitals in Dakar, Senegal. </w:t>
      </w:r>
      <w:r w:rsidRPr="005203B1">
        <w:rPr>
          <w:i/>
          <w:noProof/>
        </w:rPr>
        <w:t>Antimicrob Resist Infect Control</w:t>
      </w:r>
      <w:r w:rsidRPr="005203B1">
        <w:rPr>
          <w:noProof/>
        </w:rPr>
        <w:t xml:space="preserve"> 2016; </w:t>
      </w:r>
      <w:r w:rsidRPr="005203B1">
        <w:rPr>
          <w:b/>
          <w:noProof/>
        </w:rPr>
        <w:t>5</w:t>
      </w:r>
      <w:r w:rsidRPr="005203B1">
        <w:rPr>
          <w:noProof/>
        </w:rPr>
        <w:t>: 13.</w:t>
      </w:r>
    </w:p>
    <w:p w14:paraId="7BA96527" w14:textId="77777777" w:rsidR="005203B1" w:rsidRPr="005203B1" w:rsidRDefault="005203B1" w:rsidP="005203B1">
      <w:pPr>
        <w:pStyle w:val="EndNoteBibliography"/>
        <w:spacing w:after="0"/>
        <w:rPr>
          <w:noProof/>
        </w:rPr>
      </w:pPr>
      <w:r w:rsidRPr="005203B1">
        <w:rPr>
          <w:noProof/>
        </w:rPr>
        <w:t>150.</w:t>
      </w:r>
      <w:r w:rsidRPr="005203B1">
        <w:rPr>
          <w:noProof/>
        </w:rPr>
        <w:tab/>
        <w:t xml:space="preserve">Sangare SA, Rondinaud E, Maataoui N, et al. Very high prevalence of extended-spectrum beta-lactamase-producing Enterobacteriaceae in bacteriemic patients hospitalized in teaching hospitals in Bamako, Mali. </w:t>
      </w:r>
      <w:r w:rsidRPr="005203B1">
        <w:rPr>
          <w:i/>
          <w:noProof/>
        </w:rPr>
        <w:t>PLoS One</w:t>
      </w:r>
      <w:r w:rsidRPr="005203B1">
        <w:rPr>
          <w:noProof/>
        </w:rPr>
        <w:t xml:space="preserve"> 2017; </w:t>
      </w:r>
      <w:r w:rsidRPr="005203B1">
        <w:rPr>
          <w:b/>
          <w:noProof/>
        </w:rPr>
        <w:t>12</w:t>
      </w:r>
      <w:r w:rsidRPr="005203B1">
        <w:rPr>
          <w:noProof/>
        </w:rPr>
        <w:t>(2): e0172652.</w:t>
      </w:r>
    </w:p>
    <w:p w14:paraId="3CAC54AE" w14:textId="77777777" w:rsidR="005203B1" w:rsidRPr="005203B1" w:rsidRDefault="005203B1" w:rsidP="005203B1">
      <w:pPr>
        <w:pStyle w:val="EndNoteBibliography"/>
        <w:spacing w:after="0"/>
        <w:rPr>
          <w:noProof/>
        </w:rPr>
      </w:pPr>
      <w:r w:rsidRPr="005203B1">
        <w:rPr>
          <w:noProof/>
        </w:rPr>
        <w:t>151.</w:t>
      </w:r>
      <w:r w:rsidRPr="005203B1">
        <w:rPr>
          <w:noProof/>
        </w:rPr>
        <w:tab/>
        <w:t xml:space="preserve">Cotton MF, Wasserman E, Pieper CH, et al. Invasive disease due to extended spectrum beta-lactamase-producing Klebsiella pneumoniae in a neonatal unit: the possible role of cockroaches. </w:t>
      </w:r>
      <w:r w:rsidRPr="005203B1">
        <w:rPr>
          <w:i/>
          <w:noProof/>
        </w:rPr>
        <w:t>J Hosp Infect</w:t>
      </w:r>
      <w:r w:rsidRPr="005203B1">
        <w:rPr>
          <w:noProof/>
        </w:rPr>
        <w:t xml:space="preserve"> 2000; </w:t>
      </w:r>
      <w:r w:rsidRPr="005203B1">
        <w:rPr>
          <w:b/>
          <w:noProof/>
        </w:rPr>
        <w:t>44</w:t>
      </w:r>
      <w:r w:rsidRPr="005203B1">
        <w:rPr>
          <w:noProof/>
        </w:rPr>
        <w:t>(1): 13-7.</w:t>
      </w:r>
    </w:p>
    <w:p w14:paraId="4669C9B0" w14:textId="77777777" w:rsidR="005203B1" w:rsidRPr="005203B1" w:rsidRDefault="005203B1" w:rsidP="005203B1">
      <w:pPr>
        <w:pStyle w:val="EndNoteBibliography"/>
        <w:spacing w:after="0"/>
        <w:rPr>
          <w:noProof/>
        </w:rPr>
      </w:pPr>
      <w:r w:rsidRPr="005203B1">
        <w:rPr>
          <w:noProof/>
        </w:rPr>
        <w:t>152.</w:t>
      </w:r>
      <w:r w:rsidRPr="005203B1">
        <w:rPr>
          <w:noProof/>
        </w:rPr>
        <w:tab/>
        <w:t xml:space="preserve">Bernabe KJ, Langendorf C, Ford N, Ronat JB, Murphy RA. Antimicrobial resistance in West Africa: a systematic review and meta-analysis. </w:t>
      </w:r>
      <w:r w:rsidRPr="005203B1">
        <w:rPr>
          <w:i/>
          <w:noProof/>
        </w:rPr>
        <w:t>Int J Antimicrob Agents</w:t>
      </w:r>
      <w:r w:rsidRPr="005203B1">
        <w:rPr>
          <w:noProof/>
        </w:rPr>
        <w:t xml:space="preserve"> 2017; </w:t>
      </w:r>
      <w:r w:rsidRPr="005203B1">
        <w:rPr>
          <w:b/>
          <w:noProof/>
        </w:rPr>
        <w:t>50</w:t>
      </w:r>
      <w:r w:rsidRPr="005203B1">
        <w:rPr>
          <w:noProof/>
        </w:rPr>
        <w:t>(5): 629-39.</w:t>
      </w:r>
    </w:p>
    <w:p w14:paraId="28A5D01E" w14:textId="77777777" w:rsidR="005203B1" w:rsidRPr="005203B1" w:rsidRDefault="005203B1" w:rsidP="005203B1">
      <w:pPr>
        <w:pStyle w:val="EndNoteBibliography"/>
        <w:spacing w:after="0"/>
        <w:rPr>
          <w:noProof/>
        </w:rPr>
      </w:pPr>
      <w:r w:rsidRPr="005203B1">
        <w:rPr>
          <w:noProof/>
        </w:rPr>
        <w:t>153.</w:t>
      </w:r>
      <w:r w:rsidRPr="005203B1">
        <w:rPr>
          <w:noProof/>
        </w:rPr>
        <w:tab/>
        <w:t xml:space="preserve">Leopold SJ, van Leth F, Tarekegn H, Schultsz C. Antimicrobial drug resistance among clinically relevant bacterial isolates in sub-Saharan Africa: a systematic review. </w:t>
      </w:r>
      <w:r w:rsidRPr="005203B1">
        <w:rPr>
          <w:i/>
          <w:noProof/>
        </w:rPr>
        <w:t>J Antimicrob Chemother</w:t>
      </w:r>
      <w:r w:rsidRPr="005203B1">
        <w:rPr>
          <w:noProof/>
        </w:rPr>
        <w:t xml:space="preserve"> 2014; </w:t>
      </w:r>
      <w:r w:rsidRPr="005203B1">
        <w:rPr>
          <w:b/>
          <w:noProof/>
        </w:rPr>
        <w:t>69</w:t>
      </w:r>
      <w:r w:rsidRPr="005203B1">
        <w:rPr>
          <w:noProof/>
        </w:rPr>
        <w:t>(9): 2337-53.</w:t>
      </w:r>
    </w:p>
    <w:p w14:paraId="28DFC34A" w14:textId="77777777" w:rsidR="005203B1" w:rsidRPr="005203B1" w:rsidRDefault="005203B1" w:rsidP="005203B1">
      <w:pPr>
        <w:pStyle w:val="EndNoteBibliography"/>
        <w:spacing w:after="0"/>
        <w:rPr>
          <w:noProof/>
        </w:rPr>
      </w:pPr>
      <w:r w:rsidRPr="005203B1">
        <w:rPr>
          <w:noProof/>
        </w:rPr>
        <w:t>154.</w:t>
      </w:r>
      <w:r w:rsidRPr="005203B1">
        <w:rPr>
          <w:noProof/>
        </w:rPr>
        <w:tab/>
        <w:t xml:space="preserve">Investigators of the Delhi Neonatal Infection Study (DeNIS) collaboration. Characterisation and antimicrobial resistance of sepsis pathogens in neonates born in tertiary care centres in Delhi, India: a cohort study. </w:t>
      </w:r>
      <w:r w:rsidRPr="005203B1">
        <w:rPr>
          <w:i/>
          <w:noProof/>
        </w:rPr>
        <w:t>Lancet Glob Health</w:t>
      </w:r>
      <w:r w:rsidRPr="005203B1">
        <w:rPr>
          <w:noProof/>
        </w:rPr>
        <w:t xml:space="preserve"> 2016; </w:t>
      </w:r>
      <w:r w:rsidRPr="005203B1">
        <w:rPr>
          <w:b/>
          <w:noProof/>
        </w:rPr>
        <w:t>4</w:t>
      </w:r>
      <w:r w:rsidRPr="005203B1">
        <w:rPr>
          <w:noProof/>
        </w:rPr>
        <w:t>(10): e752-60.</w:t>
      </w:r>
    </w:p>
    <w:p w14:paraId="327D91A9" w14:textId="77777777" w:rsidR="005203B1" w:rsidRPr="005203B1" w:rsidRDefault="005203B1" w:rsidP="005203B1">
      <w:pPr>
        <w:pStyle w:val="EndNoteBibliography"/>
        <w:spacing w:after="0"/>
        <w:rPr>
          <w:noProof/>
        </w:rPr>
      </w:pPr>
      <w:r w:rsidRPr="005203B1">
        <w:rPr>
          <w:noProof/>
        </w:rPr>
        <w:t>155.</w:t>
      </w:r>
      <w:r w:rsidRPr="005203B1">
        <w:rPr>
          <w:noProof/>
        </w:rPr>
        <w:tab/>
        <w:t xml:space="preserve">Obiero CW, Seale AC, Berkley JA. Empiric treatment of neonatal sepsis in developing countries. </w:t>
      </w:r>
      <w:r w:rsidRPr="005203B1">
        <w:rPr>
          <w:i/>
          <w:noProof/>
        </w:rPr>
        <w:t>Pediatr Infect Dis J</w:t>
      </w:r>
      <w:r w:rsidRPr="005203B1">
        <w:rPr>
          <w:noProof/>
        </w:rPr>
        <w:t xml:space="preserve"> 2015; </w:t>
      </w:r>
      <w:r w:rsidRPr="005203B1">
        <w:rPr>
          <w:b/>
          <w:noProof/>
        </w:rPr>
        <w:t>34</w:t>
      </w:r>
      <w:r w:rsidRPr="005203B1">
        <w:rPr>
          <w:noProof/>
        </w:rPr>
        <w:t>(6): 659-61.</w:t>
      </w:r>
    </w:p>
    <w:p w14:paraId="2618B194" w14:textId="77777777" w:rsidR="005203B1" w:rsidRPr="005203B1" w:rsidRDefault="005203B1" w:rsidP="005203B1">
      <w:pPr>
        <w:pStyle w:val="EndNoteBibliography"/>
        <w:spacing w:after="0"/>
        <w:rPr>
          <w:noProof/>
        </w:rPr>
      </w:pPr>
      <w:r w:rsidRPr="005203B1">
        <w:rPr>
          <w:noProof/>
        </w:rPr>
        <w:t>156.</w:t>
      </w:r>
      <w:r w:rsidRPr="005203B1">
        <w:rPr>
          <w:noProof/>
        </w:rPr>
        <w:tab/>
        <w:t xml:space="preserve">Falagas ME, Karageorgopoulos DE, Leptidis J, Korbila IP. MRSA in Africa: filling the global map of antimicrobial resistance. </w:t>
      </w:r>
      <w:r w:rsidRPr="005203B1">
        <w:rPr>
          <w:i/>
          <w:noProof/>
        </w:rPr>
        <w:t>PLoS One</w:t>
      </w:r>
      <w:r w:rsidRPr="005203B1">
        <w:rPr>
          <w:noProof/>
        </w:rPr>
        <w:t xml:space="preserve"> 2013; </w:t>
      </w:r>
      <w:r w:rsidRPr="005203B1">
        <w:rPr>
          <w:b/>
          <w:noProof/>
        </w:rPr>
        <w:t>8</w:t>
      </w:r>
      <w:r w:rsidRPr="005203B1">
        <w:rPr>
          <w:noProof/>
        </w:rPr>
        <w:t>(7): e68024.</w:t>
      </w:r>
    </w:p>
    <w:p w14:paraId="6D34A86A" w14:textId="77777777" w:rsidR="005203B1" w:rsidRPr="005203B1" w:rsidRDefault="005203B1" w:rsidP="005203B1">
      <w:pPr>
        <w:pStyle w:val="EndNoteBibliography"/>
        <w:spacing w:after="0"/>
        <w:rPr>
          <w:noProof/>
        </w:rPr>
      </w:pPr>
      <w:r w:rsidRPr="005203B1">
        <w:rPr>
          <w:noProof/>
        </w:rPr>
        <w:t>157.</w:t>
      </w:r>
      <w:r w:rsidRPr="005203B1">
        <w:rPr>
          <w:noProof/>
        </w:rPr>
        <w:tab/>
        <w:t>WHO. Antimicrobial resistance. Global report on surveillance. Geneva: World Health Organisation; 2014.</w:t>
      </w:r>
    </w:p>
    <w:p w14:paraId="315EDECC" w14:textId="77777777" w:rsidR="005203B1" w:rsidRPr="005203B1" w:rsidRDefault="005203B1" w:rsidP="005203B1">
      <w:pPr>
        <w:pStyle w:val="EndNoteBibliography"/>
        <w:spacing w:after="0"/>
        <w:rPr>
          <w:noProof/>
        </w:rPr>
      </w:pPr>
      <w:r w:rsidRPr="005203B1">
        <w:rPr>
          <w:noProof/>
        </w:rPr>
        <w:t>158.</w:t>
      </w:r>
      <w:r w:rsidRPr="005203B1">
        <w:rPr>
          <w:noProof/>
        </w:rPr>
        <w:tab/>
        <w:t>WHO. Guideline: Managing possible serious bacterial infection in young infants when referral is not feasible. Geneva: World Health Organization; 2015.</w:t>
      </w:r>
    </w:p>
    <w:p w14:paraId="3E890387" w14:textId="77777777" w:rsidR="005203B1" w:rsidRPr="005203B1" w:rsidRDefault="005203B1" w:rsidP="005203B1">
      <w:pPr>
        <w:pStyle w:val="EndNoteBibliography"/>
        <w:rPr>
          <w:noProof/>
        </w:rPr>
      </w:pPr>
      <w:r w:rsidRPr="005203B1">
        <w:rPr>
          <w:noProof/>
        </w:rPr>
        <w:t>159.</w:t>
      </w:r>
      <w:r w:rsidRPr="005203B1">
        <w:rPr>
          <w:noProof/>
        </w:rPr>
        <w:tab/>
        <w:t xml:space="preserve">Bhutta Z, Das J, Bahl R, Lawn J, Salam R, Paul V. Every Newborn: Can available interventions end preventable deaths in mothers, newborn babies, and stillbirths, and at what cost? </w:t>
      </w:r>
      <w:r w:rsidRPr="005203B1">
        <w:rPr>
          <w:i/>
          <w:noProof/>
        </w:rPr>
        <w:t>Lancet</w:t>
      </w:r>
      <w:r w:rsidRPr="005203B1">
        <w:rPr>
          <w:noProof/>
        </w:rPr>
        <w:t xml:space="preserve"> 2014; </w:t>
      </w:r>
      <w:r w:rsidRPr="005203B1">
        <w:rPr>
          <w:b/>
          <w:noProof/>
        </w:rPr>
        <w:t>384</w:t>
      </w:r>
      <w:r w:rsidRPr="005203B1">
        <w:rPr>
          <w:noProof/>
        </w:rPr>
        <w:t>(9940): 347 - 70.</w:t>
      </w:r>
    </w:p>
    <w:p w14:paraId="3659BCE8" w14:textId="1D35087B" w:rsidR="009E4024" w:rsidRDefault="009E4024">
      <w:pPr>
        <w:rPr>
          <w:rFonts w:cs="Times New Roman"/>
        </w:rPr>
        <w:sectPr w:rsidR="009E4024" w:rsidSect="0056551F">
          <w:pgSz w:w="11906" w:h="16838"/>
          <w:pgMar w:top="1440" w:right="1440" w:bottom="1440" w:left="1440" w:header="708" w:footer="708" w:gutter="0"/>
          <w:cols w:space="708"/>
          <w:docGrid w:linePitch="360"/>
        </w:sectPr>
      </w:pPr>
    </w:p>
    <w:p w14:paraId="58A2DA7A" w14:textId="3A212B14" w:rsidR="00A61B4F" w:rsidRPr="008223BC" w:rsidRDefault="00A61B4F" w:rsidP="00A61B4F">
      <w:pPr>
        <w:spacing w:before="240" w:after="240" w:line="240" w:lineRule="auto"/>
        <w:rPr>
          <w:b/>
        </w:rPr>
      </w:pPr>
      <w:r w:rsidRPr="008223BC">
        <w:rPr>
          <w:b/>
        </w:rPr>
        <w:lastRenderedPageBreak/>
        <w:t xml:space="preserve">Table </w:t>
      </w:r>
      <w:r w:rsidR="00D065FC">
        <w:rPr>
          <w:b/>
        </w:rPr>
        <w:t>1</w:t>
      </w:r>
      <w:r w:rsidRPr="008223BC">
        <w:rPr>
          <w:b/>
        </w:rPr>
        <w:t xml:space="preserve">. </w:t>
      </w:r>
      <w:r>
        <w:rPr>
          <w:b/>
        </w:rPr>
        <w:t>Pooled p</w:t>
      </w:r>
      <w:r w:rsidRPr="0048701C">
        <w:rPr>
          <w:b/>
        </w:rPr>
        <w:t xml:space="preserve">athogen prevalence </w:t>
      </w:r>
      <w:r>
        <w:rPr>
          <w:b/>
        </w:rPr>
        <w:t xml:space="preserve">estimates </w:t>
      </w:r>
      <w:r w:rsidR="0000502E">
        <w:rPr>
          <w:b/>
        </w:rPr>
        <w:t xml:space="preserve">serious </w:t>
      </w:r>
      <w:r w:rsidR="00D4486B">
        <w:rPr>
          <w:b/>
        </w:rPr>
        <w:t xml:space="preserve">bacterial </w:t>
      </w:r>
      <w:r w:rsidR="0000502E" w:rsidRPr="0048701C">
        <w:rPr>
          <w:b/>
        </w:rPr>
        <w:t xml:space="preserve">neonatal </w:t>
      </w:r>
      <w:r w:rsidR="00E554FB">
        <w:rPr>
          <w:b/>
        </w:rPr>
        <w:t>infections</w:t>
      </w:r>
      <w:r w:rsidRPr="0048701C">
        <w:rPr>
          <w:b/>
        </w:rPr>
        <w:t xml:space="preserve"> </w:t>
      </w:r>
      <w:r>
        <w:rPr>
          <w:b/>
        </w:rPr>
        <w:t>in sub-Saharan Africa</w:t>
      </w:r>
      <w:r w:rsidRPr="0048701C">
        <w:rPr>
          <w:b/>
        </w:rPr>
        <w:t xml:space="preserve"> </w:t>
      </w:r>
      <w:r>
        <w:rPr>
          <w:b/>
        </w:rPr>
        <w:t>from meta-analyses, by period of publication</w:t>
      </w: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020"/>
        <w:gridCol w:w="1588"/>
        <w:gridCol w:w="236"/>
        <w:gridCol w:w="1020"/>
        <w:gridCol w:w="1596"/>
      </w:tblGrid>
      <w:tr w:rsidR="00941528" w:rsidRPr="00487403" w14:paraId="615A30C7" w14:textId="77777777" w:rsidTr="00941528">
        <w:trPr>
          <w:trHeight w:val="510"/>
        </w:trPr>
        <w:tc>
          <w:tcPr>
            <w:tcW w:w="3969" w:type="dxa"/>
            <w:vMerge w:val="restart"/>
            <w:tcBorders>
              <w:top w:val="single" w:sz="4" w:space="0" w:color="auto"/>
            </w:tcBorders>
          </w:tcPr>
          <w:p w14:paraId="7AA44D43" w14:textId="1944EEF0" w:rsidR="00941528" w:rsidRPr="007138EC" w:rsidRDefault="00941528" w:rsidP="00E03887">
            <w:pPr>
              <w:spacing w:before="60" w:after="0" w:line="240" w:lineRule="auto"/>
              <w:rPr>
                <w:b/>
                <w:sz w:val="18"/>
                <w:szCs w:val="18"/>
              </w:rPr>
            </w:pPr>
            <w:r w:rsidRPr="007138EC">
              <w:rPr>
                <w:b/>
                <w:color w:val="000000" w:themeColor="text1"/>
                <w:sz w:val="18"/>
                <w:szCs w:val="18"/>
              </w:rPr>
              <w:t>A)</w:t>
            </w:r>
            <w:r>
              <w:rPr>
                <w:b/>
                <w:color w:val="000000" w:themeColor="text1"/>
                <w:sz w:val="18"/>
                <w:szCs w:val="18"/>
              </w:rPr>
              <w:t xml:space="preserve"> </w:t>
            </w:r>
            <w:r w:rsidRPr="007138EC">
              <w:rPr>
                <w:b/>
                <w:color w:val="000000" w:themeColor="text1"/>
                <w:sz w:val="18"/>
                <w:szCs w:val="18"/>
              </w:rPr>
              <w:t>Bacteraemia/Sepsis</w:t>
            </w:r>
          </w:p>
        </w:tc>
        <w:tc>
          <w:tcPr>
            <w:tcW w:w="2608" w:type="dxa"/>
            <w:gridSpan w:val="2"/>
            <w:tcBorders>
              <w:top w:val="single" w:sz="4" w:space="0" w:color="auto"/>
              <w:bottom w:val="single" w:sz="4" w:space="0" w:color="auto"/>
            </w:tcBorders>
            <w:vAlign w:val="center"/>
          </w:tcPr>
          <w:p w14:paraId="0C350678" w14:textId="77777777" w:rsidR="00941528" w:rsidRPr="00F065E7" w:rsidRDefault="00941528" w:rsidP="00E03887">
            <w:pPr>
              <w:spacing w:before="60" w:after="0" w:line="240" w:lineRule="auto"/>
              <w:jc w:val="center"/>
              <w:rPr>
                <w:rFonts w:cs="Times New Roman"/>
                <w:b/>
                <w:sz w:val="18"/>
                <w:szCs w:val="18"/>
              </w:rPr>
            </w:pPr>
            <w:r w:rsidRPr="00F065E7">
              <w:rPr>
                <w:rFonts w:cs="Times New Roman"/>
                <w:b/>
                <w:sz w:val="18"/>
                <w:szCs w:val="18"/>
              </w:rPr>
              <w:t>1980 – 2007</w:t>
            </w:r>
          </w:p>
          <w:p w14:paraId="6945D846" w14:textId="77777777" w:rsidR="00941528" w:rsidRPr="00F065E7" w:rsidRDefault="00941528" w:rsidP="00E042F0">
            <w:pPr>
              <w:spacing w:after="0" w:line="240" w:lineRule="auto"/>
              <w:jc w:val="center"/>
              <w:rPr>
                <w:b/>
                <w:sz w:val="18"/>
                <w:szCs w:val="18"/>
              </w:rPr>
            </w:pPr>
            <w:r w:rsidRPr="00F065E7">
              <w:rPr>
                <w:rFonts w:cs="Times New Roman"/>
                <w:b/>
                <w:sz w:val="18"/>
                <w:szCs w:val="18"/>
              </w:rPr>
              <w:t>(43 studies)</w:t>
            </w:r>
          </w:p>
        </w:tc>
        <w:tc>
          <w:tcPr>
            <w:tcW w:w="236" w:type="dxa"/>
            <w:tcBorders>
              <w:top w:val="single" w:sz="4" w:space="0" w:color="auto"/>
            </w:tcBorders>
            <w:vAlign w:val="center"/>
          </w:tcPr>
          <w:p w14:paraId="3786D57D" w14:textId="77777777" w:rsidR="00941528" w:rsidRPr="00F065E7" w:rsidRDefault="00941528" w:rsidP="00E042F0">
            <w:pPr>
              <w:spacing w:after="0" w:line="240" w:lineRule="auto"/>
              <w:jc w:val="center"/>
              <w:rPr>
                <w:b/>
                <w:sz w:val="18"/>
                <w:szCs w:val="18"/>
              </w:rPr>
            </w:pPr>
          </w:p>
        </w:tc>
        <w:tc>
          <w:tcPr>
            <w:tcW w:w="2616" w:type="dxa"/>
            <w:gridSpan w:val="2"/>
            <w:tcBorders>
              <w:top w:val="single" w:sz="4" w:space="0" w:color="auto"/>
              <w:bottom w:val="single" w:sz="4" w:space="0" w:color="auto"/>
            </w:tcBorders>
            <w:vAlign w:val="center"/>
          </w:tcPr>
          <w:p w14:paraId="4AB8F101" w14:textId="77777777" w:rsidR="00941528" w:rsidRPr="00F065E7" w:rsidRDefault="00941528" w:rsidP="00E03887">
            <w:pPr>
              <w:spacing w:before="60" w:after="0" w:line="240" w:lineRule="auto"/>
              <w:jc w:val="center"/>
              <w:rPr>
                <w:rFonts w:cs="Times New Roman"/>
                <w:b/>
                <w:sz w:val="18"/>
                <w:szCs w:val="18"/>
              </w:rPr>
            </w:pPr>
            <w:r w:rsidRPr="00F065E7">
              <w:rPr>
                <w:rFonts w:cs="Times New Roman"/>
                <w:b/>
                <w:sz w:val="18"/>
                <w:szCs w:val="18"/>
              </w:rPr>
              <w:t>2008 – 2018</w:t>
            </w:r>
          </w:p>
          <w:p w14:paraId="34028FFA" w14:textId="77777777" w:rsidR="00941528" w:rsidRPr="00F065E7" w:rsidRDefault="00941528" w:rsidP="00E042F0">
            <w:pPr>
              <w:spacing w:after="0" w:line="240" w:lineRule="auto"/>
              <w:jc w:val="center"/>
              <w:rPr>
                <w:b/>
                <w:sz w:val="18"/>
                <w:szCs w:val="18"/>
              </w:rPr>
            </w:pPr>
            <w:r w:rsidRPr="00F065E7">
              <w:rPr>
                <w:rFonts w:cs="Times New Roman"/>
                <w:b/>
                <w:sz w:val="18"/>
                <w:szCs w:val="18"/>
              </w:rPr>
              <w:t>(7</w:t>
            </w:r>
            <w:r>
              <w:rPr>
                <w:rFonts w:cs="Times New Roman"/>
                <w:b/>
                <w:sz w:val="18"/>
                <w:szCs w:val="18"/>
              </w:rPr>
              <w:t>1</w:t>
            </w:r>
            <w:r w:rsidRPr="00F065E7">
              <w:rPr>
                <w:rFonts w:cs="Times New Roman"/>
                <w:b/>
                <w:sz w:val="18"/>
                <w:szCs w:val="18"/>
              </w:rPr>
              <w:t xml:space="preserve"> studies)</w:t>
            </w:r>
          </w:p>
        </w:tc>
      </w:tr>
      <w:tr w:rsidR="00941528" w:rsidRPr="00487403" w14:paraId="4B036E64" w14:textId="77777777" w:rsidTr="00744837">
        <w:trPr>
          <w:trHeight w:val="624"/>
        </w:trPr>
        <w:tc>
          <w:tcPr>
            <w:tcW w:w="3969" w:type="dxa"/>
            <w:vMerge/>
            <w:tcBorders>
              <w:bottom w:val="single" w:sz="4" w:space="0" w:color="auto"/>
            </w:tcBorders>
          </w:tcPr>
          <w:p w14:paraId="5C0E1CA8" w14:textId="77777777" w:rsidR="00941528" w:rsidRPr="00487403" w:rsidRDefault="00941528" w:rsidP="00E042F0">
            <w:pPr>
              <w:spacing w:after="0" w:line="240" w:lineRule="auto"/>
              <w:jc w:val="center"/>
              <w:rPr>
                <w:b/>
                <w:sz w:val="18"/>
                <w:szCs w:val="18"/>
              </w:rPr>
            </w:pPr>
          </w:p>
        </w:tc>
        <w:tc>
          <w:tcPr>
            <w:tcW w:w="1020" w:type="dxa"/>
            <w:tcBorders>
              <w:top w:val="single" w:sz="4" w:space="0" w:color="auto"/>
              <w:bottom w:val="single" w:sz="4" w:space="0" w:color="auto"/>
            </w:tcBorders>
            <w:vAlign w:val="center"/>
          </w:tcPr>
          <w:p w14:paraId="246E351F" w14:textId="77777777" w:rsidR="00941528" w:rsidRPr="00487403" w:rsidRDefault="00941528" w:rsidP="00E042F0">
            <w:pPr>
              <w:spacing w:before="40" w:after="40" w:line="240" w:lineRule="auto"/>
              <w:jc w:val="right"/>
              <w:rPr>
                <w:b/>
                <w:sz w:val="18"/>
                <w:szCs w:val="18"/>
              </w:rPr>
            </w:pPr>
            <w:r w:rsidRPr="00487403">
              <w:rPr>
                <w:b/>
                <w:sz w:val="18"/>
                <w:szCs w:val="18"/>
              </w:rPr>
              <w:t>Number of isolates</w:t>
            </w:r>
          </w:p>
        </w:tc>
        <w:tc>
          <w:tcPr>
            <w:tcW w:w="1588" w:type="dxa"/>
            <w:tcBorders>
              <w:top w:val="single" w:sz="4" w:space="0" w:color="auto"/>
              <w:bottom w:val="single" w:sz="4" w:space="0" w:color="auto"/>
            </w:tcBorders>
            <w:vAlign w:val="center"/>
          </w:tcPr>
          <w:p w14:paraId="32F8A2CE" w14:textId="77777777" w:rsidR="00941528" w:rsidRPr="00487403" w:rsidRDefault="00941528" w:rsidP="00E042F0">
            <w:pPr>
              <w:spacing w:before="40" w:after="40" w:line="240" w:lineRule="auto"/>
              <w:rPr>
                <w:b/>
                <w:sz w:val="18"/>
                <w:szCs w:val="18"/>
              </w:rPr>
            </w:pPr>
            <w:r>
              <w:rPr>
                <w:b/>
                <w:sz w:val="18"/>
                <w:szCs w:val="18"/>
              </w:rPr>
              <w:t>Proportion</w:t>
            </w:r>
          </w:p>
          <w:p w14:paraId="078A89B0" w14:textId="77777777" w:rsidR="00941528" w:rsidRPr="00487403" w:rsidRDefault="00941528" w:rsidP="00E042F0">
            <w:pPr>
              <w:spacing w:before="40" w:after="40" w:line="240" w:lineRule="auto"/>
              <w:rPr>
                <w:b/>
                <w:sz w:val="18"/>
                <w:szCs w:val="18"/>
              </w:rPr>
            </w:pPr>
            <w:r w:rsidRPr="00487403">
              <w:rPr>
                <w:b/>
                <w:sz w:val="18"/>
                <w:szCs w:val="18"/>
              </w:rPr>
              <w:t>(95% CI)</w:t>
            </w:r>
          </w:p>
        </w:tc>
        <w:tc>
          <w:tcPr>
            <w:tcW w:w="236" w:type="dxa"/>
            <w:tcBorders>
              <w:bottom w:val="single" w:sz="4" w:space="0" w:color="auto"/>
            </w:tcBorders>
          </w:tcPr>
          <w:p w14:paraId="68D0D809" w14:textId="77777777" w:rsidR="00941528" w:rsidRPr="00487403" w:rsidRDefault="00941528" w:rsidP="00E042F0">
            <w:pPr>
              <w:spacing w:before="40" w:after="40" w:line="240" w:lineRule="auto"/>
              <w:rPr>
                <w:b/>
                <w:sz w:val="18"/>
                <w:szCs w:val="18"/>
              </w:rPr>
            </w:pPr>
          </w:p>
        </w:tc>
        <w:tc>
          <w:tcPr>
            <w:tcW w:w="1020" w:type="dxa"/>
            <w:tcBorders>
              <w:top w:val="single" w:sz="4" w:space="0" w:color="auto"/>
              <w:bottom w:val="single" w:sz="4" w:space="0" w:color="auto"/>
            </w:tcBorders>
            <w:vAlign w:val="center"/>
          </w:tcPr>
          <w:p w14:paraId="2EFCCCD4" w14:textId="77777777" w:rsidR="00941528" w:rsidRPr="00487403" w:rsidRDefault="00941528" w:rsidP="00E042F0">
            <w:pPr>
              <w:spacing w:before="40" w:after="40" w:line="240" w:lineRule="auto"/>
              <w:jc w:val="right"/>
              <w:rPr>
                <w:b/>
                <w:sz w:val="18"/>
                <w:szCs w:val="18"/>
              </w:rPr>
            </w:pPr>
            <w:r w:rsidRPr="00487403">
              <w:rPr>
                <w:b/>
                <w:sz w:val="18"/>
                <w:szCs w:val="18"/>
              </w:rPr>
              <w:t>Number of isolates</w:t>
            </w:r>
          </w:p>
        </w:tc>
        <w:tc>
          <w:tcPr>
            <w:tcW w:w="1596" w:type="dxa"/>
            <w:tcBorders>
              <w:top w:val="single" w:sz="4" w:space="0" w:color="auto"/>
              <w:bottom w:val="single" w:sz="4" w:space="0" w:color="auto"/>
            </w:tcBorders>
            <w:vAlign w:val="center"/>
          </w:tcPr>
          <w:p w14:paraId="334AA8A6" w14:textId="77777777" w:rsidR="00941528" w:rsidRPr="00487403" w:rsidRDefault="00941528" w:rsidP="00E042F0">
            <w:pPr>
              <w:spacing w:before="40" w:after="40" w:line="240" w:lineRule="auto"/>
              <w:rPr>
                <w:b/>
                <w:sz w:val="18"/>
                <w:szCs w:val="18"/>
              </w:rPr>
            </w:pPr>
            <w:r>
              <w:rPr>
                <w:b/>
                <w:sz w:val="18"/>
                <w:szCs w:val="18"/>
              </w:rPr>
              <w:t>Proportion</w:t>
            </w:r>
          </w:p>
          <w:p w14:paraId="5234B4A8" w14:textId="77777777" w:rsidR="00941528" w:rsidRPr="00487403" w:rsidRDefault="00941528" w:rsidP="00E042F0">
            <w:pPr>
              <w:spacing w:before="40" w:after="40" w:line="240" w:lineRule="auto"/>
              <w:rPr>
                <w:b/>
                <w:sz w:val="18"/>
                <w:szCs w:val="18"/>
              </w:rPr>
            </w:pPr>
            <w:r w:rsidRPr="00487403">
              <w:rPr>
                <w:b/>
                <w:sz w:val="18"/>
                <w:szCs w:val="18"/>
              </w:rPr>
              <w:t>(95% CI)</w:t>
            </w:r>
          </w:p>
        </w:tc>
      </w:tr>
      <w:tr w:rsidR="00A61B4F" w:rsidRPr="00487403" w14:paraId="7D938215" w14:textId="77777777" w:rsidTr="00744837">
        <w:tc>
          <w:tcPr>
            <w:tcW w:w="3969" w:type="dxa"/>
            <w:vAlign w:val="center"/>
          </w:tcPr>
          <w:p w14:paraId="5DAED89B" w14:textId="77777777" w:rsidR="00A61B4F" w:rsidRPr="00487403" w:rsidRDefault="00A61B4F" w:rsidP="00AF508B">
            <w:pPr>
              <w:spacing w:after="0" w:line="240" w:lineRule="auto"/>
              <w:ind w:left="170"/>
              <w:rPr>
                <w:rFonts w:cs="Times New Roman"/>
                <w:i/>
                <w:sz w:val="18"/>
                <w:szCs w:val="18"/>
              </w:rPr>
            </w:pPr>
            <w:r w:rsidRPr="002203BF">
              <w:rPr>
                <w:b/>
                <w:color w:val="2E74B5" w:themeColor="accent1" w:themeShade="BF"/>
                <w:sz w:val="18"/>
                <w:szCs w:val="18"/>
              </w:rPr>
              <w:t>Gram</w:t>
            </w:r>
            <w:r>
              <w:rPr>
                <w:b/>
                <w:color w:val="2E74B5" w:themeColor="accent1" w:themeShade="BF"/>
                <w:sz w:val="18"/>
                <w:szCs w:val="18"/>
              </w:rPr>
              <w:t>-p</w:t>
            </w:r>
            <w:r w:rsidRPr="002203BF">
              <w:rPr>
                <w:b/>
                <w:color w:val="2E74B5" w:themeColor="accent1" w:themeShade="BF"/>
                <w:sz w:val="18"/>
                <w:szCs w:val="18"/>
              </w:rPr>
              <w:t>ositive</w:t>
            </w:r>
          </w:p>
        </w:tc>
        <w:tc>
          <w:tcPr>
            <w:tcW w:w="1020" w:type="dxa"/>
            <w:vAlign w:val="center"/>
          </w:tcPr>
          <w:p w14:paraId="17B889D4" w14:textId="77777777" w:rsidR="00A61B4F" w:rsidRPr="00F06DE3" w:rsidRDefault="00A61B4F" w:rsidP="00E042F0">
            <w:pPr>
              <w:spacing w:after="0" w:line="240" w:lineRule="auto"/>
              <w:jc w:val="right"/>
              <w:rPr>
                <w:rFonts w:cs="Times New Roman"/>
                <w:color w:val="000000"/>
                <w:sz w:val="18"/>
                <w:szCs w:val="20"/>
              </w:rPr>
            </w:pPr>
          </w:p>
        </w:tc>
        <w:tc>
          <w:tcPr>
            <w:tcW w:w="1588" w:type="dxa"/>
            <w:vAlign w:val="center"/>
          </w:tcPr>
          <w:p w14:paraId="1D8C437D" w14:textId="77777777" w:rsidR="00A61B4F" w:rsidRPr="00487403" w:rsidRDefault="00A61B4F" w:rsidP="00E042F0">
            <w:pPr>
              <w:spacing w:after="0" w:line="240" w:lineRule="auto"/>
              <w:rPr>
                <w:sz w:val="18"/>
                <w:szCs w:val="18"/>
              </w:rPr>
            </w:pPr>
          </w:p>
        </w:tc>
        <w:tc>
          <w:tcPr>
            <w:tcW w:w="236" w:type="dxa"/>
            <w:vAlign w:val="center"/>
          </w:tcPr>
          <w:p w14:paraId="2905D21A"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5F59F20E" w14:textId="77777777" w:rsidR="00A61B4F" w:rsidRPr="00487403" w:rsidRDefault="00A61B4F" w:rsidP="00E042F0">
            <w:pPr>
              <w:spacing w:after="0" w:line="240" w:lineRule="auto"/>
              <w:jc w:val="right"/>
              <w:rPr>
                <w:rFonts w:cs="Times New Roman"/>
                <w:color w:val="000000"/>
                <w:sz w:val="18"/>
                <w:szCs w:val="18"/>
              </w:rPr>
            </w:pPr>
          </w:p>
        </w:tc>
        <w:tc>
          <w:tcPr>
            <w:tcW w:w="1596" w:type="dxa"/>
            <w:vAlign w:val="center"/>
          </w:tcPr>
          <w:p w14:paraId="18A7EF49" w14:textId="77777777" w:rsidR="00A61B4F" w:rsidRPr="00487403" w:rsidRDefault="00A61B4F" w:rsidP="00E042F0">
            <w:pPr>
              <w:spacing w:after="0" w:line="240" w:lineRule="auto"/>
              <w:rPr>
                <w:sz w:val="18"/>
                <w:szCs w:val="18"/>
              </w:rPr>
            </w:pPr>
          </w:p>
        </w:tc>
      </w:tr>
      <w:tr w:rsidR="00A61B4F" w:rsidRPr="00487403" w14:paraId="63676997" w14:textId="77777777" w:rsidTr="00744837">
        <w:tc>
          <w:tcPr>
            <w:tcW w:w="3969" w:type="dxa"/>
            <w:vAlign w:val="center"/>
          </w:tcPr>
          <w:p w14:paraId="1EF2532C" w14:textId="77777777" w:rsidR="00A61B4F" w:rsidRPr="00487403" w:rsidRDefault="00A61B4F" w:rsidP="00AF508B">
            <w:pPr>
              <w:spacing w:after="0" w:line="240" w:lineRule="auto"/>
              <w:ind w:left="340"/>
              <w:rPr>
                <w:sz w:val="18"/>
                <w:szCs w:val="18"/>
              </w:rPr>
            </w:pPr>
            <w:r w:rsidRPr="00487403">
              <w:rPr>
                <w:rFonts w:cs="Times New Roman"/>
                <w:i/>
                <w:sz w:val="18"/>
                <w:szCs w:val="18"/>
              </w:rPr>
              <w:t>Staphylococcus aureus</w:t>
            </w:r>
          </w:p>
        </w:tc>
        <w:tc>
          <w:tcPr>
            <w:tcW w:w="1020" w:type="dxa"/>
            <w:vAlign w:val="center"/>
          </w:tcPr>
          <w:p w14:paraId="516D760E" w14:textId="77777777" w:rsidR="00A61B4F" w:rsidRPr="00F06DE3" w:rsidRDefault="00A61B4F" w:rsidP="00E042F0">
            <w:pPr>
              <w:spacing w:after="0" w:line="240" w:lineRule="auto"/>
              <w:jc w:val="right"/>
              <w:rPr>
                <w:sz w:val="18"/>
                <w:szCs w:val="18"/>
              </w:rPr>
            </w:pPr>
            <w:r w:rsidRPr="00F06DE3">
              <w:rPr>
                <w:rFonts w:cs="Times New Roman"/>
                <w:color w:val="000000"/>
                <w:sz w:val="18"/>
                <w:szCs w:val="20"/>
              </w:rPr>
              <w:t>912</w:t>
            </w:r>
          </w:p>
        </w:tc>
        <w:tc>
          <w:tcPr>
            <w:tcW w:w="1588" w:type="dxa"/>
            <w:vAlign w:val="center"/>
          </w:tcPr>
          <w:p w14:paraId="6F56E454" w14:textId="77777777" w:rsidR="00A61B4F" w:rsidRPr="00487403" w:rsidRDefault="00A61B4F" w:rsidP="00E042F0">
            <w:pPr>
              <w:spacing w:after="0" w:line="240" w:lineRule="auto"/>
              <w:rPr>
                <w:sz w:val="18"/>
                <w:szCs w:val="18"/>
              </w:rPr>
            </w:pPr>
            <w:r>
              <w:rPr>
                <w:sz w:val="18"/>
                <w:szCs w:val="18"/>
              </w:rPr>
              <w:t>0.25 (0.19 – 0.31)</w:t>
            </w:r>
          </w:p>
        </w:tc>
        <w:tc>
          <w:tcPr>
            <w:tcW w:w="236" w:type="dxa"/>
            <w:vAlign w:val="center"/>
          </w:tcPr>
          <w:p w14:paraId="73826445"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6C4DB1B6"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2080</w:t>
            </w:r>
          </w:p>
        </w:tc>
        <w:tc>
          <w:tcPr>
            <w:tcW w:w="1596" w:type="dxa"/>
            <w:vAlign w:val="center"/>
          </w:tcPr>
          <w:p w14:paraId="7BA77CB0" w14:textId="77777777" w:rsidR="00A61B4F" w:rsidRPr="00487403" w:rsidRDefault="00A61B4F" w:rsidP="00E042F0">
            <w:pPr>
              <w:spacing w:after="0" w:line="240" w:lineRule="auto"/>
              <w:rPr>
                <w:sz w:val="18"/>
                <w:szCs w:val="18"/>
              </w:rPr>
            </w:pPr>
            <w:r>
              <w:rPr>
                <w:sz w:val="18"/>
                <w:szCs w:val="18"/>
              </w:rPr>
              <w:t>0.25 (0.21 – 0.29)</w:t>
            </w:r>
          </w:p>
        </w:tc>
      </w:tr>
      <w:tr w:rsidR="00A61B4F" w:rsidRPr="00487403" w14:paraId="481D0112" w14:textId="77777777" w:rsidTr="00744837">
        <w:tc>
          <w:tcPr>
            <w:tcW w:w="3969" w:type="dxa"/>
            <w:vAlign w:val="center"/>
          </w:tcPr>
          <w:p w14:paraId="114AB73A" w14:textId="77777777" w:rsidR="00A61B4F" w:rsidRPr="00487403" w:rsidRDefault="00A61B4F" w:rsidP="00AF508B">
            <w:pPr>
              <w:spacing w:after="0" w:line="240" w:lineRule="auto"/>
              <w:ind w:left="340"/>
              <w:rPr>
                <w:sz w:val="18"/>
                <w:szCs w:val="18"/>
              </w:rPr>
            </w:pPr>
            <w:r w:rsidRPr="00487403">
              <w:rPr>
                <w:rFonts w:cs="Times New Roman"/>
                <w:sz w:val="18"/>
                <w:szCs w:val="18"/>
              </w:rPr>
              <w:t>Streptococcus pyogenes</w:t>
            </w:r>
          </w:p>
        </w:tc>
        <w:tc>
          <w:tcPr>
            <w:tcW w:w="1020" w:type="dxa"/>
            <w:vAlign w:val="center"/>
          </w:tcPr>
          <w:p w14:paraId="7A63D8B9" w14:textId="77777777" w:rsidR="00A61B4F" w:rsidRPr="00F06DE3" w:rsidRDefault="00A61B4F" w:rsidP="00E042F0">
            <w:pPr>
              <w:spacing w:after="0" w:line="240" w:lineRule="auto"/>
              <w:jc w:val="right"/>
              <w:rPr>
                <w:sz w:val="18"/>
                <w:szCs w:val="18"/>
              </w:rPr>
            </w:pPr>
            <w:r w:rsidRPr="00F06DE3">
              <w:rPr>
                <w:rFonts w:cs="Times New Roman"/>
                <w:color w:val="000000"/>
                <w:sz w:val="18"/>
                <w:szCs w:val="20"/>
              </w:rPr>
              <w:t>75</w:t>
            </w:r>
          </w:p>
        </w:tc>
        <w:tc>
          <w:tcPr>
            <w:tcW w:w="1588" w:type="dxa"/>
            <w:vAlign w:val="center"/>
          </w:tcPr>
          <w:p w14:paraId="637E3B4C" w14:textId="77777777" w:rsidR="00A61B4F" w:rsidRPr="00487403" w:rsidRDefault="00A61B4F" w:rsidP="00E042F0">
            <w:pPr>
              <w:spacing w:after="0" w:line="240" w:lineRule="auto"/>
              <w:rPr>
                <w:sz w:val="18"/>
                <w:szCs w:val="18"/>
              </w:rPr>
            </w:pPr>
            <w:r>
              <w:rPr>
                <w:sz w:val="18"/>
                <w:szCs w:val="18"/>
              </w:rPr>
              <w:t>0.04 (0.02 – 0.08)</w:t>
            </w:r>
          </w:p>
        </w:tc>
        <w:tc>
          <w:tcPr>
            <w:tcW w:w="236" w:type="dxa"/>
            <w:vAlign w:val="center"/>
          </w:tcPr>
          <w:p w14:paraId="7CB5C9D1"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650C56C0"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117</w:t>
            </w:r>
          </w:p>
        </w:tc>
        <w:tc>
          <w:tcPr>
            <w:tcW w:w="1596" w:type="dxa"/>
            <w:vAlign w:val="center"/>
          </w:tcPr>
          <w:p w14:paraId="2568FF75" w14:textId="77777777" w:rsidR="00A61B4F" w:rsidRPr="00487403" w:rsidRDefault="00A61B4F" w:rsidP="00E042F0">
            <w:pPr>
              <w:spacing w:after="0" w:line="240" w:lineRule="auto"/>
              <w:rPr>
                <w:sz w:val="18"/>
                <w:szCs w:val="18"/>
              </w:rPr>
            </w:pPr>
            <w:r>
              <w:rPr>
                <w:sz w:val="18"/>
                <w:szCs w:val="18"/>
              </w:rPr>
              <w:t>0.04 (0.02 – 0.07)</w:t>
            </w:r>
          </w:p>
        </w:tc>
      </w:tr>
      <w:tr w:rsidR="00A61B4F" w:rsidRPr="00487403" w14:paraId="467A4502" w14:textId="77777777" w:rsidTr="00744837">
        <w:tc>
          <w:tcPr>
            <w:tcW w:w="3969" w:type="dxa"/>
            <w:vAlign w:val="center"/>
          </w:tcPr>
          <w:p w14:paraId="1BBEFA04" w14:textId="77777777" w:rsidR="00A61B4F" w:rsidRPr="00487403" w:rsidRDefault="00A61B4F" w:rsidP="00AF508B">
            <w:pPr>
              <w:spacing w:after="0" w:line="240" w:lineRule="auto"/>
              <w:ind w:left="340"/>
              <w:rPr>
                <w:sz w:val="18"/>
                <w:szCs w:val="18"/>
              </w:rPr>
            </w:pPr>
            <w:r w:rsidRPr="00487403">
              <w:rPr>
                <w:rFonts w:cs="Times New Roman"/>
                <w:sz w:val="18"/>
                <w:szCs w:val="18"/>
              </w:rPr>
              <w:t xml:space="preserve">Group B </w:t>
            </w:r>
            <w:r w:rsidRPr="00487403">
              <w:rPr>
                <w:rFonts w:cs="Times New Roman"/>
                <w:i/>
                <w:sz w:val="18"/>
                <w:szCs w:val="18"/>
              </w:rPr>
              <w:t>Streptococci</w:t>
            </w:r>
          </w:p>
        </w:tc>
        <w:tc>
          <w:tcPr>
            <w:tcW w:w="1020" w:type="dxa"/>
            <w:vAlign w:val="center"/>
          </w:tcPr>
          <w:p w14:paraId="088A2334" w14:textId="77777777" w:rsidR="00A61B4F" w:rsidRPr="00F06DE3" w:rsidRDefault="00A61B4F" w:rsidP="00E042F0">
            <w:pPr>
              <w:spacing w:after="0" w:line="240" w:lineRule="auto"/>
              <w:jc w:val="right"/>
              <w:rPr>
                <w:sz w:val="18"/>
                <w:szCs w:val="18"/>
              </w:rPr>
            </w:pPr>
            <w:r w:rsidRPr="00F06DE3">
              <w:rPr>
                <w:rFonts w:cs="Times New Roman"/>
                <w:color w:val="000000"/>
                <w:sz w:val="18"/>
                <w:szCs w:val="20"/>
              </w:rPr>
              <w:t>213</w:t>
            </w:r>
          </w:p>
        </w:tc>
        <w:tc>
          <w:tcPr>
            <w:tcW w:w="1588" w:type="dxa"/>
            <w:vAlign w:val="center"/>
          </w:tcPr>
          <w:p w14:paraId="36753AC3" w14:textId="77777777" w:rsidR="00A61B4F" w:rsidRPr="00487403" w:rsidRDefault="00A61B4F" w:rsidP="00E042F0">
            <w:pPr>
              <w:spacing w:after="0" w:line="240" w:lineRule="auto"/>
              <w:rPr>
                <w:sz w:val="18"/>
                <w:szCs w:val="18"/>
              </w:rPr>
            </w:pPr>
            <w:r>
              <w:rPr>
                <w:sz w:val="18"/>
                <w:szCs w:val="18"/>
              </w:rPr>
              <w:t>0.07 (0.03 – 0.12)</w:t>
            </w:r>
          </w:p>
        </w:tc>
        <w:tc>
          <w:tcPr>
            <w:tcW w:w="236" w:type="dxa"/>
            <w:vAlign w:val="center"/>
          </w:tcPr>
          <w:p w14:paraId="4A5C1F82"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4B31A1CE"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342</w:t>
            </w:r>
          </w:p>
        </w:tc>
        <w:tc>
          <w:tcPr>
            <w:tcW w:w="1596" w:type="dxa"/>
            <w:vAlign w:val="center"/>
          </w:tcPr>
          <w:p w14:paraId="4A194509" w14:textId="77777777" w:rsidR="00A61B4F" w:rsidRPr="00487403" w:rsidRDefault="00A61B4F" w:rsidP="00E042F0">
            <w:pPr>
              <w:spacing w:after="0" w:line="240" w:lineRule="auto"/>
              <w:rPr>
                <w:sz w:val="18"/>
                <w:szCs w:val="18"/>
              </w:rPr>
            </w:pPr>
            <w:r>
              <w:rPr>
                <w:sz w:val="18"/>
                <w:szCs w:val="18"/>
              </w:rPr>
              <w:t>0.06 (0.03 – 0.10)</w:t>
            </w:r>
          </w:p>
        </w:tc>
      </w:tr>
      <w:tr w:rsidR="00A61B4F" w:rsidRPr="00487403" w14:paraId="6BB882C7" w14:textId="77777777" w:rsidTr="00744837">
        <w:tc>
          <w:tcPr>
            <w:tcW w:w="3969" w:type="dxa"/>
            <w:vAlign w:val="center"/>
          </w:tcPr>
          <w:p w14:paraId="5BB6364A" w14:textId="77777777" w:rsidR="00A61B4F" w:rsidRPr="00487403" w:rsidRDefault="00A61B4F" w:rsidP="00AF508B">
            <w:pPr>
              <w:spacing w:after="0" w:line="240" w:lineRule="auto"/>
              <w:ind w:left="340"/>
              <w:rPr>
                <w:sz w:val="18"/>
                <w:szCs w:val="18"/>
              </w:rPr>
            </w:pPr>
            <w:r w:rsidRPr="00487403">
              <w:rPr>
                <w:rFonts w:cs="Times New Roman"/>
                <w:sz w:val="18"/>
                <w:szCs w:val="18"/>
              </w:rPr>
              <w:t xml:space="preserve">Group D </w:t>
            </w:r>
            <w:r w:rsidRPr="00487403">
              <w:rPr>
                <w:rFonts w:cs="Times New Roman"/>
                <w:i/>
                <w:sz w:val="18"/>
                <w:szCs w:val="18"/>
              </w:rPr>
              <w:t>Streptococci</w:t>
            </w:r>
            <w:r w:rsidRPr="00487403">
              <w:rPr>
                <w:rFonts w:cs="Times New Roman"/>
                <w:sz w:val="18"/>
                <w:szCs w:val="18"/>
              </w:rPr>
              <w:t xml:space="preserve">/ </w:t>
            </w:r>
            <w:r w:rsidRPr="00487403">
              <w:rPr>
                <w:rFonts w:cs="Times New Roman"/>
                <w:i/>
                <w:sz w:val="18"/>
                <w:szCs w:val="18"/>
              </w:rPr>
              <w:t>Enterococcus</w:t>
            </w:r>
          </w:p>
        </w:tc>
        <w:tc>
          <w:tcPr>
            <w:tcW w:w="1020" w:type="dxa"/>
            <w:vAlign w:val="center"/>
          </w:tcPr>
          <w:p w14:paraId="784DA98B" w14:textId="77777777" w:rsidR="00A61B4F" w:rsidRPr="00F06DE3" w:rsidRDefault="00A61B4F" w:rsidP="00E042F0">
            <w:pPr>
              <w:spacing w:after="0" w:line="240" w:lineRule="auto"/>
              <w:jc w:val="right"/>
              <w:rPr>
                <w:sz w:val="18"/>
                <w:szCs w:val="18"/>
              </w:rPr>
            </w:pPr>
            <w:r w:rsidRPr="00F06DE3">
              <w:rPr>
                <w:rFonts w:cs="Times New Roman"/>
                <w:color w:val="000000"/>
                <w:sz w:val="18"/>
                <w:szCs w:val="20"/>
              </w:rPr>
              <w:t>139</w:t>
            </w:r>
          </w:p>
        </w:tc>
        <w:tc>
          <w:tcPr>
            <w:tcW w:w="1588" w:type="dxa"/>
            <w:vAlign w:val="center"/>
          </w:tcPr>
          <w:p w14:paraId="566E3294" w14:textId="77777777" w:rsidR="00A61B4F" w:rsidRPr="00487403" w:rsidRDefault="00A61B4F" w:rsidP="00E042F0">
            <w:pPr>
              <w:spacing w:after="0" w:line="240" w:lineRule="auto"/>
              <w:rPr>
                <w:sz w:val="18"/>
                <w:szCs w:val="18"/>
              </w:rPr>
            </w:pPr>
            <w:r>
              <w:rPr>
                <w:sz w:val="18"/>
                <w:szCs w:val="18"/>
              </w:rPr>
              <w:t>0.05 (0.03 – 0.07)</w:t>
            </w:r>
          </w:p>
        </w:tc>
        <w:tc>
          <w:tcPr>
            <w:tcW w:w="236" w:type="dxa"/>
            <w:vAlign w:val="center"/>
          </w:tcPr>
          <w:p w14:paraId="5C9745FC"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3264B5CE"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449</w:t>
            </w:r>
          </w:p>
        </w:tc>
        <w:tc>
          <w:tcPr>
            <w:tcW w:w="1596" w:type="dxa"/>
            <w:vAlign w:val="center"/>
          </w:tcPr>
          <w:p w14:paraId="5C9F70D5" w14:textId="77777777" w:rsidR="00A61B4F" w:rsidRPr="00487403" w:rsidRDefault="00A61B4F" w:rsidP="00E042F0">
            <w:pPr>
              <w:spacing w:after="0" w:line="240" w:lineRule="auto"/>
              <w:rPr>
                <w:sz w:val="18"/>
                <w:szCs w:val="18"/>
              </w:rPr>
            </w:pPr>
            <w:r>
              <w:rPr>
                <w:sz w:val="18"/>
                <w:szCs w:val="18"/>
              </w:rPr>
              <w:t>0.05 (0.04 – 0.07)</w:t>
            </w:r>
          </w:p>
        </w:tc>
      </w:tr>
      <w:tr w:rsidR="00A61B4F" w:rsidRPr="00487403" w14:paraId="0AB998FE" w14:textId="77777777" w:rsidTr="00744837">
        <w:tc>
          <w:tcPr>
            <w:tcW w:w="3969" w:type="dxa"/>
            <w:vAlign w:val="center"/>
          </w:tcPr>
          <w:p w14:paraId="207DFF9C" w14:textId="77777777" w:rsidR="00A61B4F" w:rsidRPr="00487403" w:rsidRDefault="00A61B4F" w:rsidP="00AF508B">
            <w:pPr>
              <w:spacing w:after="0" w:line="240" w:lineRule="auto"/>
              <w:ind w:left="340"/>
              <w:rPr>
                <w:sz w:val="18"/>
                <w:szCs w:val="18"/>
              </w:rPr>
            </w:pPr>
            <w:r w:rsidRPr="00487403">
              <w:rPr>
                <w:rFonts w:cs="Times New Roman"/>
                <w:i/>
                <w:sz w:val="18"/>
                <w:szCs w:val="18"/>
              </w:rPr>
              <w:t>Streptococcus pneumoniae</w:t>
            </w:r>
          </w:p>
        </w:tc>
        <w:tc>
          <w:tcPr>
            <w:tcW w:w="1020" w:type="dxa"/>
            <w:vAlign w:val="center"/>
          </w:tcPr>
          <w:p w14:paraId="1CC3CC21" w14:textId="77777777" w:rsidR="00A61B4F" w:rsidRPr="00F06DE3" w:rsidRDefault="00A61B4F" w:rsidP="00E042F0">
            <w:pPr>
              <w:spacing w:after="0" w:line="240" w:lineRule="auto"/>
              <w:jc w:val="right"/>
              <w:rPr>
                <w:sz w:val="18"/>
                <w:szCs w:val="18"/>
              </w:rPr>
            </w:pPr>
            <w:r w:rsidRPr="00F06DE3">
              <w:rPr>
                <w:rFonts w:cs="Times New Roman"/>
                <w:color w:val="000000"/>
                <w:sz w:val="18"/>
                <w:szCs w:val="20"/>
              </w:rPr>
              <w:t>72</w:t>
            </w:r>
          </w:p>
        </w:tc>
        <w:tc>
          <w:tcPr>
            <w:tcW w:w="1588" w:type="dxa"/>
            <w:vAlign w:val="center"/>
          </w:tcPr>
          <w:p w14:paraId="1E7ADA45" w14:textId="77777777" w:rsidR="00A61B4F" w:rsidRPr="00487403" w:rsidRDefault="00A61B4F" w:rsidP="00E042F0">
            <w:pPr>
              <w:spacing w:after="0" w:line="240" w:lineRule="auto"/>
              <w:rPr>
                <w:sz w:val="18"/>
                <w:szCs w:val="18"/>
              </w:rPr>
            </w:pPr>
            <w:r>
              <w:rPr>
                <w:sz w:val="18"/>
                <w:szCs w:val="18"/>
              </w:rPr>
              <w:t>0.04 (0.02 – 0.08)</w:t>
            </w:r>
          </w:p>
        </w:tc>
        <w:tc>
          <w:tcPr>
            <w:tcW w:w="236" w:type="dxa"/>
            <w:vAlign w:val="center"/>
          </w:tcPr>
          <w:p w14:paraId="6A143918"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24DF381E"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114</w:t>
            </w:r>
          </w:p>
        </w:tc>
        <w:tc>
          <w:tcPr>
            <w:tcW w:w="1596" w:type="dxa"/>
            <w:vAlign w:val="center"/>
          </w:tcPr>
          <w:p w14:paraId="2278AE0B" w14:textId="77777777" w:rsidR="00A61B4F" w:rsidRPr="00487403" w:rsidRDefault="00A61B4F" w:rsidP="00E042F0">
            <w:pPr>
              <w:spacing w:after="0" w:line="240" w:lineRule="auto"/>
              <w:rPr>
                <w:sz w:val="18"/>
                <w:szCs w:val="18"/>
              </w:rPr>
            </w:pPr>
            <w:r>
              <w:rPr>
                <w:sz w:val="18"/>
                <w:szCs w:val="18"/>
              </w:rPr>
              <w:t>0.02 (0.01 – 0.04)</w:t>
            </w:r>
          </w:p>
        </w:tc>
      </w:tr>
      <w:tr w:rsidR="00A61B4F" w:rsidRPr="00487403" w14:paraId="58B61291" w14:textId="77777777" w:rsidTr="00744837">
        <w:tc>
          <w:tcPr>
            <w:tcW w:w="3969" w:type="dxa"/>
            <w:vAlign w:val="center"/>
          </w:tcPr>
          <w:p w14:paraId="0D2EF635" w14:textId="77777777" w:rsidR="00A61B4F" w:rsidRPr="00487403" w:rsidRDefault="00A61B4F" w:rsidP="00AF508B">
            <w:pPr>
              <w:spacing w:after="0" w:line="240" w:lineRule="auto"/>
              <w:ind w:left="340"/>
              <w:rPr>
                <w:sz w:val="18"/>
                <w:szCs w:val="18"/>
              </w:rPr>
            </w:pPr>
            <w:r w:rsidRPr="00487403">
              <w:rPr>
                <w:rFonts w:cs="Times New Roman"/>
                <w:sz w:val="18"/>
                <w:szCs w:val="18"/>
              </w:rPr>
              <w:t>Viridians streptococci</w:t>
            </w:r>
          </w:p>
        </w:tc>
        <w:tc>
          <w:tcPr>
            <w:tcW w:w="1020" w:type="dxa"/>
            <w:vAlign w:val="center"/>
          </w:tcPr>
          <w:p w14:paraId="5DA80FFE" w14:textId="77777777" w:rsidR="00A61B4F" w:rsidRPr="00F06DE3" w:rsidRDefault="00A61B4F" w:rsidP="00E042F0">
            <w:pPr>
              <w:spacing w:after="0" w:line="240" w:lineRule="auto"/>
              <w:jc w:val="right"/>
              <w:rPr>
                <w:sz w:val="18"/>
                <w:szCs w:val="18"/>
              </w:rPr>
            </w:pPr>
            <w:r w:rsidRPr="00F06DE3">
              <w:rPr>
                <w:rFonts w:cs="Times New Roman"/>
                <w:color w:val="000000"/>
                <w:sz w:val="18"/>
                <w:szCs w:val="20"/>
              </w:rPr>
              <w:t>7</w:t>
            </w:r>
          </w:p>
        </w:tc>
        <w:tc>
          <w:tcPr>
            <w:tcW w:w="1588" w:type="dxa"/>
            <w:vAlign w:val="center"/>
          </w:tcPr>
          <w:p w14:paraId="137A5AB8" w14:textId="77777777" w:rsidR="00A61B4F" w:rsidRPr="00487403" w:rsidRDefault="00A61B4F" w:rsidP="00E042F0">
            <w:pPr>
              <w:spacing w:after="0" w:line="240" w:lineRule="auto"/>
              <w:rPr>
                <w:sz w:val="18"/>
                <w:szCs w:val="18"/>
              </w:rPr>
            </w:pPr>
            <w:r>
              <w:rPr>
                <w:sz w:val="18"/>
                <w:szCs w:val="18"/>
              </w:rPr>
              <w:t>0.01 (0.00 – 0.05)</w:t>
            </w:r>
          </w:p>
        </w:tc>
        <w:tc>
          <w:tcPr>
            <w:tcW w:w="236" w:type="dxa"/>
            <w:vAlign w:val="center"/>
          </w:tcPr>
          <w:p w14:paraId="57F6F758"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387BD525"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71</w:t>
            </w:r>
          </w:p>
        </w:tc>
        <w:tc>
          <w:tcPr>
            <w:tcW w:w="1596" w:type="dxa"/>
            <w:vAlign w:val="center"/>
          </w:tcPr>
          <w:p w14:paraId="01ACAEAF" w14:textId="77777777" w:rsidR="00A61B4F" w:rsidRPr="00487403" w:rsidRDefault="00A61B4F" w:rsidP="00E042F0">
            <w:pPr>
              <w:spacing w:after="0" w:line="240" w:lineRule="auto"/>
              <w:rPr>
                <w:sz w:val="18"/>
                <w:szCs w:val="18"/>
              </w:rPr>
            </w:pPr>
            <w:r>
              <w:rPr>
                <w:sz w:val="18"/>
                <w:szCs w:val="18"/>
              </w:rPr>
              <w:t>0.03 (0.01 – 0.05)</w:t>
            </w:r>
          </w:p>
        </w:tc>
      </w:tr>
      <w:tr w:rsidR="00A61B4F" w:rsidRPr="00487403" w14:paraId="425BBD2B" w14:textId="77777777" w:rsidTr="00744837">
        <w:tc>
          <w:tcPr>
            <w:tcW w:w="3969" w:type="dxa"/>
            <w:vAlign w:val="center"/>
          </w:tcPr>
          <w:p w14:paraId="5BF317D9" w14:textId="77777777" w:rsidR="00A61B4F" w:rsidRPr="00487403" w:rsidRDefault="00A61B4F" w:rsidP="00AF508B">
            <w:pPr>
              <w:spacing w:after="0" w:line="240" w:lineRule="auto"/>
              <w:ind w:left="340"/>
              <w:rPr>
                <w:sz w:val="18"/>
                <w:szCs w:val="18"/>
              </w:rPr>
            </w:pPr>
            <w:r w:rsidRPr="00487403">
              <w:rPr>
                <w:rFonts w:cs="Times New Roman"/>
                <w:sz w:val="18"/>
                <w:szCs w:val="18"/>
              </w:rPr>
              <w:t xml:space="preserve">Other </w:t>
            </w:r>
            <w:r w:rsidRPr="00487403">
              <w:rPr>
                <w:rFonts w:cs="Times New Roman"/>
                <w:i/>
                <w:sz w:val="18"/>
                <w:szCs w:val="18"/>
              </w:rPr>
              <w:t>Streptococcus</w:t>
            </w:r>
            <w:r w:rsidRPr="00487403">
              <w:rPr>
                <w:rFonts w:cs="Times New Roman"/>
                <w:sz w:val="18"/>
                <w:szCs w:val="18"/>
              </w:rPr>
              <w:t xml:space="preserve"> species/unspecified</w:t>
            </w:r>
          </w:p>
        </w:tc>
        <w:tc>
          <w:tcPr>
            <w:tcW w:w="1020" w:type="dxa"/>
            <w:vAlign w:val="center"/>
          </w:tcPr>
          <w:p w14:paraId="17E6C224" w14:textId="77777777" w:rsidR="00A61B4F" w:rsidRPr="00F06DE3" w:rsidRDefault="00A61B4F" w:rsidP="00E042F0">
            <w:pPr>
              <w:spacing w:after="0" w:line="240" w:lineRule="auto"/>
              <w:jc w:val="right"/>
              <w:rPr>
                <w:sz w:val="18"/>
                <w:szCs w:val="18"/>
              </w:rPr>
            </w:pPr>
            <w:r>
              <w:rPr>
                <w:rFonts w:cs="Times New Roman"/>
                <w:color w:val="000000"/>
                <w:sz w:val="18"/>
                <w:szCs w:val="20"/>
              </w:rPr>
              <w:t>6</w:t>
            </w:r>
            <w:r w:rsidRPr="00F06DE3">
              <w:rPr>
                <w:rFonts w:cs="Times New Roman"/>
                <w:color w:val="000000"/>
                <w:sz w:val="18"/>
                <w:szCs w:val="20"/>
              </w:rPr>
              <w:t>3</w:t>
            </w:r>
          </w:p>
        </w:tc>
        <w:tc>
          <w:tcPr>
            <w:tcW w:w="1588" w:type="dxa"/>
            <w:vAlign w:val="center"/>
          </w:tcPr>
          <w:p w14:paraId="0AB29E8C" w14:textId="77777777" w:rsidR="00A61B4F" w:rsidRPr="00487403" w:rsidRDefault="00A61B4F" w:rsidP="00E042F0">
            <w:pPr>
              <w:spacing w:after="0" w:line="240" w:lineRule="auto"/>
              <w:rPr>
                <w:sz w:val="18"/>
                <w:szCs w:val="18"/>
              </w:rPr>
            </w:pPr>
            <w:r>
              <w:rPr>
                <w:sz w:val="18"/>
                <w:szCs w:val="18"/>
              </w:rPr>
              <w:t>0.03 (0.01 – 0.05)</w:t>
            </w:r>
          </w:p>
        </w:tc>
        <w:tc>
          <w:tcPr>
            <w:tcW w:w="236" w:type="dxa"/>
            <w:vAlign w:val="center"/>
          </w:tcPr>
          <w:p w14:paraId="01790E92"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1C30A2E0"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20</w:t>
            </w:r>
            <w:r>
              <w:rPr>
                <w:rFonts w:cs="Times New Roman"/>
                <w:color w:val="000000"/>
                <w:sz w:val="18"/>
                <w:szCs w:val="18"/>
              </w:rPr>
              <w:t>9</w:t>
            </w:r>
          </w:p>
        </w:tc>
        <w:tc>
          <w:tcPr>
            <w:tcW w:w="1596" w:type="dxa"/>
            <w:vAlign w:val="center"/>
          </w:tcPr>
          <w:p w14:paraId="10E528D2" w14:textId="77777777" w:rsidR="00A61B4F" w:rsidRPr="00487403" w:rsidRDefault="00A61B4F" w:rsidP="00E042F0">
            <w:pPr>
              <w:spacing w:after="0" w:line="240" w:lineRule="auto"/>
              <w:rPr>
                <w:sz w:val="18"/>
                <w:szCs w:val="18"/>
              </w:rPr>
            </w:pPr>
            <w:r>
              <w:rPr>
                <w:sz w:val="18"/>
                <w:szCs w:val="18"/>
              </w:rPr>
              <w:t>0.05 (0.03 – 0.07)</w:t>
            </w:r>
          </w:p>
        </w:tc>
      </w:tr>
      <w:tr w:rsidR="00A61B4F" w:rsidRPr="00487403" w14:paraId="45EE6CC0" w14:textId="77777777" w:rsidTr="00744837">
        <w:tc>
          <w:tcPr>
            <w:tcW w:w="3969" w:type="dxa"/>
            <w:vAlign w:val="center"/>
          </w:tcPr>
          <w:p w14:paraId="5474F7A5" w14:textId="77777777" w:rsidR="00A61B4F" w:rsidRPr="00487403" w:rsidRDefault="00A61B4F" w:rsidP="00AF508B">
            <w:pPr>
              <w:spacing w:after="0" w:line="240" w:lineRule="auto"/>
              <w:ind w:left="340"/>
              <w:rPr>
                <w:sz w:val="18"/>
                <w:szCs w:val="18"/>
              </w:rPr>
            </w:pPr>
            <w:r w:rsidRPr="00487403">
              <w:rPr>
                <w:rFonts w:cs="Times New Roman"/>
                <w:sz w:val="18"/>
                <w:szCs w:val="18"/>
              </w:rPr>
              <w:t>Other/ unspecified Gram</w:t>
            </w:r>
            <w:r>
              <w:rPr>
                <w:rFonts w:cs="Times New Roman"/>
                <w:sz w:val="18"/>
                <w:szCs w:val="18"/>
              </w:rPr>
              <w:t>-</w:t>
            </w:r>
            <w:r w:rsidRPr="00487403">
              <w:rPr>
                <w:rFonts w:cs="Times New Roman"/>
                <w:sz w:val="18"/>
                <w:szCs w:val="18"/>
              </w:rPr>
              <w:t>positives</w:t>
            </w:r>
          </w:p>
        </w:tc>
        <w:tc>
          <w:tcPr>
            <w:tcW w:w="1020" w:type="dxa"/>
            <w:vAlign w:val="center"/>
          </w:tcPr>
          <w:p w14:paraId="264D4F02" w14:textId="77777777" w:rsidR="00A61B4F" w:rsidRPr="00F06DE3" w:rsidRDefault="00A61B4F" w:rsidP="00E042F0">
            <w:pPr>
              <w:spacing w:after="0" w:line="240" w:lineRule="auto"/>
              <w:jc w:val="right"/>
              <w:rPr>
                <w:sz w:val="18"/>
                <w:szCs w:val="18"/>
              </w:rPr>
            </w:pPr>
            <w:r>
              <w:rPr>
                <w:rFonts w:cs="Times New Roman"/>
                <w:color w:val="000000"/>
                <w:sz w:val="18"/>
                <w:szCs w:val="20"/>
              </w:rPr>
              <w:t>87</w:t>
            </w:r>
            <w:r w:rsidRPr="00F06DE3">
              <w:rPr>
                <w:rFonts w:cs="Times New Roman"/>
                <w:color w:val="000000"/>
                <w:sz w:val="18"/>
                <w:szCs w:val="20"/>
              </w:rPr>
              <w:t xml:space="preserve"> </w:t>
            </w:r>
          </w:p>
        </w:tc>
        <w:tc>
          <w:tcPr>
            <w:tcW w:w="1588" w:type="dxa"/>
            <w:vAlign w:val="center"/>
          </w:tcPr>
          <w:p w14:paraId="7EDCBFF0" w14:textId="77777777" w:rsidR="00A61B4F" w:rsidRPr="00487403" w:rsidRDefault="00A61B4F" w:rsidP="00E042F0">
            <w:pPr>
              <w:spacing w:after="0" w:line="240" w:lineRule="auto"/>
              <w:rPr>
                <w:sz w:val="18"/>
                <w:szCs w:val="18"/>
              </w:rPr>
            </w:pPr>
            <w:r>
              <w:rPr>
                <w:sz w:val="18"/>
                <w:szCs w:val="18"/>
              </w:rPr>
              <w:t>0.04 (0.01 – 0.08)</w:t>
            </w:r>
          </w:p>
        </w:tc>
        <w:tc>
          <w:tcPr>
            <w:tcW w:w="236" w:type="dxa"/>
            <w:vAlign w:val="center"/>
          </w:tcPr>
          <w:p w14:paraId="75BC4D93"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53F8F61D"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1</w:t>
            </w:r>
            <w:r>
              <w:rPr>
                <w:rFonts w:cs="Times New Roman"/>
                <w:color w:val="000000"/>
                <w:sz w:val="18"/>
                <w:szCs w:val="18"/>
              </w:rPr>
              <w:t>55</w:t>
            </w:r>
          </w:p>
        </w:tc>
        <w:tc>
          <w:tcPr>
            <w:tcW w:w="1596" w:type="dxa"/>
            <w:vAlign w:val="center"/>
          </w:tcPr>
          <w:p w14:paraId="11069E2A" w14:textId="77777777" w:rsidR="00A61B4F" w:rsidRPr="00487403" w:rsidRDefault="00A61B4F" w:rsidP="00E042F0">
            <w:pPr>
              <w:spacing w:after="0" w:line="240" w:lineRule="auto"/>
              <w:rPr>
                <w:sz w:val="18"/>
                <w:szCs w:val="18"/>
              </w:rPr>
            </w:pPr>
            <w:r>
              <w:rPr>
                <w:sz w:val="18"/>
                <w:szCs w:val="18"/>
              </w:rPr>
              <w:t>0.06 (0.03 – 0.09)</w:t>
            </w:r>
          </w:p>
        </w:tc>
      </w:tr>
      <w:tr w:rsidR="00A61B4F" w:rsidRPr="00487403" w14:paraId="01249B79" w14:textId="77777777" w:rsidTr="00744837">
        <w:tc>
          <w:tcPr>
            <w:tcW w:w="3969" w:type="dxa"/>
            <w:vAlign w:val="center"/>
          </w:tcPr>
          <w:p w14:paraId="66CEE421" w14:textId="77777777" w:rsidR="00A61B4F" w:rsidRPr="00487403" w:rsidRDefault="00A61B4F" w:rsidP="00AF508B">
            <w:pPr>
              <w:spacing w:after="0" w:line="240" w:lineRule="auto"/>
              <w:ind w:left="170"/>
              <w:rPr>
                <w:rFonts w:cs="Times New Roman"/>
                <w:sz w:val="18"/>
                <w:szCs w:val="18"/>
              </w:rPr>
            </w:pPr>
            <w:r w:rsidRPr="002203BF">
              <w:rPr>
                <w:b/>
                <w:color w:val="2E74B5" w:themeColor="accent1" w:themeShade="BF"/>
                <w:sz w:val="18"/>
                <w:szCs w:val="18"/>
              </w:rPr>
              <w:t>Gram</w:t>
            </w:r>
            <w:r>
              <w:rPr>
                <w:b/>
                <w:color w:val="2E74B5" w:themeColor="accent1" w:themeShade="BF"/>
                <w:sz w:val="18"/>
                <w:szCs w:val="18"/>
              </w:rPr>
              <w:t>-negative</w:t>
            </w:r>
          </w:p>
        </w:tc>
        <w:tc>
          <w:tcPr>
            <w:tcW w:w="1020" w:type="dxa"/>
            <w:vAlign w:val="center"/>
          </w:tcPr>
          <w:p w14:paraId="2A12B2C9" w14:textId="77777777" w:rsidR="00A61B4F" w:rsidRPr="00F06DE3" w:rsidRDefault="00A61B4F" w:rsidP="00E042F0">
            <w:pPr>
              <w:spacing w:after="0" w:line="240" w:lineRule="auto"/>
              <w:jc w:val="right"/>
              <w:rPr>
                <w:rFonts w:cs="Times New Roman"/>
                <w:color w:val="000000"/>
                <w:sz w:val="18"/>
                <w:szCs w:val="20"/>
              </w:rPr>
            </w:pPr>
          </w:p>
        </w:tc>
        <w:tc>
          <w:tcPr>
            <w:tcW w:w="1588" w:type="dxa"/>
            <w:vAlign w:val="center"/>
          </w:tcPr>
          <w:p w14:paraId="2A6198F8" w14:textId="77777777" w:rsidR="00A61B4F" w:rsidRPr="00487403" w:rsidRDefault="00A61B4F" w:rsidP="00E042F0">
            <w:pPr>
              <w:spacing w:after="0" w:line="240" w:lineRule="auto"/>
              <w:rPr>
                <w:sz w:val="18"/>
                <w:szCs w:val="18"/>
              </w:rPr>
            </w:pPr>
          </w:p>
        </w:tc>
        <w:tc>
          <w:tcPr>
            <w:tcW w:w="236" w:type="dxa"/>
            <w:vAlign w:val="center"/>
          </w:tcPr>
          <w:p w14:paraId="7D3634A9"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238F3E0B" w14:textId="77777777" w:rsidR="00A61B4F" w:rsidRPr="00487403" w:rsidRDefault="00A61B4F" w:rsidP="00E042F0">
            <w:pPr>
              <w:spacing w:after="0" w:line="240" w:lineRule="auto"/>
              <w:jc w:val="right"/>
              <w:rPr>
                <w:rFonts w:cs="Times New Roman"/>
                <w:color w:val="000000"/>
                <w:sz w:val="18"/>
                <w:szCs w:val="18"/>
              </w:rPr>
            </w:pPr>
          </w:p>
        </w:tc>
        <w:tc>
          <w:tcPr>
            <w:tcW w:w="1596" w:type="dxa"/>
            <w:vAlign w:val="center"/>
          </w:tcPr>
          <w:p w14:paraId="494BEF35" w14:textId="77777777" w:rsidR="00A61B4F" w:rsidRPr="00487403" w:rsidRDefault="00A61B4F" w:rsidP="00E042F0">
            <w:pPr>
              <w:spacing w:after="0" w:line="240" w:lineRule="auto"/>
              <w:rPr>
                <w:sz w:val="18"/>
                <w:szCs w:val="18"/>
              </w:rPr>
            </w:pPr>
          </w:p>
        </w:tc>
      </w:tr>
      <w:tr w:rsidR="00A61B4F" w:rsidRPr="00487403" w14:paraId="38E72B8B" w14:textId="77777777" w:rsidTr="00744837">
        <w:tc>
          <w:tcPr>
            <w:tcW w:w="3969" w:type="dxa"/>
            <w:vAlign w:val="center"/>
          </w:tcPr>
          <w:p w14:paraId="746D34EA" w14:textId="77777777" w:rsidR="00A61B4F" w:rsidRPr="00487403" w:rsidRDefault="00A61B4F" w:rsidP="00AF508B">
            <w:pPr>
              <w:spacing w:after="0" w:line="240" w:lineRule="auto"/>
              <w:ind w:left="340"/>
              <w:rPr>
                <w:sz w:val="18"/>
                <w:szCs w:val="18"/>
              </w:rPr>
            </w:pPr>
            <w:r w:rsidRPr="00487403">
              <w:rPr>
                <w:rFonts w:cs="Times New Roman"/>
                <w:i/>
                <w:sz w:val="18"/>
                <w:szCs w:val="18"/>
              </w:rPr>
              <w:t>Klebsiella</w:t>
            </w:r>
            <w:r w:rsidRPr="00487403">
              <w:rPr>
                <w:rFonts w:cs="Times New Roman"/>
                <w:sz w:val="18"/>
                <w:szCs w:val="18"/>
              </w:rPr>
              <w:t xml:space="preserve"> species</w:t>
            </w:r>
          </w:p>
        </w:tc>
        <w:tc>
          <w:tcPr>
            <w:tcW w:w="1020" w:type="dxa"/>
            <w:vAlign w:val="center"/>
          </w:tcPr>
          <w:p w14:paraId="1C93EB8C" w14:textId="77777777" w:rsidR="00A61B4F" w:rsidRPr="00F06DE3" w:rsidRDefault="00A61B4F" w:rsidP="00E042F0">
            <w:pPr>
              <w:spacing w:after="0" w:line="240" w:lineRule="auto"/>
              <w:jc w:val="right"/>
              <w:rPr>
                <w:sz w:val="18"/>
                <w:szCs w:val="18"/>
              </w:rPr>
            </w:pPr>
            <w:r>
              <w:rPr>
                <w:rFonts w:cs="Times New Roman"/>
                <w:color w:val="000000"/>
                <w:sz w:val="18"/>
                <w:szCs w:val="20"/>
              </w:rPr>
              <w:t>644</w:t>
            </w:r>
          </w:p>
        </w:tc>
        <w:tc>
          <w:tcPr>
            <w:tcW w:w="1588" w:type="dxa"/>
            <w:vAlign w:val="center"/>
          </w:tcPr>
          <w:p w14:paraId="71C02682" w14:textId="77777777" w:rsidR="00A61B4F" w:rsidRPr="00487403" w:rsidRDefault="00A61B4F" w:rsidP="00E042F0">
            <w:pPr>
              <w:spacing w:after="0" w:line="240" w:lineRule="auto"/>
              <w:rPr>
                <w:sz w:val="18"/>
                <w:szCs w:val="18"/>
              </w:rPr>
            </w:pPr>
            <w:r>
              <w:rPr>
                <w:sz w:val="18"/>
                <w:szCs w:val="18"/>
              </w:rPr>
              <w:t>0.15 (0.11 – 0.20)</w:t>
            </w:r>
          </w:p>
        </w:tc>
        <w:tc>
          <w:tcPr>
            <w:tcW w:w="236" w:type="dxa"/>
            <w:vAlign w:val="center"/>
          </w:tcPr>
          <w:p w14:paraId="73924275"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4D0C7ECF" w14:textId="77777777" w:rsidR="00A61B4F" w:rsidRPr="00487403" w:rsidRDefault="00A61B4F" w:rsidP="00E042F0">
            <w:pPr>
              <w:spacing w:after="0" w:line="240" w:lineRule="auto"/>
              <w:jc w:val="right"/>
              <w:rPr>
                <w:sz w:val="18"/>
                <w:szCs w:val="18"/>
              </w:rPr>
            </w:pPr>
            <w:r>
              <w:rPr>
                <w:rFonts w:cs="Times New Roman"/>
                <w:color w:val="000000"/>
                <w:sz w:val="18"/>
                <w:szCs w:val="18"/>
              </w:rPr>
              <w:t>1730</w:t>
            </w:r>
          </w:p>
        </w:tc>
        <w:tc>
          <w:tcPr>
            <w:tcW w:w="1596" w:type="dxa"/>
            <w:vAlign w:val="center"/>
          </w:tcPr>
          <w:p w14:paraId="7369B239" w14:textId="77777777" w:rsidR="00A61B4F" w:rsidRPr="00487403" w:rsidRDefault="00A61B4F" w:rsidP="00E042F0">
            <w:pPr>
              <w:spacing w:after="0" w:line="240" w:lineRule="auto"/>
              <w:rPr>
                <w:sz w:val="18"/>
                <w:szCs w:val="18"/>
              </w:rPr>
            </w:pPr>
            <w:r>
              <w:rPr>
                <w:sz w:val="18"/>
                <w:szCs w:val="18"/>
              </w:rPr>
              <w:t>0.21 (0.16 – 0.27)</w:t>
            </w:r>
          </w:p>
        </w:tc>
      </w:tr>
      <w:tr w:rsidR="00A61B4F" w:rsidRPr="00487403" w14:paraId="733D7C70" w14:textId="77777777" w:rsidTr="00744837">
        <w:tc>
          <w:tcPr>
            <w:tcW w:w="3969" w:type="dxa"/>
            <w:vAlign w:val="center"/>
          </w:tcPr>
          <w:p w14:paraId="177E50A2" w14:textId="77777777" w:rsidR="00A61B4F" w:rsidRPr="00487403" w:rsidRDefault="00A61B4F" w:rsidP="00AF508B">
            <w:pPr>
              <w:spacing w:after="0" w:line="240" w:lineRule="auto"/>
              <w:ind w:left="340"/>
              <w:rPr>
                <w:sz w:val="18"/>
                <w:szCs w:val="18"/>
              </w:rPr>
            </w:pPr>
            <w:r w:rsidRPr="00487403">
              <w:rPr>
                <w:rFonts w:cs="Times New Roman"/>
                <w:i/>
                <w:sz w:val="18"/>
                <w:szCs w:val="18"/>
              </w:rPr>
              <w:t>Escherichia coli</w:t>
            </w:r>
          </w:p>
        </w:tc>
        <w:tc>
          <w:tcPr>
            <w:tcW w:w="1020" w:type="dxa"/>
            <w:vAlign w:val="center"/>
          </w:tcPr>
          <w:p w14:paraId="63E82839" w14:textId="77777777" w:rsidR="00A61B4F" w:rsidRPr="00F06DE3" w:rsidRDefault="00A61B4F" w:rsidP="00E042F0">
            <w:pPr>
              <w:spacing w:after="0" w:line="240" w:lineRule="auto"/>
              <w:jc w:val="right"/>
              <w:rPr>
                <w:sz w:val="18"/>
                <w:szCs w:val="18"/>
              </w:rPr>
            </w:pPr>
            <w:r w:rsidRPr="00F06DE3">
              <w:rPr>
                <w:rFonts w:cs="Times New Roman"/>
                <w:color w:val="000000"/>
                <w:sz w:val="18"/>
                <w:szCs w:val="20"/>
              </w:rPr>
              <w:t>377</w:t>
            </w:r>
          </w:p>
        </w:tc>
        <w:tc>
          <w:tcPr>
            <w:tcW w:w="1588" w:type="dxa"/>
            <w:vAlign w:val="center"/>
          </w:tcPr>
          <w:p w14:paraId="5C5BF696" w14:textId="77777777" w:rsidR="00A61B4F" w:rsidRPr="00487403" w:rsidRDefault="00A61B4F" w:rsidP="00E042F0">
            <w:pPr>
              <w:spacing w:after="0" w:line="240" w:lineRule="auto"/>
              <w:rPr>
                <w:sz w:val="18"/>
                <w:szCs w:val="18"/>
              </w:rPr>
            </w:pPr>
            <w:r>
              <w:rPr>
                <w:sz w:val="18"/>
                <w:szCs w:val="18"/>
              </w:rPr>
              <w:t>0.10 (0.08 – 0.13)</w:t>
            </w:r>
          </w:p>
        </w:tc>
        <w:tc>
          <w:tcPr>
            <w:tcW w:w="236" w:type="dxa"/>
            <w:vAlign w:val="center"/>
          </w:tcPr>
          <w:p w14:paraId="4F0FB733"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28F41025"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856</w:t>
            </w:r>
          </w:p>
        </w:tc>
        <w:tc>
          <w:tcPr>
            <w:tcW w:w="1596" w:type="dxa"/>
            <w:vAlign w:val="center"/>
          </w:tcPr>
          <w:p w14:paraId="361C3582" w14:textId="77777777" w:rsidR="00A61B4F" w:rsidRPr="00487403" w:rsidRDefault="00A61B4F" w:rsidP="00E042F0">
            <w:pPr>
              <w:spacing w:after="0" w:line="240" w:lineRule="auto"/>
              <w:rPr>
                <w:sz w:val="18"/>
                <w:szCs w:val="18"/>
              </w:rPr>
            </w:pPr>
            <w:r>
              <w:rPr>
                <w:sz w:val="18"/>
                <w:szCs w:val="18"/>
              </w:rPr>
              <w:t>0.10 (0.08 – 0.13)</w:t>
            </w:r>
          </w:p>
        </w:tc>
      </w:tr>
      <w:tr w:rsidR="00A61B4F" w:rsidRPr="00487403" w14:paraId="49DBB819" w14:textId="77777777" w:rsidTr="00744837">
        <w:tc>
          <w:tcPr>
            <w:tcW w:w="3969" w:type="dxa"/>
            <w:vAlign w:val="center"/>
          </w:tcPr>
          <w:p w14:paraId="18DBC814" w14:textId="77777777" w:rsidR="00A61B4F" w:rsidRPr="00487403" w:rsidRDefault="00A61B4F" w:rsidP="00AF508B">
            <w:pPr>
              <w:spacing w:after="0" w:line="240" w:lineRule="auto"/>
              <w:ind w:left="340"/>
              <w:rPr>
                <w:sz w:val="18"/>
                <w:szCs w:val="18"/>
              </w:rPr>
            </w:pPr>
            <w:r w:rsidRPr="00487403">
              <w:rPr>
                <w:rFonts w:cs="Times New Roman"/>
                <w:i/>
                <w:sz w:val="18"/>
                <w:szCs w:val="18"/>
              </w:rPr>
              <w:t>Pseudomonas</w:t>
            </w:r>
            <w:r w:rsidRPr="00487403">
              <w:rPr>
                <w:rFonts w:cs="Times New Roman"/>
                <w:sz w:val="18"/>
                <w:szCs w:val="18"/>
              </w:rPr>
              <w:t xml:space="preserve"> species</w:t>
            </w:r>
          </w:p>
        </w:tc>
        <w:tc>
          <w:tcPr>
            <w:tcW w:w="1020" w:type="dxa"/>
            <w:vAlign w:val="center"/>
          </w:tcPr>
          <w:p w14:paraId="4297769D" w14:textId="77777777" w:rsidR="00A61B4F" w:rsidRPr="00F06DE3" w:rsidRDefault="00A61B4F" w:rsidP="00E042F0">
            <w:pPr>
              <w:spacing w:after="0" w:line="240" w:lineRule="auto"/>
              <w:jc w:val="right"/>
              <w:rPr>
                <w:sz w:val="18"/>
                <w:szCs w:val="18"/>
              </w:rPr>
            </w:pPr>
            <w:r w:rsidRPr="00F06DE3">
              <w:rPr>
                <w:rFonts w:cs="Times New Roman"/>
                <w:color w:val="000000"/>
                <w:sz w:val="18"/>
                <w:szCs w:val="20"/>
              </w:rPr>
              <w:t>146</w:t>
            </w:r>
          </w:p>
        </w:tc>
        <w:tc>
          <w:tcPr>
            <w:tcW w:w="1588" w:type="dxa"/>
            <w:vAlign w:val="center"/>
          </w:tcPr>
          <w:p w14:paraId="47AE4C96" w14:textId="77777777" w:rsidR="00A61B4F" w:rsidRPr="00487403" w:rsidRDefault="00A61B4F" w:rsidP="00E042F0">
            <w:pPr>
              <w:spacing w:after="0" w:line="240" w:lineRule="auto"/>
              <w:rPr>
                <w:sz w:val="18"/>
                <w:szCs w:val="18"/>
              </w:rPr>
            </w:pPr>
            <w:r>
              <w:rPr>
                <w:sz w:val="18"/>
                <w:szCs w:val="18"/>
              </w:rPr>
              <w:t>0.04 (0.02 – 0.05)</w:t>
            </w:r>
          </w:p>
        </w:tc>
        <w:tc>
          <w:tcPr>
            <w:tcW w:w="236" w:type="dxa"/>
            <w:vAlign w:val="center"/>
          </w:tcPr>
          <w:p w14:paraId="04BCF162"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5F84FCBD"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189</w:t>
            </w:r>
          </w:p>
        </w:tc>
        <w:tc>
          <w:tcPr>
            <w:tcW w:w="1596" w:type="dxa"/>
            <w:vAlign w:val="center"/>
          </w:tcPr>
          <w:p w14:paraId="0BE0CB16" w14:textId="77777777" w:rsidR="00A61B4F" w:rsidRPr="00487403" w:rsidRDefault="00A61B4F" w:rsidP="00E042F0">
            <w:pPr>
              <w:spacing w:after="0" w:line="240" w:lineRule="auto"/>
              <w:rPr>
                <w:sz w:val="18"/>
                <w:szCs w:val="18"/>
              </w:rPr>
            </w:pPr>
            <w:r>
              <w:rPr>
                <w:sz w:val="18"/>
                <w:szCs w:val="18"/>
              </w:rPr>
              <w:t>0.03 (0.02 – 0.04)</w:t>
            </w:r>
          </w:p>
        </w:tc>
      </w:tr>
      <w:tr w:rsidR="00A61B4F" w:rsidRPr="00487403" w14:paraId="1D191E71" w14:textId="77777777" w:rsidTr="00744837">
        <w:tc>
          <w:tcPr>
            <w:tcW w:w="3969" w:type="dxa"/>
            <w:vAlign w:val="center"/>
          </w:tcPr>
          <w:p w14:paraId="0D327E43" w14:textId="77777777" w:rsidR="00A61B4F" w:rsidRPr="00487403" w:rsidRDefault="00A61B4F" w:rsidP="00AF508B">
            <w:pPr>
              <w:spacing w:after="0" w:line="240" w:lineRule="auto"/>
              <w:ind w:left="340"/>
              <w:rPr>
                <w:sz w:val="18"/>
                <w:szCs w:val="18"/>
              </w:rPr>
            </w:pPr>
            <w:r w:rsidRPr="00487403">
              <w:rPr>
                <w:rFonts w:cs="Times New Roman"/>
                <w:i/>
                <w:sz w:val="18"/>
                <w:szCs w:val="18"/>
              </w:rPr>
              <w:t>Enterobacter</w:t>
            </w:r>
            <w:r w:rsidRPr="00487403">
              <w:rPr>
                <w:rFonts w:cs="Times New Roman"/>
                <w:sz w:val="18"/>
                <w:szCs w:val="18"/>
              </w:rPr>
              <w:t xml:space="preserve"> species</w:t>
            </w:r>
          </w:p>
        </w:tc>
        <w:tc>
          <w:tcPr>
            <w:tcW w:w="1020" w:type="dxa"/>
            <w:vAlign w:val="center"/>
          </w:tcPr>
          <w:p w14:paraId="65228862" w14:textId="77777777" w:rsidR="00A61B4F" w:rsidRPr="00F06DE3" w:rsidRDefault="00A61B4F" w:rsidP="00E042F0">
            <w:pPr>
              <w:spacing w:after="0" w:line="240" w:lineRule="auto"/>
              <w:jc w:val="right"/>
              <w:rPr>
                <w:sz w:val="18"/>
                <w:szCs w:val="18"/>
              </w:rPr>
            </w:pPr>
            <w:r w:rsidRPr="00F06DE3">
              <w:rPr>
                <w:rFonts w:cs="Times New Roman"/>
                <w:color w:val="000000"/>
                <w:sz w:val="18"/>
                <w:szCs w:val="20"/>
              </w:rPr>
              <w:t>270</w:t>
            </w:r>
          </w:p>
        </w:tc>
        <w:tc>
          <w:tcPr>
            <w:tcW w:w="1588" w:type="dxa"/>
            <w:vAlign w:val="center"/>
          </w:tcPr>
          <w:p w14:paraId="78D712B5" w14:textId="77777777" w:rsidR="00A61B4F" w:rsidRPr="00487403" w:rsidRDefault="00A61B4F" w:rsidP="00E042F0">
            <w:pPr>
              <w:spacing w:after="0" w:line="240" w:lineRule="auto"/>
              <w:rPr>
                <w:sz w:val="18"/>
                <w:szCs w:val="18"/>
              </w:rPr>
            </w:pPr>
            <w:r>
              <w:rPr>
                <w:sz w:val="18"/>
                <w:szCs w:val="18"/>
              </w:rPr>
              <w:t>0.08 (0.03 – 0.13)</w:t>
            </w:r>
          </w:p>
        </w:tc>
        <w:tc>
          <w:tcPr>
            <w:tcW w:w="236" w:type="dxa"/>
            <w:vAlign w:val="center"/>
          </w:tcPr>
          <w:p w14:paraId="6DF5944D"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01473334"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263</w:t>
            </w:r>
          </w:p>
        </w:tc>
        <w:tc>
          <w:tcPr>
            <w:tcW w:w="1596" w:type="dxa"/>
            <w:vAlign w:val="center"/>
          </w:tcPr>
          <w:p w14:paraId="238414A7" w14:textId="77777777" w:rsidR="00A61B4F" w:rsidRPr="00487403" w:rsidRDefault="00A61B4F" w:rsidP="00E042F0">
            <w:pPr>
              <w:spacing w:after="0" w:line="240" w:lineRule="auto"/>
              <w:rPr>
                <w:sz w:val="18"/>
                <w:szCs w:val="18"/>
              </w:rPr>
            </w:pPr>
            <w:r>
              <w:rPr>
                <w:sz w:val="18"/>
                <w:szCs w:val="18"/>
              </w:rPr>
              <w:t>0.04 (0.03 – 0.05)</w:t>
            </w:r>
          </w:p>
        </w:tc>
      </w:tr>
      <w:tr w:rsidR="00A61B4F" w:rsidRPr="00487403" w14:paraId="1BEF5F67" w14:textId="77777777" w:rsidTr="00744837">
        <w:tc>
          <w:tcPr>
            <w:tcW w:w="3969" w:type="dxa"/>
            <w:vAlign w:val="center"/>
          </w:tcPr>
          <w:p w14:paraId="67B196E0" w14:textId="77777777" w:rsidR="00A61B4F" w:rsidRPr="00487403" w:rsidRDefault="00A61B4F" w:rsidP="00AF508B">
            <w:pPr>
              <w:spacing w:after="0" w:line="240" w:lineRule="auto"/>
              <w:ind w:left="340"/>
              <w:rPr>
                <w:sz w:val="18"/>
                <w:szCs w:val="18"/>
              </w:rPr>
            </w:pPr>
            <w:r w:rsidRPr="00487403">
              <w:rPr>
                <w:rFonts w:cs="Times New Roman"/>
                <w:i/>
                <w:sz w:val="18"/>
                <w:szCs w:val="18"/>
              </w:rPr>
              <w:t>Serratia</w:t>
            </w:r>
            <w:r w:rsidRPr="00487403">
              <w:rPr>
                <w:rFonts w:cs="Times New Roman"/>
                <w:sz w:val="18"/>
                <w:szCs w:val="18"/>
              </w:rPr>
              <w:t xml:space="preserve"> species</w:t>
            </w:r>
          </w:p>
        </w:tc>
        <w:tc>
          <w:tcPr>
            <w:tcW w:w="1020" w:type="dxa"/>
            <w:vAlign w:val="center"/>
          </w:tcPr>
          <w:p w14:paraId="22F5EBF3" w14:textId="77777777" w:rsidR="00A61B4F" w:rsidRPr="00F06DE3" w:rsidRDefault="00A61B4F" w:rsidP="00E042F0">
            <w:pPr>
              <w:spacing w:after="0" w:line="240" w:lineRule="auto"/>
              <w:jc w:val="right"/>
              <w:rPr>
                <w:sz w:val="18"/>
                <w:szCs w:val="18"/>
              </w:rPr>
            </w:pPr>
            <w:r>
              <w:rPr>
                <w:sz w:val="18"/>
                <w:szCs w:val="18"/>
              </w:rPr>
              <w:t>0</w:t>
            </w:r>
          </w:p>
        </w:tc>
        <w:tc>
          <w:tcPr>
            <w:tcW w:w="1588" w:type="dxa"/>
            <w:vAlign w:val="center"/>
          </w:tcPr>
          <w:p w14:paraId="4F699FE5" w14:textId="77777777" w:rsidR="00A61B4F" w:rsidRPr="00487403" w:rsidRDefault="00A61B4F" w:rsidP="00E042F0">
            <w:pPr>
              <w:spacing w:after="0" w:line="240" w:lineRule="auto"/>
              <w:rPr>
                <w:sz w:val="18"/>
                <w:szCs w:val="18"/>
              </w:rPr>
            </w:pPr>
          </w:p>
        </w:tc>
        <w:tc>
          <w:tcPr>
            <w:tcW w:w="236" w:type="dxa"/>
            <w:vAlign w:val="center"/>
          </w:tcPr>
          <w:p w14:paraId="2227ED22"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70C0FC21"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129</w:t>
            </w:r>
          </w:p>
        </w:tc>
        <w:tc>
          <w:tcPr>
            <w:tcW w:w="1596" w:type="dxa"/>
            <w:vAlign w:val="center"/>
          </w:tcPr>
          <w:p w14:paraId="36956278" w14:textId="77777777" w:rsidR="00A61B4F" w:rsidRPr="00487403" w:rsidRDefault="00A61B4F" w:rsidP="00E042F0">
            <w:pPr>
              <w:spacing w:after="0" w:line="240" w:lineRule="auto"/>
              <w:rPr>
                <w:sz w:val="18"/>
                <w:szCs w:val="18"/>
              </w:rPr>
            </w:pPr>
            <w:r>
              <w:rPr>
                <w:sz w:val="18"/>
                <w:szCs w:val="18"/>
              </w:rPr>
              <w:t>0.03 (0.01 – 0.07)</w:t>
            </w:r>
          </w:p>
        </w:tc>
      </w:tr>
      <w:tr w:rsidR="00A61B4F" w:rsidRPr="00487403" w14:paraId="475D050B" w14:textId="77777777" w:rsidTr="00744837">
        <w:tc>
          <w:tcPr>
            <w:tcW w:w="3969" w:type="dxa"/>
            <w:vAlign w:val="center"/>
          </w:tcPr>
          <w:p w14:paraId="492BA2AC" w14:textId="77777777" w:rsidR="00A61B4F" w:rsidRPr="00487403" w:rsidRDefault="00A61B4F" w:rsidP="00AF508B">
            <w:pPr>
              <w:spacing w:after="0" w:line="240" w:lineRule="auto"/>
              <w:ind w:left="340"/>
              <w:rPr>
                <w:sz w:val="18"/>
                <w:szCs w:val="18"/>
              </w:rPr>
            </w:pPr>
            <w:r w:rsidRPr="00487403">
              <w:rPr>
                <w:rFonts w:cs="Times New Roman"/>
                <w:i/>
                <w:sz w:val="18"/>
                <w:szCs w:val="18"/>
              </w:rPr>
              <w:t>Proteus</w:t>
            </w:r>
            <w:r w:rsidRPr="00487403">
              <w:rPr>
                <w:rFonts w:cs="Times New Roman"/>
                <w:sz w:val="18"/>
                <w:szCs w:val="18"/>
              </w:rPr>
              <w:t xml:space="preserve"> species</w:t>
            </w:r>
          </w:p>
        </w:tc>
        <w:tc>
          <w:tcPr>
            <w:tcW w:w="1020" w:type="dxa"/>
            <w:vAlign w:val="center"/>
          </w:tcPr>
          <w:p w14:paraId="2A0C796D" w14:textId="77777777" w:rsidR="00A61B4F" w:rsidRPr="00F06DE3" w:rsidRDefault="00A61B4F" w:rsidP="00E042F0">
            <w:pPr>
              <w:spacing w:after="0" w:line="240" w:lineRule="auto"/>
              <w:jc w:val="right"/>
              <w:rPr>
                <w:sz w:val="18"/>
                <w:szCs w:val="18"/>
              </w:rPr>
            </w:pPr>
            <w:r w:rsidRPr="00F06DE3">
              <w:rPr>
                <w:rFonts w:cs="Times New Roman"/>
                <w:color w:val="000000"/>
                <w:sz w:val="18"/>
                <w:szCs w:val="20"/>
              </w:rPr>
              <w:t>54</w:t>
            </w:r>
          </w:p>
        </w:tc>
        <w:tc>
          <w:tcPr>
            <w:tcW w:w="1588" w:type="dxa"/>
            <w:vAlign w:val="center"/>
          </w:tcPr>
          <w:p w14:paraId="3B9B1560" w14:textId="77777777" w:rsidR="00A61B4F" w:rsidRPr="00487403" w:rsidRDefault="00A61B4F" w:rsidP="00E042F0">
            <w:pPr>
              <w:spacing w:after="0" w:line="240" w:lineRule="auto"/>
              <w:rPr>
                <w:sz w:val="18"/>
                <w:szCs w:val="18"/>
              </w:rPr>
            </w:pPr>
            <w:r>
              <w:rPr>
                <w:sz w:val="18"/>
                <w:szCs w:val="18"/>
              </w:rPr>
              <w:t>0.02 (0.01 – 0.04)</w:t>
            </w:r>
          </w:p>
        </w:tc>
        <w:tc>
          <w:tcPr>
            <w:tcW w:w="236" w:type="dxa"/>
            <w:vAlign w:val="center"/>
          </w:tcPr>
          <w:p w14:paraId="478FE85B"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76D1B4C9"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126</w:t>
            </w:r>
          </w:p>
        </w:tc>
        <w:tc>
          <w:tcPr>
            <w:tcW w:w="1596" w:type="dxa"/>
            <w:vAlign w:val="center"/>
          </w:tcPr>
          <w:p w14:paraId="66117908" w14:textId="77777777" w:rsidR="00A61B4F" w:rsidRPr="00487403" w:rsidRDefault="00A61B4F" w:rsidP="00E042F0">
            <w:pPr>
              <w:spacing w:after="0" w:line="240" w:lineRule="auto"/>
              <w:rPr>
                <w:sz w:val="18"/>
                <w:szCs w:val="18"/>
              </w:rPr>
            </w:pPr>
            <w:r>
              <w:rPr>
                <w:sz w:val="18"/>
                <w:szCs w:val="18"/>
              </w:rPr>
              <w:t>0.03 (0.02 – 0.04)</w:t>
            </w:r>
          </w:p>
        </w:tc>
      </w:tr>
      <w:tr w:rsidR="00A61B4F" w:rsidRPr="00487403" w14:paraId="4552BB6F" w14:textId="77777777" w:rsidTr="00744837">
        <w:tc>
          <w:tcPr>
            <w:tcW w:w="3969" w:type="dxa"/>
            <w:vAlign w:val="center"/>
          </w:tcPr>
          <w:p w14:paraId="5697485E" w14:textId="77777777" w:rsidR="00A61B4F" w:rsidRPr="00487403" w:rsidRDefault="00A61B4F" w:rsidP="00AF508B">
            <w:pPr>
              <w:spacing w:after="0" w:line="240" w:lineRule="auto"/>
              <w:ind w:left="340"/>
              <w:rPr>
                <w:sz w:val="18"/>
                <w:szCs w:val="18"/>
              </w:rPr>
            </w:pPr>
            <w:r w:rsidRPr="00487403">
              <w:rPr>
                <w:rFonts w:cs="Times New Roman"/>
                <w:i/>
                <w:sz w:val="18"/>
                <w:szCs w:val="18"/>
              </w:rPr>
              <w:t>Salmonella</w:t>
            </w:r>
            <w:r w:rsidRPr="00487403">
              <w:rPr>
                <w:rFonts w:cs="Times New Roman"/>
                <w:sz w:val="18"/>
                <w:szCs w:val="18"/>
              </w:rPr>
              <w:t xml:space="preserve"> species</w:t>
            </w:r>
          </w:p>
        </w:tc>
        <w:tc>
          <w:tcPr>
            <w:tcW w:w="1020" w:type="dxa"/>
            <w:vAlign w:val="center"/>
          </w:tcPr>
          <w:p w14:paraId="04C02208" w14:textId="77777777" w:rsidR="00A61B4F" w:rsidRPr="00F06DE3" w:rsidRDefault="00A61B4F" w:rsidP="00E042F0">
            <w:pPr>
              <w:spacing w:after="0" w:line="240" w:lineRule="auto"/>
              <w:jc w:val="right"/>
              <w:rPr>
                <w:sz w:val="18"/>
                <w:szCs w:val="18"/>
              </w:rPr>
            </w:pPr>
            <w:r>
              <w:rPr>
                <w:rFonts w:cs="Times New Roman"/>
                <w:color w:val="000000"/>
                <w:sz w:val="18"/>
                <w:szCs w:val="20"/>
              </w:rPr>
              <w:t>162</w:t>
            </w:r>
          </w:p>
        </w:tc>
        <w:tc>
          <w:tcPr>
            <w:tcW w:w="1588" w:type="dxa"/>
          </w:tcPr>
          <w:p w14:paraId="59E64540" w14:textId="77777777" w:rsidR="00A61B4F" w:rsidRPr="00487403" w:rsidRDefault="00A61B4F" w:rsidP="00E042F0">
            <w:pPr>
              <w:spacing w:after="0" w:line="240" w:lineRule="auto"/>
              <w:rPr>
                <w:sz w:val="18"/>
                <w:szCs w:val="18"/>
              </w:rPr>
            </w:pPr>
            <w:r>
              <w:rPr>
                <w:sz w:val="18"/>
                <w:szCs w:val="18"/>
              </w:rPr>
              <w:t>0.03 (0.02 – 0.05)</w:t>
            </w:r>
          </w:p>
        </w:tc>
        <w:tc>
          <w:tcPr>
            <w:tcW w:w="236" w:type="dxa"/>
            <w:vAlign w:val="center"/>
          </w:tcPr>
          <w:p w14:paraId="71FB98DD"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5C2456B6" w14:textId="77777777" w:rsidR="00A61B4F" w:rsidRPr="00487403" w:rsidRDefault="00A61B4F" w:rsidP="00E042F0">
            <w:pPr>
              <w:spacing w:after="0" w:line="240" w:lineRule="auto"/>
              <w:jc w:val="right"/>
              <w:rPr>
                <w:sz w:val="18"/>
                <w:szCs w:val="18"/>
              </w:rPr>
            </w:pPr>
            <w:r>
              <w:rPr>
                <w:rFonts w:cs="Times New Roman"/>
                <w:color w:val="000000"/>
                <w:sz w:val="18"/>
                <w:szCs w:val="18"/>
              </w:rPr>
              <w:t>1</w:t>
            </w:r>
            <w:r w:rsidRPr="00487403">
              <w:rPr>
                <w:rFonts w:cs="Times New Roman"/>
                <w:color w:val="000000"/>
                <w:sz w:val="18"/>
                <w:szCs w:val="18"/>
              </w:rPr>
              <w:t>7</w:t>
            </w:r>
            <w:r>
              <w:rPr>
                <w:rFonts w:cs="Times New Roman"/>
                <w:color w:val="000000"/>
                <w:sz w:val="18"/>
                <w:szCs w:val="18"/>
              </w:rPr>
              <w:t>6</w:t>
            </w:r>
          </w:p>
        </w:tc>
        <w:tc>
          <w:tcPr>
            <w:tcW w:w="1596" w:type="dxa"/>
          </w:tcPr>
          <w:p w14:paraId="791F6AD7" w14:textId="77777777" w:rsidR="00A61B4F" w:rsidRPr="00487403" w:rsidRDefault="00A61B4F" w:rsidP="00E042F0">
            <w:pPr>
              <w:spacing w:after="0" w:line="240" w:lineRule="auto"/>
              <w:rPr>
                <w:sz w:val="18"/>
                <w:szCs w:val="18"/>
              </w:rPr>
            </w:pPr>
            <w:r>
              <w:rPr>
                <w:sz w:val="18"/>
                <w:szCs w:val="18"/>
              </w:rPr>
              <w:t>0.04 (0.02 – 0.06)</w:t>
            </w:r>
          </w:p>
        </w:tc>
      </w:tr>
      <w:tr w:rsidR="00A61B4F" w:rsidRPr="00487403" w14:paraId="3BCC790B" w14:textId="77777777" w:rsidTr="00744837">
        <w:tc>
          <w:tcPr>
            <w:tcW w:w="3969" w:type="dxa"/>
            <w:vAlign w:val="center"/>
          </w:tcPr>
          <w:p w14:paraId="11ED5896" w14:textId="77777777" w:rsidR="00A61B4F" w:rsidRPr="00487403" w:rsidRDefault="00A61B4F" w:rsidP="00AF508B">
            <w:pPr>
              <w:spacing w:after="0" w:line="240" w:lineRule="auto"/>
              <w:ind w:left="340"/>
              <w:rPr>
                <w:sz w:val="18"/>
                <w:szCs w:val="18"/>
              </w:rPr>
            </w:pPr>
            <w:r w:rsidRPr="00487403">
              <w:rPr>
                <w:rFonts w:cs="Times New Roman"/>
                <w:i/>
                <w:sz w:val="18"/>
                <w:szCs w:val="18"/>
              </w:rPr>
              <w:t>Citrobacter</w:t>
            </w:r>
            <w:r w:rsidRPr="00487403">
              <w:rPr>
                <w:rFonts w:cs="Times New Roman"/>
                <w:sz w:val="18"/>
                <w:szCs w:val="18"/>
              </w:rPr>
              <w:t xml:space="preserve"> species</w:t>
            </w:r>
          </w:p>
        </w:tc>
        <w:tc>
          <w:tcPr>
            <w:tcW w:w="1020" w:type="dxa"/>
            <w:vAlign w:val="center"/>
          </w:tcPr>
          <w:p w14:paraId="596C1C00" w14:textId="77777777" w:rsidR="00A61B4F" w:rsidRPr="00F06DE3" w:rsidRDefault="00A61B4F" w:rsidP="00E042F0">
            <w:pPr>
              <w:spacing w:after="0" w:line="240" w:lineRule="auto"/>
              <w:jc w:val="right"/>
              <w:rPr>
                <w:sz w:val="18"/>
                <w:szCs w:val="18"/>
              </w:rPr>
            </w:pPr>
            <w:r w:rsidRPr="00F06DE3">
              <w:rPr>
                <w:rFonts w:cs="Times New Roman"/>
                <w:color w:val="000000"/>
                <w:sz w:val="18"/>
                <w:szCs w:val="20"/>
              </w:rPr>
              <w:t>61</w:t>
            </w:r>
          </w:p>
        </w:tc>
        <w:tc>
          <w:tcPr>
            <w:tcW w:w="1588" w:type="dxa"/>
          </w:tcPr>
          <w:p w14:paraId="237B1DF8" w14:textId="77777777" w:rsidR="00A61B4F" w:rsidRPr="00487403" w:rsidRDefault="00A61B4F" w:rsidP="00E042F0">
            <w:pPr>
              <w:spacing w:after="0" w:line="240" w:lineRule="auto"/>
              <w:rPr>
                <w:sz w:val="18"/>
                <w:szCs w:val="18"/>
              </w:rPr>
            </w:pPr>
            <w:r>
              <w:rPr>
                <w:sz w:val="18"/>
                <w:szCs w:val="18"/>
              </w:rPr>
              <w:t>0.04 (0.01 – 0.07)</w:t>
            </w:r>
          </w:p>
        </w:tc>
        <w:tc>
          <w:tcPr>
            <w:tcW w:w="236" w:type="dxa"/>
            <w:vAlign w:val="center"/>
          </w:tcPr>
          <w:p w14:paraId="45397122"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47B60E7A"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122</w:t>
            </w:r>
          </w:p>
        </w:tc>
        <w:tc>
          <w:tcPr>
            <w:tcW w:w="1596" w:type="dxa"/>
          </w:tcPr>
          <w:p w14:paraId="2E563217" w14:textId="77777777" w:rsidR="00A61B4F" w:rsidRPr="00487403" w:rsidRDefault="00A61B4F" w:rsidP="00E042F0">
            <w:pPr>
              <w:spacing w:after="0" w:line="240" w:lineRule="auto"/>
              <w:rPr>
                <w:sz w:val="18"/>
                <w:szCs w:val="18"/>
              </w:rPr>
            </w:pPr>
            <w:r>
              <w:rPr>
                <w:sz w:val="18"/>
                <w:szCs w:val="18"/>
              </w:rPr>
              <w:t>0.02 (0.02 – 0.04)</w:t>
            </w:r>
          </w:p>
        </w:tc>
      </w:tr>
      <w:tr w:rsidR="00A61B4F" w:rsidRPr="00487403" w14:paraId="07C9627B" w14:textId="77777777" w:rsidTr="00744837">
        <w:tc>
          <w:tcPr>
            <w:tcW w:w="3969" w:type="dxa"/>
            <w:vAlign w:val="center"/>
          </w:tcPr>
          <w:p w14:paraId="2E4C68EC" w14:textId="77777777" w:rsidR="00A61B4F" w:rsidRPr="00487403" w:rsidRDefault="00A61B4F" w:rsidP="00AF508B">
            <w:pPr>
              <w:spacing w:after="0" w:line="240" w:lineRule="auto"/>
              <w:ind w:left="340"/>
              <w:rPr>
                <w:sz w:val="18"/>
                <w:szCs w:val="18"/>
              </w:rPr>
            </w:pPr>
            <w:r w:rsidRPr="00487403">
              <w:rPr>
                <w:rFonts w:cs="Times New Roman"/>
                <w:i/>
                <w:sz w:val="18"/>
                <w:szCs w:val="18"/>
              </w:rPr>
              <w:t>Haemophilus influenzae</w:t>
            </w:r>
          </w:p>
        </w:tc>
        <w:tc>
          <w:tcPr>
            <w:tcW w:w="1020" w:type="dxa"/>
            <w:vAlign w:val="center"/>
          </w:tcPr>
          <w:p w14:paraId="4461FBFA" w14:textId="77777777" w:rsidR="00A61B4F" w:rsidRPr="00F06DE3" w:rsidRDefault="00A61B4F" w:rsidP="00E042F0">
            <w:pPr>
              <w:spacing w:after="0" w:line="240" w:lineRule="auto"/>
              <w:jc w:val="right"/>
              <w:rPr>
                <w:sz w:val="18"/>
                <w:szCs w:val="18"/>
              </w:rPr>
            </w:pPr>
            <w:r w:rsidRPr="00F06DE3">
              <w:rPr>
                <w:rFonts w:cs="Times New Roman"/>
                <w:color w:val="000000"/>
                <w:sz w:val="18"/>
                <w:szCs w:val="20"/>
              </w:rPr>
              <w:t>11</w:t>
            </w:r>
          </w:p>
        </w:tc>
        <w:tc>
          <w:tcPr>
            <w:tcW w:w="1588" w:type="dxa"/>
            <w:vAlign w:val="center"/>
          </w:tcPr>
          <w:p w14:paraId="7E0C8247" w14:textId="77777777" w:rsidR="00A61B4F" w:rsidRPr="00487403" w:rsidRDefault="00A61B4F" w:rsidP="00E042F0">
            <w:pPr>
              <w:spacing w:after="0" w:line="240" w:lineRule="auto"/>
              <w:rPr>
                <w:sz w:val="18"/>
                <w:szCs w:val="18"/>
              </w:rPr>
            </w:pPr>
            <w:r>
              <w:rPr>
                <w:sz w:val="18"/>
                <w:szCs w:val="18"/>
              </w:rPr>
              <w:t>0.01 (0.00 – 0.02)</w:t>
            </w:r>
          </w:p>
        </w:tc>
        <w:tc>
          <w:tcPr>
            <w:tcW w:w="236" w:type="dxa"/>
            <w:vAlign w:val="center"/>
          </w:tcPr>
          <w:p w14:paraId="40EEE38A"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279C07D1"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10</w:t>
            </w:r>
          </w:p>
        </w:tc>
        <w:tc>
          <w:tcPr>
            <w:tcW w:w="1596" w:type="dxa"/>
            <w:vAlign w:val="center"/>
          </w:tcPr>
          <w:p w14:paraId="27E498DF" w14:textId="77777777" w:rsidR="00A61B4F" w:rsidRPr="00487403" w:rsidRDefault="00A61B4F" w:rsidP="00E042F0">
            <w:pPr>
              <w:spacing w:after="0" w:line="240" w:lineRule="auto"/>
              <w:rPr>
                <w:sz w:val="18"/>
                <w:szCs w:val="18"/>
              </w:rPr>
            </w:pPr>
            <w:r>
              <w:rPr>
                <w:sz w:val="18"/>
                <w:szCs w:val="18"/>
              </w:rPr>
              <w:t>0.01 (0.00 – 0.03)</w:t>
            </w:r>
          </w:p>
        </w:tc>
      </w:tr>
      <w:tr w:rsidR="00A61B4F" w:rsidRPr="00487403" w14:paraId="3AB7563F" w14:textId="77777777" w:rsidTr="00744837">
        <w:tc>
          <w:tcPr>
            <w:tcW w:w="3969" w:type="dxa"/>
            <w:vAlign w:val="center"/>
          </w:tcPr>
          <w:p w14:paraId="53D3B664" w14:textId="77777777" w:rsidR="00A61B4F" w:rsidRPr="00487403" w:rsidRDefault="00A61B4F" w:rsidP="00AF508B">
            <w:pPr>
              <w:spacing w:after="0" w:line="240" w:lineRule="auto"/>
              <w:ind w:left="340"/>
              <w:rPr>
                <w:sz w:val="18"/>
                <w:szCs w:val="18"/>
              </w:rPr>
            </w:pPr>
            <w:r w:rsidRPr="00487403">
              <w:rPr>
                <w:rFonts w:cs="Times New Roman"/>
                <w:i/>
                <w:sz w:val="18"/>
                <w:szCs w:val="18"/>
              </w:rPr>
              <w:t>Neisseria meningitidis</w:t>
            </w:r>
          </w:p>
        </w:tc>
        <w:tc>
          <w:tcPr>
            <w:tcW w:w="1020" w:type="dxa"/>
            <w:vAlign w:val="center"/>
          </w:tcPr>
          <w:p w14:paraId="7C08EC85" w14:textId="77777777" w:rsidR="00A61B4F" w:rsidRPr="00F06DE3" w:rsidRDefault="00A61B4F" w:rsidP="00E042F0">
            <w:pPr>
              <w:spacing w:after="0" w:line="240" w:lineRule="auto"/>
              <w:jc w:val="right"/>
              <w:rPr>
                <w:sz w:val="18"/>
                <w:szCs w:val="18"/>
              </w:rPr>
            </w:pPr>
            <w:r>
              <w:rPr>
                <w:sz w:val="18"/>
                <w:szCs w:val="18"/>
              </w:rPr>
              <w:t>0</w:t>
            </w:r>
          </w:p>
        </w:tc>
        <w:tc>
          <w:tcPr>
            <w:tcW w:w="1588" w:type="dxa"/>
            <w:vAlign w:val="center"/>
          </w:tcPr>
          <w:p w14:paraId="7D66B47B" w14:textId="77777777" w:rsidR="00A61B4F" w:rsidRPr="00487403" w:rsidRDefault="00A61B4F" w:rsidP="00E042F0">
            <w:pPr>
              <w:spacing w:after="0" w:line="240" w:lineRule="auto"/>
              <w:rPr>
                <w:sz w:val="18"/>
                <w:szCs w:val="18"/>
              </w:rPr>
            </w:pPr>
          </w:p>
        </w:tc>
        <w:tc>
          <w:tcPr>
            <w:tcW w:w="236" w:type="dxa"/>
            <w:vAlign w:val="center"/>
          </w:tcPr>
          <w:p w14:paraId="6826D0C9"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3424A3D5"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17</w:t>
            </w:r>
          </w:p>
        </w:tc>
        <w:tc>
          <w:tcPr>
            <w:tcW w:w="1596" w:type="dxa"/>
            <w:vAlign w:val="center"/>
          </w:tcPr>
          <w:p w14:paraId="7CAE0308" w14:textId="77777777" w:rsidR="00A61B4F" w:rsidRPr="00487403" w:rsidRDefault="00A61B4F" w:rsidP="00E042F0">
            <w:pPr>
              <w:spacing w:after="0" w:line="240" w:lineRule="auto"/>
              <w:rPr>
                <w:sz w:val="18"/>
                <w:szCs w:val="18"/>
              </w:rPr>
            </w:pPr>
            <w:r>
              <w:rPr>
                <w:sz w:val="18"/>
                <w:szCs w:val="18"/>
              </w:rPr>
              <w:t>0.03 (0.00 – 0.08)</w:t>
            </w:r>
          </w:p>
        </w:tc>
      </w:tr>
      <w:tr w:rsidR="00A61B4F" w:rsidRPr="00487403" w14:paraId="3FDAF345" w14:textId="77777777" w:rsidTr="00744837">
        <w:tc>
          <w:tcPr>
            <w:tcW w:w="3969" w:type="dxa"/>
            <w:vAlign w:val="center"/>
          </w:tcPr>
          <w:p w14:paraId="267490F8" w14:textId="77777777" w:rsidR="00A61B4F" w:rsidRPr="00487403" w:rsidRDefault="00A61B4F" w:rsidP="00AF508B">
            <w:pPr>
              <w:spacing w:after="0" w:line="240" w:lineRule="auto"/>
              <w:ind w:left="340"/>
              <w:rPr>
                <w:sz w:val="18"/>
                <w:szCs w:val="18"/>
              </w:rPr>
            </w:pPr>
            <w:r w:rsidRPr="00487403">
              <w:rPr>
                <w:rFonts w:cs="Times New Roman"/>
                <w:i/>
                <w:sz w:val="18"/>
                <w:szCs w:val="18"/>
              </w:rPr>
              <w:t>Acinetobacter</w:t>
            </w:r>
            <w:r w:rsidRPr="00487403">
              <w:rPr>
                <w:rFonts w:cs="Times New Roman"/>
                <w:sz w:val="18"/>
                <w:szCs w:val="18"/>
              </w:rPr>
              <w:t xml:space="preserve"> species</w:t>
            </w:r>
          </w:p>
        </w:tc>
        <w:tc>
          <w:tcPr>
            <w:tcW w:w="1020" w:type="dxa"/>
            <w:vAlign w:val="center"/>
          </w:tcPr>
          <w:p w14:paraId="60EA4B04" w14:textId="77777777" w:rsidR="00A61B4F" w:rsidRPr="00F06DE3" w:rsidRDefault="00A61B4F" w:rsidP="00E042F0">
            <w:pPr>
              <w:spacing w:after="0" w:line="240" w:lineRule="auto"/>
              <w:jc w:val="right"/>
              <w:rPr>
                <w:sz w:val="18"/>
                <w:szCs w:val="18"/>
              </w:rPr>
            </w:pPr>
            <w:r w:rsidRPr="00F06DE3">
              <w:rPr>
                <w:rFonts w:cs="Times New Roman"/>
                <w:color w:val="000000"/>
                <w:sz w:val="18"/>
                <w:szCs w:val="20"/>
              </w:rPr>
              <w:t>94</w:t>
            </w:r>
          </w:p>
        </w:tc>
        <w:tc>
          <w:tcPr>
            <w:tcW w:w="1588" w:type="dxa"/>
            <w:vAlign w:val="center"/>
          </w:tcPr>
          <w:p w14:paraId="174CB8E3" w14:textId="77777777" w:rsidR="00A61B4F" w:rsidRPr="00487403" w:rsidRDefault="00A61B4F" w:rsidP="00E042F0">
            <w:pPr>
              <w:spacing w:after="0" w:line="240" w:lineRule="auto"/>
              <w:rPr>
                <w:sz w:val="18"/>
                <w:szCs w:val="18"/>
              </w:rPr>
            </w:pPr>
            <w:r>
              <w:rPr>
                <w:sz w:val="18"/>
                <w:szCs w:val="18"/>
              </w:rPr>
              <w:t>0.05 (0.02 – 0.07)</w:t>
            </w:r>
          </w:p>
        </w:tc>
        <w:tc>
          <w:tcPr>
            <w:tcW w:w="236" w:type="dxa"/>
            <w:vAlign w:val="center"/>
          </w:tcPr>
          <w:p w14:paraId="755DAD89"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25D74F24" w14:textId="77777777" w:rsidR="00A61B4F" w:rsidRPr="00487403" w:rsidRDefault="00A61B4F" w:rsidP="00E042F0">
            <w:pPr>
              <w:spacing w:after="0" w:line="240" w:lineRule="auto"/>
              <w:jc w:val="right"/>
              <w:rPr>
                <w:sz w:val="18"/>
                <w:szCs w:val="18"/>
              </w:rPr>
            </w:pPr>
            <w:r w:rsidRPr="00487403">
              <w:rPr>
                <w:rFonts w:cs="Times New Roman"/>
                <w:color w:val="000000"/>
                <w:sz w:val="18"/>
                <w:szCs w:val="18"/>
              </w:rPr>
              <w:t>299</w:t>
            </w:r>
          </w:p>
        </w:tc>
        <w:tc>
          <w:tcPr>
            <w:tcW w:w="1596" w:type="dxa"/>
            <w:vAlign w:val="center"/>
          </w:tcPr>
          <w:p w14:paraId="5003E0FC" w14:textId="77777777" w:rsidR="00A61B4F" w:rsidRPr="00487403" w:rsidRDefault="00A61B4F" w:rsidP="00E042F0">
            <w:pPr>
              <w:spacing w:after="0" w:line="240" w:lineRule="auto"/>
              <w:rPr>
                <w:sz w:val="18"/>
                <w:szCs w:val="18"/>
              </w:rPr>
            </w:pPr>
            <w:r>
              <w:rPr>
                <w:sz w:val="18"/>
                <w:szCs w:val="18"/>
              </w:rPr>
              <w:t>0.05 (0.03 – 0.07)</w:t>
            </w:r>
          </w:p>
        </w:tc>
      </w:tr>
      <w:tr w:rsidR="00A61B4F" w:rsidRPr="00487403" w14:paraId="13E70D01" w14:textId="77777777" w:rsidTr="00744837">
        <w:tc>
          <w:tcPr>
            <w:tcW w:w="3969" w:type="dxa"/>
            <w:vAlign w:val="center"/>
          </w:tcPr>
          <w:p w14:paraId="4DB38218" w14:textId="77777777" w:rsidR="00A61B4F" w:rsidRPr="00487403" w:rsidRDefault="00A61B4F" w:rsidP="00AF508B">
            <w:pPr>
              <w:spacing w:after="0" w:line="240" w:lineRule="auto"/>
              <w:ind w:left="340"/>
              <w:rPr>
                <w:sz w:val="18"/>
                <w:szCs w:val="18"/>
              </w:rPr>
            </w:pPr>
            <w:r w:rsidRPr="00487403">
              <w:rPr>
                <w:rFonts w:cs="Times New Roman"/>
                <w:sz w:val="18"/>
                <w:szCs w:val="18"/>
              </w:rPr>
              <w:t>Other/unspecified Gram</w:t>
            </w:r>
            <w:r>
              <w:rPr>
                <w:rFonts w:cs="Times New Roman"/>
                <w:sz w:val="18"/>
                <w:szCs w:val="18"/>
              </w:rPr>
              <w:t>-</w:t>
            </w:r>
            <w:r w:rsidRPr="00487403">
              <w:rPr>
                <w:rFonts w:cs="Times New Roman"/>
                <w:sz w:val="18"/>
                <w:szCs w:val="18"/>
              </w:rPr>
              <w:t>negatives</w:t>
            </w:r>
          </w:p>
        </w:tc>
        <w:tc>
          <w:tcPr>
            <w:tcW w:w="1020" w:type="dxa"/>
            <w:vAlign w:val="center"/>
          </w:tcPr>
          <w:p w14:paraId="7A92BF5D" w14:textId="77777777" w:rsidR="00A61B4F" w:rsidRPr="00F06DE3" w:rsidRDefault="00A61B4F" w:rsidP="00E042F0">
            <w:pPr>
              <w:spacing w:after="0" w:line="240" w:lineRule="auto"/>
              <w:jc w:val="right"/>
              <w:rPr>
                <w:sz w:val="18"/>
                <w:szCs w:val="18"/>
              </w:rPr>
            </w:pPr>
            <w:r w:rsidRPr="00F06DE3">
              <w:rPr>
                <w:rFonts w:cs="Times New Roman"/>
                <w:color w:val="000000"/>
                <w:sz w:val="18"/>
                <w:szCs w:val="20"/>
              </w:rPr>
              <w:t>522</w:t>
            </w:r>
          </w:p>
        </w:tc>
        <w:tc>
          <w:tcPr>
            <w:tcW w:w="1588" w:type="dxa"/>
            <w:vAlign w:val="center"/>
          </w:tcPr>
          <w:p w14:paraId="6AC43B28" w14:textId="77777777" w:rsidR="00A61B4F" w:rsidRPr="00487403" w:rsidRDefault="00A61B4F" w:rsidP="00E042F0">
            <w:pPr>
              <w:spacing w:after="0" w:line="240" w:lineRule="auto"/>
              <w:rPr>
                <w:sz w:val="18"/>
                <w:szCs w:val="18"/>
              </w:rPr>
            </w:pPr>
            <w:r>
              <w:rPr>
                <w:sz w:val="18"/>
                <w:szCs w:val="18"/>
              </w:rPr>
              <w:t>0.20 (0.14 – 0.27)</w:t>
            </w:r>
          </w:p>
        </w:tc>
        <w:tc>
          <w:tcPr>
            <w:tcW w:w="236" w:type="dxa"/>
            <w:vAlign w:val="center"/>
          </w:tcPr>
          <w:p w14:paraId="051E6EC9" w14:textId="77777777" w:rsidR="00A61B4F" w:rsidRPr="00487403" w:rsidRDefault="00A61B4F" w:rsidP="00E042F0">
            <w:pPr>
              <w:spacing w:after="0" w:line="240" w:lineRule="auto"/>
              <w:rPr>
                <w:rFonts w:cs="Times New Roman"/>
                <w:color w:val="000000"/>
                <w:sz w:val="18"/>
                <w:szCs w:val="18"/>
              </w:rPr>
            </w:pPr>
          </w:p>
        </w:tc>
        <w:tc>
          <w:tcPr>
            <w:tcW w:w="1020" w:type="dxa"/>
            <w:vAlign w:val="center"/>
          </w:tcPr>
          <w:p w14:paraId="7B8CD53B" w14:textId="77777777" w:rsidR="00A61B4F" w:rsidRPr="00487403" w:rsidRDefault="00A61B4F" w:rsidP="00E042F0">
            <w:pPr>
              <w:spacing w:after="0" w:line="240" w:lineRule="auto"/>
              <w:jc w:val="right"/>
              <w:rPr>
                <w:sz w:val="18"/>
                <w:szCs w:val="18"/>
              </w:rPr>
            </w:pPr>
            <w:r w:rsidRPr="00487403">
              <w:rPr>
                <w:sz w:val="18"/>
                <w:szCs w:val="18"/>
              </w:rPr>
              <w:t>508</w:t>
            </w:r>
          </w:p>
        </w:tc>
        <w:tc>
          <w:tcPr>
            <w:tcW w:w="1596" w:type="dxa"/>
            <w:vAlign w:val="center"/>
          </w:tcPr>
          <w:p w14:paraId="64DD2BD2" w14:textId="77777777" w:rsidR="00A61B4F" w:rsidRPr="00487403" w:rsidRDefault="00A61B4F" w:rsidP="00E042F0">
            <w:pPr>
              <w:spacing w:after="0" w:line="240" w:lineRule="auto"/>
              <w:rPr>
                <w:sz w:val="18"/>
                <w:szCs w:val="18"/>
              </w:rPr>
            </w:pPr>
            <w:r>
              <w:rPr>
                <w:sz w:val="18"/>
                <w:szCs w:val="18"/>
              </w:rPr>
              <w:t>0.10 (0.06 – 0.14)</w:t>
            </w:r>
          </w:p>
        </w:tc>
      </w:tr>
      <w:tr w:rsidR="00A61B4F" w:rsidRPr="00487403" w14:paraId="2C926B82" w14:textId="77777777" w:rsidTr="00941528">
        <w:tc>
          <w:tcPr>
            <w:tcW w:w="3969" w:type="dxa"/>
            <w:vAlign w:val="center"/>
          </w:tcPr>
          <w:p w14:paraId="21EAA08E" w14:textId="77777777" w:rsidR="00A61B4F" w:rsidRPr="00487403" w:rsidRDefault="00A61B4F" w:rsidP="00AF508B">
            <w:pPr>
              <w:spacing w:after="0" w:line="240" w:lineRule="auto"/>
              <w:ind w:left="170"/>
              <w:rPr>
                <w:b/>
                <w:color w:val="2E74B5" w:themeColor="accent1" w:themeShade="BF"/>
                <w:sz w:val="18"/>
                <w:szCs w:val="18"/>
              </w:rPr>
            </w:pPr>
            <w:r w:rsidRPr="00487403">
              <w:rPr>
                <w:rFonts w:cs="Times New Roman"/>
                <w:b/>
                <w:color w:val="2E74B5" w:themeColor="accent1" w:themeShade="BF"/>
                <w:sz w:val="18"/>
                <w:szCs w:val="18"/>
              </w:rPr>
              <w:t>Other pathogens</w:t>
            </w:r>
          </w:p>
        </w:tc>
        <w:tc>
          <w:tcPr>
            <w:tcW w:w="1020" w:type="dxa"/>
            <w:vAlign w:val="center"/>
          </w:tcPr>
          <w:p w14:paraId="411E1C1C" w14:textId="77777777" w:rsidR="00A61B4F" w:rsidRPr="00F06DE3" w:rsidRDefault="00A61B4F" w:rsidP="00E042F0">
            <w:pPr>
              <w:spacing w:after="0" w:line="240" w:lineRule="auto"/>
              <w:jc w:val="right"/>
              <w:rPr>
                <w:b/>
                <w:color w:val="2E74B5" w:themeColor="accent1" w:themeShade="BF"/>
                <w:sz w:val="18"/>
                <w:szCs w:val="18"/>
              </w:rPr>
            </w:pPr>
            <w:r w:rsidRPr="00F06DE3">
              <w:rPr>
                <w:rFonts w:cs="Times New Roman"/>
                <w:sz w:val="18"/>
                <w:szCs w:val="20"/>
              </w:rPr>
              <w:t>14</w:t>
            </w:r>
          </w:p>
        </w:tc>
        <w:tc>
          <w:tcPr>
            <w:tcW w:w="1588" w:type="dxa"/>
            <w:vAlign w:val="center"/>
          </w:tcPr>
          <w:p w14:paraId="3B2944AD" w14:textId="77777777" w:rsidR="00A61B4F" w:rsidRPr="00487403" w:rsidRDefault="00A61B4F" w:rsidP="00E042F0">
            <w:pPr>
              <w:spacing w:after="0" w:line="240" w:lineRule="auto"/>
              <w:rPr>
                <w:b/>
                <w:color w:val="2E74B5" w:themeColor="accent1" w:themeShade="BF"/>
                <w:sz w:val="18"/>
                <w:szCs w:val="18"/>
              </w:rPr>
            </w:pPr>
            <w:r>
              <w:rPr>
                <w:b/>
                <w:color w:val="2E74B5" w:themeColor="accent1" w:themeShade="BF"/>
                <w:sz w:val="18"/>
                <w:szCs w:val="18"/>
              </w:rPr>
              <w:t>0.05 (0.02 – 0.07)</w:t>
            </w:r>
          </w:p>
        </w:tc>
        <w:tc>
          <w:tcPr>
            <w:tcW w:w="236" w:type="dxa"/>
            <w:vAlign w:val="center"/>
          </w:tcPr>
          <w:p w14:paraId="393C66E8" w14:textId="77777777" w:rsidR="00A61B4F" w:rsidRPr="00487403" w:rsidRDefault="00A61B4F" w:rsidP="00E042F0">
            <w:pPr>
              <w:spacing w:after="0" w:line="240" w:lineRule="auto"/>
              <w:rPr>
                <w:rFonts w:cs="Times New Roman"/>
                <w:b/>
                <w:color w:val="2E74B5" w:themeColor="accent1" w:themeShade="BF"/>
                <w:sz w:val="18"/>
                <w:szCs w:val="18"/>
              </w:rPr>
            </w:pPr>
          </w:p>
        </w:tc>
        <w:tc>
          <w:tcPr>
            <w:tcW w:w="1020" w:type="dxa"/>
            <w:vAlign w:val="center"/>
          </w:tcPr>
          <w:p w14:paraId="5D44A5C0" w14:textId="77777777" w:rsidR="00A61B4F" w:rsidRPr="00487403" w:rsidRDefault="00A61B4F" w:rsidP="00E042F0">
            <w:pPr>
              <w:spacing w:after="0" w:line="240" w:lineRule="auto"/>
              <w:jc w:val="right"/>
              <w:rPr>
                <w:b/>
                <w:color w:val="2E74B5" w:themeColor="accent1" w:themeShade="BF"/>
                <w:sz w:val="18"/>
                <w:szCs w:val="18"/>
              </w:rPr>
            </w:pPr>
            <w:r w:rsidRPr="00487403">
              <w:rPr>
                <w:rFonts w:cs="Times New Roman"/>
                <w:b/>
                <w:color w:val="2E74B5" w:themeColor="accent1" w:themeShade="BF"/>
                <w:sz w:val="18"/>
                <w:szCs w:val="18"/>
              </w:rPr>
              <w:t>9</w:t>
            </w:r>
          </w:p>
        </w:tc>
        <w:tc>
          <w:tcPr>
            <w:tcW w:w="1596" w:type="dxa"/>
            <w:vAlign w:val="center"/>
          </w:tcPr>
          <w:p w14:paraId="2D979DED" w14:textId="77777777" w:rsidR="00A61B4F" w:rsidRPr="00487403" w:rsidRDefault="00A61B4F" w:rsidP="00E042F0">
            <w:pPr>
              <w:spacing w:after="0" w:line="240" w:lineRule="auto"/>
              <w:rPr>
                <w:b/>
                <w:color w:val="2E74B5" w:themeColor="accent1" w:themeShade="BF"/>
                <w:sz w:val="18"/>
                <w:szCs w:val="18"/>
              </w:rPr>
            </w:pPr>
            <w:r>
              <w:rPr>
                <w:b/>
                <w:color w:val="2E74B5" w:themeColor="accent1" w:themeShade="BF"/>
                <w:sz w:val="18"/>
                <w:szCs w:val="18"/>
              </w:rPr>
              <w:t>-</w:t>
            </w:r>
          </w:p>
        </w:tc>
      </w:tr>
      <w:tr w:rsidR="00A61B4F" w:rsidRPr="00487403" w14:paraId="7A72E366" w14:textId="77777777" w:rsidTr="00941528">
        <w:tc>
          <w:tcPr>
            <w:tcW w:w="3969" w:type="dxa"/>
            <w:tcBorders>
              <w:bottom w:val="single" w:sz="4" w:space="0" w:color="auto"/>
            </w:tcBorders>
            <w:vAlign w:val="center"/>
          </w:tcPr>
          <w:p w14:paraId="08332EF9" w14:textId="77777777" w:rsidR="00A61B4F" w:rsidRPr="00487403" w:rsidRDefault="00A61B4F" w:rsidP="00E042F0">
            <w:pPr>
              <w:spacing w:after="0" w:line="240" w:lineRule="auto"/>
              <w:rPr>
                <w:b/>
                <w:sz w:val="18"/>
                <w:szCs w:val="18"/>
              </w:rPr>
            </w:pPr>
            <w:r w:rsidRPr="00487403">
              <w:rPr>
                <w:b/>
                <w:sz w:val="18"/>
                <w:szCs w:val="18"/>
              </w:rPr>
              <w:t>Total</w:t>
            </w:r>
          </w:p>
        </w:tc>
        <w:tc>
          <w:tcPr>
            <w:tcW w:w="1020" w:type="dxa"/>
            <w:tcBorders>
              <w:bottom w:val="single" w:sz="4" w:space="0" w:color="auto"/>
            </w:tcBorders>
            <w:vAlign w:val="center"/>
          </w:tcPr>
          <w:p w14:paraId="2E9DCAA5" w14:textId="77777777" w:rsidR="00A61B4F" w:rsidRPr="00F06DE3" w:rsidRDefault="00A61B4F" w:rsidP="00E042F0">
            <w:pPr>
              <w:spacing w:after="0" w:line="240" w:lineRule="auto"/>
              <w:jc w:val="right"/>
              <w:rPr>
                <w:b/>
                <w:sz w:val="18"/>
                <w:szCs w:val="18"/>
              </w:rPr>
            </w:pPr>
            <w:r>
              <w:rPr>
                <w:rFonts w:cs="Times New Roman"/>
                <w:b/>
                <w:sz w:val="18"/>
                <w:szCs w:val="20"/>
              </w:rPr>
              <w:t>3832</w:t>
            </w:r>
          </w:p>
        </w:tc>
        <w:tc>
          <w:tcPr>
            <w:tcW w:w="1588" w:type="dxa"/>
            <w:tcBorders>
              <w:bottom w:val="single" w:sz="4" w:space="0" w:color="auto"/>
            </w:tcBorders>
            <w:vAlign w:val="center"/>
          </w:tcPr>
          <w:p w14:paraId="7673DAA7" w14:textId="77777777" w:rsidR="00A61B4F" w:rsidRPr="00487403" w:rsidRDefault="00A61B4F" w:rsidP="00E042F0">
            <w:pPr>
              <w:spacing w:after="0" w:line="240" w:lineRule="auto"/>
              <w:rPr>
                <w:b/>
                <w:sz w:val="18"/>
                <w:szCs w:val="18"/>
              </w:rPr>
            </w:pPr>
          </w:p>
        </w:tc>
        <w:tc>
          <w:tcPr>
            <w:tcW w:w="236" w:type="dxa"/>
            <w:tcBorders>
              <w:bottom w:val="single" w:sz="4" w:space="0" w:color="auto"/>
            </w:tcBorders>
            <w:vAlign w:val="center"/>
          </w:tcPr>
          <w:p w14:paraId="55983A25" w14:textId="77777777" w:rsidR="00A61B4F" w:rsidRPr="00487403" w:rsidRDefault="00A61B4F" w:rsidP="00E042F0">
            <w:pPr>
              <w:spacing w:after="0" w:line="240" w:lineRule="auto"/>
              <w:rPr>
                <w:b/>
                <w:sz w:val="18"/>
                <w:szCs w:val="18"/>
              </w:rPr>
            </w:pPr>
          </w:p>
        </w:tc>
        <w:tc>
          <w:tcPr>
            <w:tcW w:w="1020" w:type="dxa"/>
            <w:tcBorders>
              <w:bottom w:val="single" w:sz="4" w:space="0" w:color="auto"/>
            </w:tcBorders>
            <w:vAlign w:val="center"/>
          </w:tcPr>
          <w:p w14:paraId="4BFB727C" w14:textId="77777777" w:rsidR="00A61B4F" w:rsidRPr="00487403" w:rsidRDefault="00A61B4F" w:rsidP="00E042F0">
            <w:pPr>
              <w:spacing w:after="0" w:line="240" w:lineRule="auto"/>
              <w:jc w:val="right"/>
              <w:rPr>
                <w:b/>
                <w:sz w:val="18"/>
                <w:szCs w:val="18"/>
              </w:rPr>
            </w:pPr>
            <w:r>
              <w:rPr>
                <w:rFonts w:cs="Times New Roman"/>
                <w:b/>
                <w:sz w:val="18"/>
                <w:szCs w:val="18"/>
              </w:rPr>
              <w:t>7971</w:t>
            </w:r>
          </w:p>
        </w:tc>
        <w:tc>
          <w:tcPr>
            <w:tcW w:w="1596" w:type="dxa"/>
            <w:tcBorders>
              <w:bottom w:val="single" w:sz="4" w:space="0" w:color="auto"/>
            </w:tcBorders>
            <w:vAlign w:val="center"/>
          </w:tcPr>
          <w:p w14:paraId="0863DF1C" w14:textId="77777777" w:rsidR="00A61B4F" w:rsidRPr="00487403" w:rsidRDefault="00A61B4F" w:rsidP="00E042F0">
            <w:pPr>
              <w:spacing w:after="0" w:line="240" w:lineRule="auto"/>
              <w:rPr>
                <w:b/>
                <w:sz w:val="18"/>
                <w:szCs w:val="18"/>
              </w:rPr>
            </w:pPr>
          </w:p>
        </w:tc>
      </w:tr>
      <w:tr w:rsidR="00941528" w:rsidRPr="00487403" w14:paraId="5517A288" w14:textId="77777777" w:rsidTr="00941528">
        <w:tc>
          <w:tcPr>
            <w:tcW w:w="3969" w:type="dxa"/>
            <w:tcBorders>
              <w:top w:val="single" w:sz="4" w:space="0" w:color="auto"/>
            </w:tcBorders>
            <w:vAlign w:val="center"/>
          </w:tcPr>
          <w:p w14:paraId="3EBB2A9E" w14:textId="77777777" w:rsidR="00941528" w:rsidRPr="00487403" w:rsidRDefault="00941528" w:rsidP="00E042F0">
            <w:pPr>
              <w:spacing w:after="0" w:line="240" w:lineRule="auto"/>
              <w:rPr>
                <w:b/>
                <w:sz w:val="18"/>
                <w:szCs w:val="18"/>
              </w:rPr>
            </w:pPr>
          </w:p>
        </w:tc>
        <w:tc>
          <w:tcPr>
            <w:tcW w:w="1020" w:type="dxa"/>
            <w:tcBorders>
              <w:top w:val="single" w:sz="4" w:space="0" w:color="auto"/>
            </w:tcBorders>
            <w:vAlign w:val="center"/>
          </w:tcPr>
          <w:p w14:paraId="2D5ED201" w14:textId="77777777" w:rsidR="00941528" w:rsidRDefault="00941528" w:rsidP="00E042F0">
            <w:pPr>
              <w:spacing w:after="0" w:line="240" w:lineRule="auto"/>
              <w:jc w:val="right"/>
              <w:rPr>
                <w:rFonts w:cs="Times New Roman"/>
                <w:b/>
                <w:sz w:val="18"/>
                <w:szCs w:val="20"/>
              </w:rPr>
            </w:pPr>
          </w:p>
        </w:tc>
        <w:tc>
          <w:tcPr>
            <w:tcW w:w="1588" w:type="dxa"/>
            <w:tcBorders>
              <w:top w:val="single" w:sz="4" w:space="0" w:color="auto"/>
            </w:tcBorders>
            <w:vAlign w:val="center"/>
          </w:tcPr>
          <w:p w14:paraId="29AB4BB4" w14:textId="77777777" w:rsidR="00941528" w:rsidRPr="00487403" w:rsidRDefault="00941528" w:rsidP="00E042F0">
            <w:pPr>
              <w:spacing w:after="0" w:line="240" w:lineRule="auto"/>
              <w:rPr>
                <w:b/>
                <w:sz w:val="18"/>
                <w:szCs w:val="18"/>
              </w:rPr>
            </w:pPr>
          </w:p>
        </w:tc>
        <w:tc>
          <w:tcPr>
            <w:tcW w:w="236" w:type="dxa"/>
            <w:tcBorders>
              <w:top w:val="single" w:sz="4" w:space="0" w:color="auto"/>
            </w:tcBorders>
            <w:vAlign w:val="center"/>
          </w:tcPr>
          <w:p w14:paraId="2B83FBFA" w14:textId="77777777" w:rsidR="00941528" w:rsidRPr="00487403" w:rsidRDefault="00941528" w:rsidP="00E042F0">
            <w:pPr>
              <w:spacing w:after="0" w:line="240" w:lineRule="auto"/>
              <w:rPr>
                <w:b/>
                <w:sz w:val="18"/>
                <w:szCs w:val="18"/>
              </w:rPr>
            </w:pPr>
          </w:p>
        </w:tc>
        <w:tc>
          <w:tcPr>
            <w:tcW w:w="1020" w:type="dxa"/>
            <w:tcBorders>
              <w:top w:val="single" w:sz="4" w:space="0" w:color="auto"/>
            </w:tcBorders>
            <w:vAlign w:val="center"/>
          </w:tcPr>
          <w:p w14:paraId="01667985" w14:textId="77777777" w:rsidR="00941528" w:rsidRDefault="00941528" w:rsidP="00E042F0">
            <w:pPr>
              <w:spacing w:after="0" w:line="240" w:lineRule="auto"/>
              <w:jc w:val="right"/>
              <w:rPr>
                <w:rFonts w:cs="Times New Roman"/>
                <w:b/>
                <w:sz w:val="18"/>
                <w:szCs w:val="18"/>
              </w:rPr>
            </w:pPr>
          </w:p>
        </w:tc>
        <w:tc>
          <w:tcPr>
            <w:tcW w:w="1596" w:type="dxa"/>
            <w:tcBorders>
              <w:top w:val="single" w:sz="4" w:space="0" w:color="auto"/>
            </w:tcBorders>
            <w:vAlign w:val="center"/>
          </w:tcPr>
          <w:p w14:paraId="535092AC" w14:textId="77777777" w:rsidR="00941528" w:rsidRPr="00487403" w:rsidRDefault="00941528" w:rsidP="00E042F0">
            <w:pPr>
              <w:spacing w:after="0" w:line="240" w:lineRule="auto"/>
              <w:rPr>
                <w:b/>
                <w:sz w:val="18"/>
                <w:szCs w:val="18"/>
              </w:rPr>
            </w:pPr>
          </w:p>
        </w:tc>
      </w:tr>
      <w:tr w:rsidR="006108E5" w:rsidRPr="00487403" w14:paraId="4A8AF056" w14:textId="77777777" w:rsidTr="006108E5">
        <w:tc>
          <w:tcPr>
            <w:tcW w:w="3969" w:type="dxa"/>
            <w:vAlign w:val="center"/>
          </w:tcPr>
          <w:p w14:paraId="2D9CBBF7" w14:textId="77777777" w:rsidR="006108E5" w:rsidRPr="00487403" w:rsidRDefault="006108E5" w:rsidP="00E042F0">
            <w:pPr>
              <w:spacing w:after="0" w:line="240" w:lineRule="auto"/>
              <w:rPr>
                <w:b/>
                <w:sz w:val="18"/>
                <w:szCs w:val="18"/>
              </w:rPr>
            </w:pPr>
          </w:p>
        </w:tc>
        <w:tc>
          <w:tcPr>
            <w:tcW w:w="1020" w:type="dxa"/>
            <w:vAlign w:val="center"/>
          </w:tcPr>
          <w:p w14:paraId="70E3C54C" w14:textId="77777777" w:rsidR="006108E5" w:rsidRDefault="006108E5" w:rsidP="00E042F0">
            <w:pPr>
              <w:spacing w:after="0" w:line="240" w:lineRule="auto"/>
              <w:jc w:val="right"/>
              <w:rPr>
                <w:rFonts w:cs="Times New Roman"/>
                <w:b/>
                <w:sz w:val="18"/>
                <w:szCs w:val="20"/>
              </w:rPr>
            </w:pPr>
          </w:p>
        </w:tc>
        <w:tc>
          <w:tcPr>
            <w:tcW w:w="1588" w:type="dxa"/>
            <w:vAlign w:val="center"/>
          </w:tcPr>
          <w:p w14:paraId="6D14FB41" w14:textId="77777777" w:rsidR="006108E5" w:rsidRPr="00487403" w:rsidRDefault="006108E5" w:rsidP="00E042F0">
            <w:pPr>
              <w:spacing w:after="0" w:line="240" w:lineRule="auto"/>
              <w:rPr>
                <w:b/>
                <w:sz w:val="18"/>
                <w:szCs w:val="18"/>
              </w:rPr>
            </w:pPr>
          </w:p>
        </w:tc>
        <w:tc>
          <w:tcPr>
            <w:tcW w:w="236" w:type="dxa"/>
            <w:vAlign w:val="center"/>
          </w:tcPr>
          <w:p w14:paraId="58F7D630" w14:textId="77777777" w:rsidR="006108E5" w:rsidRPr="00487403" w:rsidRDefault="006108E5" w:rsidP="00E042F0">
            <w:pPr>
              <w:spacing w:after="0" w:line="240" w:lineRule="auto"/>
              <w:rPr>
                <w:b/>
                <w:sz w:val="18"/>
                <w:szCs w:val="18"/>
              </w:rPr>
            </w:pPr>
          </w:p>
        </w:tc>
        <w:tc>
          <w:tcPr>
            <w:tcW w:w="1020" w:type="dxa"/>
            <w:vAlign w:val="center"/>
          </w:tcPr>
          <w:p w14:paraId="36E0C6BB" w14:textId="77777777" w:rsidR="006108E5" w:rsidRDefault="006108E5" w:rsidP="00E042F0">
            <w:pPr>
              <w:spacing w:after="0" w:line="240" w:lineRule="auto"/>
              <w:jc w:val="right"/>
              <w:rPr>
                <w:rFonts w:cs="Times New Roman"/>
                <w:b/>
                <w:sz w:val="18"/>
                <w:szCs w:val="18"/>
              </w:rPr>
            </w:pPr>
          </w:p>
        </w:tc>
        <w:tc>
          <w:tcPr>
            <w:tcW w:w="1596" w:type="dxa"/>
            <w:vAlign w:val="center"/>
          </w:tcPr>
          <w:p w14:paraId="6834BEDC" w14:textId="77777777" w:rsidR="006108E5" w:rsidRPr="00487403" w:rsidRDefault="006108E5" w:rsidP="00E042F0">
            <w:pPr>
              <w:spacing w:after="0" w:line="240" w:lineRule="auto"/>
              <w:rPr>
                <w:b/>
                <w:sz w:val="18"/>
                <w:szCs w:val="18"/>
              </w:rPr>
            </w:pPr>
          </w:p>
        </w:tc>
      </w:tr>
      <w:tr w:rsidR="001376DE" w:rsidRPr="00487403" w14:paraId="4E354F44" w14:textId="77777777" w:rsidTr="00DA5F98">
        <w:tc>
          <w:tcPr>
            <w:tcW w:w="3969" w:type="dxa"/>
            <w:tcBorders>
              <w:bottom w:val="single" w:sz="4" w:space="0" w:color="auto"/>
            </w:tcBorders>
            <w:vAlign w:val="center"/>
          </w:tcPr>
          <w:p w14:paraId="11A02956" w14:textId="77777777" w:rsidR="001376DE" w:rsidRPr="00487403" w:rsidRDefault="001376DE" w:rsidP="00E042F0">
            <w:pPr>
              <w:spacing w:after="0" w:line="240" w:lineRule="auto"/>
              <w:rPr>
                <w:b/>
                <w:sz w:val="18"/>
                <w:szCs w:val="18"/>
              </w:rPr>
            </w:pPr>
          </w:p>
        </w:tc>
        <w:tc>
          <w:tcPr>
            <w:tcW w:w="1020" w:type="dxa"/>
            <w:tcBorders>
              <w:bottom w:val="single" w:sz="4" w:space="0" w:color="auto"/>
            </w:tcBorders>
            <w:vAlign w:val="center"/>
          </w:tcPr>
          <w:p w14:paraId="485E8F20" w14:textId="77777777" w:rsidR="001376DE" w:rsidRDefault="001376DE" w:rsidP="00E042F0">
            <w:pPr>
              <w:spacing w:after="0" w:line="240" w:lineRule="auto"/>
              <w:jc w:val="right"/>
              <w:rPr>
                <w:rFonts w:cs="Times New Roman"/>
                <w:b/>
                <w:sz w:val="18"/>
                <w:szCs w:val="20"/>
              </w:rPr>
            </w:pPr>
          </w:p>
        </w:tc>
        <w:tc>
          <w:tcPr>
            <w:tcW w:w="1588" w:type="dxa"/>
            <w:tcBorders>
              <w:bottom w:val="single" w:sz="4" w:space="0" w:color="auto"/>
            </w:tcBorders>
            <w:vAlign w:val="center"/>
          </w:tcPr>
          <w:p w14:paraId="6EA59205" w14:textId="77777777" w:rsidR="001376DE" w:rsidRPr="00487403" w:rsidRDefault="001376DE" w:rsidP="00E042F0">
            <w:pPr>
              <w:spacing w:after="0" w:line="240" w:lineRule="auto"/>
              <w:rPr>
                <w:b/>
                <w:sz w:val="18"/>
                <w:szCs w:val="18"/>
              </w:rPr>
            </w:pPr>
          </w:p>
        </w:tc>
        <w:tc>
          <w:tcPr>
            <w:tcW w:w="236" w:type="dxa"/>
            <w:tcBorders>
              <w:bottom w:val="single" w:sz="4" w:space="0" w:color="auto"/>
            </w:tcBorders>
            <w:vAlign w:val="center"/>
          </w:tcPr>
          <w:p w14:paraId="60DFAA06" w14:textId="77777777" w:rsidR="001376DE" w:rsidRPr="00487403" w:rsidRDefault="001376DE" w:rsidP="00E042F0">
            <w:pPr>
              <w:spacing w:after="0" w:line="240" w:lineRule="auto"/>
              <w:rPr>
                <w:b/>
                <w:sz w:val="18"/>
                <w:szCs w:val="18"/>
              </w:rPr>
            </w:pPr>
          </w:p>
        </w:tc>
        <w:tc>
          <w:tcPr>
            <w:tcW w:w="1020" w:type="dxa"/>
            <w:tcBorders>
              <w:bottom w:val="single" w:sz="4" w:space="0" w:color="auto"/>
            </w:tcBorders>
            <w:vAlign w:val="center"/>
          </w:tcPr>
          <w:p w14:paraId="7F8A8AB5" w14:textId="77777777" w:rsidR="001376DE" w:rsidRDefault="001376DE" w:rsidP="00E042F0">
            <w:pPr>
              <w:spacing w:after="0" w:line="240" w:lineRule="auto"/>
              <w:jc w:val="right"/>
              <w:rPr>
                <w:rFonts w:cs="Times New Roman"/>
                <w:b/>
                <w:sz w:val="18"/>
                <w:szCs w:val="18"/>
              </w:rPr>
            </w:pPr>
          </w:p>
        </w:tc>
        <w:tc>
          <w:tcPr>
            <w:tcW w:w="1596" w:type="dxa"/>
            <w:tcBorders>
              <w:bottom w:val="single" w:sz="4" w:space="0" w:color="auto"/>
            </w:tcBorders>
            <w:vAlign w:val="center"/>
          </w:tcPr>
          <w:p w14:paraId="00F83C7E" w14:textId="77777777" w:rsidR="001376DE" w:rsidRPr="00487403" w:rsidRDefault="001376DE" w:rsidP="00E042F0">
            <w:pPr>
              <w:spacing w:after="0" w:line="240" w:lineRule="auto"/>
              <w:rPr>
                <w:b/>
                <w:sz w:val="18"/>
                <w:szCs w:val="18"/>
              </w:rPr>
            </w:pPr>
          </w:p>
        </w:tc>
      </w:tr>
      <w:tr w:rsidR="00D93B14" w:rsidRPr="00487403" w14:paraId="18B04E75" w14:textId="77777777" w:rsidTr="00DA5F98">
        <w:tc>
          <w:tcPr>
            <w:tcW w:w="3969" w:type="dxa"/>
            <w:vMerge w:val="restart"/>
            <w:tcBorders>
              <w:top w:val="single" w:sz="4" w:space="0" w:color="auto"/>
              <w:bottom w:val="single" w:sz="4" w:space="0" w:color="auto"/>
            </w:tcBorders>
          </w:tcPr>
          <w:p w14:paraId="11045569" w14:textId="2DE0A64D" w:rsidR="00D93B14" w:rsidRPr="00487403" w:rsidRDefault="007138EC" w:rsidP="00D93B14">
            <w:pPr>
              <w:spacing w:before="60" w:after="0" w:line="240" w:lineRule="auto"/>
              <w:rPr>
                <w:b/>
                <w:sz w:val="18"/>
                <w:szCs w:val="18"/>
              </w:rPr>
            </w:pPr>
            <w:r>
              <w:rPr>
                <w:b/>
                <w:sz w:val="18"/>
                <w:szCs w:val="18"/>
              </w:rPr>
              <w:t xml:space="preserve">B) </w:t>
            </w:r>
            <w:r w:rsidR="00D93B14">
              <w:rPr>
                <w:b/>
                <w:sz w:val="18"/>
                <w:szCs w:val="18"/>
              </w:rPr>
              <w:t>Meningitis</w:t>
            </w:r>
          </w:p>
        </w:tc>
        <w:tc>
          <w:tcPr>
            <w:tcW w:w="2608" w:type="dxa"/>
            <w:gridSpan w:val="2"/>
            <w:tcBorders>
              <w:top w:val="single" w:sz="4" w:space="0" w:color="auto"/>
              <w:bottom w:val="single" w:sz="4" w:space="0" w:color="auto"/>
            </w:tcBorders>
            <w:vAlign w:val="center"/>
          </w:tcPr>
          <w:p w14:paraId="545A373E" w14:textId="77777777" w:rsidR="00D93B14" w:rsidRPr="005C6C09" w:rsidRDefault="00D93B14" w:rsidP="00D93B14">
            <w:pPr>
              <w:spacing w:before="60" w:after="0" w:line="240" w:lineRule="auto"/>
              <w:jc w:val="center"/>
              <w:rPr>
                <w:rFonts w:cs="Times New Roman"/>
                <w:b/>
                <w:sz w:val="18"/>
                <w:szCs w:val="20"/>
              </w:rPr>
            </w:pPr>
            <w:r w:rsidRPr="005C6C09">
              <w:rPr>
                <w:rFonts w:cs="Times New Roman"/>
                <w:b/>
                <w:sz w:val="18"/>
                <w:szCs w:val="20"/>
              </w:rPr>
              <w:t>1980 – 2007</w:t>
            </w:r>
          </w:p>
          <w:p w14:paraId="25714893" w14:textId="2406219D" w:rsidR="00D93B14" w:rsidRPr="00487403" w:rsidRDefault="00D93B14" w:rsidP="005F70B4">
            <w:pPr>
              <w:spacing w:after="0" w:line="240" w:lineRule="auto"/>
              <w:jc w:val="center"/>
              <w:rPr>
                <w:b/>
                <w:sz w:val="18"/>
                <w:szCs w:val="18"/>
              </w:rPr>
            </w:pPr>
            <w:r w:rsidRPr="005C6C09">
              <w:rPr>
                <w:rFonts w:cs="Times New Roman"/>
                <w:b/>
                <w:sz w:val="18"/>
                <w:szCs w:val="20"/>
              </w:rPr>
              <w:t>(38 studies)</w:t>
            </w:r>
          </w:p>
        </w:tc>
        <w:tc>
          <w:tcPr>
            <w:tcW w:w="236" w:type="dxa"/>
            <w:tcBorders>
              <w:top w:val="single" w:sz="4" w:space="0" w:color="auto"/>
            </w:tcBorders>
            <w:vAlign w:val="center"/>
          </w:tcPr>
          <w:p w14:paraId="05FA050D" w14:textId="77777777" w:rsidR="00D93B14" w:rsidRPr="00487403" w:rsidRDefault="00D93B14" w:rsidP="005F70B4">
            <w:pPr>
              <w:spacing w:after="0" w:line="240" w:lineRule="auto"/>
              <w:rPr>
                <w:b/>
                <w:sz w:val="18"/>
                <w:szCs w:val="18"/>
              </w:rPr>
            </w:pPr>
          </w:p>
        </w:tc>
        <w:tc>
          <w:tcPr>
            <w:tcW w:w="2616" w:type="dxa"/>
            <w:gridSpan w:val="2"/>
            <w:tcBorders>
              <w:top w:val="single" w:sz="4" w:space="0" w:color="auto"/>
              <w:bottom w:val="single" w:sz="4" w:space="0" w:color="auto"/>
            </w:tcBorders>
            <w:vAlign w:val="center"/>
          </w:tcPr>
          <w:p w14:paraId="1A444094" w14:textId="77777777" w:rsidR="00D93B14" w:rsidRPr="008E462E" w:rsidRDefault="00D93B14" w:rsidP="00D93B14">
            <w:pPr>
              <w:spacing w:before="60" w:after="0" w:line="240" w:lineRule="auto"/>
              <w:jc w:val="center"/>
              <w:rPr>
                <w:rFonts w:cs="Times New Roman"/>
                <w:b/>
                <w:sz w:val="18"/>
                <w:szCs w:val="20"/>
              </w:rPr>
            </w:pPr>
            <w:r w:rsidRPr="008E462E">
              <w:rPr>
                <w:rFonts w:cs="Times New Roman"/>
                <w:b/>
                <w:sz w:val="18"/>
                <w:szCs w:val="20"/>
              </w:rPr>
              <w:t>2008 – 2018</w:t>
            </w:r>
          </w:p>
          <w:p w14:paraId="1BD36AAE" w14:textId="476E3E9D" w:rsidR="00D93B14" w:rsidRPr="00487403" w:rsidRDefault="00D93B14" w:rsidP="005F70B4">
            <w:pPr>
              <w:spacing w:after="0" w:line="240" w:lineRule="auto"/>
              <w:jc w:val="center"/>
              <w:rPr>
                <w:b/>
                <w:sz w:val="18"/>
                <w:szCs w:val="18"/>
              </w:rPr>
            </w:pPr>
            <w:r w:rsidRPr="008E462E">
              <w:rPr>
                <w:rFonts w:cs="Times New Roman"/>
                <w:b/>
                <w:sz w:val="18"/>
                <w:szCs w:val="20"/>
              </w:rPr>
              <w:t>(19 studies)</w:t>
            </w:r>
          </w:p>
        </w:tc>
      </w:tr>
      <w:tr w:rsidR="00D93B14" w:rsidRPr="00487403" w14:paraId="628B76EC" w14:textId="77777777" w:rsidTr="00DA5F98">
        <w:tc>
          <w:tcPr>
            <w:tcW w:w="3969" w:type="dxa"/>
            <w:vMerge/>
            <w:tcBorders>
              <w:bottom w:val="single" w:sz="4" w:space="0" w:color="auto"/>
            </w:tcBorders>
            <w:vAlign w:val="center"/>
          </w:tcPr>
          <w:p w14:paraId="3EBEAFA7" w14:textId="77777777" w:rsidR="00D93B14" w:rsidRPr="00487403" w:rsidRDefault="00D93B14" w:rsidP="00C43B22">
            <w:pPr>
              <w:spacing w:after="0" w:line="240" w:lineRule="auto"/>
              <w:rPr>
                <w:b/>
                <w:sz w:val="18"/>
                <w:szCs w:val="18"/>
              </w:rPr>
            </w:pPr>
          </w:p>
        </w:tc>
        <w:tc>
          <w:tcPr>
            <w:tcW w:w="1020" w:type="dxa"/>
            <w:tcBorders>
              <w:top w:val="single" w:sz="4" w:space="0" w:color="auto"/>
              <w:bottom w:val="single" w:sz="4" w:space="0" w:color="auto"/>
            </w:tcBorders>
            <w:vAlign w:val="center"/>
          </w:tcPr>
          <w:p w14:paraId="346568A5" w14:textId="7A7D4871" w:rsidR="00D93B14" w:rsidRDefault="00D93B14" w:rsidP="00C43B22">
            <w:pPr>
              <w:spacing w:after="0" w:line="240" w:lineRule="auto"/>
              <w:jc w:val="right"/>
              <w:rPr>
                <w:rFonts w:cs="Times New Roman"/>
                <w:b/>
                <w:sz w:val="18"/>
                <w:szCs w:val="20"/>
              </w:rPr>
            </w:pPr>
            <w:r w:rsidRPr="00487403">
              <w:rPr>
                <w:b/>
                <w:sz w:val="18"/>
                <w:szCs w:val="18"/>
              </w:rPr>
              <w:t>Number of isolates</w:t>
            </w:r>
          </w:p>
        </w:tc>
        <w:tc>
          <w:tcPr>
            <w:tcW w:w="1588" w:type="dxa"/>
            <w:tcBorders>
              <w:top w:val="single" w:sz="4" w:space="0" w:color="auto"/>
              <w:bottom w:val="single" w:sz="4" w:space="0" w:color="auto"/>
            </w:tcBorders>
            <w:vAlign w:val="center"/>
          </w:tcPr>
          <w:p w14:paraId="33511827" w14:textId="77777777" w:rsidR="00D93B14" w:rsidRPr="00487403" w:rsidRDefault="00D93B14" w:rsidP="00C43B22">
            <w:pPr>
              <w:spacing w:before="40" w:after="40" w:line="240" w:lineRule="auto"/>
              <w:rPr>
                <w:b/>
                <w:sz w:val="18"/>
                <w:szCs w:val="18"/>
              </w:rPr>
            </w:pPr>
            <w:r>
              <w:rPr>
                <w:b/>
                <w:sz w:val="18"/>
                <w:szCs w:val="18"/>
              </w:rPr>
              <w:t>Proportion</w:t>
            </w:r>
          </w:p>
          <w:p w14:paraId="316C46A7" w14:textId="491868CF" w:rsidR="00D93B14" w:rsidRPr="00487403" w:rsidRDefault="00D93B14" w:rsidP="00C43B22">
            <w:pPr>
              <w:spacing w:after="0" w:line="240" w:lineRule="auto"/>
              <w:rPr>
                <w:b/>
                <w:sz w:val="18"/>
                <w:szCs w:val="18"/>
              </w:rPr>
            </w:pPr>
            <w:r w:rsidRPr="00487403">
              <w:rPr>
                <w:b/>
                <w:sz w:val="18"/>
                <w:szCs w:val="18"/>
              </w:rPr>
              <w:t>(95% CI)</w:t>
            </w:r>
          </w:p>
        </w:tc>
        <w:tc>
          <w:tcPr>
            <w:tcW w:w="236" w:type="dxa"/>
          </w:tcPr>
          <w:p w14:paraId="21DF3DCD" w14:textId="77777777" w:rsidR="00D93B14" w:rsidRPr="00487403" w:rsidRDefault="00D93B14" w:rsidP="00C43B22">
            <w:pPr>
              <w:spacing w:after="0" w:line="240" w:lineRule="auto"/>
              <w:rPr>
                <w:b/>
                <w:sz w:val="18"/>
                <w:szCs w:val="18"/>
              </w:rPr>
            </w:pPr>
          </w:p>
        </w:tc>
        <w:tc>
          <w:tcPr>
            <w:tcW w:w="1020" w:type="dxa"/>
            <w:tcBorders>
              <w:bottom w:val="single" w:sz="4" w:space="0" w:color="auto"/>
            </w:tcBorders>
            <w:vAlign w:val="center"/>
          </w:tcPr>
          <w:p w14:paraId="0C529FBE" w14:textId="4879A278" w:rsidR="00D93B14" w:rsidRDefault="00D93B14" w:rsidP="00C43B22">
            <w:pPr>
              <w:spacing w:after="0" w:line="240" w:lineRule="auto"/>
              <w:jc w:val="right"/>
              <w:rPr>
                <w:rFonts w:cs="Times New Roman"/>
                <w:b/>
                <w:sz w:val="18"/>
                <w:szCs w:val="18"/>
              </w:rPr>
            </w:pPr>
            <w:r w:rsidRPr="00487403">
              <w:rPr>
                <w:b/>
                <w:sz w:val="18"/>
                <w:szCs w:val="18"/>
              </w:rPr>
              <w:t>Number of isolates</w:t>
            </w:r>
          </w:p>
        </w:tc>
        <w:tc>
          <w:tcPr>
            <w:tcW w:w="1596" w:type="dxa"/>
            <w:tcBorders>
              <w:bottom w:val="single" w:sz="4" w:space="0" w:color="auto"/>
            </w:tcBorders>
            <w:vAlign w:val="center"/>
          </w:tcPr>
          <w:p w14:paraId="7D5AA431" w14:textId="77777777" w:rsidR="00D93B14" w:rsidRPr="00487403" w:rsidRDefault="00D93B14" w:rsidP="00C43B22">
            <w:pPr>
              <w:spacing w:before="40" w:after="40" w:line="240" w:lineRule="auto"/>
              <w:rPr>
                <w:b/>
                <w:sz w:val="18"/>
                <w:szCs w:val="18"/>
              </w:rPr>
            </w:pPr>
            <w:r>
              <w:rPr>
                <w:b/>
                <w:sz w:val="18"/>
                <w:szCs w:val="18"/>
              </w:rPr>
              <w:t>Proportion</w:t>
            </w:r>
          </w:p>
          <w:p w14:paraId="58C6ED53" w14:textId="1959DA66" w:rsidR="00D93B14" w:rsidRPr="00487403" w:rsidRDefault="00D93B14" w:rsidP="00C43B22">
            <w:pPr>
              <w:spacing w:after="0" w:line="240" w:lineRule="auto"/>
              <w:rPr>
                <w:b/>
                <w:sz w:val="18"/>
                <w:szCs w:val="18"/>
              </w:rPr>
            </w:pPr>
            <w:r w:rsidRPr="00487403">
              <w:rPr>
                <w:b/>
                <w:sz w:val="18"/>
                <w:szCs w:val="18"/>
              </w:rPr>
              <w:t>(95% CI)</w:t>
            </w:r>
          </w:p>
        </w:tc>
      </w:tr>
      <w:tr w:rsidR="001376DE" w:rsidRPr="00487403" w14:paraId="1DE2240D" w14:textId="77777777" w:rsidTr="00DA5F98">
        <w:tc>
          <w:tcPr>
            <w:tcW w:w="3969" w:type="dxa"/>
            <w:tcBorders>
              <w:top w:val="single" w:sz="4" w:space="0" w:color="auto"/>
            </w:tcBorders>
            <w:vAlign w:val="center"/>
          </w:tcPr>
          <w:p w14:paraId="1DE8437C" w14:textId="16634A6A" w:rsidR="001376DE" w:rsidRPr="00487403" w:rsidRDefault="001376DE" w:rsidP="00E03887">
            <w:pPr>
              <w:spacing w:after="0" w:line="240" w:lineRule="auto"/>
              <w:ind w:left="170"/>
              <w:rPr>
                <w:b/>
                <w:sz w:val="18"/>
                <w:szCs w:val="18"/>
              </w:rPr>
            </w:pPr>
            <w:r w:rsidRPr="002203BF">
              <w:rPr>
                <w:b/>
                <w:color w:val="2E74B5" w:themeColor="accent1" w:themeShade="BF"/>
                <w:sz w:val="18"/>
                <w:szCs w:val="18"/>
              </w:rPr>
              <w:t>Gram</w:t>
            </w:r>
            <w:r>
              <w:rPr>
                <w:b/>
                <w:color w:val="2E74B5" w:themeColor="accent1" w:themeShade="BF"/>
                <w:sz w:val="18"/>
                <w:szCs w:val="18"/>
              </w:rPr>
              <w:t>-p</w:t>
            </w:r>
            <w:r w:rsidRPr="002203BF">
              <w:rPr>
                <w:b/>
                <w:color w:val="2E74B5" w:themeColor="accent1" w:themeShade="BF"/>
                <w:sz w:val="18"/>
                <w:szCs w:val="18"/>
              </w:rPr>
              <w:t>ositive</w:t>
            </w:r>
          </w:p>
        </w:tc>
        <w:tc>
          <w:tcPr>
            <w:tcW w:w="1020" w:type="dxa"/>
            <w:tcBorders>
              <w:top w:val="single" w:sz="4" w:space="0" w:color="auto"/>
            </w:tcBorders>
            <w:vAlign w:val="center"/>
          </w:tcPr>
          <w:p w14:paraId="7271BA1F" w14:textId="77777777" w:rsidR="001376DE" w:rsidRDefault="001376DE" w:rsidP="001376DE">
            <w:pPr>
              <w:spacing w:after="0" w:line="240" w:lineRule="auto"/>
              <w:jc w:val="right"/>
              <w:rPr>
                <w:rFonts w:cs="Times New Roman"/>
                <w:b/>
                <w:sz w:val="18"/>
                <w:szCs w:val="20"/>
              </w:rPr>
            </w:pPr>
          </w:p>
        </w:tc>
        <w:tc>
          <w:tcPr>
            <w:tcW w:w="1588" w:type="dxa"/>
            <w:tcBorders>
              <w:top w:val="single" w:sz="4" w:space="0" w:color="auto"/>
            </w:tcBorders>
            <w:vAlign w:val="center"/>
          </w:tcPr>
          <w:p w14:paraId="0FFE1B72" w14:textId="77777777" w:rsidR="001376DE" w:rsidRPr="00487403" w:rsidRDefault="001376DE" w:rsidP="001376DE">
            <w:pPr>
              <w:spacing w:after="0" w:line="240" w:lineRule="auto"/>
              <w:rPr>
                <w:b/>
                <w:sz w:val="18"/>
                <w:szCs w:val="18"/>
              </w:rPr>
            </w:pPr>
          </w:p>
        </w:tc>
        <w:tc>
          <w:tcPr>
            <w:tcW w:w="236" w:type="dxa"/>
            <w:tcBorders>
              <w:top w:val="single" w:sz="4" w:space="0" w:color="auto"/>
            </w:tcBorders>
            <w:vAlign w:val="center"/>
          </w:tcPr>
          <w:p w14:paraId="226F9259" w14:textId="77777777" w:rsidR="001376DE" w:rsidRPr="00487403" w:rsidRDefault="001376DE" w:rsidP="001376DE">
            <w:pPr>
              <w:spacing w:after="0" w:line="240" w:lineRule="auto"/>
              <w:rPr>
                <w:b/>
                <w:sz w:val="18"/>
                <w:szCs w:val="18"/>
              </w:rPr>
            </w:pPr>
          </w:p>
        </w:tc>
        <w:tc>
          <w:tcPr>
            <w:tcW w:w="1020" w:type="dxa"/>
            <w:tcBorders>
              <w:top w:val="single" w:sz="4" w:space="0" w:color="auto"/>
            </w:tcBorders>
            <w:vAlign w:val="center"/>
          </w:tcPr>
          <w:p w14:paraId="2D4E2112" w14:textId="77777777" w:rsidR="001376DE" w:rsidRDefault="001376DE" w:rsidP="001376DE">
            <w:pPr>
              <w:spacing w:after="0" w:line="240" w:lineRule="auto"/>
              <w:jc w:val="right"/>
              <w:rPr>
                <w:rFonts w:cs="Times New Roman"/>
                <w:b/>
                <w:sz w:val="18"/>
                <w:szCs w:val="18"/>
              </w:rPr>
            </w:pPr>
          </w:p>
        </w:tc>
        <w:tc>
          <w:tcPr>
            <w:tcW w:w="1596" w:type="dxa"/>
            <w:tcBorders>
              <w:top w:val="single" w:sz="4" w:space="0" w:color="auto"/>
            </w:tcBorders>
            <w:vAlign w:val="center"/>
          </w:tcPr>
          <w:p w14:paraId="295786FB" w14:textId="77777777" w:rsidR="001376DE" w:rsidRPr="00487403" w:rsidRDefault="001376DE" w:rsidP="001376DE">
            <w:pPr>
              <w:spacing w:after="0" w:line="240" w:lineRule="auto"/>
              <w:rPr>
                <w:b/>
                <w:sz w:val="18"/>
                <w:szCs w:val="18"/>
              </w:rPr>
            </w:pPr>
          </w:p>
        </w:tc>
      </w:tr>
      <w:tr w:rsidR="001376DE" w:rsidRPr="00487403" w14:paraId="401E48E6" w14:textId="77777777" w:rsidTr="006108E5">
        <w:tc>
          <w:tcPr>
            <w:tcW w:w="3969" w:type="dxa"/>
            <w:vAlign w:val="center"/>
          </w:tcPr>
          <w:p w14:paraId="078DCA89" w14:textId="7A2A9521" w:rsidR="001376DE" w:rsidRPr="00487403" w:rsidRDefault="001376DE" w:rsidP="00E03887">
            <w:pPr>
              <w:spacing w:after="0" w:line="240" w:lineRule="auto"/>
              <w:ind w:left="340"/>
              <w:rPr>
                <w:b/>
                <w:sz w:val="18"/>
                <w:szCs w:val="18"/>
              </w:rPr>
            </w:pPr>
            <w:r w:rsidRPr="00487403">
              <w:rPr>
                <w:rFonts w:cs="Times New Roman"/>
                <w:i/>
                <w:sz w:val="18"/>
                <w:szCs w:val="18"/>
              </w:rPr>
              <w:t>Staphylococcus aureus</w:t>
            </w:r>
          </w:p>
        </w:tc>
        <w:tc>
          <w:tcPr>
            <w:tcW w:w="1020" w:type="dxa"/>
            <w:vAlign w:val="center"/>
          </w:tcPr>
          <w:p w14:paraId="659FAC01" w14:textId="4EA7FDE9"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77</w:t>
            </w:r>
          </w:p>
        </w:tc>
        <w:tc>
          <w:tcPr>
            <w:tcW w:w="1588" w:type="dxa"/>
            <w:vAlign w:val="center"/>
          </w:tcPr>
          <w:p w14:paraId="39969215" w14:textId="1DC4B547" w:rsidR="001376DE" w:rsidRPr="00487403" w:rsidRDefault="001376DE" w:rsidP="001376DE">
            <w:pPr>
              <w:spacing w:after="0" w:line="240" w:lineRule="auto"/>
              <w:rPr>
                <w:b/>
                <w:sz w:val="18"/>
                <w:szCs w:val="18"/>
              </w:rPr>
            </w:pPr>
            <w:r>
              <w:rPr>
                <w:sz w:val="18"/>
                <w:szCs w:val="18"/>
              </w:rPr>
              <w:t>0.18 (0.07 – 0.32)</w:t>
            </w:r>
          </w:p>
        </w:tc>
        <w:tc>
          <w:tcPr>
            <w:tcW w:w="236" w:type="dxa"/>
            <w:vAlign w:val="center"/>
          </w:tcPr>
          <w:p w14:paraId="606F02CC" w14:textId="77777777" w:rsidR="001376DE" w:rsidRPr="00487403" w:rsidRDefault="001376DE" w:rsidP="001376DE">
            <w:pPr>
              <w:spacing w:after="0" w:line="240" w:lineRule="auto"/>
              <w:rPr>
                <w:b/>
                <w:sz w:val="18"/>
                <w:szCs w:val="18"/>
              </w:rPr>
            </w:pPr>
          </w:p>
        </w:tc>
        <w:tc>
          <w:tcPr>
            <w:tcW w:w="1020" w:type="dxa"/>
            <w:vAlign w:val="center"/>
          </w:tcPr>
          <w:p w14:paraId="1DCB3DC7" w14:textId="1E6B3245"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92</w:t>
            </w:r>
          </w:p>
        </w:tc>
        <w:tc>
          <w:tcPr>
            <w:tcW w:w="1596" w:type="dxa"/>
            <w:vAlign w:val="center"/>
          </w:tcPr>
          <w:p w14:paraId="190DC3D4" w14:textId="117453DE" w:rsidR="001376DE" w:rsidRPr="00487403" w:rsidRDefault="001376DE" w:rsidP="001376DE">
            <w:pPr>
              <w:spacing w:after="0" w:line="240" w:lineRule="auto"/>
              <w:rPr>
                <w:b/>
                <w:sz w:val="18"/>
                <w:szCs w:val="18"/>
              </w:rPr>
            </w:pPr>
            <w:r>
              <w:rPr>
                <w:sz w:val="18"/>
                <w:szCs w:val="18"/>
              </w:rPr>
              <w:t>0.12 (0.03 – 0.25)</w:t>
            </w:r>
          </w:p>
        </w:tc>
      </w:tr>
      <w:tr w:rsidR="001376DE" w:rsidRPr="00487403" w14:paraId="76F03AC0" w14:textId="77777777" w:rsidTr="006108E5">
        <w:tc>
          <w:tcPr>
            <w:tcW w:w="3969" w:type="dxa"/>
            <w:vAlign w:val="center"/>
          </w:tcPr>
          <w:p w14:paraId="72F93281" w14:textId="36C2141C" w:rsidR="001376DE" w:rsidRPr="00487403" w:rsidRDefault="001376DE" w:rsidP="00E03887">
            <w:pPr>
              <w:spacing w:after="0" w:line="240" w:lineRule="auto"/>
              <w:ind w:left="340"/>
              <w:rPr>
                <w:b/>
                <w:sz w:val="18"/>
                <w:szCs w:val="18"/>
              </w:rPr>
            </w:pPr>
            <w:r w:rsidRPr="00487403">
              <w:rPr>
                <w:rFonts w:cs="Times New Roman"/>
                <w:sz w:val="18"/>
                <w:szCs w:val="18"/>
              </w:rPr>
              <w:t>Streptococcus pyogenes</w:t>
            </w:r>
          </w:p>
        </w:tc>
        <w:tc>
          <w:tcPr>
            <w:tcW w:w="1020" w:type="dxa"/>
            <w:vAlign w:val="center"/>
          </w:tcPr>
          <w:p w14:paraId="5D1362D1" w14:textId="4E8A534F"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10</w:t>
            </w:r>
          </w:p>
        </w:tc>
        <w:tc>
          <w:tcPr>
            <w:tcW w:w="1588" w:type="dxa"/>
            <w:vAlign w:val="center"/>
          </w:tcPr>
          <w:p w14:paraId="4BC2D1C1" w14:textId="2BAACF13" w:rsidR="001376DE" w:rsidRPr="00487403" w:rsidRDefault="001376DE" w:rsidP="001376DE">
            <w:pPr>
              <w:spacing w:after="0" w:line="240" w:lineRule="auto"/>
              <w:rPr>
                <w:b/>
                <w:sz w:val="18"/>
                <w:szCs w:val="18"/>
              </w:rPr>
            </w:pPr>
            <w:r>
              <w:rPr>
                <w:sz w:val="18"/>
                <w:szCs w:val="18"/>
              </w:rPr>
              <w:t>0.01 (0.00 – 0.03)</w:t>
            </w:r>
          </w:p>
        </w:tc>
        <w:tc>
          <w:tcPr>
            <w:tcW w:w="236" w:type="dxa"/>
            <w:vAlign w:val="center"/>
          </w:tcPr>
          <w:p w14:paraId="0BF5AD30" w14:textId="77777777" w:rsidR="001376DE" w:rsidRPr="00487403" w:rsidRDefault="001376DE" w:rsidP="001376DE">
            <w:pPr>
              <w:spacing w:after="0" w:line="240" w:lineRule="auto"/>
              <w:rPr>
                <w:b/>
                <w:sz w:val="18"/>
                <w:szCs w:val="18"/>
              </w:rPr>
            </w:pPr>
          </w:p>
        </w:tc>
        <w:tc>
          <w:tcPr>
            <w:tcW w:w="1020" w:type="dxa"/>
            <w:vAlign w:val="center"/>
          </w:tcPr>
          <w:p w14:paraId="6B01B645" w14:textId="52D6C96B"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8</w:t>
            </w:r>
          </w:p>
        </w:tc>
        <w:tc>
          <w:tcPr>
            <w:tcW w:w="1596" w:type="dxa"/>
            <w:vAlign w:val="center"/>
          </w:tcPr>
          <w:p w14:paraId="3BBA58DF" w14:textId="14F9EC95" w:rsidR="001376DE" w:rsidRPr="00487403" w:rsidRDefault="001376DE" w:rsidP="001376DE">
            <w:pPr>
              <w:spacing w:after="0" w:line="240" w:lineRule="auto"/>
              <w:rPr>
                <w:b/>
                <w:sz w:val="18"/>
                <w:szCs w:val="18"/>
              </w:rPr>
            </w:pPr>
            <w:r>
              <w:rPr>
                <w:sz w:val="18"/>
                <w:szCs w:val="18"/>
              </w:rPr>
              <w:t>0.07 (0.03 – 0.12)</w:t>
            </w:r>
          </w:p>
        </w:tc>
      </w:tr>
      <w:tr w:rsidR="001376DE" w:rsidRPr="00487403" w14:paraId="7725C47E" w14:textId="77777777" w:rsidTr="006108E5">
        <w:tc>
          <w:tcPr>
            <w:tcW w:w="3969" w:type="dxa"/>
            <w:vAlign w:val="center"/>
          </w:tcPr>
          <w:p w14:paraId="790ACC7C" w14:textId="52F5DA62" w:rsidR="001376DE" w:rsidRPr="00487403" w:rsidRDefault="001376DE" w:rsidP="00E03887">
            <w:pPr>
              <w:spacing w:after="0" w:line="240" w:lineRule="auto"/>
              <w:ind w:left="340"/>
              <w:rPr>
                <w:b/>
                <w:sz w:val="18"/>
                <w:szCs w:val="18"/>
              </w:rPr>
            </w:pPr>
            <w:r w:rsidRPr="00487403">
              <w:rPr>
                <w:rFonts w:cs="Times New Roman"/>
                <w:sz w:val="18"/>
                <w:szCs w:val="18"/>
              </w:rPr>
              <w:t xml:space="preserve">Group B </w:t>
            </w:r>
            <w:r w:rsidRPr="00487403">
              <w:rPr>
                <w:rFonts w:cs="Times New Roman"/>
                <w:i/>
                <w:sz w:val="18"/>
                <w:szCs w:val="18"/>
              </w:rPr>
              <w:t>Streptococci</w:t>
            </w:r>
          </w:p>
        </w:tc>
        <w:tc>
          <w:tcPr>
            <w:tcW w:w="1020" w:type="dxa"/>
            <w:vAlign w:val="center"/>
          </w:tcPr>
          <w:p w14:paraId="2E53B140" w14:textId="3CC7BBAA"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297</w:t>
            </w:r>
          </w:p>
        </w:tc>
        <w:tc>
          <w:tcPr>
            <w:tcW w:w="1588" w:type="dxa"/>
            <w:vAlign w:val="center"/>
          </w:tcPr>
          <w:p w14:paraId="5BC3B5FF" w14:textId="55774F55" w:rsidR="001376DE" w:rsidRPr="00487403" w:rsidRDefault="001376DE" w:rsidP="001376DE">
            <w:pPr>
              <w:spacing w:after="0" w:line="240" w:lineRule="auto"/>
              <w:rPr>
                <w:b/>
                <w:sz w:val="18"/>
                <w:szCs w:val="18"/>
              </w:rPr>
            </w:pPr>
            <w:r>
              <w:rPr>
                <w:sz w:val="18"/>
                <w:szCs w:val="18"/>
              </w:rPr>
              <w:t>0.26 (0.18 – 0.35)</w:t>
            </w:r>
          </w:p>
        </w:tc>
        <w:tc>
          <w:tcPr>
            <w:tcW w:w="236" w:type="dxa"/>
            <w:vAlign w:val="center"/>
          </w:tcPr>
          <w:p w14:paraId="7E29D7FE" w14:textId="77777777" w:rsidR="001376DE" w:rsidRPr="00487403" w:rsidRDefault="001376DE" w:rsidP="001376DE">
            <w:pPr>
              <w:spacing w:after="0" w:line="240" w:lineRule="auto"/>
              <w:rPr>
                <w:b/>
                <w:sz w:val="18"/>
                <w:szCs w:val="18"/>
              </w:rPr>
            </w:pPr>
          </w:p>
        </w:tc>
        <w:tc>
          <w:tcPr>
            <w:tcW w:w="1020" w:type="dxa"/>
            <w:vAlign w:val="center"/>
          </w:tcPr>
          <w:p w14:paraId="26501BBE" w14:textId="5D2B6344"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416</w:t>
            </w:r>
          </w:p>
        </w:tc>
        <w:tc>
          <w:tcPr>
            <w:tcW w:w="1596" w:type="dxa"/>
            <w:vAlign w:val="center"/>
          </w:tcPr>
          <w:p w14:paraId="6A451439" w14:textId="648C1D6A" w:rsidR="001376DE" w:rsidRPr="00487403" w:rsidRDefault="001376DE" w:rsidP="001376DE">
            <w:pPr>
              <w:spacing w:after="0" w:line="240" w:lineRule="auto"/>
              <w:rPr>
                <w:b/>
                <w:sz w:val="18"/>
                <w:szCs w:val="18"/>
              </w:rPr>
            </w:pPr>
            <w:r>
              <w:rPr>
                <w:sz w:val="18"/>
                <w:szCs w:val="18"/>
              </w:rPr>
              <w:t>0.24 (0.16 – 0.33)</w:t>
            </w:r>
          </w:p>
        </w:tc>
      </w:tr>
      <w:tr w:rsidR="001376DE" w:rsidRPr="00487403" w14:paraId="2A385892" w14:textId="77777777" w:rsidTr="006108E5">
        <w:tc>
          <w:tcPr>
            <w:tcW w:w="3969" w:type="dxa"/>
            <w:vAlign w:val="center"/>
          </w:tcPr>
          <w:p w14:paraId="4F5BCF38" w14:textId="6E51530E" w:rsidR="001376DE" w:rsidRPr="00487403" w:rsidRDefault="001376DE" w:rsidP="00E03887">
            <w:pPr>
              <w:spacing w:after="0" w:line="240" w:lineRule="auto"/>
              <w:ind w:left="340"/>
              <w:rPr>
                <w:b/>
                <w:sz w:val="18"/>
                <w:szCs w:val="18"/>
              </w:rPr>
            </w:pPr>
            <w:r w:rsidRPr="00487403">
              <w:rPr>
                <w:rFonts w:cs="Times New Roman"/>
                <w:sz w:val="18"/>
                <w:szCs w:val="18"/>
              </w:rPr>
              <w:t xml:space="preserve">Group D </w:t>
            </w:r>
            <w:r w:rsidRPr="00487403">
              <w:rPr>
                <w:rFonts w:cs="Times New Roman"/>
                <w:i/>
                <w:sz w:val="18"/>
                <w:szCs w:val="18"/>
              </w:rPr>
              <w:t>Streptococci</w:t>
            </w:r>
            <w:r w:rsidRPr="00487403">
              <w:rPr>
                <w:rFonts w:cs="Times New Roman"/>
                <w:sz w:val="18"/>
                <w:szCs w:val="18"/>
              </w:rPr>
              <w:t xml:space="preserve">/ </w:t>
            </w:r>
            <w:r w:rsidRPr="00487403">
              <w:rPr>
                <w:rFonts w:cs="Times New Roman"/>
                <w:i/>
                <w:sz w:val="18"/>
                <w:szCs w:val="18"/>
              </w:rPr>
              <w:t>Enterococcus</w:t>
            </w:r>
          </w:p>
        </w:tc>
        <w:tc>
          <w:tcPr>
            <w:tcW w:w="1020" w:type="dxa"/>
            <w:vAlign w:val="center"/>
          </w:tcPr>
          <w:p w14:paraId="10297023" w14:textId="40EC4156"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8</w:t>
            </w:r>
          </w:p>
        </w:tc>
        <w:tc>
          <w:tcPr>
            <w:tcW w:w="1588" w:type="dxa"/>
            <w:vAlign w:val="center"/>
          </w:tcPr>
          <w:p w14:paraId="20BFAB8F" w14:textId="429366D2" w:rsidR="001376DE" w:rsidRPr="00487403" w:rsidRDefault="001376DE" w:rsidP="001376DE">
            <w:pPr>
              <w:spacing w:after="0" w:line="240" w:lineRule="auto"/>
              <w:rPr>
                <w:b/>
                <w:sz w:val="18"/>
                <w:szCs w:val="18"/>
              </w:rPr>
            </w:pPr>
            <w:r>
              <w:rPr>
                <w:sz w:val="18"/>
                <w:szCs w:val="18"/>
              </w:rPr>
              <w:t>0.03 (0.00 – 0.07)</w:t>
            </w:r>
          </w:p>
        </w:tc>
        <w:tc>
          <w:tcPr>
            <w:tcW w:w="236" w:type="dxa"/>
            <w:vAlign w:val="center"/>
          </w:tcPr>
          <w:p w14:paraId="7425534E" w14:textId="77777777" w:rsidR="001376DE" w:rsidRPr="00487403" w:rsidRDefault="001376DE" w:rsidP="001376DE">
            <w:pPr>
              <w:spacing w:after="0" w:line="240" w:lineRule="auto"/>
              <w:rPr>
                <w:b/>
                <w:sz w:val="18"/>
                <w:szCs w:val="18"/>
              </w:rPr>
            </w:pPr>
          </w:p>
        </w:tc>
        <w:tc>
          <w:tcPr>
            <w:tcW w:w="1020" w:type="dxa"/>
            <w:vAlign w:val="center"/>
          </w:tcPr>
          <w:p w14:paraId="56F9C6AE" w14:textId="2BDC5351"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68</w:t>
            </w:r>
          </w:p>
        </w:tc>
        <w:tc>
          <w:tcPr>
            <w:tcW w:w="1596" w:type="dxa"/>
            <w:vAlign w:val="center"/>
          </w:tcPr>
          <w:p w14:paraId="4747D80D" w14:textId="3E7519C6" w:rsidR="001376DE" w:rsidRPr="00487403" w:rsidRDefault="001376DE" w:rsidP="001376DE">
            <w:pPr>
              <w:spacing w:after="0" w:line="240" w:lineRule="auto"/>
              <w:rPr>
                <w:b/>
                <w:sz w:val="18"/>
                <w:szCs w:val="18"/>
              </w:rPr>
            </w:pPr>
            <w:r>
              <w:rPr>
                <w:sz w:val="18"/>
                <w:szCs w:val="18"/>
              </w:rPr>
              <w:t>0.03 (0.01 – 0.06)</w:t>
            </w:r>
          </w:p>
        </w:tc>
      </w:tr>
      <w:tr w:rsidR="001376DE" w:rsidRPr="00487403" w14:paraId="372AA0C7" w14:textId="77777777" w:rsidTr="006108E5">
        <w:tc>
          <w:tcPr>
            <w:tcW w:w="3969" w:type="dxa"/>
            <w:vAlign w:val="center"/>
          </w:tcPr>
          <w:p w14:paraId="4EAA9774" w14:textId="2D6AA87B" w:rsidR="001376DE" w:rsidRPr="00487403" w:rsidRDefault="001376DE" w:rsidP="00E03887">
            <w:pPr>
              <w:spacing w:after="0" w:line="240" w:lineRule="auto"/>
              <w:ind w:left="340"/>
              <w:rPr>
                <w:b/>
                <w:sz w:val="18"/>
                <w:szCs w:val="18"/>
              </w:rPr>
            </w:pPr>
            <w:r w:rsidRPr="00487403">
              <w:rPr>
                <w:rFonts w:cs="Times New Roman"/>
                <w:i/>
                <w:sz w:val="18"/>
                <w:szCs w:val="18"/>
              </w:rPr>
              <w:t>Streptococcus pneumoniae</w:t>
            </w:r>
          </w:p>
        </w:tc>
        <w:tc>
          <w:tcPr>
            <w:tcW w:w="1020" w:type="dxa"/>
            <w:vAlign w:val="center"/>
          </w:tcPr>
          <w:p w14:paraId="018122BF" w14:textId="6FCE5192"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210</w:t>
            </w:r>
          </w:p>
        </w:tc>
        <w:tc>
          <w:tcPr>
            <w:tcW w:w="1588" w:type="dxa"/>
            <w:vAlign w:val="center"/>
          </w:tcPr>
          <w:p w14:paraId="521EB88D" w14:textId="591C348A" w:rsidR="001376DE" w:rsidRPr="00487403" w:rsidRDefault="001376DE" w:rsidP="001376DE">
            <w:pPr>
              <w:spacing w:after="0" w:line="240" w:lineRule="auto"/>
              <w:rPr>
                <w:b/>
                <w:sz w:val="18"/>
                <w:szCs w:val="18"/>
              </w:rPr>
            </w:pPr>
            <w:r>
              <w:rPr>
                <w:sz w:val="18"/>
                <w:szCs w:val="18"/>
              </w:rPr>
              <w:t>0.15 (0.11 – 0.21)</w:t>
            </w:r>
          </w:p>
        </w:tc>
        <w:tc>
          <w:tcPr>
            <w:tcW w:w="236" w:type="dxa"/>
            <w:vAlign w:val="center"/>
          </w:tcPr>
          <w:p w14:paraId="7F9AD7C8" w14:textId="77777777" w:rsidR="001376DE" w:rsidRPr="00487403" w:rsidRDefault="001376DE" w:rsidP="001376DE">
            <w:pPr>
              <w:spacing w:after="0" w:line="240" w:lineRule="auto"/>
              <w:rPr>
                <w:b/>
                <w:sz w:val="18"/>
                <w:szCs w:val="18"/>
              </w:rPr>
            </w:pPr>
          </w:p>
        </w:tc>
        <w:tc>
          <w:tcPr>
            <w:tcW w:w="1020" w:type="dxa"/>
            <w:vAlign w:val="center"/>
          </w:tcPr>
          <w:p w14:paraId="725501CC" w14:textId="2A187E8E"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157</w:t>
            </w:r>
          </w:p>
        </w:tc>
        <w:tc>
          <w:tcPr>
            <w:tcW w:w="1596" w:type="dxa"/>
            <w:vAlign w:val="center"/>
          </w:tcPr>
          <w:p w14:paraId="4232EFE9" w14:textId="08BBE10F" w:rsidR="001376DE" w:rsidRPr="00487403" w:rsidRDefault="001376DE" w:rsidP="001376DE">
            <w:pPr>
              <w:spacing w:after="0" w:line="240" w:lineRule="auto"/>
              <w:rPr>
                <w:b/>
                <w:sz w:val="18"/>
                <w:szCs w:val="18"/>
              </w:rPr>
            </w:pPr>
            <w:r>
              <w:rPr>
                <w:sz w:val="18"/>
                <w:szCs w:val="18"/>
              </w:rPr>
              <w:t>0.17 (0.09 – 0.26)</w:t>
            </w:r>
          </w:p>
        </w:tc>
      </w:tr>
      <w:tr w:rsidR="001376DE" w:rsidRPr="00487403" w14:paraId="1A7DFB71" w14:textId="77777777" w:rsidTr="006108E5">
        <w:tc>
          <w:tcPr>
            <w:tcW w:w="3969" w:type="dxa"/>
            <w:vAlign w:val="center"/>
          </w:tcPr>
          <w:p w14:paraId="1320DB1C" w14:textId="2AB5BD44" w:rsidR="001376DE" w:rsidRPr="00487403" w:rsidRDefault="001376DE" w:rsidP="00E03887">
            <w:pPr>
              <w:spacing w:after="0" w:line="240" w:lineRule="auto"/>
              <w:ind w:left="340"/>
              <w:rPr>
                <w:b/>
                <w:sz w:val="18"/>
                <w:szCs w:val="18"/>
              </w:rPr>
            </w:pPr>
            <w:r w:rsidRPr="00487403">
              <w:rPr>
                <w:rFonts w:cs="Times New Roman"/>
                <w:sz w:val="18"/>
                <w:szCs w:val="18"/>
              </w:rPr>
              <w:t>Viridians streptococci</w:t>
            </w:r>
          </w:p>
        </w:tc>
        <w:tc>
          <w:tcPr>
            <w:tcW w:w="1020" w:type="dxa"/>
            <w:vAlign w:val="center"/>
          </w:tcPr>
          <w:p w14:paraId="6E826AC1" w14:textId="192A91C1" w:rsidR="001376DE" w:rsidRDefault="001376DE" w:rsidP="001376DE">
            <w:pPr>
              <w:spacing w:after="0" w:line="240" w:lineRule="auto"/>
              <w:jc w:val="right"/>
              <w:rPr>
                <w:rFonts w:cs="Times New Roman"/>
                <w:b/>
                <w:sz w:val="18"/>
                <w:szCs w:val="20"/>
              </w:rPr>
            </w:pPr>
            <w:r>
              <w:rPr>
                <w:sz w:val="18"/>
                <w:szCs w:val="18"/>
              </w:rPr>
              <w:t>0</w:t>
            </w:r>
          </w:p>
        </w:tc>
        <w:tc>
          <w:tcPr>
            <w:tcW w:w="1588" w:type="dxa"/>
            <w:vAlign w:val="center"/>
          </w:tcPr>
          <w:p w14:paraId="1C46670D" w14:textId="77777777" w:rsidR="001376DE" w:rsidRPr="00487403" w:rsidRDefault="001376DE" w:rsidP="001376DE">
            <w:pPr>
              <w:spacing w:after="0" w:line="240" w:lineRule="auto"/>
              <w:rPr>
                <w:b/>
                <w:sz w:val="18"/>
                <w:szCs w:val="18"/>
              </w:rPr>
            </w:pPr>
          </w:p>
        </w:tc>
        <w:tc>
          <w:tcPr>
            <w:tcW w:w="236" w:type="dxa"/>
            <w:vAlign w:val="center"/>
          </w:tcPr>
          <w:p w14:paraId="53EC17CB" w14:textId="77777777" w:rsidR="001376DE" w:rsidRPr="00487403" w:rsidRDefault="001376DE" w:rsidP="001376DE">
            <w:pPr>
              <w:spacing w:after="0" w:line="240" w:lineRule="auto"/>
              <w:rPr>
                <w:b/>
                <w:sz w:val="18"/>
                <w:szCs w:val="18"/>
              </w:rPr>
            </w:pPr>
          </w:p>
        </w:tc>
        <w:tc>
          <w:tcPr>
            <w:tcW w:w="1020" w:type="dxa"/>
            <w:vAlign w:val="center"/>
          </w:tcPr>
          <w:p w14:paraId="235997D2" w14:textId="1126477F"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13</w:t>
            </w:r>
          </w:p>
        </w:tc>
        <w:tc>
          <w:tcPr>
            <w:tcW w:w="1596" w:type="dxa"/>
            <w:vAlign w:val="center"/>
          </w:tcPr>
          <w:p w14:paraId="3F221B4C" w14:textId="04919753" w:rsidR="001376DE" w:rsidRPr="00487403" w:rsidRDefault="001376DE" w:rsidP="001376DE">
            <w:pPr>
              <w:spacing w:after="0" w:line="240" w:lineRule="auto"/>
              <w:rPr>
                <w:b/>
                <w:sz w:val="18"/>
                <w:szCs w:val="18"/>
              </w:rPr>
            </w:pPr>
            <w:r>
              <w:rPr>
                <w:sz w:val="18"/>
                <w:szCs w:val="18"/>
              </w:rPr>
              <w:t>0.01 (0.00 – 0.03)</w:t>
            </w:r>
          </w:p>
        </w:tc>
      </w:tr>
      <w:tr w:rsidR="001376DE" w:rsidRPr="00487403" w14:paraId="1246593D" w14:textId="77777777" w:rsidTr="006108E5">
        <w:tc>
          <w:tcPr>
            <w:tcW w:w="3969" w:type="dxa"/>
            <w:vAlign w:val="center"/>
          </w:tcPr>
          <w:p w14:paraId="6E23E6CE" w14:textId="606709DE" w:rsidR="001376DE" w:rsidRPr="00487403" w:rsidRDefault="001376DE" w:rsidP="00E03887">
            <w:pPr>
              <w:spacing w:after="0" w:line="240" w:lineRule="auto"/>
              <w:ind w:left="340"/>
              <w:rPr>
                <w:b/>
                <w:sz w:val="18"/>
                <w:szCs w:val="18"/>
              </w:rPr>
            </w:pPr>
            <w:r w:rsidRPr="00487403">
              <w:rPr>
                <w:rFonts w:cs="Times New Roman"/>
                <w:sz w:val="18"/>
                <w:szCs w:val="18"/>
              </w:rPr>
              <w:t xml:space="preserve">Other </w:t>
            </w:r>
            <w:r w:rsidRPr="00487403">
              <w:rPr>
                <w:rFonts w:cs="Times New Roman"/>
                <w:i/>
                <w:sz w:val="18"/>
                <w:szCs w:val="18"/>
              </w:rPr>
              <w:t>Streptococcus</w:t>
            </w:r>
            <w:r w:rsidRPr="00487403">
              <w:rPr>
                <w:rFonts w:cs="Times New Roman"/>
                <w:sz w:val="18"/>
                <w:szCs w:val="18"/>
              </w:rPr>
              <w:t xml:space="preserve"> species/unspecified</w:t>
            </w:r>
          </w:p>
        </w:tc>
        <w:tc>
          <w:tcPr>
            <w:tcW w:w="1020" w:type="dxa"/>
            <w:vAlign w:val="center"/>
          </w:tcPr>
          <w:p w14:paraId="725A54FC" w14:textId="6BF264C2"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3</w:t>
            </w:r>
            <w:r>
              <w:rPr>
                <w:rFonts w:cs="Times New Roman"/>
                <w:color w:val="000000"/>
                <w:sz w:val="18"/>
                <w:szCs w:val="18"/>
              </w:rPr>
              <w:t>6</w:t>
            </w:r>
          </w:p>
        </w:tc>
        <w:tc>
          <w:tcPr>
            <w:tcW w:w="1588" w:type="dxa"/>
            <w:vAlign w:val="center"/>
          </w:tcPr>
          <w:p w14:paraId="0E7B33F9" w14:textId="4D1061E2" w:rsidR="001376DE" w:rsidRPr="00487403" w:rsidRDefault="001376DE" w:rsidP="001376DE">
            <w:pPr>
              <w:spacing w:after="0" w:line="240" w:lineRule="auto"/>
              <w:rPr>
                <w:b/>
                <w:sz w:val="18"/>
                <w:szCs w:val="18"/>
              </w:rPr>
            </w:pPr>
            <w:r>
              <w:rPr>
                <w:sz w:val="18"/>
                <w:szCs w:val="18"/>
              </w:rPr>
              <w:t>0.06 (0.02 – 0.11)</w:t>
            </w:r>
          </w:p>
        </w:tc>
        <w:tc>
          <w:tcPr>
            <w:tcW w:w="236" w:type="dxa"/>
            <w:vAlign w:val="center"/>
          </w:tcPr>
          <w:p w14:paraId="278584A4" w14:textId="77777777" w:rsidR="001376DE" w:rsidRPr="00487403" w:rsidRDefault="001376DE" w:rsidP="001376DE">
            <w:pPr>
              <w:spacing w:after="0" w:line="240" w:lineRule="auto"/>
              <w:rPr>
                <w:b/>
                <w:sz w:val="18"/>
                <w:szCs w:val="18"/>
              </w:rPr>
            </w:pPr>
          </w:p>
        </w:tc>
        <w:tc>
          <w:tcPr>
            <w:tcW w:w="1020" w:type="dxa"/>
            <w:vAlign w:val="center"/>
          </w:tcPr>
          <w:p w14:paraId="483E4F5C" w14:textId="0887FB3D"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37</w:t>
            </w:r>
          </w:p>
        </w:tc>
        <w:tc>
          <w:tcPr>
            <w:tcW w:w="1596" w:type="dxa"/>
            <w:vAlign w:val="center"/>
          </w:tcPr>
          <w:p w14:paraId="197756B7" w14:textId="63BE085B" w:rsidR="001376DE" w:rsidRPr="00487403" w:rsidRDefault="001376DE" w:rsidP="001376DE">
            <w:pPr>
              <w:spacing w:after="0" w:line="240" w:lineRule="auto"/>
              <w:rPr>
                <w:b/>
                <w:sz w:val="18"/>
                <w:szCs w:val="18"/>
              </w:rPr>
            </w:pPr>
            <w:r>
              <w:rPr>
                <w:sz w:val="18"/>
                <w:szCs w:val="18"/>
              </w:rPr>
              <w:t>0.03 (0.02 – 0.04)</w:t>
            </w:r>
          </w:p>
        </w:tc>
      </w:tr>
      <w:tr w:rsidR="001376DE" w:rsidRPr="00487403" w14:paraId="495F60E0" w14:textId="77777777" w:rsidTr="006108E5">
        <w:tc>
          <w:tcPr>
            <w:tcW w:w="3969" w:type="dxa"/>
            <w:vAlign w:val="center"/>
          </w:tcPr>
          <w:p w14:paraId="2277E0EC" w14:textId="0C5389EA" w:rsidR="001376DE" w:rsidRPr="00487403" w:rsidRDefault="001376DE" w:rsidP="00E03887">
            <w:pPr>
              <w:spacing w:after="0" w:line="240" w:lineRule="auto"/>
              <w:ind w:left="340"/>
              <w:rPr>
                <w:b/>
                <w:sz w:val="18"/>
                <w:szCs w:val="18"/>
              </w:rPr>
            </w:pPr>
            <w:r w:rsidRPr="00487403">
              <w:rPr>
                <w:rFonts w:cs="Times New Roman"/>
                <w:sz w:val="18"/>
                <w:szCs w:val="18"/>
              </w:rPr>
              <w:t>Other/ unspecified Gram</w:t>
            </w:r>
            <w:r>
              <w:rPr>
                <w:rFonts w:cs="Times New Roman"/>
                <w:sz w:val="18"/>
                <w:szCs w:val="18"/>
              </w:rPr>
              <w:t>-</w:t>
            </w:r>
            <w:r w:rsidRPr="00487403">
              <w:rPr>
                <w:rFonts w:cs="Times New Roman"/>
                <w:sz w:val="18"/>
                <w:szCs w:val="18"/>
              </w:rPr>
              <w:t>positives</w:t>
            </w:r>
          </w:p>
        </w:tc>
        <w:tc>
          <w:tcPr>
            <w:tcW w:w="1020" w:type="dxa"/>
            <w:vAlign w:val="center"/>
          </w:tcPr>
          <w:p w14:paraId="6BFC9180" w14:textId="7BDE9D56" w:rsidR="001376DE" w:rsidRDefault="001376DE" w:rsidP="001376DE">
            <w:pPr>
              <w:spacing w:after="0" w:line="240" w:lineRule="auto"/>
              <w:jc w:val="right"/>
              <w:rPr>
                <w:rFonts w:cs="Times New Roman"/>
                <w:b/>
                <w:sz w:val="18"/>
                <w:szCs w:val="20"/>
              </w:rPr>
            </w:pPr>
            <w:r>
              <w:rPr>
                <w:rFonts w:cs="Times New Roman"/>
                <w:color w:val="000000"/>
                <w:sz w:val="18"/>
                <w:szCs w:val="18"/>
              </w:rPr>
              <w:t>23</w:t>
            </w:r>
          </w:p>
        </w:tc>
        <w:tc>
          <w:tcPr>
            <w:tcW w:w="1588" w:type="dxa"/>
            <w:vAlign w:val="center"/>
          </w:tcPr>
          <w:p w14:paraId="5366DE8C" w14:textId="2646E973" w:rsidR="001376DE" w:rsidRPr="00487403" w:rsidRDefault="001376DE" w:rsidP="001376DE">
            <w:pPr>
              <w:spacing w:after="0" w:line="240" w:lineRule="auto"/>
              <w:rPr>
                <w:b/>
                <w:sz w:val="18"/>
                <w:szCs w:val="18"/>
              </w:rPr>
            </w:pPr>
            <w:r>
              <w:rPr>
                <w:sz w:val="18"/>
                <w:szCs w:val="18"/>
              </w:rPr>
              <w:t>0.04 (0.02 – 0.07)</w:t>
            </w:r>
          </w:p>
        </w:tc>
        <w:tc>
          <w:tcPr>
            <w:tcW w:w="236" w:type="dxa"/>
            <w:vAlign w:val="center"/>
          </w:tcPr>
          <w:p w14:paraId="2C749539" w14:textId="77777777" w:rsidR="001376DE" w:rsidRPr="00487403" w:rsidRDefault="001376DE" w:rsidP="001376DE">
            <w:pPr>
              <w:spacing w:after="0" w:line="240" w:lineRule="auto"/>
              <w:rPr>
                <w:b/>
                <w:sz w:val="18"/>
                <w:szCs w:val="18"/>
              </w:rPr>
            </w:pPr>
          </w:p>
        </w:tc>
        <w:tc>
          <w:tcPr>
            <w:tcW w:w="1020" w:type="dxa"/>
            <w:vAlign w:val="center"/>
          </w:tcPr>
          <w:p w14:paraId="0F8D88EC" w14:textId="0976A856"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12</w:t>
            </w:r>
          </w:p>
        </w:tc>
        <w:tc>
          <w:tcPr>
            <w:tcW w:w="1596" w:type="dxa"/>
            <w:vAlign w:val="center"/>
          </w:tcPr>
          <w:p w14:paraId="43CA77B6" w14:textId="2824B0A1" w:rsidR="001376DE" w:rsidRPr="00487403" w:rsidRDefault="001376DE" w:rsidP="001376DE">
            <w:pPr>
              <w:spacing w:after="0" w:line="240" w:lineRule="auto"/>
              <w:rPr>
                <w:b/>
                <w:sz w:val="18"/>
                <w:szCs w:val="18"/>
              </w:rPr>
            </w:pPr>
            <w:r>
              <w:rPr>
                <w:sz w:val="18"/>
                <w:szCs w:val="18"/>
              </w:rPr>
              <w:t>0.00 (0.00 – 0.01)</w:t>
            </w:r>
          </w:p>
        </w:tc>
      </w:tr>
      <w:tr w:rsidR="001376DE" w:rsidRPr="00487403" w14:paraId="2D2A9B6E" w14:textId="77777777" w:rsidTr="006108E5">
        <w:tc>
          <w:tcPr>
            <w:tcW w:w="3969" w:type="dxa"/>
            <w:vAlign w:val="center"/>
          </w:tcPr>
          <w:p w14:paraId="6B145075" w14:textId="2298CB9C" w:rsidR="001376DE" w:rsidRPr="00487403" w:rsidRDefault="001376DE" w:rsidP="00E03887">
            <w:pPr>
              <w:spacing w:after="0" w:line="240" w:lineRule="auto"/>
              <w:ind w:left="170"/>
              <w:rPr>
                <w:b/>
                <w:sz w:val="18"/>
                <w:szCs w:val="18"/>
              </w:rPr>
            </w:pPr>
            <w:r w:rsidRPr="002203BF">
              <w:rPr>
                <w:rFonts w:cs="Times New Roman"/>
                <w:b/>
                <w:color w:val="2E74B5" w:themeColor="accent1" w:themeShade="BF"/>
                <w:sz w:val="18"/>
                <w:szCs w:val="18"/>
              </w:rPr>
              <w:t>Gram-negative</w:t>
            </w:r>
          </w:p>
        </w:tc>
        <w:tc>
          <w:tcPr>
            <w:tcW w:w="1020" w:type="dxa"/>
            <w:vAlign w:val="center"/>
          </w:tcPr>
          <w:p w14:paraId="055F859A" w14:textId="77777777" w:rsidR="001376DE" w:rsidRDefault="001376DE" w:rsidP="001376DE">
            <w:pPr>
              <w:spacing w:after="0" w:line="240" w:lineRule="auto"/>
              <w:jc w:val="right"/>
              <w:rPr>
                <w:rFonts w:cs="Times New Roman"/>
                <w:b/>
                <w:sz w:val="18"/>
                <w:szCs w:val="20"/>
              </w:rPr>
            </w:pPr>
          </w:p>
        </w:tc>
        <w:tc>
          <w:tcPr>
            <w:tcW w:w="1588" w:type="dxa"/>
            <w:vAlign w:val="center"/>
          </w:tcPr>
          <w:p w14:paraId="3C952A68" w14:textId="77777777" w:rsidR="001376DE" w:rsidRPr="00487403" w:rsidRDefault="001376DE" w:rsidP="001376DE">
            <w:pPr>
              <w:spacing w:after="0" w:line="240" w:lineRule="auto"/>
              <w:rPr>
                <w:b/>
                <w:sz w:val="18"/>
                <w:szCs w:val="18"/>
              </w:rPr>
            </w:pPr>
          </w:p>
        </w:tc>
        <w:tc>
          <w:tcPr>
            <w:tcW w:w="236" w:type="dxa"/>
            <w:vAlign w:val="center"/>
          </w:tcPr>
          <w:p w14:paraId="418899DE" w14:textId="77777777" w:rsidR="001376DE" w:rsidRPr="00487403" w:rsidRDefault="001376DE" w:rsidP="001376DE">
            <w:pPr>
              <w:spacing w:after="0" w:line="240" w:lineRule="auto"/>
              <w:rPr>
                <w:b/>
                <w:sz w:val="18"/>
                <w:szCs w:val="18"/>
              </w:rPr>
            </w:pPr>
          </w:p>
        </w:tc>
        <w:tc>
          <w:tcPr>
            <w:tcW w:w="1020" w:type="dxa"/>
            <w:vAlign w:val="center"/>
          </w:tcPr>
          <w:p w14:paraId="3083BB6E" w14:textId="77777777" w:rsidR="001376DE" w:rsidRDefault="001376DE" w:rsidP="001376DE">
            <w:pPr>
              <w:spacing w:after="0" w:line="240" w:lineRule="auto"/>
              <w:jc w:val="right"/>
              <w:rPr>
                <w:rFonts w:cs="Times New Roman"/>
                <w:b/>
                <w:sz w:val="18"/>
                <w:szCs w:val="18"/>
              </w:rPr>
            </w:pPr>
          </w:p>
        </w:tc>
        <w:tc>
          <w:tcPr>
            <w:tcW w:w="1596" w:type="dxa"/>
            <w:vAlign w:val="center"/>
          </w:tcPr>
          <w:p w14:paraId="48BA4660" w14:textId="77777777" w:rsidR="001376DE" w:rsidRPr="00487403" w:rsidRDefault="001376DE" w:rsidP="001376DE">
            <w:pPr>
              <w:spacing w:after="0" w:line="240" w:lineRule="auto"/>
              <w:rPr>
                <w:b/>
                <w:sz w:val="18"/>
                <w:szCs w:val="18"/>
              </w:rPr>
            </w:pPr>
          </w:p>
        </w:tc>
      </w:tr>
      <w:tr w:rsidR="001376DE" w:rsidRPr="00487403" w14:paraId="2B66906B" w14:textId="77777777" w:rsidTr="006108E5">
        <w:tc>
          <w:tcPr>
            <w:tcW w:w="3969" w:type="dxa"/>
            <w:vAlign w:val="center"/>
          </w:tcPr>
          <w:p w14:paraId="58888696" w14:textId="5AC7DF36" w:rsidR="001376DE" w:rsidRPr="00487403" w:rsidRDefault="001376DE" w:rsidP="00E03887">
            <w:pPr>
              <w:spacing w:after="0" w:line="240" w:lineRule="auto"/>
              <w:ind w:left="340"/>
              <w:rPr>
                <w:b/>
                <w:sz w:val="18"/>
                <w:szCs w:val="18"/>
              </w:rPr>
            </w:pPr>
            <w:r w:rsidRPr="00487403">
              <w:rPr>
                <w:rFonts w:cs="Times New Roman"/>
                <w:i/>
                <w:sz w:val="18"/>
                <w:szCs w:val="18"/>
              </w:rPr>
              <w:t>Klebsiella</w:t>
            </w:r>
            <w:r w:rsidRPr="00487403">
              <w:rPr>
                <w:rFonts w:cs="Times New Roman"/>
                <w:sz w:val="18"/>
                <w:szCs w:val="18"/>
              </w:rPr>
              <w:t xml:space="preserve"> species</w:t>
            </w:r>
          </w:p>
        </w:tc>
        <w:tc>
          <w:tcPr>
            <w:tcW w:w="1020" w:type="dxa"/>
            <w:vAlign w:val="center"/>
          </w:tcPr>
          <w:p w14:paraId="08A009AE" w14:textId="40CAF5A8" w:rsidR="001376DE" w:rsidRDefault="001376DE" w:rsidP="001376DE">
            <w:pPr>
              <w:spacing w:after="0" w:line="240" w:lineRule="auto"/>
              <w:jc w:val="right"/>
              <w:rPr>
                <w:rFonts w:cs="Times New Roman"/>
                <w:b/>
                <w:sz w:val="18"/>
                <w:szCs w:val="20"/>
              </w:rPr>
            </w:pPr>
            <w:r>
              <w:rPr>
                <w:rFonts w:cs="Times New Roman"/>
                <w:color w:val="000000"/>
                <w:sz w:val="18"/>
                <w:szCs w:val="18"/>
              </w:rPr>
              <w:t>150</w:t>
            </w:r>
          </w:p>
        </w:tc>
        <w:tc>
          <w:tcPr>
            <w:tcW w:w="1588" w:type="dxa"/>
            <w:vAlign w:val="center"/>
          </w:tcPr>
          <w:p w14:paraId="7E9FFBE0" w14:textId="453EFC1B" w:rsidR="001376DE" w:rsidRPr="00487403" w:rsidRDefault="001376DE" w:rsidP="001376DE">
            <w:pPr>
              <w:spacing w:after="0" w:line="240" w:lineRule="auto"/>
              <w:rPr>
                <w:b/>
                <w:sz w:val="18"/>
                <w:szCs w:val="18"/>
              </w:rPr>
            </w:pPr>
            <w:r>
              <w:rPr>
                <w:sz w:val="18"/>
                <w:szCs w:val="18"/>
              </w:rPr>
              <w:t>0.15 (0.09 – 0.21)</w:t>
            </w:r>
          </w:p>
        </w:tc>
        <w:tc>
          <w:tcPr>
            <w:tcW w:w="236" w:type="dxa"/>
            <w:vAlign w:val="center"/>
          </w:tcPr>
          <w:p w14:paraId="5A8EABE5" w14:textId="77777777" w:rsidR="001376DE" w:rsidRPr="00487403" w:rsidRDefault="001376DE" w:rsidP="001376DE">
            <w:pPr>
              <w:spacing w:after="0" w:line="240" w:lineRule="auto"/>
              <w:rPr>
                <w:b/>
                <w:sz w:val="18"/>
                <w:szCs w:val="18"/>
              </w:rPr>
            </w:pPr>
          </w:p>
        </w:tc>
        <w:tc>
          <w:tcPr>
            <w:tcW w:w="1020" w:type="dxa"/>
            <w:vAlign w:val="center"/>
          </w:tcPr>
          <w:p w14:paraId="2E656335" w14:textId="1C5A7BFD" w:rsidR="001376DE" w:rsidRDefault="001376DE" w:rsidP="001376DE">
            <w:pPr>
              <w:spacing w:after="0" w:line="240" w:lineRule="auto"/>
              <w:jc w:val="right"/>
              <w:rPr>
                <w:rFonts w:cs="Times New Roman"/>
                <w:b/>
                <w:sz w:val="18"/>
                <w:szCs w:val="18"/>
              </w:rPr>
            </w:pPr>
            <w:r>
              <w:rPr>
                <w:rFonts w:cs="Times New Roman"/>
                <w:color w:val="000000"/>
                <w:sz w:val="18"/>
                <w:szCs w:val="18"/>
              </w:rPr>
              <w:t>39</w:t>
            </w:r>
          </w:p>
        </w:tc>
        <w:tc>
          <w:tcPr>
            <w:tcW w:w="1596" w:type="dxa"/>
            <w:vAlign w:val="center"/>
          </w:tcPr>
          <w:p w14:paraId="029BBB21" w14:textId="56536D21" w:rsidR="001376DE" w:rsidRPr="00487403" w:rsidRDefault="001376DE" w:rsidP="001376DE">
            <w:pPr>
              <w:spacing w:after="0" w:line="240" w:lineRule="auto"/>
              <w:rPr>
                <w:b/>
                <w:sz w:val="18"/>
                <w:szCs w:val="18"/>
              </w:rPr>
            </w:pPr>
            <w:r>
              <w:rPr>
                <w:sz w:val="18"/>
                <w:szCs w:val="18"/>
              </w:rPr>
              <w:t>0.10 (0.04 – 0.18)</w:t>
            </w:r>
          </w:p>
        </w:tc>
      </w:tr>
      <w:tr w:rsidR="001376DE" w:rsidRPr="00487403" w14:paraId="5C4B26CC" w14:textId="77777777" w:rsidTr="006108E5">
        <w:tc>
          <w:tcPr>
            <w:tcW w:w="3969" w:type="dxa"/>
            <w:vAlign w:val="center"/>
          </w:tcPr>
          <w:p w14:paraId="18BF31E4" w14:textId="598E6B1F" w:rsidR="001376DE" w:rsidRPr="00487403" w:rsidRDefault="001376DE" w:rsidP="00E03887">
            <w:pPr>
              <w:spacing w:after="0" w:line="240" w:lineRule="auto"/>
              <w:ind w:left="340"/>
              <w:rPr>
                <w:b/>
                <w:sz w:val="18"/>
                <w:szCs w:val="18"/>
              </w:rPr>
            </w:pPr>
            <w:r w:rsidRPr="00487403">
              <w:rPr>
                <w:rFonts w:cs="Times New Roman"/>
                <w:i/>
                <w:sz w:val="18"/>
                <w:szCs w:val="18"/>
              </w:rPr>
              <w:t>Escherichia coli</w:t>
            </w:r>
          </w:p>
        </w:tc>
        <w:tc>
          <w:tcPr>
            <w:tcW w:w="1020" w:type="dxa"/>
            <w:vAlign w:val="center"/>
          </w:tcPr>
          <w:p w14:paraId="79E9BA36" w14:textId="47B05FD3"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170</w:t>
            </w:r>
          </w:p>
        </w:tc>
        <w:tc>
          <w:tcPr>
            <w:tcW w:w="1588" w:type="dxa"/>
            <w:vAlign w:val="center"/>
          </w:tcPr>
          <w:p w14:paraId="1699A746" w14:textId="5458FA24" w:rsidR="001376DE" w:rsidRPr="00487403" w:rsidRDefault="001376DE" w:rsidP="001376DE">
            <w:pPr>
              <w:spacing w:after="0" w:line="240" w:lineRule="auto"/>
              <w:rPr>
                <w:b/>
                <w:sz w:val="18"/>
                <w:szCs w:val="18"/>
              </w:rPr>
            </w:pPr>
            <w:r>
              <w:rPr>
                <w:sz w:val="18"/>
                <w:szCs w:val="18"/>
              </w:rPr>
              <w:t>0.15 (0.10 – 0.20)</w:t>
            </w:r>
          </w:p>
        </w:tc>
        <w:tc>
          <w:tcPr>
            <w:tcW w:w="236" w:type="dxa"/>
            <w:vAlign w:val="center"/>
          </w:tcPr>
          <w:p w14:paraId="1FB2F36F" w14:textId="77777777" w:rsidR="001376DE" w:rsidRPr="00487403" w:rsidRDefault="001376DE" w:rsidP="001376DE">
            <w:pPr>
              <w:spacing w:after="0" w:line="240" w:lineRule="auto"/>
              <w:rPr>
                <w:b/>
                <w:sz w:val="18"/>
                <w:szCs w:val="18"/>
              </w:rPr>
            </w:pPr>
          </w:p>
        </w:tc>
        <w:tc>
          <w:tcPr>
            <w:tcW w:w="1020" w:type="dxa"/>
            <w:vAlign w:val="center"/>
          </w:tcPr>
          <w:p w14:paraId="2F31BC59" w14:textId="748124C5"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45</w:t>
            </w:r>
          </w:p>
        </w:tc>
        <w:tc>
          <w:tcPr>
            <w:tcW w:w="1596" w:type="dxa"/>
            <w:vAlign w:val="center"/>
          </w:tcPr>
          <w:p w14:paraId="22135FB3" w14:textId="196C96C6" w:rsidR="001376DE" w:rsidRPr="00487403" w:rsidRDefault="001376DE" w:rsidP="001376DE">
            <w:pPr>
              <w:spacing w:after="0" w:line="240" w:lineRule="auto"/>
              <w:rPr>
                <w:b/>
                <w:sz w:val="18"/>
                <w:szCs w:val="18"/>
              </w:rPr>
            </w:pPr>
            <w:r>
              <w:rPr>
                <w:sz w:val="18"/>
                <w:szCs w:val="18"/>
              </w:rPr>
              <w:t>0.11 (0.06 – 0.18)</w:t>
            </w:r>
          </w:p>
        </w:tc>
      </w:tr>
      <w:tr w:rsidR="001376DE" w:rsidRPr="00487403" w14:paraId="0D381D65" w14:textId="77777777" w:rsidTr="006108E5">
        <w:tc>
          <w:tcPr>
            <w:tcW w:w="3969" w:type="dxa"/>
            <w:vAlign w:val="center"/>
          </w:tcPr>
          <w:p w14:paraId="2B1F6484" w14:textId="75E0F17C" w:rsidR="001376DE" w:rsidRPr="00487403" w:rsidRDefault="001376DE" w:rsidP="00E03887">
            <w:pPr>
              <w:spacing w:after="0" w:line="240" w:lineRule="auto"/>
              <w:ind w:left="340"/>
              <w:rPr>
                <w:b/>
                <w:sz w:val="18"/>
                <w:szCs w:val="18"/>
              </w:rPr>
            </w:pPr>
            <w:r w:rsidRPr="00487403">
              <w:rPr>
                <w:rFonts w:cs="Times New Roman"/>
                <w:i/>
                <w:sz w:val="18"/>
                <w:szCs w:val="18"/>
              </w:rPr>
              <w:t>Pseudomonas</w:t>
            </w:r>
            <w:r w:rsidRPr="00487403">
              <w:rPr>
                <w:rFonts w:cs="Times New Roman"/>
                <w:sz w:val="18"/>
                <w:szCs w:val="18"/>
              </w:rPr>
              <w:t xml:space="preserve"> species</w:t>
            </w:r>
          </w:p>
        </w:tc>
        <w:tc>
          <w:tcPr>
            <w:tcW w:w="1020" w:type="dxa"/>
            <w:vAlign w:val="center"/>
          </w:tcPr>
          <w:p w14:paraId="6E5FECA6" w14:textId="519D0DCB"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21</w:t>
            </w:r>
          </w:p>
        </w:tc>
        <w:tc>
          <w:tcPr>
            <w:tcW w:w="1588" w:type="dxa"/>
            <w:vAlign w:val="center"/>
          </w:tcPr>
          <w:p w14:paraId="71068E31" w14:textId="11270661" w:rsidR="001376DE" w:rsidRPr="00487403" w:rsidRDefault="001376DE" w:rsidP="001376DE">
            <w:pPr>
              <w:spacing w:after="0" w:line="240" w:lineRule="auto"/>
              <w:rPr>
                <w:b/>
                <w:sz w:val="18"/>
                <w:szCs w:val="18"/>
              </w:rPr>
            </w:pPr>
            <w:r>
              <w:rPr>
                <w:sz w:val="18"/>
                <w:szCs w:val="18"/>
              </w:rPr>
              <w:t>0.04 (0.02 – 0.08)</w:t>
            </w:r>
          </w:p>
        </w:tc>
        <w:tc>
          <w:tcPr>
            <w:tcW w:w="236" w:type="dxa"/>
            <w:vAlign w:val="center"/>
          </w:tcPr>
          <w:p w14:paraId="2389F19A" w14:textId="77777777" w:rsidR="001376DE" w:rsidRPr="00487403" w:rsidRDefault="001376DE" w:rsidP="001376DE">
            <w:pPr>
              <w:spacing w:after="0" w:line="240" w:lineRule="auto"/>
              <w:rPr>
                <w:b/>
                <w:sz w:val="18"/>
                <w:szCs w:val="18"/>
              </w:rPr>
            </w:pPr>
          </w:p>
        </w:tc>
        <w:tc>
          <w:tcPr>
            <w:tcW w:w="1020" w:type="dxa"/>
            <w:vAlign w:val="center"/>
          </w:tcPr>
          <w:p w14:paraId="7E0667E6" w14:textId="212C84B7"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6</w:t>
            </w:r>
          </w:p>
        </w:tc>
        <w:tc>
          <w:tcPr>
            <w:tcW w:w="1596" w:type="dxa"/>
            <w:vAlign w:val="center"/>
          </w:tcPr>
          <w:p w14:paraId="56CCE348" w14:textId="43EC3347" w:rsidR="001376DE" w:rsidRPr="00487403" w:rsidRDefault="001376DE" w:rsidP="001376DE">
            <w:pPr>
              <w:spacing w:after="0" w:line="240" w:lineRule="auto"/>
              <w:rPr>
                <w:b/>
                <w:sz w:val="18"/>
                <w:szCs w:val="18"/>
              </w:rPr>
            </w:pPr>
            <w:r>
              <w:rPr>
                <w:sz w:val="18"/>
                <w:szCs w:val="18"/>
              </w:rPr>
              <w:t>0.03 (0.00 – 0.08)</w:t>
            </w:r>
          </w:p>
        </w:tc>
      </w:tr>
      <w:tr w:rsidR="001376DE" w:rsidRPr="00487403" w14:paraId="7854B2EF" w14:textId="77777777" w:rsidTr="006108E5">
        <w:tc>
          <w:tcPr>
            <w:tcW w:w="3969" w:type="dxa"/>
            <w:vAlign w:val="center"/>
          </w:tcPr>
          <w:p w14:paraId="3CCC762C" w14:textId="5777F99E" w:rsidR="001376DE" w:rsidRPr="00487403" w:rsidRDefault="001376DE" w:rsidP="00E03887">
            <w:pPr>
              <w:spacing w:after="0" w:line="240" w:lineRule="auto"/>
              <w:ind w:left="340"/>
              <w:rPr>
                <w:b/>
                <w:sz w:val="18"/>
                <w:szCs w:val="18"/>
              </w:rPr>
            </w:pPr>
            <w:r w:rsidRPr="00487403">
              <w:rPr>
                <w:rFonts w:cs="Times New Roman"/>
                <w:i/>
                <w:sz w:val="18"/>
                <w:szCs w:val="18"/>
              </w:rPr>
              <w:t>Enterobacter</w:t>
            </w:r>
            <w:r w:rsidRPr="00487403">
              <w:rPr>
                <w:rFonts w:cs="Times New Roman"/>
                <w:sz w:val="18"/>
                <w:szCs w:val="18"/>
              </w:rPr>
              <w:t xml:space="preserve"> species</w:t>
            </w:r>
          </w:p>
        </w:tc>
        <w:tc>
          <w:tcPr>
            <w:tcW w:w="1020" w:type="dxa"/>
            <w:vAlign w:val="center"/>
          </w:tcPr>
          <w:p w14:paraId="0ADE3E98" w14:textId="30AFFF89"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29</w:t>
            </w:r>
          </w:p>
        </w:tc>
        <w:tc>
          <w:tcPr>
            <w:tcW w:w="1588" w:type="dxa"/>
            <w:vAlign w:val="center"/>
          </w:tcPr>
          <w:p w14:paraId="0B140113" w14:textId="6AEAFC24" w:rsidR="001376DE" w:rsidRPr="00487403" w:rsidRDefault="001376DE" w:rsidP="001376DE">
            <w:pPr>
              <w:spacing w:after="0" w:line="240" w:lineRule="auto"/>
              <w:rPr>
                <w:b/>
                <w:sz w:val="18"/>
                <w:szCs w:val="18"/>
              </w:rPr>
            </w:pPr>
            <w:r>
              <w:rPr>
                <w:sz w:val="18"/>
                <w:szCs w:val="18"/>
              </w:rPr>
              <w:t>0.07 (0.03 – 0.13)</w:t>
            </w:r>
          </w:p>
        </w:tc>
        <w:tc>
          <w:tcPr>
            <w:tcW w:w="236" w:type="dxa"/>
            <w:vAlign w:val="center"/>
          </w:tcPr>
          <w:p w14:paraId="1979DDB1" w14:textId="77777777" w:rsidR="001376DE" w:rsidRPr="00487403" w:rsidRDefault="001376DE" w:rsidP="001376DE">
            <w:pPr>
              <w:spacing w:after="0" w:line="240" w:lineRule="auto"/>
              <w:rPr>
                <w:b/>
                <w:sz w:val="18"/>
                <w:szCs w:val="18"/>
              </w:rPr>
            </w:pPr>
          </w:p>
        </w:tc>
        <w:tc>
          <w:tcPr>
            <w:tcW w:w="1020" w:type="dxa"/>
            <w:vAlign w:val="center"/>
          </w:tcPr>
          <w:p w14:paraId="733A9415" w14:textId="53D7D4F5"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15</w:t>
            </w:r>
          </w:p>
        </w:tc>
        <w:tc>
          <w:tcPr>
            <w:tcW w:w="1596" w:type="dxa"/>
            <w:vAlign w:val="center"/>
          </w:tcPr>
          <w:p w14:paraId="294FE018" w14:textId="1A1199CA" w:rsidR="001376DE" w:rsidRPr="00487403" w:rsidRDefault="001376DE" w:rsidP="001376DE">
            <w:pPr>
              <w:spacing w:after="0" w:line="240" w:lineRule="auto"/>
              <w:rPr>
                <w:b/>
                <w:sz w:val="18"/>
                <w:szCs w:val="18"/>
              </w:rPr>
            </w:pPr>
            <w:r>
              <w:rPr>
                <w:sz w:val="18"/>
                <w:szCs w:val="18"/>
              </w:rPr>
              <w:t>0.06 (0.02 – 0.11)</w:t>
            </w:r>
          </w:p>
        </w:tc>
      </w:tr>
      <w:tr w:rsidR="001376DE" w:rsidRPr="00487403" w14:paraId="5B60BEFA" w14:textId="77777777" w:rsidTr="006108E5">
        <w:tc>
          <w:tcPr>
            <w:tcW w:w="3969" w:type="dxa"/>
            <w:vAlign w:val="center"/>
          </w:tcPr>
          <w:p w14:paraId="06BB6FCA" w14:textId="3045AB9B" w:rsidR="001376DE" w:rsidRPr="00487403" w:rsidRDefault="001376DE" w:rsidP="00E03887">
            <w:pPr>
              <w:spacing w:after="0" w:line="240" w:lineRule="auto"/>
              <w:ind w:left="340"/>
              <w:rPr>
                <w:b/>
                <w:sz w:val="18"/>
                <w:szCs w:val="18"/>
              </w:rPr>
            </w:pPr>
            <w:r w:rsidRPr="00487403">
              <w:rPr>
                <w:rFonts w:cs="Times New Roman"/>
                <w:i/>
                <w:sz w:val="18"/>
                <w:szCs w:val="18"/>
              </w:rPr>
              <w:t>Serratia</w:t>
            </w:r>
            <w:r w:rsidRPr="00487403">
              <w:rPr>
                <w:rFonts w:cs="Times New Roman"/>
                <w:sz w:val="18"/>
                <w:szCs w:val="18"/>
              </w:rPr>
              <w:t xml:space="preserve"> species</w:t>
            </w:r>
          </w:p>
        </w:tc>
        <w:tc>
          <w:tcPr>
            <w:tcW w:w="1020" w:type="dxa"/>
            <w:vAlign w:val="center"/>
          </w:tcPr>
          <w:p w14:paraId="5FBC5FA3" w14:textId="7BD52F3F"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11</w:t>
            </w:r>
          </w:p>
        </w:tc>
        <w:tc>
          <w:tcPr>
            <w:tcW w:w="1588" w:type="dxa"/>
            <w:vAlign w:val="center"/>
          </w:tcPr>
          <w:p w14:paraId="58ADE673" w14:textId="3C829134" w:rsidR="001376DE" w:rsidRPr="00487403" w:rsidRDefault="001376DE" w:rsidP="001376DE">
            <w:pPr>
              <w:spacing w:after="0" w:line="240" w:lineRule="auto"/>
              <w:rPr>
                <w:b/>
                <w:sz w:val="18"/>
                <w:szCs w:val="18"/>
              </w:rPr>
            </w:pPr>
            <w:r>
              <w:rPr>
                <w:sz w:val="18"/>
                <w:szCs w:val="18"/>
              </w:rPr>
              <w:t>0.05 (0.02 – 0.10)</w:t>
            </w:r>
          </w:p>
        </w:tc>
        <w:tc>
          <w:tcPr>
            <w:tcW w:w="236" w:type="dxa"/>
            <w:vAlign w:val="center"/>
          </w:tcPr>
          <w:p w14:paraId="226EBBBF" w14:textId="77777777" w:rsidR="001376DE" w:rsidRPr="00487403" w:rsidRDefault="001376DE" w:rsidP="001376DE">
            <w:pPr>
              <w:spacing w:after="0" w:line="240" w:lineRule="auto"/>
              <w:rPr>
                <w:b/>
                <w:sz w:val="18"/>
                <w:szCs w:val="18"/>
              </w:rPr>
            </w:pPr>
          </w:p>
        </w:tc>
        <w:tc>
          <w:tcPr>
            <w:tcW w:w="1020" w:type="dxa"/>
            <w:vAlign w:val="center"/>
          </w:tcPr>
          <w:p w14:paraId="0D254C6E" w14:textId="7809418B"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3</w:t>
            </w:r>
          </w:p>
        </w:tc>
        <w:tc>
          <w:tcPr>
            <w:tcW w:w="1596" w:type="dxa"/>
            <w:vAlign w:val="center"/>
          </w:tcPr>
          <w:p w14:paraId="6AF1DAB8" w14:textId="1624608B" w:rsidR="001376DE" w:rsidRPr="00487403" w:rsidRDefault="001376DE" w:rsidP="001376DE">
            <w:pPr>
              <w:spacing w:after="0" w:line="240" w:lineRule="auto"/>
              <w:rPr>
                <w:b/>
                <w:sz w:val="18"/>
                <w:szCs w:val="18"/>
              </w:rPr>
            </w:pPr>
            <w:r>
              <w:rPr>
                <w:sz w:val="18"/>
                <w:szCs w:val="18"/>
              </w:rPr>
              <w:t>0.08 (0.01 – 0.20)</w:t>
            </w:r>
          </w:p>
        </w:tc>
      </w:tr>
      <w:tr w:rsidR="001376DE" w:rsidRPr="00487403" w14:paraId="61554D39" w14:textId="77777777" w:rsidTr="006108E5">
        <w:tc>
          <w:tcPr>
            <w:tcW w:w="3969" w:type="dxa"/>
            <w:vAlign w:val="center"/>
          </w:tcPr>
          <w:p w14:paraId="298B59A8" w14:textId="0C986F78" w:rsidR="001376DE" w:rsidRPr="00487403" w:rsidRDefault="001376DE" w:rsidP="00E03887">
            <w:pPr>
              <w:spacing w:after="0" w:line="240" w:lineRule="auto"/>
              <w:ind w:left="340"/>
              <w:rPr>
                <w:b/>
                <w:sz w:val="18"/>
                <w:szCs w:val="18"/>
              </w:rPr>
            </w:pPr>
            <w:r w:rsidRPr="00487403">
              <w:rPr>
                <w:rFonts w:cs="Times New Roman"/>
                <w:i/>
                <w:sz w:val="18"/>
                <w:szCs w:val="18"/>
              </w:rPr>
              <w:t>Proteus</w:t>
            </w:r>
            <w:r w:rsidRPr="00487403">
              <w:rPr>
                <w:rFonts w:cs="Times New Roman"/>
                <w:sz w:val="18"/>
                <w:szCs w:val="18"/>
              </w:rPr>
              <w:t xml:space="preserve"> species</w:t>
            </w:r>
          </w:p>
        </w:tc>
        <w:tc>
          <w:tcPr>
            <w:tcW w:w="1020" w:type="dxa"/>
            <w:vAlign w:val="center"/>
          </w:tcPr>
          <w:p w14:paraId="61FB5DE4" w14:textId="4EF90032"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19</w:t>
            </w:r>
          </w:p>
        </w:tc>
        <w:tc>
          <w:tcPr>
            <w:tcW w:w="1588" w:type="dxa"/>
            <w:vAlign w:val="center"/>
          </w:tcPr>
          <w:p w14:paraId="034DE832" w14:textId="41896172" w:rsidR="001376DE" w:rsidRPr="00487403" w:rsidRDefault="001376DE" w:rsidP="001376DE">
            <w:pPr>
              <w:spacing w:after="0" w:line="240" w:lineRule="auto"/>
              <w:rPr>
                <w:b/>
                <w:sz w:val="18"/>
                <w:szCs w:val="18"/>
              </w:rPr>
            </w:pPr>
            <w:r>
              <w:rPr>
                <w:sz w:val="18"/>
                <w:szCs w:val="18"/>
              </w:rPr>
              <w:t>0.03 (0.01 – 0.05)</w:t>
            </w:r>
          </w:p>
        </w:tc>
        <w:tc>
          <w:tcPr>
            <w:tcW w:w="236" w:type="dxa"/>
            <w:vAlign w:val="center"/>
          </w:tcPr>
          <w:p w14:paraId="5ED17D03" w14:textId="77777777" w:rsidR="001376DE" w:rsidRPr="00487403" w:rsidRDefault="001376DE" w:rsidP="001376DE">
            <w:pPr>
              <w:spacing w:after="0" w:line="240" w:lineRule="auto"/>
              <w:rPr>
                <w:b/>
                <w:sz w:val="18"/>
                <w:szCs w:val="18"/>
              </w:rPr>
            </w:pPr>
          </w:p>
        </w:tc>
        <w:tc>
          <w:tcPr>
            <w:tcW w:w="1020" w:type="dxa"/>
            <w:vAlign w:val="center"/>
          </w:tcPr>
          <w:p w14:paraId="25B5B46F" w14:textId="4E6C1FBD"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2</w:t>
            </w:r>
          </w:p>
        </w:tc>
        <w:tc>
          <w:tcPr>
            <w:tcW w:w="1596" w:type="dxa"/>
            <w:vAlign w:val="center"/>
          </w:tcPr>
          <w:p w14:paraId="46D7D6B9" w14:textId="250A80E2" w:rsidR="001376DE" w:rsidRPr="00487403" w:rsidRDefault="001376DE" w:rsidP="001376DE">
            <w:pPr>
              <w:spacing w:after="0" w:line="240" w:lineRule="auto"/>
              <w:rPr>
                <w:b/>
                <w:sz w:val="18"/>
                <w:szCs w:val="18"/>
              </w:rPr>
            </w:pPr>
            <w:r>
              <w:rPr>
                <w:sz w:val="18"/>
                <w:szCs w:val="18"/>
              </w:rPr>
              <w:t>0.01 (0.00 – 0.06)</w:t>
            </w:r>
          </w:p>
        </w:tc>
      </w:tr>
      <w:tr w:rsidR="001376DE" w:rsidRPr="00487403" w14:paraId="1484D4FB" w14:textId="77777777" w:rsidTr="006108E5">
        <w:tc>
          <w:tcPr>
            <w:tcW w:w="3969" w:type="dxa"/>
            <w:vAlign w:val="center"/>
          </w:tcPr>
          <w:p w14:paraId="42C4854C" w14:textId="1EFF352C" w:rsidR="001376DE" w:rsidRPr="00487403" w:rsidRDefault="001376DE" w:rsidP="00E03887">
            <w:pPr>
              <w:spacing w:after="0" w:line="240" w:lineRule="auto"/>
              <w:ind w:left="340"/>
              <w:rPr>
                <w:b/>
                <w:sz w:val="18"/>
                <w:szCs w:val="18"/>
              </w:rPr>
            </w:pPr>
            <w:r w:rsidRPr="00487403">
              <w:rPr>
                <w:rFonts w:cs="Times New Roman"/>
                <w:i/>
                <w:sz w:val="18"/>
                <w:szCs w:val="18"/>
              </w:rPr>
              <w:t>Salmonella</w:t>
            </w:r>
            <w:r w:rsidRPr="00487403">
              <w:rPr>
                <w:rFonts w:cs="Times New Roman"/>
                <w:sz w:val="18"/>
                <w:szCs w:val="18"/>
              </w:rPr>
              <w:t xml:space="preserve"> species</w:t>
            </w:r>
          </w:p>
        </w:tc>
        <w:tc>
          <w:tcPr>
            <w:tcW w:w="1020" w:type="dxa"/>
            <w:vAlign w:val="center"/>
          </w:tcPr>
          <w:p w14:paraId="083A920C" w14:textId="3FA78F02" w:rsidR="001376DE" w:rsidRDefault="001376DE" w:rsidP="001376DE">
            <w:pPr>
              <w:spacing w:after="0" w:line="240" w:lineRule="auto"/>
              <w:jc w:val="right"/>
              <w:rPr>
                <w:rFonts w:cs="Times New Roman"/>
                <w:b/>
                <w:sz w:val="18"/>
                <w:szCs w:val="20"/>
              </w:rPr>
            </w:pPr>
            <w:r>
              <w:rPr>
                <w:rFonts w:cs="Times New Roman"/>
                <w:color w:val="000000"/>
                <w:sz w:val="18"/>
                <w:szCs w:val="18"/>
              </w:rPr>
              <w:t>68</w:t>
            </w:r>
          </w:p>
        </w:tc>
        <w:tc>
          <w:tcPr>
            <w:tcW w:w="1588" w:type="dxa"/>
            <w:vAlign w:val="center"/>
          </w:tcPr>
          <w:p w14:paraId="4A019D3E" w14:textId="1A261825" w:rsidR="001376DE" w:rsidRPr="00487403" w:rsidRDefault="001376DE" w:rsidP="001376DE">
            <w:pPr>
              <w:spacing w:after="0" w:line="240" w:lineRule="auto"/>
              <w:rPr>
                <w:b/>
                <w:sz w:val="18"/>
                <w:szCs w:val="18"/>
              </w:rPr>
            </w:pPr>
            <w:r>
              <w:rPr>
                <w:sz w:val="18"/>
                <w:szCs w:val="18"/>
              </w:rPr>
              <w:t>0.06 (0.03 – 0.10)</w:t>
            </w:r>
          </w:p>
        </w:tc>
        <w:tc>
          <w:tcPr>
            <w:tcW w:w="236" w:type="dxa"/>
            <w:vAlign w:val="center"/>
          </w:tcPr>
          <w:p w14:paraId="3AFA26EB" w14:textId="77777777" w:rsidR="001376DE" w:rsidRPr="00487403" w:rsidRDefault="001376DE" w:rsidP="001376DE">
            <w:pPr>
              <w:spacing w:after="0" w:line="240" w:lineRule="auto"/>
              <w:rPr>
                <w:b/>
                <w:sz w:val="18"/>
                <w:szCs w:val="18"/>
              </w:rPr>
            </w:pPr>
          </w:p>
        </w:tc>
        <w:tc>
          <w:tcPr>
            <w:tcW w:w="1020" w:type="dxa"/>
            <w:vAlign w:val="center"/>
          </w:tcPr>
          <w:p w14:paraId="29B3E595" w14:textId="427903CE"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19</w:t>
            </w:r>
          </w:p>
        </w:tc>
        <w:tc>
          <w:tcPr>
            <w:tcW w:w="1596" w:type="dxa"/>
            <w:vAlign w:val="center"/>
          </w:tcPr>
          <w:p w14:paraId="757B414B" w14:textId="3793D0CD" w:rsidR="001376DE" w:rsidRPr="00487403" w:rsidRDefault="001376DE" w:rsidP="001376DE">
            <w:pPr>
              <w:spacing w:after="0" w:line="240" w:lineRule="auto"/>
              <w:rPr>
                <w:b/>
                <w:sz w:val="18"/>
                <w:szCs w:val="18"/>
              </w:rPr>
            </w:pPr>
            <w:r>
              <w:rPr>
                <w:sz w:val="18"/>
                <w:szCs w:val="18"/>
              </w:rPr>
              <w:t>0.08 (0.05 – 0.13)</w:t>
            </w:r>
          </w:p>
        </w:tc>
      </w:tr>
      <w:tr w:rsidR="001376DE" w:rsidRPr="00487403" w14:paraId="3B70C6C4" w14:textId="77777777" w:rsidTr="006108E5">
        <w:tc>
          <w:tcPr>
            <w:tcW w:w="3969" w:type="dxa"/>
            <w:vAlign w:val="center"/>
          </w:tcPr>
          <w:p w14:paraId="46EB690A" w14:textId="3CBE0F95" w:rsidR="001376DE" w:rsidRPr="00487403" w:rsidRDefault="001376DE" w:rsidP="00E03887">
            <w:pPr>
              <w:spacing w:after="0" w:line="240" w:lineRule="auto"/>
              <w:ind w:left="340"/>
              <w:rPr>
                <w:b/>
                <w:sz w:val="18"/>
                <w:szCs w:val="18"/>
              </w:rPr>
            </w:pPr>
            <w:r w:rsidRPr="00487403">
              <w:rPr>
                <w:rFonts w:cs="Times New Roman"/>
                <w:i/>
                <w:sz w:val="18"/>
                <w:szCs w:val="18"/>
              </w:rPr>
              <w:t>Citrobacter</w:t>
            </w:r>
            <w:r w:rsidRPr="00487403">
              <w:rPr>
                <w:rFonts w:cs="Times New Roman"/>
                <w:sz w:val="18"/>
                <w:szCs w:val="18"/>
              </w:rPr>
              <w:t xml:space="preserve"> species</w:t>
            </w:r>
          </w:p>
        </w:tc>
        <w:tc>
          <w:tcPr>
            <w:tcW w:w="1020" w:type="dxa"/>
            <w:vAlign w:val="center"/>
          </w:tcPr>
          <w:p w14:paraId="502985E4" w14:textId="62688910"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12</w:t>
            </w:r>
          </w:p>
        </w:tc>
        <w:tc>
          <w:tcPr>
            <w:tcW w:w="1588" w:type="dxa"/>
            <w:vAlign w:val="center"/>
          </w:tcPr>
          <w:p w14:paraId="64024CD3" w14:textId="5F5F2505" w:rsidR="001376DE" w:rsidRPr="00487403" w:rsidRDefault="001376DE" w:rsidP="001376DE">
            <w:pPr>
              <w:spacing w:after="0" w:line="240" w:lineRule="auto"/>
              <w:rPr>
                <w:b/>
                <w:sz w:val="18"/>
                <w:szCs w:val="18"/>
              </w:rPr>
            </w:pPr>
            <w:r>
              <w:rPr>
                <w:sz w:val="18"/>
                <w:szCs w:val="18"/>
              </w:rPr>
              <w:t>0.07 (0.02 – 0.14)</w:t>
            </w:r>
          </w:p>
        </w:tc>
        <w:tc>
          <w:tcPr>
            <w:tcW w:w="236" w:type="dxa"/>
            <w:vAlign w:val="center"/>
          </w:tcPr>
          <w:p w14:paraId="474A220E" w14:textId="77777777" w:rsidR="001376DE" w:rsidRPr="00487403" w:rsidRDefault="001376DE" w:rsidP="001376DE">
            <w:pPr>
              <w:spacing w:after="0" w:line="240" w:lineRule="auto"/>
              <w:rPr>
                <w:b/>
                <w:sz w:val="18"/>
                <w:szCs w:val="18"/>
              </w:rPr>
            </w:pPr>
          </w:p>
        </w:tc>
        <w:tc>
          <w:tcPr>
            <w:tcW w:w="1020" w:type="dxa"/>
            <w:vAlign w:val="center"/>
          </w:tcPr>
          <w:p w14:paraId="0209400B" w14:textId="601C1478"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3</w:t>
            </w:r>
          </w:p>
        </w:tc>
        <w:tc>
          <w:tcPr>
            <w:tcW w:w="1596" w:type="dxa"/>
            <w:vAlign w:val="center"/>
          </w:tcPr>
          <w:p w14:paraId="37EA8804" w14:textId="304A2FC3" w:rsidR="001376DE" w:rsidRPr="00487403" w:rsidRDefault="001376DE" w:rsidP="001376DE">
            <w:pPr>
              <w:spacing w:after="0" w:line="240" w:lineRule="auto"/>
              <w:rPr>
                <w:b/>
                <w:sz w:val="18"/>
                <w:szCs w:val="18"/>
              </w:rPr>
            </w:pPr>
            <w:r>
              <w:rPr>
                <w:sz w:val="18"/>
                <w:szCs w:val="18"/>
              </w:rPr>
              <w:t>0.04 (0.00 – 0.11)</w:t>
            </w:r>
          </w:p>
        </w:tc>
      </w:tr>
      <w:tr w:rsidR="001376DE" w:rsidRPr="00487403" w14:paraId="6D487141" w14:textId="77777777" w:rsidTr="006108E5">
        <w:tc>
          <w:tcPr>
            <w:tcW w:w="3969" w:type="dxa"/>
            <w:vAlign w:val="center"/>
          </w:tcPr>
          <w:p w14:paraId="4A6F71DA" w14:textId="29172275" w:rsidR="001376DE" w:rsidRPr="00487403" w:rsidRDefault="001376DE" w:rsidP="00E03887">
            <w:pPr>
              <w:spacing w:after="0" w:line="240" w:lineRule="auto"/>
              <w:ind w:left="340"/>
              <w:rPr>
                <w:b/>
                <w:sz w:val="18"/>
                <w:szCs w:val="18"/>
              </w:rPr>
            </w:pPr>
            <w:r w:rsidRPr="00487403">
              <w:rPr>
                <w:rFonts w:cs="Times New Roman"/>
                <w:i/>
                <w:sz w:val="18"/>
                <w:szCs w:val="18"/>
              </w:rPr>
              <w:t>Haemophilus influenzae</w:t>
            </w:r>
          </w:p>
        </w:tc>
        <w:tc>
          <w:tcPr>
            <w:tcW w:w="1020" w:type="dxa"/>
            <w:vAlign w:val="center"/>
          </w:tcPr>
          <w:p w14:paraId="306FA3B8" w14:textId="7791BB71"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36</w:t>
            </w:r>
          </w:p>
        </w:tc>
        <w:tc>
          <w:tcPr>
            <w:tcW w:w="1588" w:type="dxa"/>
            <w:vAlign w:val="center"/>
          </w:tcPr>
          <w:p w14:paraId="45E8966C" w14:textId="2CD0CF32" w:rsidR="001376DE" w:rsidRPr="00487403" w:rsidRDefault="001376DE" w:rsidP="001376DE">
            <w:pPr>
              <w:spacing w:after="0" w:line="240" w:lineRule="auto"/>
              <w:rPr>
                <w:b/>
                <w:sz w:val="18"/>
                <w:szCs w:val="18"/>
              </w:rPr>
            </w:pPr>
            <w:r>
              <w:rPr>
                <w:sz w:val="18"/>
                <w:szCs w:val="18"/>
              </w:rPr>
              <w:t>0.04 (0.02 – 0.07)</w:t>
            </w:r>
          </w:p>
        </w:tc>
        <w:tc>
          <w:tcPr>
            <w:tcW w:w="236" w:type="dxa"/>
            <w:vAlign w:val="center"/>
          </w:tcPr>
          <w:p w14:paraId="06DF7924" w14:textId="77777777" w:rsidR="001376DE" w:rsidRPr="00487403" w:rsidRDefault="001376DE" w:rsidP="001376DE">
            <w:pPr>
              <w:spacing w:after="0" w:line="240" w:lineRule="auto"/>
              <w:rPr>
                <w:b/>
                <w:sz w:val="18"/>
                <w:szCs w:val="18"/>
              </w:rPr>
            </w:pPr>
          </w:p>
        </w:tc>
        <w:tc>
          <w:tcPr>
            <w:tcW w:w="1020" w:type="dxa"/>
            <w:vAlign w:val="center"/>
          </w:tcPr>
          <w:p w14:paraId="46370DA1" w14:textId="61A96F6E"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10</w:t>
            </w:r>
          </w:p>
        </w:tc>
        <w:tc>
          <w:tcPr>
            <w:tcW w:w="1596" w:type="dxa"/>
            <w:vAlign w:val="center"/>
          </w:tcPr>
          <w:p w14:paraId="4912B221" w14:textId="3C24A6A1" w:rsidR="001376DE" w:rsidRPr="00487403" w:rsidRDefault="001376DE" w:rsidP="001376DE">
            <w:pPr>
              <w:spacing w:after="0" w:line="240" w:lineRule="auto"/>
              <w:rPr>
                <w:b/>
                <w:sz w:val="18"/>
                <w:szCs w:val="18"/>
              </w:rPr>
            </w:pPr>
            <w:r>
              <w:rPr>
                <w:sz w:val="18"/>
                <w:szCs w:val="18"/>
              </w:rPr>
              <w:t>0.01 (0.00 – 0.04)</w:t>
            </w:r>
          </w:p>
        </w:tc>
      </w:tr>
      <w:tr w:rsidR="001376DE" w:rsidRPr="00487403" w14:paraId="70E85277" w14:textId="77777777" w:rsidTr="006108E5">
        <w:tc>
          <w:tcPr>
            <w:tcW w:w="3969" w:type="dxa"/>
            <w:vAlign w:val="center"/>
          </w:tcPr>
          <w:p w14:paraId="0F2DBF94" w14:textId="651935E5" w:rsidR="001376DE" w:rsidRPr="00487403" w:rsidRDefault="001376DE" w:rsidP="00E03887">
            <w:pPr>
              <w:spacing w:after="0" w:line="240" w:lineRule="auto"/>
              <w:ind w:left="340"/>
              <w:rPr>
                <w:b/>
                <w:sz w:val="18"/>
                <w:szCs w:val="18"/>
              </w:rPr>
            </w:pPr>
            <w:r w:rsidRPr="00487403">
              <w:rPr>
                <w:rFonts w:cs="Times New Roman"/>
                <w:i/>
                <w:sz w:val="18"/>
                <w:szCs w:val="18"/>
              </w:rPr>
              <w:t>Neisseria meningitidis</w:t>
            </w:r>
          </w:p>
        </w:tc>
        <w:tc>
          <w:tcPr>
            <w:tcW w:w="1020" w:type="dxa"/>
            <w:vAlign w:val="center"/>
          </w:tcPr>
          <w:p w14:paraId="691B5912" w14:textId="13357001"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25</w:t>
            </w:r>
          </w:p>
        </w:tc>
        <w:tc>
          <w:tcPr>
            <w:tcW w:w="1588" w:type="dxa"/>
            <w:vAlign w:val="center"/>
          </w:tcPr>
          <w:p w14:paraId="5934EC3E" w14:textId="041699BA" w:rsidR="001376DE" w:rsidRPr="00487403" w:rsidRDefault="001376DE" w:rsidP="001376DE">
            <w:pPr>
              <w:spacing w:after="0" w:line="240" w:lineRule="auto"/>
              <w:rPr>
                <w:b/>
                <w:sz w:val="18"/>
                <w:szCs w:val="18"/>
              </w:rPr>
            </w:pPr>
            <w:r>
              <w:rPr>
                <w:sz w:val="18"/>
                <w:szCs w:val="18"/>
              </w:rPr>
              <w:t>0.02 (0.00 – 0.08)</w:t>
            </w:r>
          </w:p>
        </w:tc>
        <w:tc>
          <w:tcPr>
            <w:tcW w:w="236" w:type="dxa"/>
            <w:vAlign w:val="center"/>
          </w:tcPr>
          <w:p w14:paraId="5E57E528" w14:textId="77777777" w:rsidR="001376DE" w:rsidRPr="00487403" w:rsidRDefault="001376DE" w:rsidP="001376DE">
            <w:pPr>
              <w:spacing w:after="0" w:line="240" w:lineRule="auto"/>
              <w:rPr>
                <w:b/>
                <w:sz w:val="18"/>
                <w:szCs w:val="18"/>
              </w:rPr>
            </w:pPr>
          </w:p>
        </w:tc>
        <w:tc>
          <w:tcPr>
            <w:tcW w:w="1020" w:type="dxa"/>
            <w:vAlign w:val="center"/>
          </w:tcPr>
          <w:p w14:paraId="6CFF192D" w14:textId="7214335C"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20</w:t>
            </w:r>
          </w:p>
        </w:tc>
        <w:tc>
          <w:tcPr>
            <w:tcW w:w="1596" w:type="dxa"/>
            <w:vAlign w:val="center"/>
          </w:tcPr>
          <w:p w14:paraId="1175D7E6" w14:textId="0C033282" w:rsidR="001376DE" w:rsidRPr="00487403" w:rsidRDefault="001376DE" w:rsidP="001376DE">
            <w:pPr>
              <w:spacing w:after="0" w:line="240" w:lineRule="auto"/>
              <w:rPr>
                <w:b/>
                <w:sz w:val="18"/>
                <w:szCs w:val="18"/>
              </w:rPr>
            </w:pPr>
            <w:r>
              <w:rPr>
                <w:sz w:val="18"/>
                <w:szCs w:val="18"/>
              </w:rPr>
              <w:t>0.04 (0.00 – 0.10)</w:t>
            </w:r>
          </w:p>
        </w:tc>
      </w:tr>
      <w:tr w:rsidR="001376DE" w:rsidRPr="00487403" w14:paraId="624BA5A3" w14:textId="77777777" w:rsidTr="006108E5">
        <w:tc>
          <w:tcPr>
            <w:tcW w:w="3969" w:type="dxa"/>
            <w:vAlign w:val="center"/>
          </w:tcPr>
          <w:p w14:paraId="440219E9" w14:textId="71B54FDC" w:rsidR="001376DE" w:rsidRPr="00487403" w:rsidRDefault="001376DE" w:rsidP="00E03887">
            <w:pPr>
              <w:spacing w:after="0" w:line="240" w:lineRule="auto"/>
              <w:ind w:left="340"/>
              <w:rPr>
                <w:b/>
                <w:sz w:val="18"/>
                <w:szCs w:val="18"/>
              </w:rPr>
            </w:pPr>
            <w:r w:rsidRPr="00487403">
              <w:rPr>
                <w:rFonts w:cs="Times New Roman"/>
                <w:i/>
                <w:sz w:val="18"/>
                <w:szCs w:val="18"/>
              </w:rPr>
              <w:t>Acinetobacter</w:t>
            </w:r>
            <w:r w:rsidRPr="00487403">
              <w:rPr>
                <w:rFonts w:cs="Times New Roman"/>
                <w:sz w:val="18"/>
                <w:szCs w:val="18"/>
              </w:rPr>
              <w:t xml:space="preserve"> species</w:t>
            </w:r>
          </w:p>
        </w:tc>
        <w:tc>
          <w:tcPr>
            <w:tcW w:w="1020" w:type="dxa"/>
            <w:vAlign w:val="center"/>
          </w:tcPr>
          <w:p w14:paraId="1FA8D66A" w14:textId="53C59252"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9</w:t>
            </w:r>
          </w:p>
        </w:tc>
        <w:tc>
          <w:tcPr>
            <w:tcW w:w="1588" w:type="dxa"/>
            <w:vAlign w:val="center"/>
          </w:tcPr>
          <w:p w14:paraId="2B366106" w14:textId="5D8B471A" w:rsidR="001376DE" w:rsidRPr="00487403" w:rsidRDefault="001376DE" w:rsidP="001376DE">
            <w:pPr>
              <w:spacing w:after="0" w:line="240" w:lineRule="auto"/>
              <w:rPr>
                <w:b/>
                <w:sz w:val="18"/>
                <w:szCs w:val="18"/>
              </w:rPr>
            </w:pPr>
            <w:r>
              <w:rPr>
                <w:sz w:val="18"/>
                <w:szCs w:val="18"/>
              </w:rPr>
              <w:t>0.04 (0.01 – 0.08)</w:t>
            </w:r>
          </w:p>
        </w:tc>
        <w:tc>
          <w:tcPr>
            <w:tcW w:w="236" w:type="dxa"/>
            <w:vAlign w:val="center"/>
          </w:tcPr>
          <w:p w14:paraId="6034E5B7" w14:textId="77777777" w:rsidR="001376DE" w:rsidRPr="00487403" w:rsidRDefault="001376DE" w:rsidP="001376DE">
            <w:pPr>
              <w:spacing w:after="0" w:line="240" w:lineRule="auto"/>
              <w:rPr>
                <w:b/>
                <w:sz w:val="18"/>
                <w:szCs w:val="18"/>
              </w:rPr>
            </w:pPr>
          </w:p>
        </w:tc>
        <w:tc>
          <w:tcPr>
            <w:tcW w:w="1020" w:type="dxa"/>
            <w:vAlign w:val="center"/>
          </w:tcPr>
          <w:p w14:paraId="685D82B5" w14:textId="43339F31"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9</w:t>
            </w:r>
          </w:p>
        </w:tc>
        <w:tc>
          <w:tcPr>
            <w:tcW w:w="1596" w:type="dxa"/>
            <w:vAlign w:val="center"/>
          </w:tcPr>
          <w:p w14:paraId="666C42CD" w14:textId="2E6EE01C" w:rsidR="001376DE" w:rsidRPr="00487403" w:rsidRDefault="001376DE" w:rsidP="001376DE">
            <w:pPr>
              <w:spacing w:after="0" w:line="240" w:lineRule="auto"/>
              <w:rPr>
                <w:b/>
                <w:sz w:val="18"/>
                <w:szCs w:val="18"/>
              </w:rPr>
            </w:pPr>
            <w:r>
              <w:rPr>
                <w:sz w:val="18"/>
                <w:szCs w:val="18"/>
              </w:rPr>
              <w:t>0.10 (0.04 – 0.17)</w:t>
            </w:r>
          </w:p>
        </w:tc>
      </w:tr>
      <w:tr w:rsidR="001376DE" w:rsidRPr="00487403" w14:paraId="4D21AFFA" w14:textId="77777777" w:rsidTr="006108E5">
        <w:tc>
          <w:tcPr>
            <w:tcW w:w="3969" w:type="dxa"/>
            <w:vAlign w:val="center"/>
          </w:tcPr>
          <w:p w14:paraId="0B1E3F07" w14:textId="6E986CAF" w:rsidR="001376DE" w:rsidRPr="00487403" w:rsidRDefault="001376DE" w:rsidP="00E03887">
            <w:pPr>
              <w:spacing w:after="0" w:line="240" w:lineRule="auto"/>
              <w:ind w:left="340"/>
              <w:rPr>
                <w:b/>
                <w:sz w:val="18"/>
                <w:szCs w:val="18"/>
              </w:rPr>
            </w:pPr>
            <w:r w:rsidRPr="00487403">
              <w:rPr>
                <w:rFonts w:cs="Times New Roman"/>
                <w:sz w:val="18"/>
                <w:szCs w:val="18"/>
              </w:rPr>
              <w:t>Other/unspecified Gram</w:t>
            </w:r>
            <w:r>
              <w:rPr>
                <w:rFonts w:cs="Times New Roman"/>
                <w:sz w:val="18"/>
                <w:szCs w:val="18"/>
              </w:rPr>
              <w:t>-</w:t>
            </w:r>
            <w:r w:rsidRPr="00487403">
              <w:rPr>
                <w:rFonts w:cs="Times New Roman"/>
                <w:sz w:val="18"/>
                <w:szCs w:val="18"/>
              </w:rPr>
              <w:t>negatives</w:t>
            </w:r>
          </w:p>
        </w:tc>
        <w:tc>
          <w:tcPr>
            <w:tcW w:w="1020" w:type="dxa"/>
            <w:vAlign w:val="center"/>
          </w:tcPr>
          <w:p w14:paraId="226496BC" w14:textId="688E5F98" w:rsidR="001376DE" w:rsidRDefault="001376DE" w:rsidP="001376DE">
            <w:pPr>
              <w:spacing w:after="0" w:line="240" w:lineRule="auto"/>
              <w:jc w:val="right"/>
              <w:rPr>
                <w:rFonts w:cs="Times New Roman"/>
                <w:b/>
                <w:sz w:val="18"/>
                <w:szCs w:val="20"/>
              </w:rPr>
            </w:pPr>
            <w:r w:rsidRPr="00E8334F">
              <w:rPr>
                <w:rFonts w:cs="Times New Roman"/>
                <w:color w:val="000000"/>
                <w:sz w:val="18"/>
                <w:szCs w:val="18"/>
              </w:rPr>
              <w:t>114</w:t>
            </w:r>
          </w:p>
        </w:tc>
        <w:tc>
          <w:tcPr>
            <w:tcW w:w="1588" w:type="dxa"/>
            <w:vAlign w:val="center"/>
          </w:tcPr>
          <w:p w14:paraId="07F75DB4" w14:textId="38F64B52" w:rsidR="001376DE" w:rsidRPr="00487403" w:rsidRDefault="001376DE" w:rsidP="001376DE">
            <w:pPr>
              <w:spacing w:after="0" w:line="240" w:lineRule="auto"/>
              <w:rPr>
                <w:b/>
                <w:sz w:val="18"/>
                <w:szCs w:val="18"/>
              </w:rPr>
            </w:pPr>
            <w:r>
              <w:rPr>
                <w:sz w:val="18"/>
                <w:szCs w:val="18"/>
              </w:rPr>
              <w:t>0.11 (0.07 – 0.15)</w:t>
            </w:r>
          </w:p>
        </w:tc>
        <w:tc>
          <w:tcPr>
            <w:tcW w:w="236" w:type="dxa"/>
            <w:vAlign w:val="center"/>
          </w:tcPr>
          <w:p w14:paraId="37D266BB" w14:textId="77777777" w:rsidR="001376DE" w:rsidRPr="00487403" w:rsidRDefault="001376DE" w:rsidP="001376DE">
            <w:pPr>
              <w:spacing w:after="0" w:line="240" w:lineRule="auto"/>
              <w:rPr>
                <w:b/>
                <w:sz w:val="18"/>
                <w:szCs w:val="18"/>
              </w:rPr>
            </w:pPr>
          </w:p>
        </w:tc>
        <w:tc>
          <w:tcPr>
            <w:tcW w:w="1020" w:type="dxa"/>
            <w:vAlign w:val="center"/>
          </w:tcPr>
          <w:p w14:paraId="1DBBF172" w14:textId="5BB4615A" w:rsidR="001376DE" w:rsidRDefault="001376DE" w:rsidP="001376DE">
            <w:pPr>
              <w:spacing w:after="0" w:line="240" w:lineRule="auto"/>
              <w:jc w:val="right"/>
              <w:rPr>
                <w:rFonts w:cs="Times New Roman"/>
                <w:b/>
                <w:sz w:val="18"/>
                <w:szCs w:val="18"/>
              </w:rPr>
            </w:pPr>
            <w:r w:rsidRPr="003609FF">
              <w:rPr>
                <w:rFonts w:cs="Times New Roman"/>
                <w:color w:val="000000"/>
                <w:sz w:val="18"/>
                <w:szCs w:val="18"/>
              </w:rPr>
              <w:t>394</w:t>
            </w:r>
          </w:p>
        </w:tc>
        <w:tc>
          <w:tcPr>
            <w:tcW w:w="1596" w:type="dxa"/>
            <w:vAlign w:val="center"/>
          </w:tcPr>
          <w:p w14:paraId="4E2A7044" w14:textId="3207AE5C" w:rsidR="001376DE" w:rsidRPr="00487403" w:rsidRDefault="001376DE" w:rsidP="001376DE">
            <w:pPr>
              <w:spacing w:after="0" w:line="240" w:lineRule="auto"/>
              <w:rPr>
                <w:b/>
                <w:sz w:val="18"/>
                <w:szCs w:val="18"/>
              </w:rPr>
            </w:pPr>
            <w:r>
              <w:rPr>
                <w:sz w:val="18"/>
                <w:szCs w:val="18"/>
              </w:rPr>
              <w:t>0.12 (0.02 – 0.25)</w:t>
            </w:r>
          </w:p>
        </w:tc>
      </w:tr>
      <w:tr w:rsidR="001376DE" w:rsidRPr="00487403" w14:paraId="001CB662" w14:textId="77777777" w:rsidTr="006108E5">
        <w:tc>
          <w:tcPr>
            <w:tcW w:w="3969" w:type="dxa"/>
            <w:vAlign w:val="center"/>
          </w:tcPr>
          <w:p w14:paraId="6214860C" w14:textId="6BB8D224" w:rsidR="001376DE" w:rsidRPr="00487403" w:rsidRDefault="001376DE" w:rsidP="00E03887">
            <w:pPr>
              <w:spacing w:after="0" w:line="240" w:lineRule="auto"/>
              <w:ind w:left="170"/>
              <w:rPr>
                <w:b/>
                <w:sz w:val="18"/>
                <w:szCs w:val="18"/>
              </w:rPr>
            </w:pPr>
            <w:r w:rsidRPr="00487403">
              <w:rPr>
                <w:rFonts w:cs="Times New Roman"/>
                <w:b/>
                <w:color w:val="2E74B5" w:themeColor="accent1" w:themeShade="BF"/>
                <w:sz w:val="18"/>
                <w:szCs w:val="18"/>
              </w:rPr>
              <w:t>Other pathogens</w:t>
            </w:r>
          </w:p>
        </w:tc>
        <w:tc>
          <w:tcPr>
            <w:tcW w:w="1020" w:type="dxa"/>
            <w:vAlign w:val="center"/>
          </w:tcPr>
          <w:p w14:paraId="486754DF" w14:textId="2C629D4D" w:rsidR="001376DE" w:rsidRDefault="001376DE" w:rsidP="001376DE">
            <w:pPr>
              <w:spacing w:after="0" w:line="240" w:lineRule="auto"/>
              <w:jc w:val="right"/>
              <w:rPr>
                <w:rFonts w:cs="Times New Roman"/>
                <w:b/>
                <w:sz w:val="18"/>
                <w:szCs w:val="20"/>
              </w:rPr>
            </w:pPr>
            <w:r w:rsidRPr="00E8334F">
              <w:rPr>
                <w:rFonts w:cs="Times New Roman"/>
                <w:sz w:val="18"/>
                <w:szCs w:val="18"/>
              </w:rPr>
              <w:t>80</w:t>
            </w:r>
          </w:p>
        </w:tc>
        <w:tc>
          <w:tcPr>
            <w:tcW w:w="1588" w:type="dxa"/>
            <w:vAlign w:val="center"/>
          </w:tcPr>
          <w:p w14:paraId="3F2FD909" w14:textId="5E394DF1" w:rsidR="001376DE" w:rsidRPr="00487403" w:rsidRDefault="001376DE" w:rsidP="001376DE">
            <w:pPr>
              <w:spacing w:after="0" w:line="240" w:lineRule="auto"/>
              <w:rPr>
                <w:b/>
                <w:sz w:val="18"/>
                <w:szCs w:val="18"/>
              </w:rPr>
            </w:pPr>
            <w:r>
              <w:rPr>
                <w:b/>
                <w:color w:val="2E74B5" w:themeColor="accent1" w:themeShade="BF"/>
                <w:sz w:val="18"/>
                <w:szCs w:val="18"/>
              </w:rPr>
              <w:t>0.24 (0.17 – 0.32)</w:t>
            </w:r>
          </w:p>
        </w:tc>
        <w:tc>
          <w:tcPr>
            <w:tcW w:w="236" w:type="dxa"/>
            <w:vAlign w:val="center"/>
          </w:tcPr>
          <w:p w14:paraId="29A608EF" w14:textId="77777777" w:rsidR="001376DE" w:rsidRPr="00487403" w:rsidRDefault="001376DE" w:rsidP="001376DE">
            <w:pPr>
              <w:spacing w:after="0" w:line="240" w:lineRule="auto"/>
              <w:rPr>
                <w:b/>
                <w:sz w:val="18"/>
                <w:szCs w:val="18"/>
              </w:rPr>
            </w:pPr>
          </w:p>
        </w:tc>
        <w:tc>
          <w:tcPr>
            <w:tcW w:w="1020" w:type="dxa"/>
            <w:vAlign w:val="center"/>
          </w:tcPr>
          <w:p w14:paraId="61B18A6B" w14:textId="576FEE84" w:rsidR="001376DE" w:rsidRDefault="001376DE" w:rsidP="001376DE">
            <w:pPr>
              <w:spacing w:after="0" w:line="240" w:lineRule="auto"/>
              <w:jc w:val="right"/>
              <w:rPr>
                <w:rFonts w:cs="Times New Roman"/>
                <w:b/>
                <w:sz w:val="18"/>
                <w:szCs w:val="18"/>
              </w:rPr>
            </w:pPr>
            <w:r w:rsidRPr="003609FF">
              <w:rPr>
                <w:rFonts w:cs="Times New Roman"/>
                <w:b/>
                <w:color w:val="2E74B5" w:themeColor="accent1" w:themeShade="BF"/>
                <w:sz w:val="18"/>
                <w:szCs w:val="18"/>
              </w:rPr>
              <w:t>11</w:t>
            </w:r>
          </w:p>
        </w:tc>
        <w:tc>
          <w:tcPr>
            <w:tcW w:w="1596" w:type="dxa"/>
            <w:vAlign w:val="center"/>
          </w:tcPr>
          <w:p w14:paraId="731823A7" w14:textId="7C1E213B" w:rsidR="001376DE" w:rsidRPr="00487403" w:rsidRDefault="001376DE" w:rsidP="001376DE">
            <w:pPr>
              <w:spacing w:after="0" w:line="240" w:lineRule="auto"/>
              <w:rPr>
                <w:b/>
                <w:sz w:val="18"/>
                <w:szCs w:val="18"/>
              </w:rPr>
            </w:pPr>
            <w:r>
              <w:rPr>
                <w:b/>
                <w:color w:val="2E74B5" w:themeColor="accent1" w:themeShade="BF"/>
                <w:sz w:val="18"/>
                <w:szCs w:val="18"/>
              </w:rPr>
              <w:t>0.01 (0.00 – 0.02)</w:t>
            </w:r>
          </w:p>
        </w:tc>
      </w:tr>
      <w:tr w:rsidR="00E03887" w:rsidRPr="00487403" w14:paraId="53E8C35C" w14:textId="77777777" w:rsidTr="00744837">
        <w:tc>
          <w:tcPr>
            <w:tcW w:w="3969" w:type="dxa"/>
            <w:tcBorders>
              <w:bottom w:val="single" w:sz="4" w:space="0" w:color="auto"/>
            </w:tcBorders>
            <w:vAlign w:val="center"/>
          </w:tcPr>
          <w:p w14:paraId="430B3380" w14:textId="45995606" w:rsidR="00E03887" w:rsidRPr="00487403" w:rsidRDefault="00E03887" w:rsidP="00E03887">
            <w:pPr>
              <w:spacing w:after="0" w:line="240" w:lineRule="auto"/>
              <w:rPr>
                <w:b/>
                <w:sz w:val="18"/>
                <w:szCs w:val="18"/>
              </w:rPr>
            </w:pPr>
            <w:r w:rsidRPr="00487403">
              <w:rPr>
                <w:b/>
                <w:sz w:val="18"/>
                <w:szCs w:val="18"/>
              </w:rPr>
              <w:t>Total</w:t>
            </w:r>
          </w:p>
        </w:tc>
        <w:tc>
          <w:tcPr>
            <w:tcW w:w="1020" w:type="dxa"/>
            <w:tcBorders>
              <w:bottom w:val="single" w:sz="4" w:space="0" w:color="auto"/>
            </w:tcBorders>
            <w:vAlign w:val="center"/>
          </w:tcPr>
          <w:p w14:paraId="1FC39C4E" w14:textId="2685FD7F" w:rsidR="00E03887" w:rsidRDefault="00E03887" w:rsidP="00E03887">
            <w:pPr>
              <w:spacing w:after="0" w:line="240" w:lineRule="auto"/>
              <w:jc w:val="right"/>
              <w:rPr>
                <w:rFonts w:cs="Times New Roman"/>
                <w:b/>
                <w:sz w:val="18"/>
                <w:szCs w:val="20"/>
              </w:rPr>
            </w:pPr>
            <w:r w:rsidRPr="00E8334F">
              <w:rPr>
                <w:rFonts w:cs="Times New Roman"/>
                <w:b/>
                <w:sz w:val="18"/>
                <w:szCs w:val="18"/>
              </w:rPr>
              <w:t>14</w:t>
            </w:r>
            <w:r>
              <w:rPr>
                <w:rFonts w:cs="Times New Roman"/>
                <w:b/>
                <w:sz w:val="18"/>
                <w:szCs w:val="18"/>
              </w:rPr>
              <w:t>05</w:t>
            </w:r>
          </w:p>
        </w:tc>
        <w:tc>
          <w:tcPr>
            <w:tcW w:w="1588" w:type="dxa"/>
            <w:tcBorders>
              <w:bottom w:val="single" w:sz="4" w:space="0" w:color="auto"/>
            </w:tcBorders>
            <w:vAlign w:val="center"/>
          </w:tcPr>
          <w:p w14:paraId="2E5017E8" w14:textId="77777777" w:rsidR="00E03887" w:rsidRPr="00487403" w:rsidRDefault="00E03887" w:rsidP="00E03887">
            <w:pPr>
              <w:spacing w:after="0" w:line="240" w:lineRule="auto"/>
              <w:rPr>
                <w:b/>
                <w:sz w:val="18"/>
                <w:szCs w:val="18"/>
              </w:rPr>
            </w:pPr>
          </w:p>
        </w:tc>
        <w:tc>
          <w:tcPr>
            <w:tcW w:w="236" w:type="dxa"/>
            <w:tcBorders>
              <w:bottom w:val="single" w:sz="4" w:space="0" w:color="auto"/>
            </w:tcBorders>
            <w:vAlign w:val="center"/>
          </w:tcPr>
          <w:p w14:paraId="51B1E244" w14:textId="77777777" w:rsidR="00E03887" w:rsidRPr="00487403" w:rsidRDefault="00E03887" w:rsidP="00E03887">
            <w:pPr>
              <w:spacing w:after="0" w:line="240" w:lineRule="auto"/>
              <w:rPr>
                <w:b/>
                <w:sz w:val="18"/>
                <w:szCs w:val="18"/>
              </w:rPr>
            </w:pPr>
          </w:p>
        </w:tc>
        <w:tc>
          <w:tcPr>
            <w:tcW w:w="1020" w:type="dxa"/>
            <w:tcBorders>
              <w:bottom w:val="single" w:sz="4" w:space="0" w:color="auto"/>
            </w:tcBorders>
            <w:vAlign w:val="center"/>
          </w:tcPr>
          <w:p w14:paraId="30423361" w14:textId="7D5AB864" w:rsidR="00E03887" w:rsidRDefault="00E03887" w:rsidP="00E03887">
            <w:pPr>
              <w:spacing w:after="0" w:line="240" w:lineRule="auto"/>
              <w:jc w:val="right"/>
              <w:rPr>
                <w:rFonts w:cs="Times New Roman"/>
                <w:b/>
                <w:sz w:val="18"/>
                <w:szCs w:val="18"/>
              </w:rPr>
            </w:pPr>
            <w:r w:rsidRPr="003609FF">
              <w:rPr>
                <w:rFonts w:cs="Times New Roman"/>
                <w:b/>
                <w:sz w:val="18"/>
                <w:szCs w:val="18"/>
              </w:rPr>
              <w:t>1</w:t>
            </w:r>
            <w:r>
              <w:rPr>
                <w:rFonts w:cs="Times New Roman"/>
                <w:b/>
                <w:sz w:val="18"/>
                <w:szCs w:val="18"/>
              </w:rPr>
              <w:t>381</w:t>
            </w:r>
          </w:p>
        </w:tc>
        <w:tc>
          <w:tcPr>
            <w:tcW w:w="1596" w:type="dxa"/>
            <w:tcBorders>
              <w:bottom w:val="single" w:sz="4" w:space="0" w:color="auto"/>
            </w:tcBorders>
            <w:vAlign w:val="center"/>
          </w:tcPr>
          <w:p w14:paraId="76B9E08F" w14:textId="77777777" w:rsidR="00E03887" w:rsidRPr="00487403" w:rsidRDefault="00E03887" w:rsidP="00E03887">
            <w:pPr>
              <w:spacing w:after="0" w:line="240" w:lineRule="auto"/>
              <w:rPr>
                <w:b/>
                <w:sz w:val="18"/>
                <w:szCs w:val="18"/>
              </w:rPr>
            </w:pPr>
          </w:p>
        </w:tc>
      </w:tr>
    </w:tbl>
    <w:p w14:paraId="248AC308" w14:textId="77777777" w:rsidR="00A61B4F" w:rsidRDefault="00A61B4F" w:rsidP="00A61B4F">
      <w:pPr>
        <w:spacing w:line="240" w:lineRule="auto"/>
        <w:jc w:val="both"/>
      </w:pPr>
    </w:p>
    <w:p w14:paraId="7B84248A" w14:textId="77777777" w:rsidR="00A61B4F" w:rsidRDefault="00A61B4F" w:rsidP="00A61B4F">
      <w:pPr>
        <w:spacing w:line="240" w:lineRule="auto"/>
        <w:jc w:val="both"/>
      </w:pPr>
    </w:p>
    <w:p w14:paraId="177AB2FA" w14:textId="77777777" w:rsidR="00A61B4F" w:rsidRDefault="00A61B4F" w:rsidP="00A61B4F">
      <w:pPr>
        <w:spacing w:line="240" w:lineRule="auto"/>
        <w:jc w:val="both"/>
        <w:sectPr w:rsidR="00A61B4F" w:rsidSect="00E93828">
          <w:pgSz w:w="11906" w:h="16838"/>
          <w:pgMar w:top="1135" w:right="1440" w:bottom="1440" w:left="1440" w:header="708" w:footer="708" w:gutter="0"/>
          <w:cols w:space="708"/>
          <w:docGrid w:linePitch="360"/>
        </w:sectPr>
      </w:pPr>
    </w:p>
    <w:p w14:paraId="5930E993" w14:textId="4FD44B3D" w:rsidR="00A61B4F" w:rsidRPr="00C90983" w:rsidRDefault="00A61B4F" w:rsidP="00A61B4F">
      <w:pPr>
        <w:spacing w:line="240" w:lineRule="auto"/>
        <w:jc w:val="both"/>
        <w:rPr>
          <w:b/>
        </w:rPr>
      </w:pPr>
      <w:r w:rsidRPr="00C90983">
        <w:rPr>
          <w:b/>
        </w:rPr>
        <w:lastRenderedPageBreak/>
        <w:t xml:space="preserve">Table </w:t>
      </w:r>
      <w:r w:rsidR="00555A75">
        <w:rPr>
          <w:b/>
        </w:rPr>
        <w:t>2</w:t>
      </w:r>
      <w:r w:rsidRPr="00C90983">
        <w:rPr>
          <w:b/>
        </w:rPr>
        <w:t xml:space="preserve">. </w:t>
      </w:r>
      <w:r w:rsidR="007B7E2C">
        <w:rPr>
          <w:b/>
        </w:rPr>
        <w:t xml:space="preserve">Regional distribution of </w:t>
      </w:r>
      <w:r w:rsidRPr="00C90983">
        <w:rPr>
          <w:b/>
        </w:rPr>
        <w:t xml:space="preserve">pathogens </w:t>
      </w:r>
      <w:r w:rsidR="00E45F6D">
        <w:rPr>
          <w:b/>
        </w:rPr>
        <w:t>causing</w:t>
      </w:r>
      <w:r w:rsidRPr="00C90983">
        <w:rPr>
          <w:b/>
        </w:rPr>
        <w:t xml:space="preserve"> </w:t>
      </w:r>
      <w:r w:rsidR="007B7E2C">
        <w:rPr>
          <w:b/>
        </w:rPr>
        <w:t xml:space="preserve">serious bacterial </w:t>
      </w:r>
      <w:r w:rsidRPr="00C90983">
        <w:rPr>
          <w:b/>
        </w:rPr>
        <w:t xml:space="preserve">neonatal </w:t>
      </w:r>
      <w:r w:rsidR="007B7E2C">
        <w:rPr>
          <w:b/>
        </w:rPr>
        <w:t xml:space="preserve">infections </w:t>
      </w:r>
      <w:r w:rsidRPr="00C90983">
        <w:rPr>
          <w:b/>
        </w:rPr>
        <w:t>between 2008 – 2018</w:t>
      </w:r>
      <w:r w:rsidR="007B7E2C">
        <w:rPr>
          <w:b/>
        </w:rPr>
        <w:t>.</w:t>
      </w:r>
      <w:r w:rsidR="00314C42">
        <w:rPr>
          <w:b/>
        </w:rPr>
        <w:t>*</w:t>
      </w:r>
    </w:p>
    <w:tbl>
      <w:tblPr>
        <w:tblStyle w:val="TableGrid"/>
        <w:tblW w:w="156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472"/>
        <w:gridCol w:w="1871"/>
        <w:gridCol w:w="576"/>
        <w:gridCol w:w="1926"/>
        <w:gridCol w:w="576"/>
        <w:gridCol w:w="1871"/>
        <w:gridCol w:w="585"/>
        <w:gridCol w:w="1893"/>
        <w:gridCol w:w="623"/>
        <w:gridCol w:w="1926"/>
      </w:tblGrid>
      <w:tr w:rsidR="00E56DDA" w:rsidRPr="00730356" w14:paraId="74998F67" w14:textId="6250E884" w:rsidTr="00627161">
        <w:tc>
          <w:tcPr>
            <w:tcW w:w="3319" w:type="dxa"/>
            <w:vMerge w:val="restart"/>
            <w:tcBorders>
              <w:top w:val="single" w:sz="4" w:space="0" w:color="auto"/>
            </w:tcBorders>
            <w:vAlign w:val="center"/>
          </w:tcPr>
          <w:p w14:paraId="447D948D" w14:textId="7CEF7D39" w:rsidR="00E56DDA" w:rsidRPr="007B7E2C" w:rsidRDefault="00E56DDA" w:rsidP="007B7E2C">
            <w:pPr>
              <w:spacing w:after="0" w:line="240" w:lineRule="auto"/>
              <w:rPr>
                <w:rFonts w:cs="Times New Roman"/>
                <w:sz w:val="18"/>
                <w:szCs w:val="18"/>
              </w:rPr>
            </w:pPr>
            <w:r w:rsidRPr="00A63C0D">
              <w:rPr>
                <w:b/>
                <w:sz w:val="18"/>
              </w:rPr>
              <w:t>A) Causes of bacteraemia/sepsis</w:t>
            </w:r>
          </w:p>
        </w:tc>
        <w:tc>
          <w:tcPr>
            <w:tcW w:w="2343" w:type="dxa"/>
            <w:gridSpan w:val="2"/>
            <w:tcBorders>
              <w:top w:val="single" w:sz="4" w:space="0" w:color="auto"/>
            </w:tcBorders>
            <w:vAlign w:val="center"/>
          </w:tcPr>
          <w:p w14:paraId="20B8D17F" w14:textId="77777777" w:rsidR="00E56DDA" w:rsidRPr="00A63C0D" w:rsidRDefault="00E56DDA" w:rsidP="00E042F0">
            <w:pPr>
              <w:spacing w:after="0" w:line="240" w:lineRule="auto"/>
              <w:jc w:val="center"/>
              <w:rPr>
                <w:rFonts w:cs="Times New Roman"/>
                <w:b/>
                <w:sz w:val="18"/>
                <w:szCs w:val="18"/>
              </w:rPr>
            </w:pPr>
            <w:r w:rsidRPr="00A63C0D">
              <w:rPr>
                <w:rFonts w:cs="Times New Roman"/>
                <w:b/>
                <w:sz w:val="18"/>
                <w:szCs w:val="18"/>
              </w:rPr>
              <w:t>Central Africa</w:t>
            </w:r>
          </w:p>
        </w:tc>
        <w:tc>
          <w:tcPr>
            <w:tcW w:w="2502" w:type="dxa"/>
            <w:gridSpan w:val="2"/>
            <w:tcBorders>
              <w:top w:val="single" w:sz="4" w:space="0" w:color="auto"/>
            </w:tcBorders>
            <w:vAlign w:val="center"/>
          </w:tcPr>
          <w:p w14:paraId="6D49BAAB" w14:textId="77777777" w:rsidR="00E56DDA" w:rsidRPr="00A63C0D" w:rsidRDefault="00E56DDA" w:rsidP="00E042F0">
            <w:pPr>
              <w:spacing w:after="0" w:line="240" w:lineRule="auto"/>
              <w:jc w:val="center"/>
              <w:rPr>
                <w:rFonts w:cs="Times New Roman"/>
                <w:b/>
                <w:sz w:val="18"/>
                <w:szCs w:val="18"/>
              </w:rPr>
            </w:pPr>
            <w:r w:rsidRPr="00A63C0D">
              <w:rPr>
                <w:rFonts w:cs="Times New Roman"/>
                <w:b/>
                <w:sz w:val="18"/>
                <w:szCs w:val="18"/>
              </w:rPr>
              <w:t>Eastern Africa</w:t>
            </w:r>
          </w:p>
        </w:tc>
        <w:tc>
          <w:tcPr>
            <w:tcW w:w="2447" w:type="dxa"/>
            <w:gridSpan w:val="2"/>
            <w:tcBorders>
              <w:top w:val="single" w:sz="4" w:space="0" w:color="auto"/>
            </w:tcBorders>
            <w:vAlign w:val="center"/>
          </w:tcPr>
          <w:p w14:paraId="408B218A" w14:textId="77777777" w:rsidR="00E56DDA" w:rsidRPr="00A63C0D" w:rsidRDefault="00E56DDA" w:rsidP="00E042F0">
            <w:pPr>
              <w:spacing w:after="0" w:line="240" w:lineRule="auto"/>
              <w:jc w:val="center"/>
              <w:rPr>
                <w:rFonts w:cs="Times New Roman"/>
                <w:b/>
                <w:sz w:val="18"/>
                <w:szCs w:val="18"/>
              </w:rPr>
            </w:pPr>
            <w:r w:rsidRPr="00A63C0D">
              <w:rPr>
                <w:rFonts w:cs="Times New Roman"/>
                <w:b/>
                <w:sz w:val="18"/>
                <w:szCs w:val="18"/>
              </w:rPr>
              <w:t>Southern Africa</w:t>
            </w:r>
          </w:p>
        </w:tc>
        <w:tc>
          <w:tcPr>
            <w:tcW w:w="2478" w:type="dxa"/>
            <w:gridSpan w:val="2"/>
            <w:tcBorders>
              <w:top w:val="single" w:sz="4" w:space="0" w:color="auto"/>
            </w:tcBorders>
            <w:vAlign w:val="center"/>
          </w:tcPr>
          <w:p w14:paraId="349288DE" w14:textId="77777777" w:rsidR="00E56DDA" w:rsidRPr="00A63C0D" w:rsidRDefault="00E56DDA" w:rsidP="00E042F0">
            <w:pPr>
              <w:spacing w:after="0" w:line="240" w:lineRule="auto"/>
              <w:jc w:val="center"/>
              <w:rPr>
                <w:rFonts w:cs="Times New Roman"/>
                <w:b/>
                <w:sz w:val="18"/>
                <w:szCs w:val="18"/>
              </w:rPr>
            </w:pPr>
            <w:r w:rsidRPr="00A63C0D">
              <w:rPr>
                <w:rFonts w:cs="Times New Roman"/>
                <w:b/>
                <w:sz w:val="18"/>
                <w:szCs w:val="18"/>
              </w:rPr>
              <w:t>West Africa</w:t>
            </w:r>
          </w:p>
        </w:tc>
        <w:tc>
          <w:tcPr>
            <w:tcW w:w="2549" w:type="dxa"/>
            <w:gridSpan w:val="2"/>
            <w:tcBorders>
              <w:top w:val="single" w:sz="4" w:space="0" w:color="auto"/>
            </w:tcBorders>
          </w:tcPr>
          <w:p w14:paraId="54F4EE36" w14:textId="4156D987" w:rsidR="00E56DDA" w:rsidRPr="00A372C4" w:rsidRDefault="00E56DDA" w:rsidP="00E042F0">
            <w:pPr>
              <w:spacing w:after="0" w:line="240" w:lineRule="auto"/>
              <w:jc w:val="center"/>
              <w:rPr>
                <w:rFonts w:cs="Times New Roman"/>
                <w:b/>
                <w:sz w:val="20"/>
                <w:szCs w:val="18"/>
              </w:rPr>
            </w:pPr>
            <w:r>
              <w:rPr>
                <w:rFonts w:cs="Times New Roman"/>
                <w:b/>
                <w:sz w:val="20"/>
                <w:szCs w:val="18"/>
              </w:rPr>
              <w:t>All regions</w:t>
            </w:r>
          </w:p>
        </w:tc>
      </w:tr>
      <w:tr w:rsidR="00E56DDA" w:rsidRPr="00730356" w14:paraId="044DE435" w14:textId="04F03E4B" w:rsidTr="00627161">
        <w:tc>
          <w:tcPr>
            <w:tcW w:w="3319" w:type="dxa"/>
            <w:vMerge/>
            <w:vAlign w:val="center"/>
          </w:tcPr>
          <w:p w14:paraId="421F4BB1" w14:textId="77777777" w:rsidR="00E56DDA" w:rsidRPr="00730356" w:rsidRDefault="00E56DDA" w:rsidP="00E042F0">
            <w:pPr>
              <w:spacing w:after="0" w:line="240" w:lineRule="auto"/>
              <w:rPr>
                <w:rFonts w:cs="Times New Roman"/>
                <w:b/>
                <w:sz w:val="18"/>
                <w:szCs w:val="18"/>
              </w:rPr>
            </w:pPr>
          </w:p>
        </w:tc>
        <w:tc>
          <w:tcPr>
            <w:tcW w:w="2343" w:type="dxa"/>
            <w:gridSpan w:val="2"/>
            <w:tcBorders>
              <w:bottom w:val="single" w:sz="4" w:space="0" w:color="auto"/>
            </w:tcBorders>
            <w:vAlign w:val="center"/>
          </w:tcPr>
          <w:p w14:paraId="45A7A715" w14:textId="77777777" w:rsidR="00E56DDA" w:rsidRPr="00A63C0D" w:rsidRDefault="00E56DDA" w:rsidP="00E042F0">
            <w:pPr>
              <w:spacing w:after="0" w:line="240" w:lineRule="auto"/>
              <w:jc w:val="center"/>
              <w:rPr>
                <w:rFonts w:cs="Times New Roman"/>
                <w:b/>
                <w:sz w:val="18"/>
                <w:szCs w:val="18"/>
              </w:rPr>
            </w:pPr>
            <w:r w:rsidRPr="00A63C0D">
              <w:rPr>
                <w:rFonts w:cs="Times New Roman"/>
                <w:b/>
                <w:sz w:val="18"/>
                <w:szCs w:val="18"/>
              </w:rPr>
              <w:t>(4 studies)</w:t>
            </w:r>
          </w:p>
        </w:tc>
        <w:tc>
          <w:tcPr>
            <w:tcW w:w="2502" w:type="dxa"/>
            <w:gridSpan w:val="2"/>
            <w:tcBorders>
              <w:bottom w:val="single" w:sz="4" w:space="0" w:color="auto"/>
            </w:tcBorders>
            <w:vAlign w:val="center"/>
          </w:tcPr>
          <w:p w14:paraId="4BC1AC0B" w14:textId="77777777" w:rsidR="00E56DDA" w:rsidRPr="00A63C0D" w:rsidRDefault="00E56DDA" w:rsidP="00E042F0">
            <w:pPr>
              <w:spacing w:after="0" w:line="240" w:lineRule="auto"/>
              <w:jc w:val="center"/>
              <w:rPr>
                <w:rFonts w:cs="Times New Roman"/>
                <w:b/>
                <w:sz w:val="18"/>
                <w:szCs w:val="18"/>
              </w:rPr>
            </w:pPr>
            <w:r w:rsidRPr="00A63C0D">
              <w:rPr>
                <w:rFonts w:cs="Times New Roman"/>
                <w:b/>
                <w:sz w:val="18"/>
                <w:szCs w:val="18"/>
              </w:rPr>
              <w:t>(17 studies)</w:t>
            </w:r>
          </w:p>
        </w:tc>
        <w:tc>
          <w:tcPr>
            <w:tcW w:w="2447" w:type="dxa"/>
            <w:gridSpan w:val="2"/>
            <w:tcBorders>
              <w:bottom w:val="single" w:sz="4" w:space="0" w:color="auto"/>
            </w:tcBorders>
            <w:vAlign w:val="center"/>
          </w:tcPr>
          <w:p w14:paraId="5FF1EC8C" w14:textId="77777777" w:rsidR="00E56DDA" w:rsidRPr="00A63C0D" w:rsidRDefault="00E56DDA" w:rsidP="00E042F0">
            <w:pPr>
              <w:spacing w:after="0" w:line="240" w:lineRule="auto"/>
              <w:jc w:val="center"/>
              <w:rPr>
                <w:rFonts w:cs="Times New Roman"/>
                <w:b/>
                <w:sz w:val="18"/>
                <w:szCs w:val="18"/>
              </w:rPr>
            </w:pPr>
            <w:r w:rsidRPr="00A63C0D">
              <w:rPr>
                <w:rFonts w:cs="Times New Roman"/>
                <w:b/>
                <w:sz w:val="18"/>
                <w:szCs w:val="18"/>
              </w:rPr>
              <w:t>(13 studies)</w:t>
            </w:r>
          </w:p>
        </w:tc>
        <w:tc>
          <w:tcPr>
            <w:tcW w:w="2478" w:type="dxa"/>
            <w:gridSpan w:val="2"/>
            <w:tcBorders>
              <w:bottom w:val="single" w:sz="4" w:space="0" w:color="auto"/>
            </w:tcBorders>
            <w:vAlign w:val="center"/>
          </w:tcPr>
          <w:p w14:paraId="5F0CACCC" w14:textId="77777777" w:rsidR="00E56DDA" w:rsidRPr="00A63C0D" w:rsidRDefault="00E56DDA" w:rsidP="00E042F0">
            <w:pPr>
              <w:spacing w:after="0" w:line="240" w:lineRule="auto"/>
              <w:jc w:val="center"/>
              <w:rPr>
                <w:rFonts w:cs="Times New Roman"/>
                <w:b/>
                <w:sz w:val="18"/>
                <w:szCs w:val="18"/>
              </w:rPr>
            </w:pPr>
            <w:r w:rsidRPr="00A63C0D">
              <w:rPr>
                <w:rFonts w:cs="Times New Roman"/>
                <w:b/>
                <w:sz w:val="18"/>
                <w:szCs w:val="18"/>
              </w:rPr>
              <w:t>(37 studies)</w:t>
            </w:r>
          </w:p>
        </w:tc>
        <w:tc>
          <w:tcPr>
            <w:tcW w:w="2549" w:type="dxa"/>
            <w:gridSpan w:val="2"/>
            <w:tcBorders>
              <w:bottom w:val="single" w:sz="4" w:space="0" w:color="auto"/>
            </w:tcBorders>
          </w:tcPr>
          <w:p w14:paraId="0F926DCF" w14:textId="4D82FA82" w:rsidR="00E56DDA" w:rsidRPr="00A372C4" w:rsidRDefault="00354061" w:rsidP="00E042F0">
            <w:pPr>
              <w:spacing w:after="0" w:line="240" w:lineRule="auto"/>
              <w:jc w:val="center"/>
              <w:rPr>
                <w:rFonts w:cs="Times New Roman"/>
                <w:b/>
                <w:sz w:val="20"/>
                <w:szCs w:val="18"/>
              </w:rPr>
            </w:pPr>
            <w:r>
              <w:rPr>
                <w:rFonts w:cs="Times New Roman"/>
                <w:b/>
                <w:sz w:val="20"/>
                <w:szCs w:val="18"/>
              </w:rPr>
              <w:t>(71 studies)</w:t>
            </w:r>
          </w:p>
        </w:tc>
      </w:tr>
      <w:tr w:rsidR="005E2D08" w:rsidRPr="00730356" w14:paraId="4D01432F" w14:textId="0ECBCD3D" w:rsidTr="007A494D">
        <w:tc>
          <w:tcPr>
            <w:tcW w:w="3319" w:type="dxa"/>
            <w:vMerge/>
            <w:tcBorders>
              <w:bottom w:val="single" w:sz="4" w:space="0" w:color="auto"/>
            </w:tcBorders>
            <w:vAlign w:val="center"/>
          </w:tcPr>
          <w:p w14:paraId="3B386D6B" w14:textId="471397ED" w:rsidR="005E2D08" w:rsidRPr="00730356" w:rsidRDefault="005E2D08" w:rsidP="005E2D08">
            <w:pPr>
              <w:spacing w:after="0" w:line="240" w:lineRule="auto"/>
              <w:rPr>
                <w:rFonts w:cs="Times New Roman"/>
                <w:b/>
                <w:color w:val="2E74B5" w:themeColor="accent1" w:themeShade="BF"/>
                <w:sz w:val="18"/>
                <w:szCs w:val="18"/>
              </w:rPr>
            </w:pPr>
          </w:p>
        </w:tc>
        <w:tc>
          <w:tcPr>
            <w:tcW w:w="472" w:type="dxa"/>
            <w:tcBorders>
              <w:top w:val="single" w:sz="4" w:space="0" w:color="auto"/>
              <w:bottom w:val="single" w:sz="4" w:space="0" w:color="auto"/>
            </w:tcBorders>
            <w:vAlign w:val="center"/>
          </w:tcPr>
          <w:p w14:paraId="7ECA6321" w14:textId="77777777" w:rsidR="005E2D08" w:rsidRPr="00730356" w:rsidRDefault="005E2D08" w:rsidP="005E2D08">
            <w:pPr>
              <w:spacing w:after="0" w:line="240" w:lineRule="auto"/>
              <w:jc w:val="right"/>
              <w:rPr>
                <w:rFonts w:cs="Times New Roman"/>
                <w:b/>
                <w:color w:val="2E74B5" w:themeColor="accent1" w:themeShade="BF"/>
                <w:sz w:val="18"/>
                <w:szCs w:val="18"/>
              </w:rPr>
            </w:pPr>
            <w:r w:rsidRPr="00730356">
              <w:rPr>
                <w:rFonts w:cs="Times New Roman"/>
                <w:b/>
                <w:color w:val="2E74B5" w:themeColor="accent1" w:themeShade="BF"/>
                <w:sz w:val="18"/>
                <w:szCs w:val="18"/>
              </w:rPr>
              <w:t>N</w:t>
            </w:r>
          </w:p>
        </w:tc>
        <w:tc>
          <w:tcPr>
            <w:tcW w:w="1871" w:type="dxa"/>
            <w:tcBorders>
              <w:top w:val="single" w:sz="4" w:space="0" w:color="auto"/>
              <w:bottom w:val="single" w:sz="4" w:space="0" w:color="auto"/>
            </w:tcBorders>
            <w:vAlign w:val="center"/>
          </w:tcPr>
          <w:p w14:paraId="70B760C8" w14:textId="76502B7E" w:rsidR="005E2D08" w:rsidRPr="0040031F" w:rsidRDefault="005E2D08" w:rsidP="005E2D08">
            <w:pPr>
              <w:spacing w:before="40" w:after="40" w:line="240" w:lineRule="auto"/>
              <w:rPr>
                <w:b/>
                <w:sz w:val="18"/>
                <w:szCs w:val="18"/>
              </w:rPr>
            </w:pPr>
            <w:r w:rsidRPr="00730356">
              <w:rPr>
                <w:b/>
                <w:sz w:val="18"/>
                <w:szCs w:val="18"/>
              </w:rPr>
              <w:t>Proportion</w:t>
            </w:r>
            <w:r>
              <w:rPr>
                <w:b/>
                <w:sz w:val="18"/>
                <w:szCs w:val="18"/>
              </w:rPr>
              <w:t xml:space="preserve"> </w:t>
            </w:r>
            <w:r w:rsidRPr="00730356">
              <w:rPr>
                <w:b/>
                <w:sz w:val="18"/>
                <w:szCs w:val="18"/>
              </w:rPr>
              <w:t>(95% CI)</w:t>
            </w:r>
          </w:p>
        </w:tc>
        <w:tc>
          <w:tcPr>
            <w:tcW w:w="576" w:type="dxa"/>
            <w:tcBorders>
              <w:top w:val="single" w:sz="4" w:space="0" w:color="auto"/>
              <w:bottom w:val="single" w:sz="4" w:space="0" w:color="auto"/>
            </w:tcBorders>
            <w:vAlign w:val="center"/>
          </w:tcPr>
          <w:p w14:paraId="4608D364" w14:textId="77777777" w:rsidR="005E2D08" w:rsidRPr="00730356" w:rsidRDefault="005E2D08" w:rsidP="005E2D08">
            <w:pPr>
              <w:spacing w:after="0" w:line="240" w:lineRule="auto"/>
              <w:jc w:val="right"/>
              <w:rPr>
                <w:rFonts w:cs="Times New Roman"/>
                <w:b/>
                <w:color w:val="2E74B5" w:themeColor="accent1" w:themeShade="BF"/>
                <w:sz w:val="18"/>
                <w:szCs w:val="18"/>
              </w:rPr>
            </w:pPr>
            <w:r w:rsidRPr="00730356">
              <w:rPr>
                <w:rFonts w:cs="Times New Roman"/>
                <w:b/>
                <w:color w:val="2E74B5" w:themeColor="accent1" w:themeShade="BF"/>
                <w:sz w:val="18"/>
                <w:szCs w:val="18"/>
              </w:rPr>
              <w:t>N</w:t>
            </w:r>
          </w:p>
        </w:tc>
        <w:tc>
          <w:tcPr>
            <w:tcW w:w="1926" w:type="dxa"/>
            <w:tcBorders>
              <w:top w:val="single" w:sz="4" w:space="0" w:color="auto"/>
              <w:bottom w:val="single" w:sz="4" w:space="0" w:color="auto"/>
            </w:tcBorders>
            <w:vAlign w:val="center"/>
          </w:tcPr>
          <w:p w14:paraId="00F6CB56" w14:textId="660594CD" w:rsidR="005E2D08" w:rsidRPr="00092BC2" w:rsidRDefault="005E2D08" w:rsidP="005E2D08">
            <w:pPr>
              <w:spacing w:before="40" w:after="40" w:line="240" w:lineRule="auto"/>
              <w:rPr>
                <w:b/>
                <w:sz w:val="18"/>
                <w:szCs w:val="18"/>
              </w:rPr>
            </w:pPr>
            <w:r w:rsidRPr="00730356">
              <w:rPr>
                <w:b/>
                <w:sz w:val="18"/>
                <w:szCs w:val="18"/>
              </w:rPr>
              <w:t>Proportion</w:t>
            </w:r>
            <w:r>
              <w:rPr>
                <w:b/>
                <w:sz w:val="18"/>
                <w:szCs w:val="18"/>
              </w:rPr>
              <w:t xml:space="preserve"> </w:t>
            </w:r>
            <w:r w:rsidRPr="00730356">
              <w:rPr>
                <w:b/>
                <w:sz w:val="18"/>
                <w:szCs w:val="18"/>
              </w:rPr>
              <w:t>(95% CI)</w:t>
            </w:r>
          </w:p>
        </w:tc>
        <w:tc>
          <w:tcPr>
            <w:tcW w:w="576" w:type="dxa"/>
            <w:tcBorders>
              <w:top w:val="single" w:sz="4" w:space="0" w:color="auto"/>
              <w:bottom w:val="single" w:sz="4" w:space="0" w:color="auto"/>
            </w:tcBorders>
            <w:vAlign w:val="center"/>
          </w:tcPr>
          <w:p w14:paraId="16E34CE1" w14:textId="77777777" w:rsidR="005E2D08" w:rsidRPr="00730356" w:rsidRDefault="005E2D08" w:rsidP="005E2D08">
            <w:pPr>
              <w:spacing w:after="0" w:line="240" w:lineRule="auto"/>
              <w:jc w:val="right"/>
              <w:rPr>
                <w:rFonts w:cs="Times New Roman"/>
                <w:b/>
                <w:color w:val="2E74B5" w:themeColor="accent1" w:themeShade="BF"/>
                <w:sz w:val="18"/>
                <w:szCs w:val="18"/>
              </w:rPr>
            </w:pPr>
            <w:r w:rsidRPr="00730356">
              <w:rPr>
                <w:rFonts w:cs="Times New Roman"/>
                <w:b/>
                <w:color w:val="2E74B5" w:themeColor="accent1" w:themeShade="BF"/>
                <w:sz w:val="18"/>
                <w:szCs w:val="18"/>
              </w:rPr>
              <w:t>N</w:t>
            </w:r>
          </w:p>
        </w:tc>
        <w:tc>
          <w:tcPr>
            <w:tcW w:w="1871" w:type="dxa"/>
            <w:tcBorders>
              <w:top w:val="single" w:sz="4" w:space="0" w:color="auto"/>
              <w:bottom w:val="single" w:sz="4" w:space="0" w:color="auto"/>
            </w:tcBorders>
            <w:vAlign w:val="center"/>
          </w:tcPr>
          <w:p w14:paraId="5C6EEEBF" w14:textId="76202585" w:rsidR="005E2D08" w:rsidRPr="00092BC2" w:rsidRDefault="005E2D08" w:rsidP="005E2D08">
            <w:pPr>
              <w:spacing w:before="40" w:after="40" w:line="240" w:lineRule="auto"/>
              <w:rPr>
                <w:b/>
                <w:sz w:val="18"/>
                <w:szCs w:val="18"/>
              </w:rPr>
            </w:pPr>
            <w:r w:rsidRPr="00730356">
              <w:rPr>
                <w:b/>
                <w:sz w:val="18"/>
                <w:szCs w:val="18"/>
              </w:rPr>
              <w:t>Proportion</w:t>
            </w:r>
            <w:r>
              <w:rPr>
                <w:b/>
                <w:sz w:val="18"/>
                <w:szCs w:val="18"/>
              </w:rPr>
              <w:t xml:space="preserve"> </w:t>
            </w:r>
            <w:r w:rsidRPr="00730356">
              <w:rPr>
                <w:b/>
                <w:sz w:val="18"/>
                <w:szCs w:val="18"/>
              </w:rPr>
              <w:t>(95% CI)</w:t>
            </w:r>
          </w:p>
        </w:tc>
        <w:tc>
          <w:tcPr>
            <w:tcW w:w="585" w:type="dxa"/>
            <w:tcBorders>
              <w:top w:val="single" w:sz="4" w:space="0" w:color="auto"/>
              <w:bottom w:val="single" w:sz="4" w:space="0" w:color="auto"/>
            </w:tcBorders>
            <w:vAlign w:val="center"/>
          </w:tcPr>
          <w:p w14:paraId="26C9EC6B" w14:textId="77777777" w:rsidR="005E2D08" w:rsidRPr="00730356" w:rsidRDefault="005E2D08" w:rsidP="005E2D08">
            <w:pPr>
              <w:spacing w:after="0" w:line="240" w:lineRule="auto"/>
              <w:jc w:val="right"/>
              <w:rPr>
                <w:rFonts w:cs="Times New Roman"/>
                <w:b/>
                <w:color w:val="2E74B5" w:themeColor="accent1" w:themeShade="BF"/>
                <w:sz w:val="18"/>
                <w:szCs w:val="18"/>
              </w:rPr>
            </w:pPr>
            <w:r w:rsidRPr="00730356">
              <w:rPr>
                <w:rFonts w:cs="Times New Roman"/>
                <w:b/>
                <w:color w:val="2E74B5" w:themeColor="accent1" w:themeShade="BF"/>
                <w:sz w:val="18"/>
                <w:szCs w:val="18"/>
              </w:rPr>
              <w:t>N</w:t>
            </w:r>
          </w:p>
        </w:tc>
        <w:tc>
          <w:tcPr>
            <w:tcW w:w="1893" w:type="dxa"/>
            <w:tcBorders>
              <w:top w:val="single" w:sz="4" w:space="0" w:color="auto"/>
              <w:bottom w:val="single" w:sz="4" w:space="0" w:color="auto"/>
            </w:tcBorders>
            <w:vAlign w:val="center"/>
          </w:tcPr>
          <w:p w14:paraId="56F34094" w14:textId="5D482BDC" w:rsidR="005E2D08" w:rsidRPr="00092BC2" w:rsidRDefault="005E2D08" w:rsidP="005E2D08">
            <w:pPr>
              <w:spacing w:before="40" w:after="40" w:line="240" w:lineRule="auto"/>
              <w:rPr>
                <w:b/>
                <w:sz w:val="18"/>
                <w:szCs w:val="18"/>
              </w:rPr>
            </w:pPr>
            <w:r w:rsidRPr="00730356">
              <w:rPr>
                <w:b/>
                <w:sz w:val="18"/>
                <w:szCs w:val="18"/>
              </w:rPr>
              <w:t>Proportion</w:t>
            </w:r>
            <w:r>
              <w:rPr>
                <w:b/>
                <w:sz w:val="18"/>
                <w:szCs w:val="18"/>
              </w:rPr>
              <w:t xml:space="preserve"> </w:t>
            </w:r>
            <w:r w:rsidRPr="00730356">
              <w:rPr>
                <w:b/>
                <w:sz w:val="18"/>
                <w:szCs w:val="18"/>
              </w:rPr>
              <w:t>(95% CI)</w:t>
            </w:r>
          </w:p>
        </w:tc>
        <w:tc>
          <w:tcPr>
            <w:tcW w:w="623" w:type="dxa"/>
            <w:tcBorders>
              <w:top w:val="single" w:sz="4" w:space="0" w:color="auto"/>
              <w:bottom w:val="single" w:sz="4" w:space="0" w:color="auto"/>
            </w:tcBorders>
            <w:vAlign w:val="center"/>
          </w:tcPr>
          <w:p w14:paraId="455B0EB6" w14:textId="0512CE5A" w:rsidR="005E2D08" w:rsidRPr="00730356" w:rsidRDefault="005E2D08" w:rsidP="00034C27">
            <w:pPr>
              <w:spacing w:before="40" w:after="40" w:line="240" w:lineRule="auto"/>
              <w:jc w:val="right"/>
              <w:rPr>
                <w:b/>
                <w:sz w:val="18"/>
                <w:szCs w:val="18"/>
              </w:rPr>
            </w:pPr>
            <w:r w:rsidRPr="00730356">
              <w:rPr>
                <w:rFonts w:cs="Times New Roman"/>
                <w:b/>
                <w:color w:val="2E74B5" w:themeColor="accent1" w:themeShade="BF"/>
                <w:sz w:val="18"/>
                <w:szCs w:val="18"/>
              </w:rPr>
              <w:t>N</w:t>
            </w:r>
          </w:p>
        </w:tc>
        <w:tc>
          <w:tcPr>
            <w:tcW w:w="1926" w:type="dxa"/>
            <w:tcBorders>
              <w:top w:val="single" w:sz="4" w:space="0" w:color="auto"/>
              <w:bottom w:val="single" w:sz="4" w:space="0" w:color="auto"/>
            </w:tcBorders>
            <w:vAlign w:val="center"/>
          </w:tcPr>
          <w:p w14:paraId="3B8D4D90" w14:textId="3D82F84F" w:rsidR="005E2D08" w:rsidRPr="00730356" w:rsidRDefault="005E2D08" w:rsidP="005E2D08">
            <w:pPr>
              <w:spacing w:before="40" w:after="40" w:line="240" w:lineRule="auto"/>
              <w:rPr>
                <w:b/>
                <w:sz w:val="18"/>
                <w:szCs w:val="18"/>
              </w:rPr>
            </w:pPr>
            <w:r w:rsidRPr="00730356">
              <w:rPr>
                <w:b/>
                <w:sz w:val="18"/>
                <w:szCs w:val="18"/>
              </w:rPr>
              <w:t>Proportion</w:t>
            </w:r>
            <w:r>
              <w:rPr>
                <w:b/>
                <w:sz w:val="18"/>
                <w:szCs w:val="18"/>
              </w:rPr>
              <w:t xml:space="preserve"> </w:t>
            </w:r>
            <w:r w:rsidRPr="00730356">
              <w:rPr>
                <w:b/>
                <w:sz w:val="18"/>
                <w:szCs w:val="18"/>
              </w:rPr>
              <w:t>(95% CI)</w:t>
            </w:r>
          </w:p>
        </w:tc>
      </w:tr>
      <w:tr w:rsidR="005E2D08" w:rsidRPr="00730356" w14:paraId="77ECE787" w14:textId="7A0F4E78" w:rsidTr="007A494D">
        <w:tc>
          <w:tcPr>
            <w:tcW w:w="3319" w:type="dxa"/>
            <w:tcBorders>
              <w:top w:val="single" w:sz="4" w:space="0" w:color="auto"/>
              <w:bottom w:val="single" w:sz="4" w:space="0" w:color="auto"/>
            </w:tcBorders>
          </w:tcPr>
          <w:p w14:paraId="447B3E9C" w14:textId="77777777" w:rsidR="00E0643A" w:rsidRPr="00730356" w:rsidRDefault="00E0643A" w:rsidP="00E0643A">
            <w:pPr>
              <w:spacing w:after="0" w:line="240" w:lineRule="auto"/>
              <w:rPr>
                <w:rFonts w:cs="Times New Roman"/>
                <w:b/>
                <w:color w:val="000000" w:themeColor="text1"/>
                <w:sz w:val="18"/>
                <w:szCs w:val="18"/>
              </w:rPr>
            </w:pPr>
            <w:r w:rsidRPr="00730356">
              <w:rPr>
                <w:rFonts w:cs="Times New Roman"/>
                <w:b/>
                <w:color w:val="000000" w:themeColor="text1"/>
                <w:sz w:val="18"/>
                <w:szCs w:val="18"/>
              </w:rPr>
              <w:t>All Gram positives</w:t>
            </w:r>
          </w:p>
        </w:tc>
        <w:tc>
          <w:tcPr>
            <w:tcW w:w="472" w:type="dxa"/>
            <w:tcBorders>
              <w:top w:val="single" w:sz="4" w:space="0" w:color="auto"/>
              <w:bottom w:val="single" w:sz="4" w:space="0" w:color="auto"/>
            </w:tcBorders>
            <w:vAlign w:val="bottom"/>
          </w:tcPr>
          <w:p w14:paraId="471DCD06" w14:textId="77777777" w:rsidR="00E0643A" w:rsidRPr="00730356" w:rsidRDefault="00E0643A" w:rsidP="00E0643A">
            <w:pPr>
              <w:spacing w:after="0" w:line="240" w:lineRule="auto"/>
              <w:jc w:val="right"/>
              <w:rPr>
                <w:rFonts w:cs="Times New Roman"/>
                <w:b/>
                <w:color w:val="000000" w:themeColor="text1"/>
                <w:sz w:val="18"/>
                <w:szCs w:val="18"/>
              </w:rPr>
            </w:pPr>
            <w:r w:rsidRPr="00730356">
              <w:rPr>
                <w:rFonts w:cs="Times New Roman"/>
                <w:b/>
                <w:color w:val="000000" w:themeColor="text1"/>
                <w:sz w:val="18"/>
                <w:szCs w:val="18"/>
              </w:rPr>
              <w:t>22</w:t>
            </w:r>
          </w:p>
        </w:tc>
        <w:tc>
          <w:tcPr>
            <w:tcW w:w="1871" w:type="dxa"/>
            <w:tcBorders>
              <w:top w:val="single" w:sz="4" w:space="0" w:color="auto"/>
              <w:bottom w:val="single" w:sz="4" w:space="0" w:color="auto"/>
            </w:tcBorders>
            <w:vAlign w:val="bottom"/>
          </w:tcPr>
          <w:p w14:paraId="5D4F3DAA" w14:textId="77777777" w:rsidR="00E0643A" w:rsidRPr="00730356" w:rsidRDefault="00E0643A" w:rsidP="00E0643A">
            <w:pPr>
              <w:spacing w:after="0" w:line="240" w:lineRule="auto"/>
              <w:rPr>
                <w:rFonts w:cs="Times New Roman"/>
                <w:b/>
                <w:color w:val="000000" w:themeColor="text1"/>
                <w:sz w:val="18"/>
                <w:szCs w:val="18"/>
              </w:rPr>
            </w:pPr>
          </w:p>
        </w:tc>
        <w:tc>
          <w:tcPr>
            <w:tcW w:w="576" w:type="dxa"/>
            <w:tcBorders>
              <w:top w:val="single" w:sz="4" w:space="0" w:color="auto"/>
              <w:bottom w:val="single" w:sz="4" w:space="0" w:color="auto"/>
            </w:tcBorders>
            <w:vAlign w:val="bottom"/>
          </w:tcPr>
          <w:p w14:paraId="43FD7E78" w14:textId="77777777" w:rsidR="00E0643A" w:rsidRPr="00730356" w:rsidRDefault="00E0643A" w:rsidP="00E0643A">
            <w:pPr>
              <w:spacing w:after="0" w:line="240" w:lineRule="auto"/>
              <w:jc w:val="right"/>
              <w:rPr>
                <w:rFonts w:cs="Times New Roman"/>
                <w:b/>
                <w:color w:val="000000" w:themeColor="text1"/>
                <w:sz w:val="18"/>
                <w:szCs w:val="18"/>
              </w:rPr>
            </w:pPr>
            <w:r w:rsidRPr="00730356">
              <w:rPr>
                <w:rFonts w:cs="Times New Roman"/>
                <w:b/>
                <w:color w:val="000000" w:themeColor="text1"/>
                <w:sz w:val="18"/>
                <w:szCs w:val="18"/>
              </w:rPr>
              <w:t>546</w:t>
            </w:r>
          </w:p>
        </w:tc>
        <w:tc>
          <w:tcPr>
            <w:tcW w:w="1926" w:type="dxa"/>
            <w:tcBorders>
              <w:top w:val="single" w:sz="4" w:space="0" w:color="auto"/>
              <w:bottom w:val="single" w:sz="4" w:space="0" w:color="auto"/>
            </w:tcBorders>
            <w:vAlign w:val="bottom"/>
          </w:tcPr>
          <w:p w14:paraId="6EE9A805" w14:textId="77777777" w:rsidR="00E0643A" w:rsidRPr="00730356" w:rsidRDefault="00E0643A" w:rsidP="00E0643A">
            <w:pPr>
              <w:spacing w:after="0" w:line="240" w:lineRule="auto"/>
              <w:rPr>
                <w:rFonts w:cs="Times New Roman"/>
                <w:b/>
                <w:color w:val="000000" w:themeColor="text1"/>
                <w:sz w:val="18"/>
                <w:szCs w:val="18"/>
              </w:rPr>
            </w:pPr>
          </w:p>
        </w:tc>
        <w:tc>
          <w:tcPr>
            <w:tcW w:w="576" w:type="dxa"/>
            <w:tcBorders>
              <w:top w:val="single" w:sz="4" w:space="0" w:color="auto"/>
              <w:bottom w:val="single" w:sz="4" w:space="0" w:color="auto"/>
            </w:tcBorders>
            <w:vAlign w:val="bottom"/>
          </w:tcPr>
          <w:p w14:paraId="14DFAD46" w14:textId="77777777" w:rsidR="00E0643A" w:rsidRPr="00730356" w:rsidRDefault="00E0643A" w:rsidP="00E0643A">
            <w:pPr>
              <w:spacing w:after="0" w:line="240" w:lineRule="auto"/>
              <w:jc w:val="right"/>
              <w:rPr>
                <w:rFonts w:cs="Times New Roman"/>
                <w:b/>
                <w:color w:val="000000" w:themeColor="text1"/>
                <w:sz w:val="18"/>
                <w:szCs w:val="18"/>
              </w:rPr>
            </w:pPr>
            <w:r w:rsidRPr="00730356">
              <w:rPr>
                <w:rFonts w:cs="Times New Roman"/>
                <w:b/>
                <w:color w:val="000000" w:themeColor="text1"/>
                <w:sz w:val="18"/>
                <w:szCs w:val="18"/>
              </w:rPr>
              <w:t>1306</w:t>
            </w:r>
          </w:p>
        </w:tc>
        <w:tc>
          <w:tcPr>
            <w:tcW w:w="1871" w:type="dxa"/>
            <w:tcBorders>
              <w:top w:val="single" w:sz="4" w:space="0" w:color="auto"/>
              <w:bottom w:val="single" w:sz="4" w:space="0" w:color="auto"/>
            </w:tcBorders>
            <w:vAlign w:val="bottom"/>
          </w:tcPr>
          <w:p w14:paraId="640707CE" w14:textId="77777777" w:rsidR="00E0643A" w:rsidRPr="00730356" w:rsidRDefault="00E0643A" w:rsidP="00E0643A">
            <w:pPr>
              <w:spacing w:after="0" w:line="240" w:lineRule="auto"/>
              <w:rPr>
                <w:rFonts w:cs="Times New Roman"/>
                <w:b/>
                <w:color w:val="000000" w:themeColor="text1"/>
                <w:sz w:val="18"/>
                <w:szCs w:val="18"/>
              </w:rPr>
            </w:pPr>
          </w:p>
        </w:tc>
        <w:tc>
          <w:tcPr>
            <w:tcW w:w="585" w:type="dxa"/>
            <w:tcBorders>
              <w:top w:val="single" w:sz="4" w:space="0" w:color="auto"/>
              <w:bottom w:val="single" w:sz="4" w:space="0" w:color="auto"/>
            </w:tcBorders>
            <w:vAlign w:val="bottom"/>
          </w:tcPr>
          <w:p w14:paraId="7CC35E92" w14:textId="77777777" w:rsidR="00E0643A" w:rsidRPr="00730356" w:rsidRDefault="00E0643A" w:rsidP="00E0643A">
            <w:pPr>
              <w:spacing w:after="0" w:line="240" w:lineRule="auto"/>
              <w:jc w:val="right"/>
              <w:rPr>
                <w:rFonts w:cs="Times New Roman"/>
                <w:b/>
                <w:color w:val="000000" w:themeColor="text1"/>
                <w:sz w:val="18"/>
                <w:szCs w:val="18"/>
              </w:rPr>
            </w:pPr>
            <w:r w:rsidRPr="00730356">
              <w:rPr>
                <w:rFonts w:cs="Times New Roman"/>
                <w:b/>
                <w:color w:val="000000" w:themeColor="text1"/>
                <w:sz w:val="18"/>
                <w:szCs w:val="18"/>
              </w:rPr>
              <w:t>1663</w:t>
            </w:r>
          </w:p>
        </w:tc>
        <w:tc>
          <w:tcPr>
            <w:tcW w:w="1893" w:type="dxa"/>
            <w:tcBorders>
              <w:top w:val="single" w:sz="4" w:space="0" w:color="auto"/>
              <w:bottom w:val="single" w:sz="4" w:space="0" w:color="auto"/>
            </w:tcBorders>
            <w:vAlign w:val="bottom"/>
          </w:tcPr>
          <w:p w14:paraId="6E100717" w14:textId="77777777" w:rsidR="00E0643A" w:rsidRPr="00730356" w:rsidRDefault="00E0643A" w:rsidP="00E0643A">
            <w:pPr>
              <w:spacing w:after="0" w:line="240" w:lineRule="auto"/>
              <w:rPr>
                <w:rFonts w:cs="Times New Roman"/>
                <w:b/>
                <w:color w:val="000000" w:themeColor="text1"/>
                <w:sz w:val="18"/>
                <w:szCs w:val="18"/>
              </w:rPr>
            </w:pPr>
          </w:p>
        </w:tc>
        <w:tc>
          <w:tcPr>
            <w:tcW w:w="623" w:type="dxa"/>
            <w:tcBorders>
              <w:top w:val="single" w:sz="4" w:space="0" w:color="auto"/>
              <w:bottom w:val="single" w:sz="4" w:space="0" w:color="auto"/>
            </w:tcBorders>
            <w:vAlign w:val="center"/>
          </w:tcPr>
          <w:p w14:paraId="63CBEFB5" w14:textId="198BC1A6" w:rsidR="00E0643A" w:rsidRPr="00730356" w:rsidRDefault="00F43714" w:rsidP="00E0643A">
            <w:pPr>
              <w:spacing w:after="0" w:line="240" w:lineRule="auto"/>
              <w:jc w:val="right"/>
              <w:rPr>
                <w:rFonts w:cs="Times New Roman"/>
                <w:b/>
                <w:color w:val="000000" w:themeColor="text1"/>
                <w:sz w:val="18"/>
                <w:szCs w:val="18"/>
              </w:rPr>
            </w:pPr>
            <w:r>
              <w:rPr>
                <w:rFonts w:cs="Times New Roman"/>
                <w:b/>
                <w:color w:val="000000" w:themeColor="text1"/>
                <w:sz w:val="18"/>
                <w:szCs w:val="18"/>
              </w:rPr>
              <w:t>3537</w:t>
            </w:r>
          </w:p>
        </w:tc>
        <w:tc>
          <w:tcPr>
            <w:tcW w:w="1926" w:type="dxa"/>
            <w:tcBorders>
              <w:top w:val="single" w:sz="4" w:space="0" w:color="auto"/>
              <w:bottom w:val="single" w:sz="4" w:space="0" w:color="auto"/>
            </w:tcBorders>
            <w:vAlign w:val="center"/>
          </w:tcPr>
          <w:p w14:paraId="38423AA5" w14:textId="77777777" w:rsidR="00E0643A" w:rsidRPr="00730356" w:rsidRDefault="00E0643A" w:rsidP="00E0643A">
            <w:pPr>
              <w:spacing w:after="0" w:line="240" w:lineRule="auto"/>
              <w:rPr>
                <w:rFonts w:cs="Times New Roman"/>
                <w:b/>
                <w:color w:val="000000" w:themeColor="text1"/>
                <w:sz w:val="18"/>
                <w:szCs w:val="18"/>
              </w:rPr>
            </w:pPr>
          </w:p>
        </w:tc>
      </w:tr>
      <w:tr w:rsidR="005E2D08" w:rsidRPr="00730356" w14:paraId="01FAD22A" w14:textId="1BF439B7" w:rsidTr="007A494D">
        <w:tc>
          <w:tcPr>
            <w:tcW w:w="3319" w:type="dxa"/>
            <w:tcBorders>
              <w:top w:val="single" w:sz="4" w:space="0" w:color="auto"/>
              <w:bottom w:val="single" w:sz="4" w:space="0" w:color="auto"/>
            </w:tcBorders>
          </w:tcPr>
          <w:p w14:paraId="567B0EB7" w14:textId="77777777" w:rsidR="00E0643A" w:rsidRPr="00730356" w:rsidRDefault="00E0643A" w:rsidP="00E0643A">
            <w:pPr>
              <w:spacing w:after="0" w:line="240" w:lineRule="auto"/>
              <w:ind w:left="170"/>
              <w:rPr>
                <w:rFonts w:cs="Times New Roman"/>
                <w:sz w:val="18"/>
                <w:szCs w:val="18"/>
              </w:rPr>
            </w:pPr>
            <w:r w:rsidRPr="00730356">
              <w:rPr>
                <w:rFonts w:cs="Times New Roman"/>
                <w:i/>
                <w:sz w:val="18"/>
                <w:szCs w:val="18"/>
              </w:rPr>
              <w:t>Staphylococcus aureus</w:t>
            </w:r>
          </w:p>
        </w:tc>
        <w:tc>
          <w:tcPr>
            <w:tcW w:w="472" w:type="dxa"/>
            <w:tcBorders>
              <w:top w:val="single" w:sz="4" w:space="0" w:color="auto"/>
              <w:bottom w:val="single" w:sz="4" w:space="0" w:color="auto"/>
            </w:tcBorders>
            <w:vAlign w:val="bottom"/>
          </w:tcPr>
          <w:p w14:paraId="49F0793E"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13</w:t>
            </w:r>
          </w:p>
        </w:tc>
        <w:tc>
          <w:tcPr>
            <w:tcW w:w="1871" w:type="dxa"/>
            <w:tcBorders>
              <w:top w:val="single" w:sz="4" w:space="0" w:color="auto"/>
              <w:bottom w:val="single" w:sz="4" w:space="0" w:color="auto"/>
            </w:tcBorders>
            <w:vAlign w:val="bottom"/>
          </w:tcPr>
          <w:p w14:paraId="2968158B"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0.26 (0.14 – 0.40)</w:t>
            </w:r>
          </w:p>
        </w:tc>
        <w:tc>
          <w:tcPr>
            <w:tcW w:w="576" w:type="dxa"/>
            <w:tcBorders>
              <w:top w:val="single" w:sz="4" w:space="0" w:color="auto"/>
              <w:bottom w:val="single" w:sz="4" w:space="0" w:color="auto"/>
            </w:tcBorders>
            <w:vAlign w:val="bottom"/>
          </w:tcPr>
          <w:p w14:paraId="190F3D0E"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296</w:t>
            </w:r>
          </w:p>
        </w:tc>
        <w:tc>
          <w:tcPr>
            <w:tcW w:w="1926" w:type="dxa"/>
            <w:tcBorders>
              <w:top w:val="single" w:sz="4" w:space="0" w:color="auto"/>
              <w:bottom w:val="single" w:sz="4" w:space="0" w:color="auto"/>
            </w:tcBorders>
            <w:vAlign w:val="bottom"/>
          </w:tcPr>
          <w:p w14:paraId="78A60777"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0.20 (0.14 – 0.28)</w:t>
            </w:r>
          </w:p>
        </w:tc>
        <w:tc>
          <w:tcPr>
            <w:tcW w:w="576" w:type="dxa"/>
            <w:tcBorders>
              <w:top w:val="single" w:sz="4" w:space="0" w:color="auto"/>
              <w:bottom w:val="single" w:sz="4" w:space="0" w:color="auto"/>
            </w:tcBorders>
            <w:vAlign w:val="bottom"/>
          </w:tcPr>
          <w:p w14:paraId="14796814"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489</w:t>
            </w:r>
          </w:p>
        </w:tc>
        <w:tc>
          <w:tcPr>
            <w:tcW w:w="1871" w:type="dxa"/>
            <w:tcBorders>
              <w:top w:val="single" w:sz="4" w:space="0" w:color="auto"/>
              <w:bottom w:val="single" w:sz="4" w:space="0" w:color="auto"/>
            </w:tcBorders>
            <w:vAlign w:val="bottom"/>
          </w:tcPr>
          <w:p w14:paraId="109A86E2"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0.12 (0.07 – 0.19)</w:t>
            </w:r>
          </w:p>
        </w:tc>
        <w:tc>
          <w:tcPr>
            <w:tcW w:w="585" w:type="dxa"/>
            <w:tcBorders>
              <w:top w:val="single" w:sz="4" w:space="0" w:color="auto"/>
              <w:bottom w:val="single" w:sz="4" w:space="0" w:color="auto"/>
            </w:tcBorders>
            <w:vAlign w:val="bottom"/>
          </w:tcPr>
          <w:p w14:paraId="133547BF"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1282</w:t>
            </w:r>
          </w:p>
        </w:tc>
        <w:tc>
          <w:tcPr>
            <w:tcW w:w="1893" w:type="dxa"/>
            <w:tcBorders>
              <w:top w:val="single" w:sz="4" w:space="0" w:color="auto"/>
              <w:bottom w:val="single" w:sz="4" w:space="0" w:color="auto"/>
            </w:tcBorders>
            <w:vAlign w:val="bottom"/>
          </w:tcPr>
          <w:p w14:paraId="7E0E3456"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0.32 (0.25 – 0.39)</w:t>
            </w:r>
          </w:p>
        </w:tc>
        <w:tc>
          <w:tcPr>
            <w:tcW w:w="623" w:type="dxa"/>
            <w:tcBorders>
              <w:top w:val="single" w:sz="4" w:space="0" w:color="auto"/>
              <w:bottom w:val="single" w:sz="4" w:space="0" w:color="auto"/>
            </w:tcBorders>
            <w:vAlign w:val="center"/>
          </w:tcPr>
          <w:p w14:paraId="27AAB758" w14:textId="0D526DB6" w:rsidR="00E0643A" w:rsidRPr="00730356" w:rsidRDefault="00E0643A" w:rsidP="00E0643A">
            <w:pPr>
              <w:spacing w:after="0" w:line="240" w:lineRule="auto"/>
              <w:jc w:val="right"/>
              <w:rPr>
                <w:rFonts w:cs="Times New Roman"/>
                <w:sz w:val="18"/>
                <w:szCs w:val="18"/>
              </w:rPr>
            </w:pPr>
            <w:r w:rsidRPr="00487403">
              <w:rPr>
                <w:rFonts w:cs="Times New Roman"/>
                <w:color w:val="000000"/>
                <w:sz w:val="18"/>
                <w:szCs w:val="18"/>
              </w:rPr>
              <w:t>2080</w:t>
            </w:r>
          </w:p>
        </w:tc>
        <w:tc>
          <w:tcPr>
            <w:tcW w:w="1926" w:type="dxa"/>
            <w:tcBorders>
              <w:top w:val="single" w:sz="4" w:space="0" w:color="auto"/>
              <w:bottom w:val="single" w:sz="4" w:space="0" w:color="auto"/>
            </w:tcBorders>
            <w:vAlign w:val="center"/>
          </w:tcPr>
          <w:p w14:paraId="0356D5A2" w14:textId="2E47882E" w:rsidR="00E0643A" w:rsidRPr="00730356" w:rsidRDefault="00E0643A" w:rsidP="00E0643A">
            <w:pPr>
              <w:spacing w:after="0" w:line="240" w:lineRule="auto"/>
              <w:rPr>
                <w:rFonts w:cs="Times New Roman"/>
                <w:sz w:val="18"/>
                <w:szCs w:val="18"/>
              </w:rPr>
            </w:pPr>
            <w:r>
              <w:rPr>
                <w:sz w:val="18"/>
                <w:szCs w:val="18"/>
              </w:rPr>
              <w:t>0.25 (0.21 – 0.29)</w:t>
            </w:r>
          </w:p>
        </w:tc>
      </w:tr>
      <w:tr w:rsidR="005E2D08" w:rsidRPr="00730356" w14:paraId="52B2FEF7" w14:textId="5CDC9E35" w:rsidTr="007A494D">
        <w:tc>
          <w:tcPr>
            <w:tcW w:w="3319" w:type="dxa"/>
            <w:tcBorders>
              <w:top w:val="single" w:sz="4" w:space="0" w:color="auto"/>
              <w:bottom w:val="single" w:sz="4" w:space="0" w:color="auto"/>
            </w:tcBorders>
          </w:tcPr>
          <w:p w14:paraId="0E5D3FBF" w14:textId="77777777" w:rsidR="00E0643A" w:rsidRPr="00730356" w:rsidRDefault="00E0643A" w:rsidP="00E0643A">
            <w:pPr>
              <w:spacing w:after="0" w:line="240" w:lineRule="auto"/>
              <w:ind w:left="170"/>
              <w:rPr>
                <w:rFonts w:cs="Times New Roman"/>
                <w:sz w:val="18"/>
                <w:szCs w:val="18"/>
              </w:rPr>
            </w:pPr>
            <w:r w:rsidRPr="00E45F6D">
              <w:rPr>
                <w:rFonts w:cs="Times New Roman"/>
                <w:i/>
                <w:sz w:val="18"/>
                <w:szCs w:val="18"/>
              </w:rPr>
              <w:t>Streptococcus</w:t>
            </w:r>
            <w:r w:rsidRPr="00730356">
              <w:rPr>
                <w:rFonts w:cs="Times New Roman"/>
                <w:sz w:val="18"/>
                <w:szCs w:val="18"/>
              </w:rPr>
              <w:t xml:space="preserve"> pyogenes</w:t>
            </w:r>
          </w:p>
        </w:tc>
        <w:tc>
          <w:tcPr>
            <w:tcW w:w="472" w:type="dxa"/>
            <w:tcBorders>
              <w:top w:val="single" w:sz="4" w:space="0" w:color="auto"/>
              <w:bottom w:val="single" w:sz="4" w:space="0" w:color="auto"/>
            </w:tcBorders>
            <w:vAlign w:val="bottom"/>
          </w:tcPr>
          <w:p w14:paraId="2A63357E"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2</w:t>
            </w:r>
          </w:p>
        </w:tc>
        <w:tc>
          <w:tcPr>
            <w:tcW w:w="1871" w:type="dxa"/>
            <w:tcBorders>
              <w:top w:val="single" w:sz="4" w:space="0" w:color="auto"/>
              <w:bottom w:val="single" w:sz="4" w:space="0" w:color="auto"/>
            </w:tcBorders>
            <w:vAlign w:val="bottom"/>
          </w:tcPr>
          <w:p w14:paraId="3B07E89B"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0.04 (0.00 – 0.11)</w:t>
            </w:r>
          </w:p>
        </w:tc>
        <w:tc>
          <w:tcPr>
            <w:tcW w:w="576" w:type="dxa"/>
            <w:tcBorders>
              <w:top w:val="single" w:sz="4" w:space="0" w:color="auto"/>
              <w:bottom w:val="single" w:sz="4" w:space="0" w:color="auto"/>
            </w:tcBorders>
            <w:vAlign w:val="bottom"/>
          </w:tcPr>
          <w:p w14:paraId="3973673D"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46</w:t>
            </w:r>
          </w:p>
        </w:tc>
        <w:tc>
          <w:tcPr>
            <w:tcW w:w="1926" w:type="dxa"/>
            <w:tcBorders>
              <w:top w:val="single" w:sz="4" w:space="0" w:color="auto"/>
              <w:bottom w:val="single" w:sz="4" w:space="0" w:color="auto"/>
            </w:tcBorders>
            <w:vAlign w:val="bottom"/>
          </w:tcPr>
          <w:p w14:paraId="1B4C5C57"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0.06 (0.05 – 0.08)</w:t>
            </w:r>
          </w:p>
        </w:tc>
        <w:tc>
          <w:tcPr>
            <w:tcW w:w="576" w:type="dxa"/>
            <w:tcBorders>
              <w:top w:val="single" w:sz="4" w:space="0" w:color="auto"/>
              <w:bottom w:val="single" w:sz="4" w:space="0" w:color="auto"/>
            </w:tcBorders>
            <w:vAlign w:val="bottom"/>
          </w:tcPr>
          <w:p w14:paraId="5B7F2C87"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50</w:t>
            </w:r>
          </w:p>
        </w:tc>
        <w:tc>
          <w:tcPr>
            <w:tcW w:w="1871" w:type="dxa"/>
            <w:tcBorders>
              <w:top w:val="single" w:sz="4" w:space="0" w:color="auto"/>
              <w:bottom w:val="single" w:sz="4" w:space="0" w:color="auto"/>
            </w:tcBorders>
            <w:vAlign w:val="bottom"/>
          </w:tcPr>
          <w:p w14:paraId="38DC165A"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0.04 (0.03 – 0.05)</w:t>
            </w:r>
          </w:p>
        </w:tc>
        <w:tc>
          <w:tcPr>
            <w:tcW w:w="585" w:type="dxa"/>
            <w:tcBorders>
              <w:top w:val="single" w:sz="4" w:space="0" w:color="auto"/>
              <w:bottom w:val="single" w:sz="4" w:space="0" w:color="auto"/>
            </w:tcBorders>
            <w:vAlign w:val="bottom"/>
          </w:tcPr>
          <w:p w14:paraId="6E525655"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19</w:t>
            </w:r>
          </w:p>
        </w:tc>
        <w:tc>
          <w:tcPr>
            <w:tcW w:w="1893" w:type="dxa"/>
            <w:tcBorders>
              <w:top w:val="single" w:sz="4" w:space="0" w:color="auto"/>
              <w:bottom w:val="single" w:sz="4" w:space="0" w:color="auto"/>
            </w:tcBorders>
            <w:vAlign w:val="bottom"/>
          </w:tcPr>
          <w:p w14:paraId="67C6DA56"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0.03 (0.00 – 0.09)</w:t>
            </w:r>
          </w:p>
        </w:tc>
        <w:tc>
          <w:tcPr>
            <w:tcW w:w="623" w:type="dxa"/>
            <w:tcBorders>
              <w:top w:val="single" w:sz="4" w:space="0" w:color="auto"/>
              <w:bottom w:val="single" w:sz="4" w:space="0" w:color="auto"/>
            </w:tcBorders>
            <w:vAlign w:val="center"/>
          </w:tcPr>
          <w:p w14:paraId="73026C07" w14:textId="094014DF" w:rsidR="00E0643A" w:rsidRPr="00730356" w:rsidRDefault="00E0643A" w:rsidP="00E0643A">
            <w:pPr>
              <w:spacing w:after="0" w:line="240" w:lineRule="auto"/>
              <w:jc w:val="right"/>
              <w:rPr>
                <w:rFonts w:cs="Times New Roman"/>
                <w:sz w:val="18"/>
                <w:szCs w:val="18"/>
              </w:rPr>
            </w:pPr>
            <w:r w:rsidRPr="00487403">
              <w:rPr>
                <w:rFonts w:cs="Times New Roman"/>
                <w:color w:val="000000"/>
                <w:sz w:val="18"/>
                <w:szCs w:val="18"/>
              </w:rPr>
              <w:t>117</w:t>
            </w:r>
          </w:p>
        </w:tc>
        <w:tc>
          <w:tcPr>
            <w:tcW w:w="1926" w:type="dxa"/>
            <w:tcBorders>
              <w:top w:val="single" w:sz="4" w:space="0" w:color="auto"/>
              <w:bottom w:val="single" w:sz="4" w:space="0" w:color="auto"/>
            </w:tcBorders>
            <w:vAlign w:val="center"/>
          </w:tcPr>
          <w:p w14:paraId="16AE500B" w14:textId="7A6D5F6A" w:rsidR="00E0643A" w:rsidRPr="00730356" w:rsidRDefault="00E0643A" w:rsidP="00E0643A">
            <w:pPr>
              <w:spacing w:after="0" w:line="240" w:lineRule="auto"/>
              <w:rPr>
                <w:rFonts w:cs="Times New Roman"/>
                <w:sz w:val="18"/>
                <w:szCs w:val="18"/>
              </w:rPr>
            </w:pPr>
            <w:r>
              <w:rPr>
                <w:sz w:val="18"/>
                <w:szCs w:val="18"/>
              </w:rPr>
              <w:t>0.04 (0.02 – 0.07)</w:t>
            </w:r>
          </w:p>
        </w:tc>
      </w:tr>
      <w:tr w:rsidR="005E2D08" w:rsidRPr="00730356" w14:paraId="10B38AB6" w14:textId="46D454D0" w:rsidTr="007A494D">
        <w:tc>
          <w:tcPr>
            <w:tcW w:w="3319" w:type="dxa"/>
            <w:tcBorders>
              <w:top w:val="single" w:sz="4" w:space="0" w:color="auto"/>
              <w:bottom w:val="single" w:sz="4" w:space="0" w:color="auto"/>
            </w:tcBorders>
          </w:tcPr>
          <w:p w14:paraId="37EC2EE2" w14:textId="77777777" w:rsidR="00E0643A" w:rsidRPr="00730356" w:rsidRDefault="00E0643A" w:rsidP="00E0643A">
            <w:pPr>
              <w:spacing w:after="0" w:line="240" w:lineRule="auto"/>
              <w:ind w:left="170"/>
              <w:rPr>
                <w:rFonts w:cs="Times New Roman"/>
                <w:sz w:val="18"/>
                <w:szCs w:val="18"/>
              </w:rPr>
            </w:pPr>
            <w:r w:rsidRPr="00730356">
              <w:rPr>
                <w:rFonts w:cs="Times New Roman"/>
                <w:sz w:val="18"/>
                <w:szCs w:val="18"/>
              </w:rPr>
              <w:t xml:space="preserve">Group B </w:t>
            </w:r>
            <w:r w:rsidRPr="00730356">
              <w:rPr>
                <w:rFonts w:cs="Times New Roman"/>
                <w:i/>
                <w:sz w:val="18"/>
                <w:szCs w:val="18"/>
              </w:rPr>
              <w:t>Streptococci</w:t>
            </w:r>
          </w:p>
        </w:tc>
        <w:tc>
          <w:tcPr>
            <w:tcW w:w="472" w:type="dxa"/>
            <w:tcBorders>
              <w:top w:val="single" w:sz="4" w:space="0" w:color="auto"/>
              <w:bottom w:val="single" w:sz="4" w:space="0" w:color="auto"/>
            </w:tcBorders>
            <w:vAlign w:val="bottom"/>
          </w:tcPr>
          <w:p w14:paraId="7ACF762E"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2</w:t>
            </w:r>
          </w:p>
        </w:tc>
        <w:tc>
          <w:tcPr>
            <w:tcW w:w="1871" w:type="dxa"/>
            <w:tcBorders>
              <w:top w:val="single" w:sz="4" w:space="0" w:color="auto"/>
              <w:bottom w:val="single" w:sz="4" w:space="0" w:color="auto"/>
            </w:tcBorders>
            <w:vAlign w:val="bottom"/>
          </w:tcPr>
          <w:p w14:paraId="03F5BA00"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0.08 (0.02 – 0.24)</w:t>
            </w:r>
          </w:p>
        </w:tc>
        <w:tc>
          <w:tcPr>
            <w:tcW w:w="576" w:type="dxa"/>
            <w:tcBorders>
              <w:top w:val="single" w:sz="4" w:space="0" w:color="auto"/>
              <w:bottom w:val="single" w:sz="4" w:space="0" w:color="auto"/>
            </w:tcBorders>
            <w:vAlign w:val="bottom"/>
          </w:tcPr>
          <w:p w14:paraId="04ED4C13"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35</w:t>
            </w:r>
          </w:p>
        </w:tc>
        <w:tc>
          <w:tcPr>
            <w:tcW w:w="1926" w:type="dxa"/>
            <w:tcBorders>
              <w:top w:val="single" w:sz="4" w:space="0" w:color="auto"/>
              <w:bottom w:val="single" w:sz="4" w:space="0" w:color="auto"/>
            </w:tcBorders>
            <w:vAlign w:val="bottom"/>
          </w:tcPr>
          <w:p w14:paraId="1E8C1F9D"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0.02 (0.00 – 0.06)</w:t>
            </w:r>
          </w:p>
        </w:tc>
        <w:tc>
          <w:tcPr>
            <w:tcW w:w="576" w:type="dxa"/>
            <w:tcBorders>
              <w:top w:val="single" w:sz="4" w:space="0" w:color="auto"/>
              <w:bottom w:val="single" w:sz="4" w:space="0" w:color="auto"/>
            </w:tcBorders>
            <w:vAlign w:val="bottom"/>
          </w:tcPr>
          <w:p w14:paraId="00A5920C"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290</w:t>
            </w:r>
          </w:p>
        </w:tc>
        <w:tc>
          <w:tcPr>
            <w:tcW w:w="1871" w:type="dxa"/>
            <w:tcBorders>
              <w:top w:val="single" w:sz="4" w:space="0" w:color="auto"/>
              <w:bottom w:val="single" w:sz="4" w:space="0" w:color="auto"/>
            </w:tcBorders>
            <w:vAlign w:val="bottom"/>
          </w:tcPr>
          <w:p w14:paraId="6AE078D3"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0.10 (0.05 – 0.17)</w:t>
            </w:r>
          </w:p>
        </w:tc>
        <w:tc>
          <w:tcPr>
            <w:tcW w:w="585" w:type="dxa"/>
            <w:tcBorders>
              <w:top w:val="single" w:sz="4" w:space="0" w:color="auto"/>
              <w:bottom w:val="single" w:sz="4" w:space="0" w:color="auto"/>
            </w:tcBorders>
            <w:vAlign w:val="bottom"/>
          </w:tcPr>
          <w:p w14:paraId="408825C6"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15</w:t>
            </w:r>
          </w:p>
        </w:tc>
        <w:tc>
          <w:tcPr>
            <w:tcW w:w="1893" w:type="dxa"/>
            <w:tcBorders>
              <w:top w:val="single" w:sz="4" w:space="0" w:color="auto"/>
              <w:bottom w:val="single" w:sz="4" w:space="0" w:color="auto"/>
            </w:tcBorders>
            <w:vAlign w:val="bottom"/>
          </w:tcPr>
          <w:p w14:paraId="421DEA55"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0.05 (0.00 – 0.27)</w:t>
            </w:r>
          </w:p>
        </w:tc>
        <w:tc>
          <w:tcPr>
            <w:tcW w:w="623" w:type="dxa"/>
            <w:tcBorders>
              <w:top w:val="single" w:sz="4" w:space="0" w:color="auto"/>
              <w:bottom w:val="single" w:sz="4" w:space="0" w:color="auto"/>
            </w:tcBorders>
            <w:vAlign w:val="center"/>
          </w:tcPr>
          <w:p w14:paraId="5F5F56A1" w14:textId="50F24C62" w:rsidR="00E0643A" w:rsidRPr="00730356" w:rsidRDefault="00E0643A" w:rsidP="00E0643A">
            <w:pPr>
              <w:spacing w:after="0" w:line="240" w:lineRule="auto"/>
              <w:jc w:val="right"/>
              <w:rPr>
                <w:rFonts w:cs="Times New Roman"/>
                <w:sz w:val="18"/>
                <w:szCs w:val="18"/>
              </w:rPr>
            </w:pPr>
            <w:r w:rsidRPr="00487403">
              <w:rPr>
                <w:rFonts w:cs="Times New Roman"/>
                <w:color w:val="000000"/>
                <w:sz w:val="18"/>
                <w:szCs w:val="18"/>
              </w:rPr>
              <w:t>342</w:t>
            </w:r>
          </w:p>
        </w:tc>
        <w:tc>
          <w:tcPr>
            <w:tcW w:w="1926" w:type="dxa"/>
            <w:tcBorders>
              <w:top w:val="single" w:sz="4" w:space="0" w:color="auto"/>
              <w:bottom w:val="single" w:sz="4" w:space="0" w:color="auto"/>
            </w:tcBorders>
            <w:vAlign w:val="center"/>
          </w:tcPr>
          <w:p w14:paraId="5AC67EAF" w14:textId="7A693493" w:rsidR="00E0643A" w:rsidRPr="00730356" w:rsidRDefault="00E0643A" w:rsidP="00E0643A">
            <w:pPr>
              <w:spacing w:after="0" w:line="240" w:lineRule="auto"/>
              <w:rPr>
                <w:rFonts w:cs="Times New Roman"/>
                <w:sz w:val="18"/>
                <w:szCs w:val="18"/>
              </w:rPr>
            </w:pPr>
            <w:r>
              <w:rPr>
                <w:sz w:val="18"/>
                <w:szCs w:val="18"/>
              </w:rPr>
              <w:t>0.06 (0.03 – 0.10)</w:t>
            </w:r>
          </w:p>
        </w:tc>
      </w:tr>
      <w:tr w:rsidR="005E2D08" w:rsidRPr="00730356" w14:paraId="43019228" w14:textId="73AA959D" w:rsidTr="007A494D">
        <w:tc>
          <w:tcPr>
            <w:tcW w:w="3319" w:type="dxa"/>
            <w:tcBorders>
              <w:top w:val="single" w:sz="4" w:space="0" w:color="auto"/>
              <w:bottom w:val="single" w:sz="4" w:space="0" w:color="auto"/>
            </w:tcBorders>
          </w:tcPr>
          <w:p w14:paraId="52DD14B3" w14:textId="77777777" w:rsidR="00E0643A" w:rsidRPr="00730356" w:rsidRDefault="00E0643A" w:rsidP="00E0643A">
            <w:pPr>
              <w:spacing w:after="0" w:line="240" w:lineRule="auto"/>
              <w:ind w:left="170"/>
              <w:rPr>
                <w:rFonts w:cs="Times New Roman"/>
                <w:sz w:val="18"/>
                <w:szCs w:val="18"/>
              </w:rPr>
            </w:pPr>
            <w:r w:rsidRPr="00730356">
              <w:rPr>
                <w:rFonts w:cs="Times New Roman"/>
                <w:sz w:val="18"/>
                <w:szCs w:val="18"/>
              </w:rPr>
              <w:t xml:space="preserve">Group D </w:t>
            </w:r>
            <w:r w:rsidRPr="00730356">
              <w:rPr>
                <w:rFonts w:cs="Times New Roman"/>
                <w:i/>
                <w:sz w:val="18"/>
                <w:szCs w:val="18"/>
              </w:rPr>
              <w:t>Streptococci</w:t>
            </w:r>
            <w:r w:rsidRPr="00730356">
              <w:rPr>
                <w:rFonts w:cs="Times New Roman"/>
                <w:sz w:val="18"/>
                <w:szCs w:val="18"/>
              </w:rPr>
              <w:t xml:space="preserve">/ </w:t>
            </w:r>
            <w:r w:rsidRPr="00730356">
              <w:rPr>
                <w:rFonts w:cs="Times New Roman"/>
                <w:i/>
                <w:sz w:val="18"/>
                <w:szCs w:val="18"/>
              </w:rPr>
              <w:t>Enterococcus</w:t>
            </w:r>
          </w:p>
        </w:tc>
        <w:tc>
          <w:tcPr>
            <w:tcW w:w="472" w:type="dxa"/>
            <w:tcBorders>
              <w:top w:val="single" w:sz="4" w:space="0" w:color="auto"/>
              <w:bottom w:val="single" w:sz="4" w:space="0" w:color="auto"/>
            </w:tcBorders>
            <w:vAlign w:val="bottom"/>
          </w:tcPr>
          <w:p w14:paraId="066FF3CB"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w:t>
            </w:r>
          </w:p>
        </w:tc>
        <w:tc>
          <w:tcPr>
            <w:tcW w:w="1871" w:type="dxa"/>
            <w:tcBorders>
              <w:top w:val="single" w:sz="4" w:space="0" w:color="auto"/>
              <w:bottom w:val="single" w:sz="4" w:space="0" w:color="auto"/>
            </w:tcBorders>
            <w:vAlign w:val="bottom"/>
          </w:tcPr>
          <w:p w14:paraId="0FE86148"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0.04 (0.01 – 0.19)</w:t>
            </w:r>
          </w:p>
        </w:tc>
        <w:tc>
          <w:tcPr>
            <w:tcW w:w="576" w:type="dxa"/>
            <w:tcBorders>
              <w:top w:val="single" w:sz="4" w:space="0" w:color="auto"/>
              <w:bottom w:val="single" w:sz="4" w:space="0" w:color="auto"/>
            </w:tcBorders>
            <w:vAlign w:val="bottom"/>
          </w:tcPr>
          <w:p w14:paraId="60E8B2EA"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71</w:t>
            </w:r>
          </w:p>
        </w:tc>
        <w:tc>
          <w:tcPr>
            <w:tcW w:w="1926" w:type="dxa"/>
            <w:tcBorders>
              <w:top w:val="single" w:sz="4" w:space="0" w:color="auto"/>
              <w:bottom w:val="single" w:sz="4" w:space="0" w:color="auto"/>
            </w:tcBorders>
            <w:vAlign w:val="bottom"/>
          </w:tcPr>
          <w:p w14:paraId="5A2497D8"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0.06 (0.05 – 0.08)</w:t>
            </w:r>
          </w:p>
        </w:tc>
        <w:tc>
          <w:tcPr>
            <w:tcW w:w="576" w:type="dxa"/>
            <w:tcBorders>
              <w:top w:val="single" w:sz="4" w:space="0" w:color="auto"/>
              <w:bottom w:val="single" w:sz="4" w:space="0" w:color="auto"/>
            </w:tcBorders>
            <w:vAlign w:val="bottom"/>
          </w:tcPr>
          <w:p w14:paraId="48E21555"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242</w:t>
            </w:r>
          </w:p>
        </w:tc>
        <w:tc>
          <w:tcPr>
            <w:tcW w:w="1871" w:type="dxa"/>
            <w:tcBorders>
              <w:top w:val="single" w:sz="4" w:space="0" w:color="auto"/>
              <w:bottom w:val="single" w:sz="4" w:space="0" w:color="auto"/>
            </w:tcBorders>
            <w:vAlign w:val="bottom"/>
          </w:tcPr>
          <w:p w14:paraId="24592BE2"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0.08 (0.06 – 0.10)</w:t>
            </w:r>
          </w:p>
        </w:tc>
        <w:tc>
          <w:tcPr>
            <w:tcW w:w="585" w:type="dxa"/>
            <w:tcBorders>
              <w:top w:val="single" w:sz="4" w:space="0" w:color="auto"/>
              <w:bottom w:val="single" w:sz="4" w:space="0" w:color="auto"/>
            </w:tcBorders>
            <w:vAlign w:val="bottom"/>
          </w:tcPr>
          <w:p w14:paraId="0BF533F4"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135</w:t>
            </w:r>
          </w:p>
        </w:tc>
        <w:tc>
          <w:tcPr>
            <w:tcW w:w="1893" w:type="dxa"/>
            <w:tcBorders>
              <w:top w:val="single" w:sz="4" w:space="0" w:color="auto"/>
              <w:bottom w:val="single" w:sz="4" w:space="0" w:color="auto"/>
            </w:tcBorders>
            <w:vAlign w:val="bottom"/>
          </w:tcPr>
          <w:p w14:paraId="58D6C99E"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0.04 (0.02 – 0.06)</w:t>
            </w:r>
          </w:p>
        </w:tc>
        <w:tc>
          <w:tcPr>
            <w:tcW w:w="623" w:type="dxa"/>
            <w:tcBorders>
              <w:top w:val="single" w:sz="4" w:space="0" w:color="auto"/>
              <w:bottom w:val="single" w:sz="4" w:space="0" w:color="auto"/>
            </w:tcBorders>
            <w:vAlign w:val="center"/>
          </w:tcPr>
          <w:p w14:paraId="06113C9E" w14:textId="3112D79A" w:rsidR="00E0643A" w:rsidRPr="00730356" w:rsidRDefault="00E0643A" w:rsidP="00E0643A">
            <w:pPr>
              <w:spacing w:after="0" w:line="240" w:lineRule="auto"/>
              <w:jc w:val="right"/>
              <w:rPr>
                <w:rFonts w:cs="Times New Roman"/>
                <w:sz w:val="18"/>
                <w:szCs w:val="18"/>
              </w:rPr>
            </w:pPr>
            <w:r w:rsidRPr="00487403">
              <w:rPr>
                <w:rFonts w:cs="Times New Roman"/>
                <w:color w:val="000000"/>
                <w:sz w:val="18"/>
                <w:szCs w:val="18"/>
              </w:rPr>
              <w:t>449</w:t>
            </w:r>
          </w:p>
        </w:tc>
        <w:tc>
          <w:tcPr>
            <w:tcW w:w="1926" w:type="dxa"/>
            <w:tcBorders>
              <w:top w:val="single" w:sz="4" w:space="0" w:color="auto"/>
              <w:bottom w:val="single" w:sz="4" w:space="0" w:color="auto"/>
            </w:tcBorders>
            <w:vAlign w:val="center"/>
          </w:tcPr>
          <w:p w14:paraId="723A9F05" w14:textId="3AE5ED83" w:rsidR="00E0643A" w:rsidRPr="00730356" w:rsidRDefault="00E0643A" w:rsidP="00E0643A">
            <w:pPr>
              <w:spacing w:after="0" w:line="240" w:lineRule="auto"/>
              <w:rPr>
                <w:rFonts w:cs="Times New Roman"/>
                <w:sz w:val="18"/>
                <w:szCs w:val="18"/>
              </w:rPr>
            </w:pPr>
            <w:r>
              <w:rPr>
                <w:sz w:val="18"/>
                <w:szCs w:val="18"/>
              </w:rPr>
              <w:t>0.05 (0.04 – 0.07)</w:t>
            </w:r>
          </w:p>
        </w:tc>
      </w:tr>
      <w:tr w:rsidR="005E2D08" w:rsidRPr="00730356" w14:paraId="4388EE7F" w14:textId="556183B9" w:rsidTr="007A494D">
        <w:tc>
          <w:tcPr>
            <w:tcW w:w="3319" w:type="dxa"/>
            <w:tcBorders>
              <w:top w:val="single" w:sz="4" w:space="0" w:color="auto"/>
              <w:bottom w:val="single" w:sz="4" w:space="0" w:color="auto"/>
            </w:tcBorders>
          </w:tcPr>
          <w:p w14:paraId="2E50E79E" w14:textId="77777777" w:rsidR="00E0643A" w:rsidRPr="00730356" w:rsidRDefault="00E0643A" w:rsidP="00E0643A">
            <w:pPr>
              <w:spacing w:after="0" w:line="240" w:lineRule="auto"/>
              <w:ind w:left="170"/>
              <w:rPr>
                <w:rFonts w:cs="Times New Roman"/>
                <w:sz w:val="18"/>
                <w:szCs w:val="18"/>
              </w:rPr>
            </w:pPr>
            <w:r w:rsidRPr="00730356">
              <w:rPr>
                <w:rFonts w:cs="Times New Roman"/>
                <w:i/>
                <w:sz w:val="18"/>
                <w:szCs w:val="18"/>
              </w:rPr>
              <w:t>Streptococcus pneumoniae</w:t>
            </w:r>
          </w:p>
        </w:tc>
        <w:tc>
          <w:tcPr>
            <w:tcW w:w="472" w:type="dxa"/>
            <w:tcBorders>
              <w:top w:val="single" w:sz="4" w:space="0" w:color="auto"/>
              <w:bottom w:val="single" w:sz="4" w:space="0" w:color="auto"/>
            </w:tcBorders>
          </w:tcPr>
          <w:p w14:paraId="70D25F21" w14:textId="77777777" w:rsidR="00E0643A" w:rsidRPr="00730356" w:rsidRDefault="00E0643A" w:rsidP="00E0643A">
            <w:pPr>
              <w:spacing w:after="0" w:line="240" w:lineRule="auto"/>
              <w:jc w:val="right"/>
              <w:rPr>
                <w:rFonts w:cs="Times New Roman"/>
                <w:sz w:val="18"/>
                <w:szCs w:val="18"/>
              </w:rPr>
            </w:pPr>
            <w:r w:rsidRPr="005718B6">
              <w:rPr>
                <w:rFonts w:cs="Times New Roman"/>
                <w:sz w:val="18"/>
                <w:szCs w:val="18"/>
              </w:rPr>
              <w:t>0</w:t>
            </w:r>
          </w:p>
        </w:tc>
        <w:tc>
          <w:tcPr>
            <w:tcW w:w="1871" w:type="dxa"/>
            <w:tcBorders>
              <w:top w:val="single" w:sz="4" w:space="0" w:color="auto"/>
              <w:bottom w:val="single" w:sz="4" w:space="0" w:color="auto"/>
            </w:tcBorders>
            <w:vAlign w:val="center"/>
          </w:tcPr>
          <w:p w14:paraId="519860CF" w14:textId="77777777" w:rsidR="00E0643A" w:rsidRPr="00730356" w:rsidRDefault="00E0643A" w:rsidP="00E0643A">
            <w:pPr>
              <w:spacing w:after="0" w:line="240" w:lineRule="auto"/>
              <w:rPr>
                <w:rFonts w:cs="Times New Roman"/>
                <w:sz w:val="18"/>
                <w:szCs w:val="18"/>
              </w:rPr>
            </w:pPr>
          </w:p>
        </w:tc>
        <w:tc>
          <w:tcPr>
            <w:tcW w:w="576" w:type="dxa"/>
            <w:tcBorders>
              <w:top w:val="single" w:sz="4" w:space="0" w:color="auto"/>
              <w:bottom w:val="single" w:sz="4" w:space="0" w:color="auto"/>
            </w:tcBorders>
            <w:vAlign w:val="bottom"/>
          </w:tcPr>
          <w:p w14:paraId="5DC6CDB9"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31</w:t>
            </w:r>
          </w:p>
        </w:tc>
        <w:tc>
          <w:tcPr>
            <w:tcW w:w="1926" w:type="dxa"/>
            <w:tcBorders>
              <w:top w:val="single" w:sz="4" w:space="0" w:color="auto"/>
              <w:bottom w:val="single" w:sz="4" w:space="0" w:color="auto"/>
            </w:tcBorders>
            <w:vAlign w:val="bottom"/>
          </w:tcPr>
          <w:p w14:paraId="2ECF1AF5"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0.03 (0.01 – 0.06)</w:t>
            </w:r>
          </w:p>
        </w:tc>
        <w:tc>
          <w:tcPr>
            <w:tcW w:w="576" w:type="dxa"/>
            <w:tcBorders>
              <w:top w:val="single" w:sz="4" w:space="0" w:color="auto"/>
              <w:bottom w:val="single" w:sz="4" w:space="0" w:color="auto"/>
            </w:tcBorders>
            <w:vAlign w:val="bottom"/>
          </w:tcPr>
          <w:p w14:paraId="5A4A004B"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59</w:t>
            </w:r>
          </w:p>
        </w:tc>
        <w:tc>
          <w:tcPr>
            <w:tcW w:w="1871" w:type="dxa"/>
            <w:tcBorders>
              <w:top w:val="single" w:sz="4" w:space="0" w:color="auto"/>
              <w:bottom w:val="single" w:sz="4" w:space="0" w:color="auto"/>
            </w:tcBorders>
            <w:vAlign w:val="bottom"/>
          </w:tcPr>
          <w:p w14:paraId="63FA2E89"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0.04 (0.03 – 0.05)</w:t>
            </w:r>
          </w:p>
        </w:tc>
        <w:tc>
          <w:tcPr>
            <w:tcW w:w="585" w:type="dxa"/>
            <w:tcBorders>
              <w:top w:val="single" w:sz="4" w:space="0" w:color="auto"/>
              <w:bottom w:val="single" w:sz="4" w:space="0" w:color="auto"/>
            </w:tcBorders>
            <w:vAlign w:val="bottom"/>
          </w:tcPr>
          <w:p w14:paraId="0FD83030"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24</w:t>
            </w:r>
          </w:p>
        </w:tc>
        <w:tc>
          <w:tcPr>
            <w:tcW w:w="1893" w:type="dxa"/>
            <w:tcBorders>
              <w:top w:val="single" w:sz="4" w:space="0" w:color="auto"/>
              <w:bottom w:val="single" w:sz="4" w:space="0" w:color="auto"/>
            </w:tcBorders>
            <w:vAlign w:val="bottom"/>
          </w:tcPr>
          <w:p w14:paraId="73BD62EC"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0.01 (0.00 – 0.03)</w:t>
            </w:r>
          </w:p>
        </w:tc>
        <w:tc>
          <w:tcPr>
            <w:tcW w:w="623" w:type="dxa"/>
            <w:tcBorders>
              <w:top w:val="single" w:sz="4" w:space="0" w:color="auto"/>
              <w:bottom w:val="single" w:sz="4" w:space="0" w:color="auto"/>
            </w:tcBorders>
            <w:vAlign w:val="center"/>
          </w:tcPr>
          <w:p w14:paraId="224B7D3B" w14:textId="21D587C5" w:rsidR="00E0643A" w:rsidRPr="00730356" w:rsidRDefault="00E0643A" w:rsidP="00E0643A">
            <w:pPr>
              <w:spacing w:after="0" w:line="240" w:lineRule="auto"/>
              <w:jc w:val="right"/>
              <w:rPr>
                <w:rFonts w:cs="Times New Roman"/>
                <w:sz w:val="18"/>
                <w:szCs w:val="18"/>
              </w:rPr>
            </w:pPr>
            <w:r w:rsidRPr="00487403">
              <w:rPr>
                <w:rFonts w:cs="Times New Roman"/>
                <w:color w:val="000000"/>
                <w:sz w:val="18"/>
                <w:szCs w:val="18"/>
              </w:rPr>
              <w:t>114</w:t>
            </w:r>
          </w:p>
        </w:tc>
        <w:tc>
          <w:tcPr>
            <w:tcW w:w="1926" w:type="dxa"/>
            <w:tcBorders>
              <w:top w:val="single" w:sz="4" w:space="0" w:color="auto"/>
              <w:bottom w:val="single" w:sz="4" w:space="0" w:color="auto"/>
            </w:tcBorders>
            <w:vAlign w:val="center"/>
          </w:tcPr>
          <w:p w14:paraId="19072301" w14:textId="17C6477E" w:rsidR="00E0643A" w:rsidRPr="00730356" w:rsidRDefault="00E0643A" w:rsidP="00E0643A">
            <w:pPr>
              <w:spacing w:after="0" w:line="240" w:lineRule="auto"/>
              <w:rPr>
                <w:rFonts w:cs="Times New Roman"/>
                <w:sz w:val="18"/>
                <w:szCs w:val="18"/>
              </w:rPr>
            </w:pPr>
            <w:r>
              <w:rPr>
                <w:sz w:val="18"/>
                <w:szCs w:val="18"/>
              </w:rPr>
              <w:t>0.02 (0.01 – 0.04)</w:t>
            </w:r>
          </w:p>
        </w:tc>
      </w:tr>
      <w:tr w:rsidR="005E2D08" w:rsidRPr="00730356" w14:paraId="323FC9FA" w14:textId="6E08FAC6" w:rsidTr="007A494D">
        <w:tc>
          <w:tcPr>
            <w:tcW w:w="3319" w:type="dxa"/>
            <w:tcBorders>
              <w:top w:val="single" w:sz="4" w:space="0" w:color="auto"/>
              <w:bottom w:val="single" w:sz="4" w:space="0" w:color="auto"/>
            </w:tcBorders>
          </w:tcPr>
          <w:p w14:paraId="7732543A" w14:textId="77777777" w:rsidR="00E0643A" w:rsidRPr="00E45F6D" w:rsidRDefault="00E0643A" w:rsidP="00E0643A">
            <w:pPr>
              <w:spacing w:after="0" w:line="240" w:lineRule="auto"/>
              <w:ind w:left="170"/>
              <w:rPr>
                <w:rFonts w:cs="Times New Roman"/>
                <w:i/>
                <w:sz w:val="18"/>
                <w:szCs w:val="18"/>
              </w:rPr>
            </w:pPr>
            <w:r w:rsidRPr="00E45F6D">
              <w:rPr>
                <w:rFonts w:cs="Times New Roman"/>
                <w:i/>
                <w:sz w:val="18"/>
                <w:szCs w:val="18"/>
              </w:rPr>
              <w:t>Viridians streptococci</w:t>
            </w:r>
          </w:p>
        </w:tc>
        <w:tc>
          <w:tcPr>
            <w:tcW w:w="472" w:type="dxa"/>
            <w:tcBorders>
              <w:top w:val="single" w:sz="4" w:space="0" w:color="auto"/>
              <w:bottom w:val="single" w:sz="4" w:space="0" w:color="auto"/>
            </w:tcBorders>
          </w:tcPr>
          <w:p w14:paraId="60D629F5" w14:textId="77777777" w:rsidR="00E0643A" w:rsidRPr="00730356" w:rsidRDefault="00E0643A" w:rsidP="00E0643A">
            <w:pPr>
              <w:spacing w:after="0" w:line="240" w:lineRule="auto"/>
              <w:jc w:val="right"/>
              <w:rPr>
                <w:rFonts w:cs="Times New Roman"/>
                <w:sz w:val="18"/>
                <w:szCs w:val="18"/>
              </w:rPr>
            </w:pPr>
            <w:r w:rsidRPr="005718B6">
              <w:rPr>
                <w:rFonts w:cs="Times New Roman"/>
                <w:sz w:val="18"/>
                <w:szCs w:val="18"/>
              </w:rPr>
              <w:t>0</w:t>
            </w:r>
          </w:p>
        </w:tc>
        <w:tc>
          <w:tcPr>
            <w:tcW w:w="1871" w:type="dxa"/>
            <w:tcBorders>
              <w:top w:val="single" w:sz="4" w:space="0" w:color="auto"/>
              <w:bottom w:val="single" w:sz="4" w:space="0" w:color="auto"/>
            </w:tcBorders>
            <w:vAlign w:val="center"/>
          </w:tcPr>
          <w:p w14:paraId="131483A2" w14:textId="77777777" w:rsidR="00E0643A" w:rsidRPr="00730356" w:rsidRDefault="00E0643A" w:rsidP="00E0643A">
            <w:pPr>
              <w:spacing w:after="0" w:line="240" w:lineRule="auto"/>
              <w:rPr>
                <w:rFonts w:cs="Times New Roman"/>
                <w:sz w:val="18"/>
                <w:szCs w:val="18"/>
              </w:rPr>
            </w:pPr>
          </w:p>
        </w:tc>
        <w:tc>
          <w:tcPr>
            <w:tcW w:w="576" w:type="dxa"/>
            <w:tcBorders>
              <w:top w:val="single" w:sz="4" w:space="0" w:color="auto"/>
              <w:bottom w:val="single" w:sz="4" w:space="0" w:color="auto"/>
            </w:tcBorders>
            <w:vAlign w:val="bottom"/>
          </w:tcPr>
          <w:p w14:paraId="150A9959"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15</w:t>
            </w:r>
          </w:p>
        </w:tc>
        <w:tc>
          <w:tcPr>
            <w:tcW w:w="1926" w:type="dxa"/>
            <w:tcBorders>
              <w:top w:val="single" w:sz="4" w:space="0" w:color="auto"/>
              <w:bottom w:val="single" w:sz="4" w:space="0" w:color="auto"/>
            </w:tcBorders>
            <w:vAlign w:val="bottom"/>
          </w:tcPr>
          <w:p w14:paraId="52A9A759"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0.04 (0.02 – 0.06)</w:t>
            </w:r>
          </w:p>
        </w:tc>
        <w:tc>
          <w:tcPr>
            <w:tcW w:w="576" w:type="dxa"/>
            <w:tcBorders>
              <w:top w:val="single" w:sz="4" w:space="0" w:color="auto"/>
              <w:bottom w:val="single" w:sz="4" w:space="0" w:color="auto"/>
            </w:tcBorders>
            <w:vAlign w:val="bottom"/>
          </w:tcPr>
          <w:p w14:paraId="5185EE21"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17</w:t>
            </w:r>
          </w:p>
        </w:tc>
        <w:tc>
          <w:tcPr>
            <w:tcW w:w="1871" w:type="dxa"/>
            <w:tcBorders>
              <w:top w:val="single" w:sz="4" w:space="0" w:color="auto"/>
              <w:bottom w:val="single" w:sz="4" w:space="0" w:color="auto"/>
            </w:tcBorders>
            <w:vAlign w:val="bottom"/>
          </w:tcPr>
          <w:p w14:paraId="1A0D37F0"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0.06 (0.03 – 0.09)</w:t>
            </w:r>
          </w:p>
        </w:tc>
        <w:tc>
          <w:tcPr>
            <w:tcW w:w="585" w:type="dxa"/>
            <w:tcBorders>
              <w:top w:val="single" w:sz="4" w:space="0" w:color="auto"/>
              <w:bottom w:val="single" w:sz="4" w:space="0" w:color="auto"/>
            </w:tcBorders>
            <w:vAlign w:val="bottom"/>
          </w:tcPr>
          <w:p w14:paraId="0827C4C3"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39</w:t>
            </w:r>
          </w:p>
        </w:tc>
        <w:tc>
          <w:tcPr>
            <w:tcW w:w="1893" w:type="dxa"/>
            <w:tcBorders>
              <w:top w:val="single" w:sz="4" w:space="0" w:color="auto"/>
              <w:bottom w:val="single" w:sz="4" w:space="0" w:color="auto"/>
            </w:tcBorders>
            <w:vAlign w:val="bottom"/>
          </w:tcPr>
          <w:p w14:paraId="78B426C2"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0.00 (0.00 0 0.01)</w:t>
            </w:r>
          </w:p>
        </w:tc>
        <w:tc>
          <w:tcPr>
            <w:tcW w:w="623" w:type="dxa"/>
            <w:tcBorders>
              <w:top w:val="single" w:sz="4" w:space="0" w:color="auto"/>
              <w:bottom w:val="single" w:sz="4" w:space="0" w:color="auto"/>
            </w:tcBorders>
            <w:vAlign w:val="center"/>
          </w:tcPr>
          <w:p w14:paraId="6B52C32B" w14:textId="2CB165B8" w:rsidR="00E0643A" w:rsidRPr="00730356" w:rsidRDefault="00E0643A" w:rsidP="00E0643A">
            <w:pPr>
              <w:spacing w:after="0" w:line="240" w:lineRule="auto"/>
              <w:jc w:val="right"/>
              <w:rPr>
                <w:rFonts w:cs="Times New Roman"/>
                <w:sz w:val="18"/>
                <w:szCs w:val="18"/>
              </w:rPr>
            </w:pPr>
            <w:r w:rsidRPr="00487403">
              <w:rPr>
                <w:rFonts w:cs="Times New Roman"/>
                <w:color w:val="000000"/>
                <w:sz w:val="18"/>
                <w:szCs w:val="18"/>
              </w:rPr>
              <w:t>71</w:t>
            </w:r>
          </w:p>
        </w:tc>
        <w:tc>
          <w:tcPr>
            <w:tcW w:w="1926" w:type="dxa"/>
            <w:tcBorders>
              <w:top w:val="single" w:sz="4" w:space="0" w:color="auto"/>
              <w:bottom w:val="single" w:sz="4" w:space="0" w:color="auto"/>
            </w:tcBorders>
            <w:vAlign w:val="center"/>
          </w:tcPr>
          <w:p w14:paraId="698961CF" w14:textId="2C981F7C" w:rsidR="00E0643A" w:rsidRPr="00730356" w:rsidRDefault="00E0643A" w:rsidP="00E0643A">
            <w:pPr>
              <w:spacing w:after="0" w:line="240" w:lineRule="auto"/>
              <w:rPr>
                <w:rFonts w:cs="Times New Roman"/>
                <w:sz w:val="18"/>
                <w:szCs w:val="18"/>
              </w:rPr>
            </w:pPr>
            <w:r>
              <w:rPr>
                <w:sz w:val="18"/>
                <w:szCs w:val="18"/>
              </w:rPr>
              <w:t>0.03 (0.01 – 0.05)</w:t>
            </w:r>
          </w:p>
        </w:tc>
      </w:tr>
      <w:tr w:rsidR="005E2D08" w:rsidRPr="00730356" w14:paraId="7D0653B2" w14:textId="6E053F82" w:rsidTr="007A494D">
        <w:tc>
          <w:tcPr>
            <w:tcW w:w="3319" w:type="dxa"/>
            <w:tcBorders>
              <w:top w:val="single" w:sz="4" w:space="0" w:color="auto"/>
              <w:bottom w:val="single" w:sz="4" w:space="0" w:color="auto"/>
            </w:tcBorders>
          </w:tcPr>
          <w:p w14:paraId="54344C11" w14:textId="77777777" w:rsidR="00E0643A" w:rsidRPr="00730356" w:rsidRDefault="00E0643A" w:rsidP="00E0643A">
            <w:pPr>
              <w:spacing w:after="0" w:line="240" w:lineRule="auto"/>
              <w:ind w:left="170"/>
              <w:rPr>
                <w:rFonts w:cs="Times New Roman"/>
                <w:sz w:val="18"/>
                <w:szCs w:val="18"/>
              </w:rPr>
            </w:pPr>
            <w:r w:rsidRPr="00730356">
              <w:rPr>
                <w:rFonts w:cs="Times New Roman"/>
                <w:sz w:val="18"/>
                <w:szCs w:val="18"/>
              </w:rPr>
              <w:t xml:space="preserve">Other </w:t>
            </w:r>
            <w:r w:rsidRPr="00730356">
              <w:rPr>
                <w:rFonts w:cs="Times New Roman"/>
                <w:i/>
                <w:sz w:val="18"/>
                <w:szCs w:val="18"/>
              </w:rPr>
              <w:t>Streptococcus</w:t>
            </w:r>
            <w:r w:rsidRPr="00730356">
              <w:rPr>
                <w:rFonts w:cs="Times New Roman"/>
                <w:sz w:val="18"/>
                <w:szCs w:val="18"/>
              </w:rPr>
              <w:t xml:space="preserve"> species/unspecified</w:t>
            </w:r>
          </w:p>
        </w:tc>
        <w:tc>
          <w:tcPr>
            <w:tcW w:w="472" w:type="dxa"/>
            <w:tcBorders>
              <w:top w:val="single" w:sz="4" w:space="0" w:color="auto"/>
              <w:bottom w:val="single" w:sz="4" w:space="0" w:color="auto"/>
            </w:tcBorders>
            <w:vAlign w:val="bottom"/>
          </w:tcPr>
          <w:p w14:paraId="7557169E"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4</w:t>
            </w:r>
          </w:p>
        </w:tc>
        <w:tc>
          <w:tcPr>
            <w:tcW w:w="1871" w:type="dxa"/>
            <w:tcBorders>
              <w:top w:val="single" w:sz="4" w:space="0" w:color="auto"/>
              <w:bottom w:val="single" w:sz="4" w:space="0" w:color="auto"/>
            </w:tcBorders>
            <w:vAlign w:val="bottom"/>
          </w:tcPr>
          <w:p w14:paraId="290BA190"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0.07 (0.01 – 0.16)</w:t>
            </w:r>
          </w:p>
        </w:tc>
        <w:tc>
          <w:tcPr>
            <w:tcW w:w="576" w:type="dxa"/>
            <w:tcBorders>
              <w:top w:val="single" w:sz="4" w:space="0" w:color="auto"/>
              <w:bottom w:val="single" w:sz="4" w:space="0" w:color="auto"/>
            </w:tcBorders>
            <w:vAlign w:val="bottom"/>
          </w:tcPr>
          <w:p w14:paraId="3E41D606"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22</w:t>
            </w:r>
          </w:p>
        </w:tc>
        <w:tc>
          <w:tcPr>
            <w:tcW w:w="1926" w:type="dxa"/>
            <w:tcBorders>
              <w:top w:val="single" w:sz="4" w:space="0" w:color="auto"/>
              <w:bottom w:val="single" w:sz="4" w:space="0" w:color="auto"/>
            </w:tcBorders>
            <w:vAlign w:val="bottom"/>
          </w:tcPr>
          <w:p w14:paraId="7EBC6D4E"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0.03 (0.01 – 0.06)</w:t>
            </w:r>
          </w:p>
        </w:tc>
        <w:tc>
          <w:tcPr>
            <w:tcW w:w="576" w:type="dxa"/>
            <w:tcBorders>
              <w:top w:val="single" w:sz="4" w:space="0" w:color="auto"/>
              <w:bottom w:val="single" w:sz="4" w:space="0" w:color="auto"/>
            </w:tcBorders>
            <w:vAlign w:val="bottom"/>
          </w:tcPr>
          <w:p w14:paraId="1DBA5455"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72</w:t>
            </w:r>
          </w:p>
        </w:tc>
        <w:tc>
          <w:tcPr>
            <w:tcW w:w="1871" w:type="dxa"/>
            <w:tcBorders>
              <w:top w:val="single" w:sz="4" w:space="0" w:color="auto"/>
              <w:bottom w:val="single" w:sz="4" w:space="0" w:color="auto"/>
            </w:tcBorders>
            <w:vAlign w:val="bottom"/>
          </w:tcPr>
          <w:p w14:paraId="1041F243"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0.04 (0.00 – 0.11)</w:t>
            </w:r>
          </w:p>
        </w:tc>
        <w:tc>
          <w:tcPr>
            <w:tcW w:w="585" w:type="dxa"/>
            <w:tcBorders>
              <w:top w:val="single" w:sz="4" w:space="0" w:color="auto"/>
              <w:bottom w:val="single" w:sz="4" w:space="0" w:color="auto"/>
            </w:tcBorders>
            <w:vAlign w:val="bottom"/>
          </w:tcPr>
          <w:p w14:paraId="4CF79C5A"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111</w:t>
            </w:r>
          </w:p>
        </w:tc>
        <w:tc>
          <w:tcPr>
            <w:tcW w:w="1893" w:type="dxa"/>
            <w:tcBorders>
              <w:top w:val="single" w:sz="4" w:space="0" w:color="auto"/>
              <w:bottom w:val="single" w:sz="4" w:space="0" w:color="auto"/>
            </w:tcBorders>
            <w:vAlign w:val="bottom"/>
          </w:tcPr>
          <w:p w14:paraId="52360262"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0.06 (0.03 – 0.10)</w:t>
            </w:r>
          </w:p>
        </w:tc>
        <w:tc>
          <w:tcPr>
            <w:tcW w:w="623" w:type="dxa"/>
            <w:tcBorders>
              <w:top w:val="single" w:sz="4" w:space="0" w:color="auto"/>
              <w:bottom w:val="single" w:sz="4" w:space="0" w:color="auto"/>
            </w:tcBorders>
            <w:vAlign w:val="center"/>
          </w:tcPr>
          <w:p w14:paraId="6E6A71A5" w14:textId="62FC9124" w:rsidR="00E0643A" w:rsidRPr="00730356" w:rsidRDefault="00E0643A" w:rsidP="00E0643A">
            <w:pPr>
              <w:spacing w:after="0" w:line="240" w:lineRule="auto"/>
              <w:jc w:val="right"/>
              <w:rPr>
                <w:rFonts w:cs="Times New Roman"/>
                <w:sz w:val="18"/>
                <w:szCs w:val="18"/>
              </w:rPr>
            </w:pPr>
            <w:r w:rsidRPr="00487403">
              <w:rPr>
                <w:rFonts w:cs="Times New Roman"/>
                <w:color w:val="000000"/>
                <w:sz w:val="18"/>
                <w:szCs w:val="18"/>
              </w:rPr>
              <w:t>20</w:t>
            </w:r>
            <w:r>
              <w:rPr>
                <w:rFonts w:cs="Times New Roman"/>
                <w:color w:val="000000"/>
                <w:sz w:val="18"/>
                <w:szCs w:val="18"/>
              </w:rPr>
              <w:t>9</w:t>
            </w:r>
          </w:p>
        </w:tc>
        <w:tc>
          <w:tcPr>
            <w:tcW w:w="1926" w:type="dxa"/>
            <w:tcBorders>
              <w:top w:val="single" w:sz="4" w:space="0" w:color="auto"/>
              <w:bottom w:val="single" w:sz="4" w:space="0" w:color="auto"/>
            </w:tcBorders>
            <w:vAlign w:val="center"/>
          </w:tcPr>
          <w:p w14:paraId="5A62452D" w14:textId="0E58FBA8" w:rsidR="00E0643A" w:rsidRPr="00730356" w:rsidRDefault="00E0643A" w:rsidP="00E0643A">
            <w:pPr>
              <w:spacing w:after="0" w:line="240" w:lineRule="auto"/>
              <w:rPr>
                <w:rFonts w:cs="Times New Roman"/>
                <w:sz w:val="18"/>
                <w:szCs w:val="18"/>
              </w:rPr>
            </w:pPr>
            <w:r>
              <w:rPr>
                <w:sz w:val="18"/>
                <w:szCs w:val="18"/>
              </w:rPr>
              <w:t>0.05 (0.03 – 0.07)</w:t>
            </w:r>
          </w:p>
        </w:tc>
      </w:tr>
      <w:tr w:rsidR="005E2D08" w:rsidRPr="00730356" w14:paraId="57553E44" w14:textId="75A04332" w:rsidTr="007A494D">
        <w:tc>
          <w:tcPr>
            <w:tcW w:w="3319" w:type="dxa"/>
            <w:tcBorders>
              <w:top w:val="single" w:sz="4" w:space="0" w:color="auto"/>
              <w:bottom w:val="single" w:sz="4" w:space="0" w:color="auto"/>
            </w:tcBorders>
          </w:tcPr>
          <w:p w14:paraId="76C5DBA8" w14:textId="77777777" w:rsidR="00E0643A" w:rsidRPr="00730356" w:rsidRDefault="00E0643A" w:rsidP="00E0643A">
            <w:pPr>
              <w:spacing w:after="0" w:line="240" w:lineRule="auto"/>
              <w:ind w:left="170"/>
              <w:rPr>
                <w:rFonts w:cs="Times New Roman"/>
                <w:sz w:val="18"/>
                <w:szCs w:val="18"/>
              </w:rPr>
            </w:pPr>
            <w:r w:rsidRPr="00730356">
              <w:rPr>
                <w:rFonts w:cs="Times New Roman"/>
                <w:sz w:val="18"/>
                <w:szCs w:val="18"/>
              </w:rPr>
              <w:t>Other/ unspecified Gram positives</w:t>
            </w:r>
          </w:p>
        </w:tc>
        <w:tc>
          <w:tcPr>
            <w:tcW w:w="472" w:type="dxa"/>
            <w:tcBorders>
              <w:top w:val="single" w:sz="4" w:space="0" w:color="auto"/>
              <w:bottom w:val="single" w:sz="4" w:space="0" w:color="auto"/>
            </w:tcBorders>
            <w:vAlign w:val="center"/>
          </w:tcPr>
          <w:p w14:paraId="1F88AFF3"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w:t>
            </w:r>
          </w:p>
        </w:tc>
        <w:tc>
          <w:tcPr>
            <w:tcW w:w="1871" w:type="dxa"/>
            <w:tcBorders>
              <w:top w:val="single" w:sz="4" w:space="0" w:color="auto"/>
              <w:bottom w:val="single" w:sz="4" w:space="0" w:color="auto"/>
            </w:tcBorders>
            <w:vAlign w:val="center"/>
          </w:tcPr>
          <w:p w14:paraId="59D2B0C0" w14:textId="77777777" w:rsidR="00E0643A" w:rsidRPr="00730356" w:rsidRDefault="00E0643A" w:rsidP="00E0643A">
            <w:pPr>
              <w:spacing w:after="0" w:line="240" w:lineRule="auto"/>
              <w:rPr>
                <w:rFonts w:cs="Times New Roman"/>
                <w:sz w:val="18"/>
                <w:szCs w:val="18"/>
              </w:rPr>
            </w:pPr>
          </w:p>
        </w:tc>
        <w:tc>
          <w:tcPr>
            <w:tcW w:w="576" w:type="dxa"/>
            <w:tcBorders>
              <w:top w:val="single" w:sz="4" w:space="0" w:color="auto"/>
              <w:bottom w:val="single" w:sz="4" w:space="0" w:color="auto"/>
            </w:tcBorders>
            <w:vAlign w:val="bottom"/>
          </w:tcPr>
          <w:p w14:paraId="02D3ADCA"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30</w:t>
            </w:r>
          </w:p>
        </w:tc>
        <w:tc>
          <w:tcPr>
            <w:tcW w:w="1926" w:type="dxa"/>
            <w:tcBorders>
              <w:top w:val="single" w:sz="4" w:space="0" w:color="auto"/>
              <w:bottom w:val="single" w:sz="4" w:space="0" w:color="auto"/>
            </w:tcBorders>
            <w:vAlign w:val="bottom"/>
          </w:tcPr>
          <w:p w14:paraId="0DBED16A"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0.14 (0.00 – 0.43)</w:t>
            </w:r>
          </w:p>
        </w:tc>
        <w:tc>
          <w:tcPr>
            <w:tcW w:w="576" w:type="dxa"/>
            <w:tcBorders>
              <w:top w:val="single" w:sz="4" w:space="0" w:color="auto"/>
              <w:bottom w:val="single" w:sz="4" w:space="0" w:color="auto"/>
            </w:tcBorders>
            <w:vAlign w:val="bottom"/>
          </w:tcPr>
          <w:p w14:paraId="6C74775F"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87</w:t>
            </w:r>
          </w:p>
        </w:tc>
        <w:tc>
          <w:tcPr>
            <w:tcW w:w="1871" w:type="dxa"/>
            <w:tcBorders>
              <w:top w:val="single" w:sz="4" w:space="0" w:color="auto"/>
              <w:bottom w:val="single" w:sz="4" w:space="0" w:color="auto"/>
            </w:tcBorders>
            <w:vAlign w:val="bottom"/>
          </w:tcPr>
          <w:p w14:paraId="4B145A44"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0.03 (0.00 – 0.07)</w:t>
            </w:r>
          </w:p>
        </w:tc>
        <w:tc>
          <w:tcPr>
            <w:tcW w:w="585" w:type="dxa"/>
            <w:tcBorders>
              <w:top w:val="single" w:sz="4" w:space="0" w:color="auto"/>
              <w:bottom w:val="single" w:sz="4" w:space="0" w:color="auto"/>
            </w:tcBorders>
            <w:vAlign w:val="bottom"/>
          </w:tcPr>
          <w:p w14:paraId="66D7CC20"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38</w:t>
            </w:r>
          </w:p>
        </w:tc>
        <w:tc>
          <w:tcPr>
            <w:tcW w:w="1893" w:type="dxa"/>
            <w:tcBorders>
              <w:top w:val="single" w:sz="4" w:space="0" w:color="auto"/>
              <w:bottom w:val="single" w:sz="4" w:space="0" w:color="auto"/>
            </w:tcBorders>
            <w:vAlign w:val="bottom"/>
          </w:tcPr>
          <w:p w14:paraId="7FBED744"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0.07 (0.01 – 0.18)</w:t>
            </w:r>
          </w:p>
        </w:tc>
        <w:tc>
          <w:tcPr>
            <w:tcW w:w="623" w:type="dxa"/>
            <w:tcBorders>
              <w:top w:val="single" w:sz="4" w:space="0" w:color="auto"/>
              <w:bottom w:val="single" w:sz="4" w:space="0" w:color="auto"/>
            </w:tcBorders>
            <w:vAlign w:val="center"/>
          </w:tcPr>
          <w:p w14:paraId="73EB9517" w14:textId="06BB0CE3" w:rsidR="00E0643A" w:rsidRPr="00730356" w:rsidRDefault="00E0643A" w:rsidP="00E0643A">
            <w:pPr>
              <w:spacing w:after="0" w:line="240" w:lineRule="auto"/>
              <w:jc w:val="right"/>
              <w:rPr>
                <w:rFonts w:cs="Times New Roman"/>
                <w:sz w:val="18"/>
                <w:szCs w:val="18"/>
              </w:rPr>
            </w:pPr>
            <w:r w:rsidRPr="00487403">
              <w:rPr>
                <w:rFonts w:cs="Times New Roman"/>
                <w:color w:val="000000"/>
                <w:sz w:val="18"/>
                <w:szCs w:val="18"/>
              </w:rPr>
              <w:t>1</w:t>
            </w:r>
            <w:r>
              <w:rPr>
                <w:rFonts w:cs="Times New Roman"/>
                <w:color w:val="000000"/>
                <w:sz w:val="18"/>
                <w:szCs w:val="18"/>
              </w:rPr>
              <w:t>55</w:t>
            </w:r>
          </w:p>
        </w:tc>
        <w:tc>
          <w:tcPr>
            <w:tcW w:w="1926" w:type="dxa"/>
            <w:tcBorders>
              <w:top w:val="single" w:sz="4" w:space="0" w:color="auto"/>
              <w:bottom w:val="single" w:sz="4" w:space="0" w:color="auto"/>
            </w:tcBorders>
            <w:vAlign w:val="center"/>
          </w:tcPr>
          <w:p w14:paraId="203EC58F" w14:textId="50EA246D" w:rsidR="00E0643A" w:rsidRPr="00730356" w:rsidRDefault="00E0643A" w:rsidP="00E0643A">
            <w:pPr>
              <w:spacing w:after="0" w:line="240" w:lineRule="auto"/>
              <w:rPr>
                <w:rFonts w:cs="Times New Roman"/>
                <w:sz w:val="18"/>
                <w:szCs w:val="18"/>
              </w:rPr>
            </w:pPr>
            <w:r>
              <w:rPr>
                <w:sz w:val="18"/>
                <w:szCs w:val="18"/>
              </w:rPr>
              <w:t>0.06 (0.03 – 0.09)</w:t>
            </w:r>
          </w:p>
        </w:tc>
      </w:tr>
      <w:tr w:rsidR="005E2D08" w:rsidRPr="00730356" w14:paraId="54C72A59" w14:textId="1AACBBA8" w:rsidTr="007A494D">
        <w:tc>
          <w:tcPr>
            <w:tcW w:w="3319" w:type="dxa"/>
            <w:tcBorders>
              <w:top w:val="single" w:sz="4" w:space="0" w:color="auto"/>
              <w:bottom w:val="single" w:sz="4" w:space="0" w:color="auto"/>
            </w:tcBorders>
            <w:vAlign w:val="center"/>
          </w:tcPr>
          <w:p w14:paraId="7C42AC90" w14:textId="77777777" w:rsidR="00E0643A" w:rsidRPr="00730356" w:rsidRDefault="00E0643A" w:rsidP="00E0643A">
            <w:pPr>
              <w:spacing w:after="0" w:line="240" w:lineRule="auto"/>
              <w:rPr>
                <w:rFonts w:cs="Times New Roman"/>
                <w:b/>
                <w:color w:val="000000" w:themeColor="text1"/>
                <w:sz w:val="18"/>
                <w:szCs w:val="18"/>
              </w:rPr>
            </w:pPr>
            <w:r w:rsidRPr="00730356">
              <w:rPr>
                <w:rFonts w:cs="Times New Roman"/>
                <w:b/>
                <w:color w:val="000000" w:themeColor="text1"/>
                <w:sz w:val="18"/>
                <w:szCs w:val="18"/>
              </w:rPr>
              <w:t>All Gram negatives</w:t>
            </w:r>
          </w:p>
        </w:tc>
        <w:tc>
          <w:tcPr>
            <w:tcW w:w="472" w:type="dxa"/>
            <w:tcBorders>
              <w:top w:val="single" w:sz="4" w:space="0" w:color="auto"/>
              <w:bottom w:val="single" w:sz="4" w:space="0" w:color="auto"/>
            </w:tcBorders>
            <w:vAlign w:val="bottom"/>
          </w:tcPr>
          <w:p w14:paraId="24E305CD" w14:textId="77777777" w:rsidR="00E0643A" w:rsidRPr="00730356" w:rsidRDefault="00E0643A" w:rsidP="00E0643A">
            <w:pPr>
              <w:spacing w:after="0" w:line="240" w:lineRule="auto"/>
              <w:jc w:val="right"/>
              <w:rPr>
                <w:rFonts w:cs="Times New Roman"/>
                <w:b/>
                <w:color w:val="000000" w:themeColor="text1"/>
                <w:sz w:val="18"/>
                <w:szCs w:val="18"/>
              </w:rPr>
            </w:pPr>
            <w:r w:rsidRPr="00730356">
              <w:rPr>
                <w:rFonts w:cs="Times New Roman"/>
                <w:b/>
                <w:color w:val="000000" w:themeColor="text1"/>
                <w:sz w:val="18"/>
                <w:szCs w:val="18"/>
              </w:rPr>
              <w:t>68</w:t>
            </w:r>
          </w:p>
        </w:tc>
        <w:tc>
          <w:tcPr>
            <w:tcW w:w="1871" w:type="dxa"/>
            <w:tcBorders>
              <w:top w:val="single" w:sz="4" w:space="0" w:color="auto"/>
              <w:bottom w:val="single" w:sz="4" w:space="0" w:color="auto"/>
            </w:tcBorders>
            <w:vAlign w:val="bottom"/>
          </w:tcPr>
          <w:p w14:paraId="34625C1F" w14:textId="77777777" w:rsidR="00E0643A" w:rsidRPr="00730356" w:rsidRDefault="00E0643A" w:rsidP="00E0643A">
            <w:pPr>
              <w:spacing w:after="0" w:line="240" w:lineRule="auto"/>
              <w:rPr>
                <w:rFonts w:cs="Times New Roman"/>
                <w:b/>
                <w:color w:val="000000" w:themeColor="text1"/>
                <w:sz w:val="18"/>
                <w:szCs w:val="18"/>
              </w:rPr>
            </w:pPr>
          </w:p>
        </w:tc>
        <w:tc>
          <w:tcPr>
            <w:tcW w:w="576" w:type="dxa"/>
            <w:tcBorders>
              <w:top w:val="single" w:sz="4" w:space="0" w:color="auto"/>
              <w:bottom w:val="single" w:sz="4" w:space="0" w:color="auto"/>
            </w:tcBorders>
            <w:vAlign w:val="bottom"/>
          </w:tcPr>
          <w:p w14:paraId="3C74D226" w14:textId="77777777" w:rsidR="00E0643A" w:rsidRPr="00730356" w:rsidRDefault="00E0643A" w:rsidP="00E0643A">
            <w:pPr>
              <w:spacing w:after="0" w:line="240" w:lineRule="auto"/>
              <w:jc w:val="right"/>
              <w:rPr>
                <w:rFonts w:cs="Times New Roman"/>
                <w:b/>
                <w:color w:val="000000" w:themeColor="text1"/>
                <w:sz w:val="18"/>
                <w:szCs w:val="18"/>
              </w:rPr>
            </w:pPr>
            <w:r w:rsidRPr="00730356">
              <w:rPr>
                <w:rFonts w:cs="Times New Roman"/>
                <w:b/>
                <w:color w:val="000000" w:themeColor="text1"/>
                <w:sz w:val="18"/>
                <w:szCs w:val="18"/>
              </w:rPr>
              <w:t>766</w:t>
            </w:r>
          </w:p>
        </w:tc>
        <w:tc>
          <w:tcPr>
            <w:tcW w:w="1926" w:type="dxa"/>
            <w:tcBorders>
              <w:top w:val="single" w:sz="4" w:space="0" w:color="auto"/>
              <w:bottom w:val="single" w:sz="4" w:space="0" w:color="auto"/>
            </w:tcBorders>
            <w:vAlign w:val="bottom"/>
          </w:tcPr>
          <w:p w14:paraId="68AEE12E" w14:textId="77777777" w:rsidR="00E0643A" w:rsidRPr="00730356" w:rsidRDefault="00E0643A" w:rsidP="00E0643A">
            <w:pPr>
              <w:spacing w:after="0" w:line="240" w:lineRule="auto"/>
              <w:rPr>
                <w:rFonts w:cs="Times New Roman"/>
                <w:b/>
                <w:color w:val="000000" w:themeColor="text1"/>
                <w:sz w:val="18"/>
                <w:szCs w:val="18"/>
              </w:rPr>
            </w:pPr>
          </w:p>
        </w:tc>
        <w:tc>
          <w:tcPr>
            <w:tcW w:w="576" w:type="dxa"/>
            <w:tcBorders>
              <w:top w:val="single" w:sz="4" w:space="0" w:color="auto"/>
              <w:bottom w:val="single" w:sz="4" w:space="0" w:color="auto"/>
            </w:tcBorders>
            <w:vAlign w:val="bottom"/>
          </w:tcPr>
          <w:p w14:paraId="180198B3" w14:textId="77777777" w:rsidR="00E0643A" w:rsidRPr="00730356" w:rsidRDefault="00E0643A" w:rsidP="00E0643A">
            <w:pPr>
              <w:spacing w:after="0" w:line="240" w:lineRule="auto"/>
              <w:jc w:val="right"/>
              <w:rPr>
                <w:rFonts w:cs="Times New Roman"/>
                <w:b/>
                <w:color w:val="000000" w:themeColor="text1"/>
                <w:sz w:val="18"/>
                <w:szCs w:val="18"/>
              </w:rPr>
            </w:pPr>
            <w:r w:rsidRPr="00730356">
              <w:rPr>
                <w:rFonts w:cs="Times New Roman"/>
                <w:b/>
                <w:color w:val="000000" w:themeColor="text1"/>
                <w:sz w:val="18"/>
                <w:szCs w:val="18"/>
              </w:rPr>
              <w:t>1603</w:t>
            </w:r>
          </w:p>
        </w:tc>
        <w:tc>
          <w:tcPr>
            <w:tcW w:w="1871" w:type="dxa"/>
            <w:tcBorders>
              <w:top w:val="single" w:sz="4" w:space="0" w:color="auto"/>
              <w:bottom w:val="single" w:sz="4" w:space="0" w:color="auto"/>
            </w:tcBorders>
            <w:vAlign w:val="bottom"/>
          </w:tcPr>
          <w:p w14:paraId="104BCF97" w14:textId="77777777" w:rsidR="00E0643A" w:rsidRPr="00730356" w:rsidRDefault="00E0643A" w:rsidP="00E0643A">
            <w:pPr>
              <w:spacing w:after="0" w:line="240" w:lineRule="auto"/>
              <w:rPr>
                <w:rFonts w:cs="Times New Roman"/>
                <w:b/>
                <w:color w:val="000000" w:themeColor="text1"/>
                <w:sz w:val="18"/>
                <w:szCs w:val="18"/>
              </w:rPr>
            </w:pPr>
          </w:p>
        </w:tc>
        <w:tc>
          <w:tcPr>
            <w:tcW w:w="585" w:type="dxa"/>
            <w:tcBorders>
              <w:top w:val="single" w:sz="4" w:space="0" w:color="auto"/>
              <w:bottom w:val="single" w:sz="4" w:space="0" w:color="auto"/>
            </w:tcBorders>
            <w:vAlign w:val="bottom"/>
          </w:tcPr>
          <w:p w14:paraId="47678F0C" w14:textId="77777777" w:rsidR="00E0643A" w:rsidRPr="00730356" w:rsidRDefault="00E0643A" w:rsidP="00E0643A">
            <w:pPr>
              <w:spacing w:after="0" w:line="240" w:lineRule="auto"/>
              <w:jc w:val="right"/>
              <w:rPr>
                <w:rFonts w:cs="Times New Roman"/>
                <w:b/>
                <w:color w:val="000000" w:themeColor="text1"/>
                <w:sz w:val="18"/>
                <w:szCs w:val="18"/>
              </w:rPr>
            </w:pPr>
            <w:r w:rsidRPr="00730356">
              <w:rPr>
                <w:rFonts w:cs="Times New Roman"/>
                <w:b/>
                <w:color w:val="000000" w:themeColor="text1"/>
                <w:sz w:val="18"/>
                <w:szCs w:val="18"/>
              </w:rPr>
              <w:t>1988</w:t>
            </w:r>
          </w:p>
        </w:tc>
        <w:tc>
          <w:tcPr>
            <w:tcW w:w="1893" w:type="dxa"/>
            <w:tcBorders>
              <w:top w:val="single" w:sz="4" w:space="0" w:color="auto"/>
              <w:bottom w:val="single" w:sz="4" w:space="0" w:color="auto"/>
            </w:tcBorders>
            <w:vAlign w:val="bottom"/>
          </w:tcPr>
          <w:p w14:paraId="6AE7AC3A" w14:textId="77777777" w:rsidR="00E0643A" w:rsidRPr="00730356" w:rsidRDefault="00E0643A" w:rsidP="00E0643A">
            <w:pPr>
              <w:spacing w:after="0" w:line="240" w:lineRule="auto"/>
              <w:rPr>
                <w:rFonts w:cs="Times New Roman"/>
                <w:b/>
                <w:color w:val="000000" w:themeColor="text1"/>
                <w:sz w:val="18"/>
                <w:szCs w:val="18"/>
              </w:rPr>
            </w:pPr>
          </w:p>
        </w:tc>
        <w:tc>
          <w:tcPr>
            <w:tcW w:w="623" w:type="dxa"/>
            <w:tcBorders>
              <w:top w:val="single" w:sz="4" w:space="0" w:color="auto"/>
              <w:bottom w:val="single" w:sz="4" w:space="0" w:color="auto"/>
            </w:tcBorders>
            <w:vAlign w:val="center"/>
          </w:tcPr>
          <w:p w14:paraId="07968071" w14:textId="5CDC94B1" w:rsidR="00E0643A" w:rsidRPr="00730356" w:rsidRDefault="0005491B" w:rsidP="00E0643A">
            <w:pPr>
              <w:spacing w:after="0" w:line="240" w:lineRule="auto"/>
              <w:jc w:val="right"/>
              <w:rPr>
                <w:rFonts w:cs="Times New Roman"/>
                <w:b/>
                <w:color w:val="000000" w:themeColor="text1"/>
                <w:sz w:val="18"/>
                <w:szCs w:val="18"/>
              </w:rPr>
            </w:pPr>
            <w:r>
              <w:rPr>
                <w:rFonts w:cs="Times New Roman"/>
                <w:b/>
                <w:color w:val="000000" w:themeColor="text1"/>
                <w:sz w:val="18"/>
                <w:szCs w:val="18"/>
              </w:rPr>
              <w:t>4425</w:t>
            </w:r>
          </w:p>
        </w:tc>
        <w:tc>
          <w:tcPr>
            <w:tcW w:w="1926" w:type="dxa"/>
            <w:tcBorders>
              <w:top w:val="single" w:sz="4" w:space="0" w:color="auto"/>
              <w:bottom w:val="single" w:sz="4" w:space="0" w:color="auto"/>
            </w:tcBorders>
            <w:vAlign w:val="center"/>
          </w:tcPr>
          <w:p w14:paraId="6FA7CF94" w14:textId="77777777" w:rsidR="00E0643A" w:rsidRPr="00730356" w:rsidRDefault="00E0643A" w:rsidP="00E0643A">
            <w:pPr>
              <w:spacing w:after="0" w:line="240" w:lineRule="auto"/>
              <w:rPr>
                <w:rFonts w:cs="Times New Roman"/>
                <w:b/>
                <w:color w:val="000000" w:themeColor="text1"/>
                <w:sz w:val="18"/>
                <w:szCs w:val="18"/>
              </w:rPr>
            </w:pPr>
          </w:p>
        </w:tc>
      </w:tr>
      <w:tr w:rsidR="005E2D08" w:rsidRPr="00730356" w14:paraId="3B2B1928" w14:textId="42070936" w:rsidTr="007A494D">
        <w:tc>
          <w:tcPr>
            <w:tcW w:w="3319" w:type="dxa"/>
            <w:tcBorders>
              <w:top w:val="single" w:sz="4" w:space="0" w:color="auto"/>
              <w:bottom w:val="single" w:sz="4" w:space="0" w:color="auto"/>
            </w:tcBorders>
          </w:tcPr>
          <w:p w14:paraId="77B08D24" w14:textId="77777777" w:rsidR="00E0643A" w:rsidRPr="00730356" w:rsidRDefault="00E0643A" w:rsidP="00E0643A">
            <w:pPr>
              <w:spacing w:after="0" w:line="240" w:lineRule="auto"/>
              <w:ind w:left="170"/>
              <w:rPr>
                <w:rFonts w:cs="Times New Roman"/>
                <w:sz w:val="18"/>
                <w:szCs w:val="18"/>
              </w:rPr>
            </w:pPr>
            <w:r w:rsidRPr="00730356">
              <w:rPr>
                <w:rFonts w:cs="Times New Roman"/>
                <w:i/>
                <w:sz w:val="18"/>
                <w:szCs w:val="18"/>
              </w:rPr>
              <w:t>Klebsiella</w:t>
            </w:r>
            <w:r w:rsidRPr="00730356">
              <w:rPr>
                <w:rFonts w:cs="Times New Roman"/>
                <w:sz w:val="18"/>
                <w:szCs w:val="18"/>
              </w:rPr>
              <w:t xml:space="preserve"> species</w:t>
            </w:r>
          </w:p>
        </w:tc>
        <w:tc>
          <w:tcPr>
            <w:tcW w:w="472" w:type="dxa"/>
            <w:tcBorders>
              <w:top w:val="single" w:sz="4" w:space="0" w:color="auto"/>
              <w:bottom w:val="single" w:sz="4" w:space="0" w:color="auto"/>
            </w:tcBorders>
            <w:vAlign w:val="bottom"/>
          </w:tcPr>
          <w:p w14:paraId="4B23A519"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38</w:t>
            </w:r>
          </w:p>
        </w:tc>
        <w:tc>
          <w:tcPr>
            <w:tcW w:w="1871" w:type="dxa"/>
            <w:tcBorders>
              <w:top w:val="single" w:sz="4" w:space="0" w:color="auto"/>
              <w:bottom w:val="single" w:sz="4" w:space="0" w:color="auto"/>
            </w:tcBorders>
            <w:vAlign w:val="bottom"/>
          </w:tcPr>
          <w:p w14:paraId="31819636" w14:textId="77777777" w:rsidR="00E0643A" w:rsidRPr="00730356" w:rsidRDefault="00E0643A" w:rsidP="00E0643A">
            <w:pPr>
              <w:spacing w:after="0" w:line="240" w:lineRule="auto"/>
              <w:rPr>
                <w:rFonts w:cs="Times New Roman"/>
                <w:sz w:val="18"/>
                <w:szCs w:val="18"/>
              </w:rPr>
            </w:pPr>
            <w:r>
              <w:rPr>
                <w:rFonts w:cs="Times New Roman"/>
                <w:sz w:val="18"/>
                <w:szCs w:val="18"/>
              </w:rPr>
              <w:t>0.34 (0.15 – 0.56)</w:t>
            </w:r>
          </w:p>
        </w:tc>
        <w:tc>
          <w:tcPr>
            <w:tcW w:w="576" w:type="dxa"/>
            <w:tcBorders>
              <w:top w:val="single" w:sz="4" w:space="0" w:color="auto"/>
              <w:bottom w:val="single" w:sz="4" w:space="0" w:color="auto"/>
            </w:tcBorders>
            <w:vAlign w:val="bottom"/>
          </w:tcPr>
          <w:p w14:paraId="536C5F32"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299</w:t>
            </w:r>
          </w:p>
        </w:tc>
        <w:tc>
          <w:tcPr>
            <w:tcW w:w="1926" w:type="dxa"/>
            <w:tcBorders>
              <w:top w:val="single" w:sz="4" w:space="0" w:color="auto"/>
              <w:bottom w:val="single" w:sz="4" w:space="0" w:color="auto"/>
            </w:tcBorders>
            <w:vAlign w:val="bottom"/>
          </w:tcPr>
          <w:p w14:paraId="7F8CE93C" w14:textId="77777777" w:rsidR="00E0643A" w:rsidRPr="00730356" w:rsidRDefault="00E0643A" w:rsidP="00E0643A">
            <w:pPr>
              <w:spacing w:after="0" w:line="240" w:lineRule="auto"/>
              <w:rPr>
                <w:rFonts w:cs="Times New Roman"/>
                <w:sz w:val="18"/>
                <w:szCs w:val="18"/>
              </w:rPr>
            </w:pPr>
            <w:r>
              <w:rPr>
                <w:rFonts w:cs="Times New Roman"/>
                <w:sz w:val="18"/>
                <w:szCs w:val="18"/>
              </w:rPr>
              <w:t>0.19 (0.13 – 0.25)</w:t>
            </w:r>
          </w:p>
        </w:tc>
        <w:tc>
          <w:tcPr>
            <w:tcW w:w="576" w:type="dxa"/>
            <w:tcBorders>
              <w:top w:val="single" w:sz="4" w:space="0" w:color="auto"/>
              <w:bottom w:val="single" w:sz="4" w:space="0" w:color="auto"/>
            </w:tcBorders>
            <w:vAlign w:val="bottom"/>
          </w:tcPr>
          <w:p w14:paraId="5BDCAE76"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732</w:t>
            </w:r>
          </w:p>
        </w:tc>
        <w:tc>
          <w:tcPr>
            <w:tcW w:w="1871" w:type="dxa"/>
            <w:tcBorders>
              <w:top w:val="single" w:sz="4" w:space="0" w:color="auto"/>
              <w:bottom w:val="single" w:sz="4" w:space="0" w:color="auto"/>
            </w:tcBorders>
            <w:vAlign w:val="bottom"/>
          </w:tcPr>
          <w:p w14:paraId="3C1DD4E3" w14:textId="77777777" w:rsidR="00E0643A" w:rsidRPr="00730356" w:rsidRDefault="00E0643A" w:rsidP="00E0643A">
            <w:pPr>
              <w:spacing w:after="0" w:line="240" w:lineRule="auto"/>
              <w:rPr>
                <w:rFonts w:cs="Times New Roman"/>
                <w:sz w:val="18"/>
                <w:szCs w:val="18"/>
              </w:rPr>
            </w:pPr>
            <w:r>
              <w:rPr>
                <w:rFonts w:cs="Times New Roman"/>
                <w:sz w:val="18"/>
                <w:szCs w:val="18"/>
              </w:rPr>
              <w:t>0.25 (0.10 – 0.41)</w:t>
            </w:r>
          </w:p>
        </w:tc>
        <w:tc>
          <w:tcPr>
            <w:tcW w:w="585" w:type="dxa"/>
            <w:tcBorders>
              <w:top w:val="single" w:sz="4" w:space="0" w:color="auto"/>
              <w:bottom w:val="single" w:sz="4" w:space="0" w:color="auto"/>
            </w:tcBorders>
            <w:vAlign w:val="bottom"/>
          </w:tcPr>
          <w:p w14:paraId="5F7CD125"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641</w:t>
            </w:r>
          </w:p>
        </w:tc>
        <w:tc>
          <w:tcPr>
            <w:tcW w:w="1893" w:type="dxa"/>
            <w:tcBorders>
              <w:top w:val="single" w:sz="4" w:space="0" w:color="auto"/>
              <w:bottom w:val="single" w:sz="4" w:space="0" w:color="auto"/>
            </w:tcBorders>
            <w:vAlign w:val="bottom"/>
          </w:tcPr>
          <w:p w14:paraId="5270599F" w14:textId="77777777" w:rsidR="00E0643A" w:rsidRPr="00730356" w:rsidRDefault="00E0643A" w:rsidP="00E0643A">
            <w:pPr>
              <w:spacing w:after="0" w:line="240" w:lineRule="auto"/>
              <w:rPr>
                <w:rFonts w:cs="Times New Roman"/>
                <w:sz w:val="18"/>
                <w:szCs w:val="18"/>
              </w:rPr>
            </w:pPr>
            <w:r>
              <w:rPr>
                <w:rFonts w:cs="Times New Roman"/>
                <w:sz w:val="18"/>
                <w:szCs w:val="18"/>
              </w:rPr>
              <w:t>0.21 (0.14 – 0.28)</w:t>
            </w:r>
          </w:p>
        </w:tc>
        <w:tc>
          <w:tcPr>
            <w:tcW w:w="623" w:type="dxa"/>
            <w:tcBorders>
              <w:top w:val="single" w:sz="4" w:space="0" w:color="auto"/>
              <w:bottom w:val="single" w:sz="4" w:space="0" w:color="auto"/>
            </w:tcBorders>
            <w:vAlign w:val="center"/>
          </w:tcPr>
          <w:p w14:paraId="33117AF3" w14:textId="418439C5" w:rsidR="00E0643A" w:rsidRDefault="00E0643A" w:rsidP="00E0643A">
            <w:pPr>
              <w:spacing w:after="0" w:line="240" w:lineRule="auto"/>
              <w:jc w:val="right"/>
              <w:rPr>
                <w:rFonts w:cs="Times New Roman"/>
                <w:sz w:val="18"/>
                <w:szCs w:val="18"/>
              </w:rPr>
            </w:pPr>
            <w:r>
              <w:rPr>
                <w:rFonts w:cs="Times New Roman"/>
                <w:color w:val="000000"/>
                <w:sz w:val="18"/>
                <w:szCs w:val="18"/>
              </w:rPr>
              <w:t>1730</w:t>
            </w:r>
          </w:p>
        </w:tc>
        <w:tc>
          <w:tcPr>
            <w:tcW w:w="1926" w:type="dxa"/>
            <w:tcBorders>
              <w:top w:val="single" w:sz="4" w:space="0" w:color="auto"/>
              <w:bottom w:val="single" w:sz="4" w:space="0" w:color="auto"/>
            </w:tcBorders>
            <w:vAlign w:val="center"/>
          </w:tcPr>
          <w:p w14:paraId="22F94718" w14:textId="08A9220C" w:rsidR="00E0643A" w:rsidRDefault="00E0643A" w:rsidP="00E0643A">
            <w:pPr>
              <w:spacing w:after="0" w:line="240" w:lineRule="auto"/>
              <w:rPr>
                <w:rFonts w:cs="Times New Roman"/>
                <w:sz w:val="18"/>
                <w:szCs w:val="18"/>
              </w:rPr>
            </w:pPr>
            <w:r>
              <w:rPr>
                <w:sz w:val="18"/>
                <w:szCs w:val="18"/>
              </w:rPr>
              <w:t>0.21 (0.16 – 0.27)</w:t>
            </w:r>
          </w:p>
        </w:tc>
      </w:tr>
      <w:tr w:rsidR="005E2D08" w:rsidRPr="00730356" w14:paraId="43AE8AB2" w14:textId="723340E6" w:rsidTr="007A494D">
        <w:tc>
          <w:tcPr>
            <w:tcW w:w="3319" w:type="dxa"/>
            <w:tcBorders>
              <w:top w:val="single" w:sz="4" w:space="0" w:color="auto"/>
              <w:bottom w:val="single" w:sz="4" w:space="0" w:color="auto"/>
            </w:tcBorders>
          </w:tcPr>
          <w:p w14:paraId="7F70D8B0" w14:textId="77777777" w:rsidR="00E0643A" w:rsidRPr="00730356" w:rsidRDefault="00E0643A" w:rsidP="00E0643A">
            <w:pPr>
              <w:spacing w:after="0" w:line="240" w:lineRule="auto"/>
              <w:ind w:left="170"/>
              <w:rPr>
                <w:rFonts w:cs="Times New Roman"/>
                <w:sz w:val="18"/>
                <w:szCs w:val="18"/>
              </w:rPr>
            </w:pPr>
            <w:r w:rsidRPr="00730356">
              <w:rPr>
                <w:rFonts w:cs="Times New Roman"/>
                <w:i/>
                <w:sz w:val="18"/>
                <w:szCs w:val="18"/>
              </w:rPr>
              <w:t>Escherichia coli</w:t>
            </w:r>
          </w:p>
        </w:tc>
        <w:tc>
          <w:tcPr>
            <w:tcW w:w="472" w:type="dxa"/>
            <w:tcBorders>
              <w:top w:val="single" w:sz="4" w:space="0" w:color="auto"/>
              <w:bottom w:val="single" w:sz="4" w:space="0" w:color="auto"/>
            </w:tcBorders>
            <w:vAlign w:val="bottom"/>
          </w:tcPr>
          <w:p w14:paraId="2735CAE1"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17</w:t>
            </w:r>
          </w:p>
        </w:tc>
        <w:tc>
          <w:tcPr>
            <w:tcW w:w="1871" w:type="dxa"/>
            <w:tcBorders>
              <w:top w:val="single" w:sz="4" w:space="0" w:color="auto"/>
              <w:bottom w:val="single" w:sz="4" w:space="0" w:color="auto"/>
            </w:tcBorders>
            <w:vAlign w:val="bottom"/>
          </w:tcPr>
          <w:p w14:paraId="55B4E5CA" w14:textId="77777777" w:rsidR="00E0643A" w:rsidRPr="00730356" w:rsidRDefault="00E0643A" w:rsidP="00E0643A">
            <w:pPr>
              <w:spacing w:after="0" w:line="240" w:lineRule="auto"/>
              <w:rPr>
                <w:rFonts w:cs="Times New Roman"/>
                <w:sz w:val="18"/>
                <w:szCs w:val="18"/>
              </w:rPr>
            </w:pPr>
            <w:r>
              <w:rPr>
                <w:rFonts w:cs="Times New Roman"/>
                <w:sz w:val="18"/>
                <w:szCs w:val="18"/>
              </w:rPr>
              <w:t>0.17 (0.07 – 0.29)</w:t>
            </w:r>
          </w:p>
        </w:tc>
        <w:tc>
          <w:tcPr>
            <w:tcW w:w="576" w:type="dxa"/>
            <w:tcBorders>
              <w:top w:val="single" w:sz="4" w:space="0" w:color="auto"/>
              <w:bottom w:val="single" w:sz="4" w:space="0" w:color="auto"/>
            </w:tcBorders>
            <w:vAlign w:val="bottom"/>
          </w:tcPr>
          <w:p w14:paraId="17E05E3C"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146</w:t>
            </w:r>
          </w:p>
        </w:tc>
        <w:tc>
          <w:tcPr>
            <w:tcW w:w="1926" w:type="dxa"/>
            <w:tcBorders>
              <w:top w:val="single" w:sz="4" w:space="0" w:color="auto"/>
              <w:bottom w:val="single" w:sz="4" w:space="0" w:color="auto"/>
            </w:tcBorders>
            <w:vAlign w:val="bottom"/>
          </w:tcPr>
          <w:p w14:paraId="158BF433" w14:textId="77777777" w:rsidR="00E0643A" w:rsidRPr="00730356" w:rsidRDefault="00E0643A" w:rsidP="00E0643A">
            <w:pPr>
              <w:spacing w:after="0" w:line="240" w:lineRule="auto"/>
              <w:rPr>
                <w:rFonts w:cs="Times New Roman"/>
                <w:sz w:val="18"/>
                <w:szCs w:val="18"/>
              </w:rPr>
            </w:pPr>
            <w:r>
              <w:rPr>
                <w:rFonts w:cs="Times New Roman"/>
                <w:sz w:val="18"/>
                <w:szCs w:val="18"/>
              </w:rPr>
              <w:t>0.10 (0.07 – 0.14)</w:t>
            </w:r>
          </w:p>
        </w:tc>
        <w:tc>
          <w:tcPr>
            <w:tcW w:w="576" w:type="dxa"/>
            <w:tcBorders>
              <w:top w:val="single" w:sz="4" w:space="0" w:color="auto"/>
              <w:bottom w:val="single" w:sz="4" w:space="0" w:color="auto"/>
            </w:tcBorders>
            <w:vAlign w:val="bottom"/>
          </w:tcPr>
          <w:p w14:paraId="3523F82F"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241</w:t>
            </w:r>
          </w:p>
        </w:tc>
        <w:tc>
          <w:tcPr>
            <w:tcW w:w="1871" w:type="dxa"/>
            <w:tcBorders>
              <w:top w:val="single" w:sz="4" w:space="0" w:color="auto"/>
              <w:bottom w:val="single" w:sz="4" w:space="0" w:color="auto"/>
            </w:tcBorders>
            <w:vAlign w:val="bottom"/>
          </w:tcPr>
          <w:p w14:paraId="3FF4EAA2" w14:textId="77777777" w:rsidR="00E0643A" w:rsidRPr="00730356" w:rsidRDefault="00E0643A" w:rsidP="00E0643A">
            <w:pPr>
              <w:spacing w:after="0" w:line="240" w:lineRule="auto"/>
              <w:rPr>
                <w:rFonts w:cs="Times New Roman"/>
                <w:sz w:val="18"/>
                <w:szCs w:val="18"/>
              </w:rPr>
            </w:pPr>
            <w:r>
              <w:rPr>
                <w:rFonts w:cs="Times New Roman"/>
                <w:sz w:val="18"/>
                <w:szCs w:val="18"/>
              </w:rPr>
              <w:t>0.08 (0.06 – 0.10)</w:t>
            </w:r>
          </w:p>
        </w:tc>
        <w:tc>
          <w:tcPr>
            <w:tcW w:w="585" w:type="dxa"/>
            <w:tcBorders>
              <w:top w:val="single" w:sz="4" w:space="0" w:color="auto"/>
              <w:bottom w:val="single" w:sz="4" w:space="0" w:color="auto"/>
            </w:tcBorders>
            <w:vAlign w:val="bottom"/>
          </w:tcPr>
          <w:p w14:paraId="31DA0E3D"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452</w:t>
            </w:r>
          </w:p>
        </w:tc>
        <w:tc>
          <w:tcPr>
            <w:tcW w:w="1893" w:type="dxa"/>
            <w:tcBorders>
              <w:top w:val="single" w:sz="4" w:space="0" w:color="auto"/>
              <w:bottom w:val="single" w:sz="4" w:space="0" w:color="auto"/>
            </w:tcBorders>
            <w:vAlign w:val="bottom"/>
          </w:tcPr>
          <w:p w14:paraId="1560F548" w14:textId="77777777" w:rsidR="00E0643A" w:rsidRPr="00730356" w:rsidRDefault="00E0643A" w:rsidP="00E0643A">
            <w:pPr>
              <w:spacing w:after="0" w:line="240" w:lineRule="auto"/>
              <w:rPr>
                <w:rFonts w:cs="Times New Roman"/>
                <w:sz w:val="18"/>
                <w:szCs w:val="18"/>
              </w:rPr>
            </w:pPr>
            <w:r>
              <w:rPr>
                <w:rFonts w:cs="Times New Roman"/>
                <w:sz w:val="18"/>
                <w:szCs w:val="18"/>
              </w:rPr>
              <w:t>0.11 (0.06 – 0.16)</w:t>
            </w:r>
          </w:p>
        </w:tc>
        <w:tc>
          <w:tcPr>
            <w:tcW w:w="623" w:type="dxa"/>
            <w:tcBorders>
              <w:top w:val="single" w:sz="4" w:space="0" w:color="auto"/>
              <w:bottom w:val="single" w:sz="4" w:space="0" w:color="auto"/>
            </w:tcBorders>
            <w:vAlign w:val="center"/>
          </w:tcPr>
          <w:p w14:paraId="133EBE8F" w14:textId="5B8BD3EA" w:rsidR="00E0643A" w:rsidRDefault="00E0643A" w:rsidP="00E0643A">
            <w:pPr>
              <w:spacing w:after="0" w:line="240" w:lineRule="auto"/>
              <w:jc w:val="right"/>
              <w:rPr>
                <w:rFonts w:cs="Times New Roman"/>
                <w:sz w:val="18"/>
                <w:szCs w:val="18"/>
              </w:rPr>
            </w:pPr>
            <w:r w:rsidRPr="00487403">
              <w:rPr>
                <w:rFonts w:cs="Times New Roman"/>
                <w:color w:val="000000"/>
                <w:sz w:val="18"/>
                <w:szCs w:val="18"/>
              </w:rPr>
              <w:t>856</w:t>
            </w:r>
          </w:p>
        </w:tc>
        <w:tc>
          <w:tcPr>
            <w:tcW w:w="1926" w:type="dxa"/>
            <w:tcBorders>
              <w:top w:val="single" w:sz="4" w:space="0" w:color="auto"/>
              <w:bottom w:val="single" w:sz="4" w:space="0" w:color="auto"/>
            </w:tcBorders>
            <w:vAlign w:val="center"/>
          </w:tcPr>
          <w:p w14:paraId="334D9B23" w14:textId="1E4DA2A2" w:rsidR="00E0643A" w:rsidRDefault="00E0643A" w:rsidP="00E0643A">
            <w:pPr>
              <w:spacing w:after="0" w:line="240" w:lineRule="auto"/>
              <w:rPr>
                <w:rFonts w:cs="Times New Roman"/>
                <w:sz w:val="18"/>
                <w:szCs w:val="18"/>
              </w:rPr>
            </w:pPr>
            <w:r>
              <w:rPr>
                <w:sz w:val="18"/>
                <w:szCs w:val="18"/>
              </w:rPr>
              <w:t>0.10 (0.08 – 0.13)</w:t>
            </w:r>
          </w:p>
        </w:tc>
      </w:tr>
      <w:tr w:rsidR="005E2D08" w:rsidRPr="00730356" w14:paraId="66E3FB45" w14:textId="1D8E1ED3" w:rsidTr="007A494D">
        <w:tc>
          <w:tcPr>
            <w:tcW w:w="3319" w:type="dxa"/>
            <w:tcBorders>
              <w:top w:val="single" w:sz="4" w:space="0" w:color="auto"/>
              <w:bottom w:val="single" w:sz="4" w:space="0" w:color="auto"/>
            </w:tcBorders>
          </w:tcPr>
          <w:p w14:paraId="1A0BA9B4" w14:textId="77777777" w:rsidR="00E0643A" w:rsidRPr="00730356" w:rsidRDefault="00E0643A" w:rsidP="00E0643A">
            <w:pPr>
              <w:spacing w:after="0" w:line="240" w:lineRule="auto"/>
              <w:ind w:left="170"/>
              <w:rPr>
                <w:rFonts w:cs="Times New Roman"/>
                <w:sz w:val="18"/>
                <w:szCs w:val="18"/>
              </w:rPr>
            </w:pPr>
            <w:r w:rsidRPr="00730356">
              <w:rPr>
                <w:rFonts w:cs="Times New Roman"/>
                <w:i/>
                <w:sz w:val="18"/>
                <w:szCs w:val="18"/>
              </w:rPr>
              <w:t>Pseudomonas</w:t>
            </w:r>
            <w:r w:rsidRPr="00730356">
              <w:rPr>
                <w:rFonts w:cs="Times New Roman"/>
                <w:sz w:val="18"/>
                <w:szCs w:val="18"/>
              </w:rPr>
              <w:t xml:space="preserve"> species</w:t>
            </w:r>
          </w:p>
        </w:tc>
        <w:tc>
          <w:tcPr>
            <w:tcW w:w="472" w:type="dxa"/>
            <w:tcBorders>
              <w:top w:val="single" w:sz="4" w:space="0" w:color="auto"/>
              <w:bottom w:val="single" w:sz="4" w:space="0" w:color="auto"/>
            </w:tcBorders>
            <w:vAlign w:val="center"/>
          </w:tcPr>
          <w:p w14:paraId="4C7A2C77" w14:textId="77777777" w:rsidR="00E0643A" w:rsidRPr="00730356" w:rsidRDefault="00E0643A" w:rsidP="00E0643A">
            <w:pPr>
              <w:spacing w:after="0" w:line="240" w:lineRule="auto"/>
              <w:jc w:val="right"/>
              <w:rPr>
                <w:rFonts w:cs="Times New Roman"/>
                <w:sz w:val="18"/>
                <w:szCs w:val="18"/>
              </w:rPr>
            </w:pPr>
            <w:r>
              <w:rPr>
                <w:rFonts w:cs="Times New Roman"/>
                <w:sz w:val="18"/>
                <w:szCs w:val="18"/>
              </w:rPr>
              <w:t>0</w:t>
            </w:r>
          </w:p>
        </w:tc>
        <w:tc>
          <w:tcPr>
            <w:tcW w:w="1871" w:type="dxa"/>
            <w:tcBorders>
              <w:top w:val="single" w:sz="4" w:space="0" w:color="auto"/>
              <w:bottom w:val="single" w:sz="4" w:space="0" w:color="auto"/>
            </w:tcBorders>
            <w:vAlign w:val="center"/>
          </w:tcPr>
          <w:p w14:paraId="0608B56A" w14:textId="77777777" w:rsidR="00E0643A" w:rsidRPr="00730356" w:rsidRDefault="00E0643A" w:rsidP="00E0643A">
            <w:pPr>
              <w:spacing w:after="0" w:line="240" w:lineRule="auto"/>
              <w:rPr>
                <w:rFonts w:cs="Times New Roman"/>
                <w:sz w:val="18"/>
                <w:szCs w:val="18"/>
              </w:rPr>
            </w:pPr>
          </w:p>
        </w:tc>
        <w:tc>
          <w:tcPr>
            <w:tcW w:w="576" w:type="dxa"/>
            <w:tcBorders>
              <w:top w:val="single" w:sz="4" w:space="0" w:color="auto"/>
              <w:bottom w:val="single" w:sz="4" w:space="0" w:color="auto"/>
            </w:tcBorders>
            <w:vAlign w:val="bottom"/>
          </w:tcPr>
          <w:p w14:paraId="1724515E"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15</w:t>
            </w:r>
          </w:p>
        </w:tc>
        <w:tc>
          <w:tcPr>
            <w:tcW w:w="1926" w:type="dxa"/>
            <w:tcBorders>
              <w:top w:val="single" w:sz="4" w:space="0" w:color="auto"/>
              <w:bottom w:val="single" w:sz="4" w:space="0" w:color="auto"/>
            </w:tcBorders>
            <w:vAlign w:val="bottom"/>
          </w:tcPr>
          <w:p w14:paraId="67523CEB" w14:textId="77777777" w:rsidR="00E0643A" w:rsidRPr="00730356" w:rsidRDefault="00E0643A" w:rsidP="00E0643A">
            <w:pPr>
              <w:spacing w:after="0" w:line="240" w:lineRule="auto"/>
              <w:rPr>
                <w:rFonts w:cs="Times New Roman"/>
                <w:sz w:val="18"/>
                <w:szCs w:val="18"/>
              </w:rPr>
            </w:pPr>
            <w:r>
              <w:rPr>
                <w:rFonts w:cs="Times New Roman"/>
                <w:sz w:val="18"/>
                <w:szCs w:val="18"/>
              </w:rPr>
              <w:t>0.01 (0.01 – 0.03)</w:t>
            </w:r>
          </w:p>
        </w:tc>
        <w:tc>
          <w:tcPr>
            <w:tcW w:w="576" w:type="dxa"/>
            <w:tcBorders>
              <w:top w:val="single" w:sz="4" w:space="0" w:color="auto"/>
              <w:bottom w:val="single" w:sz="4" w:space="0" w:color="auto"/>
            </w:tcBorders>
            <w:vAlign w:val="bottom"/>
          </w:tcPr>
          <w:p w14:paraId="58F7DEEF"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42</w:t>
            </w:r>
          </w:p>
        </w:tc>
        <w:tc>
          <w:tcPr>
            <w:tcW w:w="1871" w:type="dxa"/>
            <w:tcBorders>
              <w:top w:val="single" w:sz="4" w:space="0" w:color="auto"/>
              <w:bottom w:val="single" w:sz="4" w:space="0" w:color="auto"/>
            </w:tcBorders>
            <w:vAlign w:val="bottom"/>
          </w:tcPr>
          <w:p w14:paraId="38304F51" w14:textId="77777777" w:rsidR="00E0643A" w:rsidRPr="00730356" w:rsidRDefault="00E0643A" w:rsidP="00E0643A">
            <w:pPr>
              <w:spacing w:after="0" w:line="240" w:lineRule="auto"/>
              <w:rPr>
                <w:rFonts w:cs="Times New Roman"/>
                <w:sz w:val="18"/>
                <w:szCs w:val="18"/>
              </w:rPr>
            </w:pPr>
            <w:r>
              <w:rPr>
                <w:rFonts w:cs="Times New Roman"/>
                <w:sz w:val="18"/>
                <w:szCs w:val="18"/>
              </w:rPr>
              <w:t>0.01 (0.01 – 0.02)</w:t>
            </w:r>
          </w:p>
        </w:tc>
        <w:tc>
          <w:tcPr>
            <w:tcW w:w="585" w:type="dxa"/>
            <w:tcBorders>
              <w:top w:val="single" w:sz="4" w:space="0" w:color="auto"/>
              <w:bottom w:val="single" w:sz="4" w:space="0" w:color="auto"/>
            </w:tcBorders>
            <w:vAlign w:val="bottom"/>
          </w:tcPr>
          <w:p w14:paraId="305F9DC2"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132</w:t>
            </w:r>
          </w:p>
        </w:tc>
        <w:tc>
          <w:tcPr>
            <w:tcW w:w="1893" w:type="dxa"/>
            <w:tcBorders>
              <w:top w:val="single" w:sz="4" w:space="0" w:color="auto"/>
              <w:bottom w:val="single" w:sz="4" w:space="0" w:color="auto"/>
            </w:tcBorders>
            <w:vAlign w:val="bottom"/>
          </w:tcPr>
          <w:p w14:paraId="5F33F251" w14:textId="77777777" w:rsidR="00E0643A" w:rsidRPr="00730356" w:rsidRDefault="00E0643A" w:rsidP="00E0643A">
            <w:pPr>
              <w:spacing w:after="0" w:line="240" w:lineRule="auto"/>
              <w:rPr>
                <w:rFonts w:cs="Times New Roman"/>
                <w:sz w:val="18"/>
                <w:szCs w:val="18"/>
              </w:rPr>
            </w:pPr>
            <w:r>
              <w:rPr>
                <w:rFonts w:cs="Times New Roman"/>
                <w:sz w:val="18"/>
                <w:szCs w:val="18"/>
              </w:rPr>
              <w:t>0.05 (0.03 – 0.06)</w:t>
            </w:r>
          </w:p>
        </w:tc>
        <w:tc>
          <w:tcPr>
            <w:tcW w:w="623" w:type="dxa"/>
            <w:tcBorders>
              <w:top w:val="single" w:sz="4" w:space="0" w:color="auto"/>
              <w:bottom w:val="single" w:sz="4" w:space="0" w:color="auto"/>
            </w:tcBorders>
            <w:vAlign w:val="center"/>
          </w:tcPr>
          <w:p w14:paraId="12631BC1" w14:textId="2364E689" w:rsidR="00E0643A" w:rsidRDefault="00E0643A" w:rsidP="00E0643A">
            <w:pPr>
              <w:spacing w:after="0" w:line="240" w:lineRule="auto"/>
              <w:jc w:val="right"/>
              <w:rPr>
                <w:rFonts w:cs="Times New Roman"/>
                <w:sz w:val="18"/>
                <w:szCs w:val="18"/>
              </w:rPr>
            </w:pPr>
            <w:r w:rsidRPr="00487403">
              <w:rPr>
                <w:rFonts w:cs="Times New Roman"/>
                <w:color w:val="000000"/>
                <w:sz w:val="18"/>
                <w:szCs w:val="18"/>
              </w:rPr>
              <w:t>189</w:t>
            </w:r>
          </w:p>
        </w:tc>
        <w:tc>
          <w:tcPr>
            <w:tcW w:w="1926" w:type="dxa"/>
            <w:tcBorders>
              <w:top w:val="single" w:sz="4" w:space="0" w:color="auto"/>
              <w:bottom w:val="single" w:sz="4" w:space="0" w:color="auto"/>
            </w:tcBorders>
            <w:vAlign w:val="center"/>
          </w:tcPr>
          <w:p w14:paraId="70415353" w14:textId="70ECECC2" w:rsidR="00E0643A" w:rsidRDefault="00E0643A" w:rsidP="00E0643A">
            <w:pPr>
              <w:spacing w:after="0" w:line="240" w:lineRule="auto"/>
              <w:rPr>
                <w:rFonts w:cs="Times New Roman"/>
                <w:sz w:val="18"/>
                <w:szCs w:val="18"/>
              </w:rPr>
            </w:pPr>
            <w:r>
              <w:rPr>
                <w:sz w:val="18"/>
                <w:szCs w:val="18"/>
              </w:rPr>
              <w:t>0.03 (0.02 – 0.04)</w:t>
            </w:r>
          </w:p>
        </w:tc>
      </w:tr>
      <w:tr w:rsidR="005E2D08" w:rsidRPr="00730356" w14:paraId="3396462F" w14:textId="77B8B5B7" w:rsidTr="007A494D">
        <w:tc>
          <w:tcPr>
            <w:tcW w:w="3319" w:type="dxa"/>
            <w:tcBorders>
              <w:top w:val="single" w:sz="4" w:space="0" w:color="auto"/>
              <w:bottom w:val="single" w:sz="4" w:space="0" w:color="auto"/>
            </w:tcBorders>
          </w:tcPr>
          <w:p w14:paraId="532B6AD8" w14:textId="77777777" w:rsidR="00E0643A" w:rsidRPr="00730356" w:rsidRDefault="00E0643A" w:rsidP="00E0643A">
            <w:pPr>
              <w:spacing w:after="0" w:line="240" w:lineRule="auto"/>
              <w:ind w:left="170"/>
              <w:rPr>
                <w:rFonts w:cs="Times New Roman"/>
                <w:sz w:val="18"/>
                <w:szCs w:val="18"/>
              </w:rPr>
            </w:pPr>
            <w:r w:rsidRPr="00730356">
              <w:rPr>
                <w:rFonts w:cs="Times New Roman"/>
                <w:i/>
                <w:sz w:val="18"/>
                <w:szCs w:val="18"/>
              </w:rPr>
              <w:t>Enterobacter</w:t>
            </w:r>
            <w:r w:rsidRPr="00730356">
              <w:rPr>
                <w:rFonts w:cs="Times New Roman"/>
                <w:sz w:val="18"/>
                <w:szCs w:val="18"/>
              </w:rPr>
              <w:t xml:space="preserve"> species</w:t>
            </w:r>
          </w:p>
        </w:tc>
        <w:tc>
          <w:tcPr>
            <w:tcW w:w="472" w:type="dxa"/>
            <w:tcBorders>
              <w:top w:val="single" w:sz="4" w:space="0" w:color="auto"/>
              <w:bottom w:val="single" w:sz="4" w:space="0" w:color="auto"/>
            </w:tcBorders>
            <w:vAlign w:val="bottom"/>
          </w:tcPr>
          <w:p w14:paraId="43AEC612"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4</w:t>
            </w:r>
          </w:p>
        </w:tc>
        <w:tc>
          <w:tcPr>
            <w:tcW w:w="1871" w:type="dxa"/>
            <w:tcBorders>
              <w:top w:val="single" w:sz="4" w:space="0" w:color="auto"/>
              <w:bottom w:val="single" w:sz="4" w:space="0" w:color="auto"/>
            </w:tcBorders>
            <w:vAlign w:val="bottom"/>
          </w:tcPr>
          <w:p w14:paraId="22F18612" w14:textId="77777777" w:rsidR="00E0643A" w:rsidRPr="00730356" w:rsidRDefault="00E0643A" w:rsidP="00E0643A">
            <w:pPr>
              <w:spacing w:after="0" w:line="240" w:lineRule="auto"/>
              <w:rPr>
                <w:rFonts w:cs="Times New Roman"/>
                <w:sz w:val="18"/>
                <w:szCs w:val="18"/>
              </w:rPr>
            </w:pPr>
            <w:r>
              <w:rPr>
                <w:rFonts w:cs="Times New Roman"/>
                <w:sz w:val="18"/>
                <w:szCs w:val="18"/>
              </w:rPr>
              <w:t>0.07 (0.01 – 0.06)</w:t>
            </w:r>
          </w:p>
        </w:tc>
        <w:tc>
          <w:tcPr>
            <w:tcW w:w="576" w:type="dxa"/>
            <w:tcBorders>
              <w:top w:val="single" w:sz="4" w:space="0" w:color="auto"/>
              <w:bottom w:val="single" w:sz="4" w:space="0" w:color="auto"/>
            </w:tcBorders>
            <w:vAlign w:val="bottom"/>
          </w:tcPr>
          <w:p w14:paraId="26B118BD"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88</w:t>
            </w:r>
          </w:p>
        </w:tc>
        <w:tc>
          <w:tcPr>
            <w:tcW w:w="1926" w:type="dxa"/>
            <w:tcBorders>
              <w:top w:val="single" w:sz="4" w:space="0" w:color="auto"/>
              <w:bottom w:val="single" w:sz="4" w:space="0" w:color="auto"/>
            </w:tcBorders>
            <w:vAlign w:val="bottom"/>
          </w:tcPr>
          <w:p w14:paraId="730EC6FA" w14:textId="77777777" w:rsidR="00E0643A" w:rsidRPr="00730356" w:rsidRDefault="00E0643A" w:rsidP="00E0643A">
            <w:pPr>
              <w:spacing w:after="0" w:line="240" w:lineRule="auto"/>
              <w:rPr>
                <w:rFonts w:cs="Times New Roman"/>
                <w:sz w:val="18"/>
                <w:szCs w:val="18"/>
              </w:rPr>
            </w:pPr>
            <w:r>
              <w:rPr>
                <w:rFonts w:cs="Times New Roman"/>
                <w:sz w:val="18"/>
                <w:szCs w:val="18"/>
              </w:rPr>
              <w:t>0.07 (0.03 – 0.12)</w:t>
            </w:r>
          </w:p>
        </w:tc>
        <w:tc>
          <w:tcPr>
            <w:tcW w:w="576" w:type="dxa"/>
            <w:tcBorders>
              <w:top w:val="single" w:sz="4" w:space="0" w:color="auto"/>
              <w:bottom w:val="single" w:sz="4" w:space="0" w:color="auto"/>
            </w:tcBorders>
            <w:vAlign w:val="bottom"/>
          </w:tcPr>
          <w:p w14:paraId="18F44721"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79</w:t>
            </w:r>
          </w:p>
        </w:tc>
        <w:tc>
          <w:tcPr>
            <w:tcW w:w="1871" w:type="dxa"/>
            <w:tcBorders>
              <w:top w:val="single" w:sz="4" w:space="0" w:color="auto"/>
              <w:bottom w:val="single" w:sz="4" w:space="0" w:color="auto"/>
            </w:tcBorders>
            <w:vAlign w:val="bottom"/>
          </w:tcPr>
          <w:p w14:paraId="6E597C73" w14:textId="77777777" w:rsidR="00E0643A" w:rsidRPr="00730356" w:rsidRDefault="00E0643A" w:rsidP="00E0643A">
            <w:pPr>
              <w:spacing w:after="0" w:line="240" w:lineRule="auto"/>
              <w:rPr>
                <w:rFonts w:cs="Times New Roman"/>
                <w:sz w:val="18"/>
                <w:szCs w:val="18"/>
              </w:rPr>
            </w:pPr>
            <w:r>
              <w:rPr>
                <w:rFonts w:cs="Times New Roman"/>
                <w:sz w:val="18"/>
                <w:szCs w:val="18"/>
              </w:rPr>
              <w:t>0.02 (0.01 – 0.04)</w:t>
            </w:r>
          </w:p>
        </w:tc>
        <w:tc>
          <w:tcPr>
            <w:tcW w:w="585" w:type="dxa"/>
            <w:tcBorders>
              <w:top w:val="single" w:sz="4" w:space="0" w:color="auto"/>
              <w:bottom w:val="single" w:sz="4" w:space="0" w:color="auto"/>
            </w:tcBorders>
            <w:vAlign w:val="bottom"/>
          </w:tcPr>
          <w:p w14:paraId="7A084235"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92</w:t>
            </w:r>
          </w:p>
        </w:tc>
        <w:tc>
          <w:tcPr>
            <w:tcW w:w="1893" w:type="dxa"/>
            <w:tcBorders>
              <w:top w:val="single" w:sz="4" w:space="0" w:color="auto"/>
              <w:bottom w:val="single" w:sz="4" w:space="0" w:color="auto"/>
            </w:tcBorders>
            <w:vAlign w:val="bottom"/>
          </w:tcPr>
          <w:p w14:paraId="29E0E3F7" w14:textId="77777777" w:rsidR="00E0643A" w:rsidRPr="00730356" w:rsidRDefault="00E0643A" w:rsidP="00E0643A">
            <w:pPr>
              <w:spacing w:after="0" w:line="240" w:lineRule="auto"/>
              <w:rPr>
                <w:rFonts w:cs="Times New Roman"/>
                <w:sz w:val="18"/>
                <w:szCs w:val="18"/>
              </w:rPr>
            </w:pPr>
            <w:r>
              <w:rPr>
                <w:rFonts w:cs="Times New Roman"/>
                <w:sz w:val="18"/>
                <w:szCs w:val="18"/>
              </w:rPr>
              <w:t>0.03 (0.02 – 0.05)</w:t>
            </w:r>
          </w:p>
        </w:tc>
        <w:tc>
          <w:tcPr>
            <w:tcW w:w="623" w:type="dxa"/>
            <w:tcBorders>
              <w:top w:val="single" w:sz="4" w:space="0" w:color="auto"/>
              <w:bottom w:val="single" w:sz="4" w:space="0" w:color="auto"/>
            </w:tcBorders>
            <w:vAlign w:val="center"/>
          </w:tcPr>
          <w:p w14:paraId="1C6D9103" w14:textId="4C43CA42" w:rsidR="00E0643A" w:rsidRDefault="00E0643A" w:rsidP="00E0643A">
            <w:pPr>
              <w:spacing w:after="0" w:line="240" w:lineRule="auto"/>
              <w:jc w:val="right"/>
              <w:rPr>
                <w:rFonts w:cs="Times New Roman"/>
                <w:sz w:val="18"/>
                <w:szCs w:val="18"/>
              </w:rPr>
            </w:pPr>
            <w:r w:rsidRPr="00487403">
              <w:rPr>
                <w:rFonts w:cs="Times New Roman"/>
                <w:color w:val="000000"/>
                <w:sz w:val="18"/>
                <w:szCs w:val="18"/>
              </w:rPr>
              <w:t>263</w:t>
            </w:r>
          </w:p>
        </w:tc>
        <w:tc>
          <w:tcPr>
            <w:tcW w:w="1926" w:type="dxa"/>
            <w:tcBorders>
              <w:top w:val="single" w:sz="4" w:space="0" w:color="auto"/>
              <w:bottom w:val="single" w:sz="4" w:space="0" w:color="auto"/>
            </w:tcBorders>
            <w:vAlign w:val="center"/>
          </w:tcPr>
          <w:p w14:paraId="0420357B" w14:textId="5FB32283" w:rsidR="00E0643A" w:rsidRDefault="00E0643A" w:rsidP="00E0643A">
            <w:pPr>
              <w:spacing w:after="0" w:line="240" w:lineRule="auto"/>
              <w:rPr>
                <w:rFonts w:cs="Times New Roman"/>
                <w:sz w:val="18"/>
                <w:szCs w:val="18"/>
              </w:rPr>
            </w:pPr>
            <w:r>
              <w:rPr>
                <w:sz w:val="18"/>
                <w:szCs w:val="18"/>
              </w:rPr>
              <w:t>0.04 (0.03 – 0.05)</w:t>
            </w:r>
          </w:p>
        </w:tc>
      </w:tr>
      <w:tr w:rsidR="005E2D08" w:rsidRPr="00730356" w14:paraId="65BFCF8A" w14:textId="7F2D6989" w:rsidTr="007A494D">
        <w:tc>
          <w:tcPr>
            <w:tcW w:w="3319" w:type="dxa"/>
            <w:tcBorders>
              <w:top w:val="single" w:sz="4" w:space="0" w:color="auto"/>
              <w:bottom w:val="single" w:sz="4" w:space="0" w:color="auto"/>
            </w:tcBorders>
          </w:tcPr>
          <w:p w14:paraId="270F4F8B" w14:textId="77777777" w:rsidR="00E0643A" w:rsidRPr="00730356" w:rsidRDefault="00E0643A" w:rsidP="00E0643A">
            <w:pPr>
              <w:spacing w:after="0" w:line="240" w:lineRule="auto"/>
              <w:ind w:left="170"/>
              <w:rPr>
                <w:rFonts w:cs="Times New Roman"/>
                <w:sz w:val="18"/>
                <w:szCs w:val="18"/>
              </w:rPr>
            </w:pPr>
            <w:r w:rsidRPr="00730356">
              <w:rPr>
                <w:rFonts w:cs="Times New Roman"/>
                <w:i/>
                <w:sz w:val="18"/>
                <w:szCs w:val="18"/>
              </w:rPr>
              <w:t>Serratia</w:t>
            </w:r>
            <w:r w:rsidRPr="00730356">
              <w:rPr>
                <w:rFonts w:cs="Times New Roman"/>
                <w:sz w:val="18"/>
                <w:szCs w:val="18"/>
              </w:rPr>
              <w:t xml:space="preserve"> species</w:t>
            </w:r>
          </w:p>
        </w:tc>
        <w:tc>
          <w:tcPr>
            <w:tcW w:w="472" w:type="dxa"/>
            <w:tcBorders>
              <w:top w:val="single" w:sz="4" w:space="0" w:color="auto"/>
              <w:bottom w:val="single" w:sz="4" w:space="0" w:color="auto"/>
            </w:tcBorders>
            <w:vAlign w:val="center"/>
          </w:tcPr>
          <w:p w14:paraId="116B5281" w14:textId="77777777" w:rsidR="00E0643A" w:rsidRPr="00730356" w:rsidRDefault="00E0643A" w:rsidP="00E0643A">
            <w:pPr>
              <w:spacing w:after="0" w:line="240" w:lineRule="auto"/>
              <w:jc w:val="right"/>
              <w:rPr>
                <w:rFonts w:cs="Times New Roman"/>
                <w:sz w:val="18"/>
                <w:szCs w:val="18"/>
              </w:rPr>
            </w:pPr>
            <w:r>
              <w:rPr>
                <w:rFonts w:cs="Times New Roman"/>
                <w:sz w:val="18"/>
                <w:szCs w:val="18"/>
              </w:rPr>
              <w:t>0</w:t>
            </w:r>
          </w:p>
        </w:tc>
        <w:tc>
          <w:tcPr>
            <w:tcW w:w="1871" w:type="dxa"/>
            <w:tcBorders>
              <w:top w:val="single" w:sz="4" w:space="0" w:color="auto"/>
              <w:bottom w:val="single" w:sz="4" w:space="0" w:color="auto"/>
            </w:tcBorders>
            <w:vAlign w:val="center"/>
          </w:tcPr>
          <w:p w14:paraId="5D48CB85" w14:textId="77777777" w:rsidR="00E0643A" w:rsidRPr="00730356" w:rsidRDefault="00E0643A" w:rsidP="00E0643A">
            <w:pPr>
              <w:spacing w:after="0" w:line="240" w:lineRule="auto"/>
              <w:rPr>
                <w:rFonts w:cs="Times New Roman"/>
                <w:sz w:val="18"/>
                <w:szCs w:val="18"/>
              </w:rPr>
            </w:pPr>
          </w:p>
        </w:tc>
        <w:tc>
          <w:tcPr>
            <w:tcW w:w="576" w:type="dxa"/>
            <w:tcBorders>
              <w:top w:val="single" w:sz="4" w:space="0" w:color="auto"/>
              <w:bottom w:val="single" w:sz="4" w:space="0" w:color="auto"/>
            </w:tcBorders>
            <w:vAlign w:val="bottom"/>
          </w:tcPr>
          <w:p w14:paraId="4CB4910C"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26</w:t>
            </w:r>
          </w:p>
        </w:tc>
        <w:tc>
          <w:tcPr>
            <w:tcW w:w="1926" w:type="dxa"/>
            <w:tcBorders>
              <w:top w:val="single" w:sz="4" w:space="0" w:color="auto"/>
              <w:bottom w:val="single" w:sz="4" w:space="0" w:color="auto"/>
            </w:tcBorders>
            <w:vAlign w:val="bottom"/>
          </w:tcPr>
          <w:p w14:paraId="462D4A22" w14:textId="77777777" w:rsidR="00E0643A" w:rsidRPr="00730356" w:rsidRDefault="00E0643A" w:rsidP="00E0643A">
            <w:pPr>
              <w:spacing w:after="0" w:line="240" w:lineRule="auto"/>
              <w:rPr>
                <w:rFonts w:cs="Times New Roman"/>
                <w:sz w:val="18"/>
                <w:szCs w:val="18"/>
              </w:rPr>
            </w:pPr>
            <w:r>
              <w:rPr>
                <w:rFonts w:cs="Times New Roman"/>
                <w:sz w:val="18"/>
                <w:szCs w:val="18"/>
              </w:rPr>
              <w:t>0.04 (0.01 – 0.09)</w:t>
            </w:r>
          </w:p>
        </w:tc>
        <w:tc>
          <w:tcPr>
            <w:tcW w:w="576" w:type="dxa"/>
            <w:tcBorders>
              <w:top w:val="single" w:sz="4" w:space="0" w:color="auto"/>
              <w:bottom w:val="single" w:sz="4" w:space="0" w:color="auto"/>
            </w:tcBorders>
            <w:vAlign w:val="bottom"/>
          </w:tcPr>
          <w:p w14:paraId="5281CCD9"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86</w:t>
            </w:r>
          </w:p>
        </w:tc>
        <w:tc>
          <w:tcPr>
            <w:tcW w:w="1871" w:type="dxa"/>
            <w:tcBorders>
              <w:top w:val="single" w:sz="4" w:space="0" w:color="auto"/>
              <w:bottom w:val="single" w:sz="4" w:space="0" w:color="auto"/>
            </w:tcBorders>
            <w:vAlign w:val="bottom"/>
          </w:tcPr>
          <w:p w14:paraId="589C7A25" w14:textId="77777777" w:rsidR="00E0643A" w:rsidRPr="00730356" w:rsidRDefault="00E0643A" w:rsidP="00E0643A">
            <w:pPr>
              <w:spacing w:after="0" w:line="240" w:lineRule="auto"/>
              <w:rPr>
                <w:rFonts w:cs="Times New Roman"/>
                <w:sz w:val="18"/>
                <w:szCs w:val="18"/>
              </w:rPr>
            </w:pPr>
            <w:r>
              <w:rPr>
                <w:rFonts w:cs="Times New Roman"/>
                <w:sz w:val="18"/>
                <w:szCs w:val="18"/>
              </w:rPr>
              <w:t>0.04 (0.00 – 0.13)</w:t>
            </w:r>
          </w:p>
        </w:tc>
        <w:tc>
          <w:tcPr>
            <w:tcW w:w="585" w:type="dxa"/>
            <w:tcBorders>
              <w:top w:val="single" w:sz="4" w:space="0" w:color="auto"/>
              <w:bottom w:val="single" w:sz="4" w:space="0" w:color="auto"/>
            </w:tcBorders>
            <w:vAlign w:val="bottom"/>
          </w:tcPr>
          <w:p w14:paraId="0606CB11"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17</w:t>
            </w:r>
          </w:p>
        </w:tc>
        <w:tc>
          <w:tcPr>
            <w:tcW w:w="1893" w:type="dxa"/>
            <w:tcBorders>
              <w:top w:val="single" w:sz="4" w:space="0" w:color="auto"/>
              <w:bottom w:val="single" w:sz="4" w:space="0" w:color="auto"/>
            </w:tcBorders>
            <w:vAlign w:val="bottom"/>
          </w:tcPr>
          <w:p w14:paraId="4DA8F4B0" w14:textId="77777777" w:rsidR="00E0643A" w:rsidRPr="00730356" w:rsidRDefault="00E0643A" w:rsidP="00E0643A">
            <w:pPr>
              <w:spacing w:after="0" w:line="240" w:lineRule="auto"/>
              <w:rPr>
                <w:rFonts w:cs="Times New Roman"/>
                <w:sz w:val="18"/>
                <w:szCs w:val="18"/>
              </w:rPr>
            </w:pPr>
            <w:r>
              <w:rPr>
                <w:rFonts w:cs="Times New Roman"/>
                <w:sz w:val="18"/>
                <w:szCs w:val="18"/>
              </w:rPr>
              <w:t>0.02 (0.00 – 0.06)</w:t>
            </w:r>
          </w:p>
        </w:tc>
        <w:tc>
          <w:tcPr>
            <w:tcW w:w="623" w:type="dxa"/>
            <w:tcBorders>
              <w:top w:val="single" w:sz="4" w:space="0" w:color="auto"/>
              <w:bottom w:val="single" w:sz="4" w:space="0" w:color="auto"/>
            </w:tcBorders>
            <w:vAlign w:val="center"/>
          </w:tcPr>
          <w:p w14:paraId="4C869F04" w14:textId="763FE1F0" w:rsidR="00E0643A" w:rsidRDefault="00E0643A" w:rsidP="00E0643A">
            <w:pPr>
              <w:spacing w:after="0" w:line="240" w:lineRule="auto"/>
              <w:jc w:val="right"/>
              <w:rPr>
                <w:rFonts w:cs="Times New Roman"/>
                <w:sz w:val="18"/>
                <w:szCs w:val="18"/>
              </w:rPr>
            </w:pPr>
            <w:r w:rsidRPr="00487403">
              <w:rPr>
                <w:rFonts w:cs="Times New Roman"/>
                <w:color w:val="000000"/>
                <w:sz w:val="18"/>
                <w:szCs w:val="18"/>
              </w:rPr>
              <w:t>129</w:t>
            </w:r>
          </w:p>
        </w:tc>
        <w:tc>
          <w:tcPr>
            <w:tcW w:w="1926" w:type="dxa"/>
            <w:tcBorders>
              <w:top w:val="single" w:sz="4" w:space="0" w:color="auto"/>
              <w:bottom w:val="single" w:sz="4" w:space="0" w:color="auto"/>
            </w:tcBorders>
            <w:vAlign w:val="center"/>
          </w:tcPr>
          <w:p w14:paraId="0C36B032" w14:textId="0BCBB90A" w:rsidR="00E0643A" w:rsidRDefault="00E0643A" w:rsidP="00E0643A">
            <w:pPr>
              <w:spacing w:after="0" w:line="240" w:lineRule="auto"/>
              <w:rPr>
                <w:rFonts w:cs="Times New Roman"/>
                <w:sz w:val="18"/>
                <w:szCs w:val="18"/>
              </w:rPr>
            </w:pPr>
            <w:r>
              <w:rPr>
                <w:sz w:val="18"/>
                <w:szCs w:val="18"/>
              </w:rPr>
              <w:t>0.03 (0.01 – 0.07)</w:t>
            </w:r>
          </w:p>
        </w:tc>
      </w:tr>
      <w:tr w:rsidR="005E2D08" w:rsidRPr="00730356" w14:paraId="007AB155" w14:textId="71FA70F6" w:rsidTr="007A494D">
        <w:tc>
          <w:tcPr>
            <w:tcW w:w="3319" w:type="dxa"/>
            <w:tcBorders>
              <w:top w:val="single" w:sz="4" w:space="0" w:color="auto"/>
              <w:bottom w:val="single" w:sz="4" w:space="0" w:color="auto"/>
            </w:tcBorders>
          </w:tcPr>
          <w:p w14:paraId="0A89C58A" w14:textId="77777777" w:rsidR="00E0643A" w:rsidRPr="00730356" w:rsidRDefault="00E0643A" w:rsidP="00E0643A">
            <w:pPr>
              <w:spacing w:after="0" w:line="240" w:lineRule="auto"/>
              <w:ind w:left="170"/>
              <w:rPr>
                <w:rFonts w:cs="Times New Roman"/>
                <w:sz w:val="18"/>
                <w:szCs w:val="18"/>
              </w:rPr>
            </w:pPr>
            <w:r w:rsidRPr="00730356">
              <w:rPr>
                <w:rFonts w:cs="Times New Roman"/>
                <w:i/>
                <w:sz w:val="18"/>
                <w:szCs w:val="18"/>
              </w:rPr>
              <w:t>Proteus</w:t>
            </w:r>
            <w:r w:rsidRPr="00730356">
              <w:rPr>
                <w:rFonts w:cs="Times New Roman"/>
                <w:sz w:val="18"/>
                <w:szCs w:val="18"/>
              </w:rPr>
              <w:t xml:space="preserve"> species</w:t>
            </w:r>
          </w:p>
        </w:tc>
        <w:tc>
          <w:tcPr>
            <w:tcW w:w="472" w:type="dxa"/>
            <w:tcBorders>
              <w:top w:val="single" w:sz="4" w:space="0" w:color="auto"/>
              <w:bottom w:val="single" w:sz="4" w:space="0" w:color="auto"/>
            </w:tcBorders>
            <w:vAlign w:val="bottom"/>
          </w:tcPr>
          <w:p w14:paraId="626C01E4"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w:t>
            </w:r>
          </w:p>
        </w:tc>
        <w:tc>
          <w:tcPr>
            <w:tcW w:w="1871" w:type="dxa"/>
            <w:tcBorders>
              <w:top w:val="single" w:sz="4" w:space="0" w:color="auto"/>
              <w:bottom w:val="single" w:sz="4" w:space="0" w:color="auto"/>
            </w:tcBorders>
            <w:vAlign w:val="bottom"/>
          </w:tcPr>
          <w:p w14:paraId="649181F6" w14:textId="77777777" w:rsidR="00E0643A" w:rsidRPr="00730356" w:rsidRDefault="00E0643A" w:rsidP="00E0643A">
            <w:pPr>
              <w:spacing w:after="0" w:line="240" w:lineRule="auto"/>
              <w:rPr>
                <w:rFonts w:cs="Times New Roman"/>
                <w:sz w:val="18"/>
                <w:szCs w:val="18"/>
              </w:rPr>
            </w:pPr>
            <w:r>
              <w:rPr>
                <w:rFonts w:cs="Times New Roman"/>
                <w:sz w:val="18"/>
                <w:szCs w:val="18"/>
              </w:rPr>
              <w:t>0.04 (0.01 – 0.09)</w:t>
            </w:r>
          </w:p>
        </w:tc>
        <w:tc>
          <w:tcPr>
            <w:tcW w:w="576" w:type="dxa"/>
            <w:tcBorders>
              <w:top w:val="single" w:sz="4" w:space="0" w:color="auto"/>
              <w:bottom w:val="single" w:sz="4" w:space="0" w:color="auto"/>
            </w:tcBorders>
            <w:vAlign w:val="bottom"/>
          </w:tcPr>
          <w:p w14:paraId="3D33970E"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9</w:t>
            </w:r>
          </w:p>
        </w:tc>
        <w:tc>
          <w:tcPr>
            <w:tcW w:w="1926" w:type="dxa"/>
            <w:tcBorders>
              <w:top w:val="single" w:sz="4" w:space="0" w:color="auto"/>
              <w:bottom w:val="single" w:sz="4" w:space="0" w:color="auto"/>
            </w:tcBorders>
            <w:vAlign w:val="bottom"/>
          </w:tcPr>
          <w:p w14:paraId="7F36C202" w14:textId="77777777" w:rsidR="00E0643A" w:rsidRPr="00730356" w:rsidRDefault="00E0643A" w:rsidP="00E0643A">
            <w:pPr>
              <w:spacing w:after="0" w:line="240" w:lineRule="auto"/>
              <w:rPr>
                <w:rFonts w:cs="Times New Roman"/>
                <w:sz w:val="18"/>
                <w:szCs w:val="18"/>
              </w:rPr>
            </w:pPr>
            <w:r>
              <w:rPr>
                <w:rFonts w:cs="Times New Roman"/>
                <w:sz w:val="18"/>
                <w:szCs w:val="18"/>
              </w:rPr>
              <w:t>0.02 (0.01 – 0.03)</w:t>
            </w:r>
          </w:p>
        </w:tc>
        <w:tc>
          <w:tcPr>
            <w:tcW w:w="576" w:type="dxa"/>
            <w:tcBorders>
              <w:top w:val="single" w:sz="4" w:space="0" w:color="auto"/>
              <w:bottom w:val="single" w:sz="4" w:space="0" w:color="auto"/>
            </w:tcBorders>
            <w:vAlign w:val="bottom"/>
          </w:tcPr>
          <w:p w14:paraId="72BDC354"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3</w:t>
            </w:r>
          </w:p>
        </w:tc>
        <w:tc>
          <w:tcPr>
            <w:tcW w:w="1871" w:type="dxa"/>
            <w:tcBorders>
              <w:top w:val="single" w:sz="4" w:space="0" w:color="auto"/>
              <w:bottom w:val="single" w:sz="4" w:space="0" w:color="auto"/>
            </w:tcBorders>
            <w:vAlign w:val="bottom"/>
          </w:tcPr>
          <w:p w14:paraId="74FB706A" w14:textId="77777777" w:rsidR="00E0643A" w:rsidRPr="00730356" w:rsidRDefault="00E0643A" w:rsidP="00E0643A">
            <w:pPr>
              <w:spacing w:after="0" w:line="240" w:lineRule="auto"/>
              <w:rPr>
                <w:rFonts w:cs="Times New Roman"/>
                <w:sz w:val="18"/>
                <w:szCs w:val="18"/>
              </w:rPr>
            </w:pPr>
            <w:r>
              <w:rPr>
                <w:rFonts w:cs="Times New Roman"/>
                <w:sz w:val="18"/>
                <w:szCs w:val="18"/>
              </w:rPr>
              <w:t>0.01 (0.00 – 0.04)</w:t>
            </w:r>
          </w:p>
        </w:tc>
        <w:tc>
          <w:tcPr>
            <w:tcW w:w="585" w:type="dxa"/>
            <w:tcBorders>
              <w:top w:val="single" w:sz="4" w:space="0" w:color="auto"/>
              <w:bottom w:val="single" w:sz="4" w:space="0" w:color="auto"/>
            </w:tcBorders>
            <w:vAlign w:val="bottom"/>
          </w:tcPr>
          <w:p w14:paraId="6D1478EF"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113</w:t>
            </w:r>
          </w:p>
        </w:tc>
        <w:tc>
          <w:tcPr>
            <w:tcW w:w="1893" w:type="dxa"/>
            <w:tcBorders>
              <w:top w:val="single" w:sz="4" w:space="0" w:color="auto"/>
              <w:bottom w:val="single" w:sz="4" w:space="0" w:color="auto"/>
            </w:tcBorders>
            <w:vAlign w:val="bottom"/>
          </w:tcPr>
          <w:p w14:paraId="45704E5A" w14:textId="77777777" w:rsidR="00E0643A" w:rsidRPr="00730356" w:rsidRDefault="00E0643A" w:rsidP="00E0643A">
            <w:pPr>
              <w:spacing w:after="0" w:line="240" w:lineRule="auto"/>
              <w:rPr>
                <w:rFonts w:cs="Times New Roman"/>
                <w:sz w:val="18"/>
                <w:szCs w:val="18"/>
              </w:rPr>
            </w:pPr>
            <w:r>
              <w:rPr>
                <w:rFonts w:cs="Times New Roman"/>
                <w:sz w:val="18"/>
                <w:szCs w:val="18"/>
              </w:rPr>
              <w:t>0.04 (0.02 – 0.05)</w:t>
            </w:r>
          </w:p>
        </w:tc>
        <w:tc>
          <w:tcPr>
            <w:tcW w:w="623" w:type="dxa"/>
            <w:tcBorders>
              <w:top w:val="single" w:sz="4" w:space="0" w:color="auto"/>
              <w:bottom w:val="single" w:sz="4" w:space="0" w:color="auto"/>
            </w:tcBorders>
            <w:vAlign w:val="center"/>
          </w:tcPr>
          <w:p w14:paraId="240F1D77" w14:textId="21866A0F" w:rsidR="00E0643A" w:rsidRDefault="00E0643A" w:rsidP="00E0643A">
            <w:pPr>
              <w:spacing w:after="0" w:line="240" w:lineRule="auto"/>
              <w:jc w:val="right"/>
              <w:rPr>
                <w:rFonts w:cs="Times New Roman"/>
                <w:sz w:val="18"/>
                <w:szCs w:val="18"/>
              </w:rPr>
            </w:pPr>
            <w:r w:rsidRPr="00487403">
              <w:rPr>
                <w:rFonts w:cs="Times New Roman"/>
                <w:color w:val="000000"/>
                <w:sz w:val="18"/>
                <w:szCs w:val="18"/>
              </w:rPr>
              <w:t>126</w:t>
            </w:r>
          </w:p>
        </w:tc>
        <w:tc>
          <w:tcPr>
            <w:tcW w:w="1926" w:type="dxa"/>
            <w:tcBorders>
              <w:top w:val="single" w:sz="4" w:space="0" w:color="auto"/>
              <w:bottom w:val="single" w:sz="4" w:space="0" w:color="auto"/>
            </w:tcBorders>
            <w:vAlign w:val="center"/>
          </w:tcPr>
          <w:p w14:paraId="2FCC8242" w14:textId="3C9F887B" w:rsidR="00E0643A" w:rsidRDefault="00E0643A" w:rsidP="00E0643A">
            <w:pPr>
              <w:spacing w:after="0" w:line="240" w:lineRule="auto"/>
              <w:rPr>
                <w:rFonts w:cs="Times New Roman"/>
                <w:sz w:val="18"/>
                <w:szCs w:val="18"/>
              </w:rPr>
            </w:pPr>
            <w:r>
              <w:rPr>
                <w:sz w:val="18"/>
                <w:szCs w:val="18"/>
              </w:rPr>
              <w:t>0.03 (0.02 – 0.04)</w:t>
            </w:r>
          </w:p>
        </w:tc>
      </w:tr>
      <w:tr w:rsidR="005E2D08" w:rsidRPr="00730356" w14:paraId="0EAC7765" w14:textId="2918C0D6" w:rsidTr="007A494D">
        <w:tc>
          <w:tcPr>
            <w:tcW w:w="3319" w:type="dxa"/>
            <w:tcBorders>
              <w:top w:val="single" w:sz="4" w:space="0" w:color="auto"/>
              <w:bottom w:val="single" w:sz="4" w:space="0" w:color="auto"/>
            </w:tcBorders>
          </w:tcPr>
          <w:p w14:paraId="7DF1CD29" w14:textId="77777777" w:rsidR="00E0643A" w:rsidRPr="00730356" w:rsidRDefault="00E0643A" w:rsidP="00E0643A">
            <w:pPr>
              <w:spacing w:after="0" w:line="240" w:lineRule="auto"/>
              <w:ind w:left="170"/>
              <w:rPr>
                <w:rFonts w:cs="Times New Roman"/>
                <w:sz w:val="18"/>
                <w:szCs w:val="18"/>
              </w:rPr>
            </w:pPr>
            <w:r w:rsidRPr="00730356">
              <w:rPr>
                <w:rFonts w:cs="Times New Roman"/>
                <w:i/>
                <w:sz w:val="18"/>
                <w:szCs w:val="18"/>
              </w:rPr>
              <w:t>Salmonella</w:t>
            </w:r>
            <w:r w:rsidRPr="00730356">
              <w:rPr>
                <w:rFonts w:cs="Times New Roman"/>
                <w:sz w:val="18"/>
                <w:szCs w:val="18"/>
              </w:rPr>
              <w:t xml:space="preserve"> species</w:t>
            </w:r>
          </w:p>
        </w:tc>
        <w:tc>
          <w:tcPr>
            <w:tcW w:w="472" w:type="dxa"/>
            <w:tcBorders>
              <w:top w:val="single" w:sz="4" w:space="0" w:color="auto"/>
              <w:bottom w:val="single" w:sz="4" w:space="0" w:color="auto"/>
            </w:tcBorders>
            <w:vAlign w:val="center"/>
          </w:tcPr>
          <w:p w14:paraId="4058A272" w14:textId="77777777" w:rsidR="00E0643A" w:rsidRPr="00730356" w:rsidRDefault="00E0643A" w:rsidP="00E0643A">
            <w:pPr>
              <w:spacing w:after="0" w:line="240" w:lineRule="auto"/>
              <w:jc w:val="right"/>
              <w:rPr>
                <w:rFonts w:cs="Times New Roman"/>
                <w:sz w:val="18"/>
                <w:szCs w:val="18"/>
              </w:rPr>
            </w:pPr>
            <w:r>
              <w:rPr>
                <w:rFonts w:cs="Times New Roman"/>
                <w:sz w:val="18"/>
                <w:szCs w:val="18"/>
              </w:rPr>
              <w:t>0</w:t>
            </w:r>
          </w:p>
        </w:tc>
        <w:tc>
          <w:tcPr>
            <w:tcW w:w="1871" w:type="dxa"/>
            <w:tcBorders>
              <w:top w:val="single" w:sz="4" w:space="0" w:color="auto"/>
              <w:bottom w:val="single" w:sz="4" w:space="0" w:color="auto"/>
            </w:tcBorders>
            <w:vAlign w:val="center"/>
          </w:tcPr>
          <w:p w14:paraId="235CBADE" w14:textId="77777777" w:rsidR="00E0643A" w:rsidRPr="00730356" w:rsidRDefault="00E0643A" w:rsidP="00E0643A">
            <w:pPr>
              <w:spacing w:after="0" w:line="240" w:lineRule="auto"/>
              <w:rPr>
                <w:rFonts w:cs="Times New Roman"/>
                <w:sz w:val="18"/>
                <w:szCs w:val="18"/>
              </w:rPr>
            </w:pPr>
          </w:p>
        </w:tc>
        <w:tc>
          <w:tcPr>
            <w:tcW w:w="576" w:type="dxa"/>
            <w:tcBorders>
              <w:top w:val="single" w:sz="4" w:space="0" w:color="auto"/>
              <w:bottom w:val="single" w:sz="4" w:space="0" w:color="auto"/>
            </w:tcBorders>
            <w:vAlign w:val="bottom"/>
          </w:tcPr>
          <w:p w14:paraId="3779AD1E"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29</w:t>
            </w:r>
          </w:p>
        </w:tc>
        <w:tc>
          <w:tcPr>
            <w:tcW w:w="1926" w:type="dxa"/>
            <w:tcBorders>
              <w:top w:val="single" w:sz="4" w:space="0" w:color="auto"/>
              <w:bottom w:val="single" w:sz="4" w:space="0" w:color="auto"/>
            </w:tcBorders>
            <w:vAlign w:val="bottom"/>
          </w:tcPr>
          <w:p w14:paraId="51F322E7" w14:textId="77777777" w:rsidR="00E0643A" w:rsidRPr="00730356" w:rsidRDefault="00E0643A" w:rsidP="00E0643A">
            <w:pPr>
              <w:spacing w:after="0" w:line="240" w:lineRule="auto"/>
              <w:rPr>
                <w:rFonts w:cs="Times New Roman"/>
                <w:sz w:val="18"/>
                <w:szCs w:val="18"/>
              </w:rPr>
            </w:pPr>
            <w:r>
              <w:rPr>
                <w:rFonts w:cs="Times New Roman"/>
                <w:sz w:val="18"/>
                <w:szCs w:val="18"/>
              </w:rPr>
              <w:t>0.04 (0.02 – 0.06)</w:t>
            </w:r>
          </w:p>
        </w:tc>
        <w:tc>
          <w:tcPr>
            <w:tcW w:w="576" w:type="dxa"/>
            <w:tcBorders>
              <w:top w:val="single" w:sz="4" w:space="0" w:color="auto"/>
              <w:bottom w:val="single" w:sz="4" w:space="0" w:color="auto"/>
            </w:tcBorders>
            <w:vAlign w:val="center"/>
          </w:tcPr>
          <w:p w14:paraId="778ECAEF"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98</w:t>
            </w:r>
          </w:p>
        </w:tc>
        <w:tc>
          <w:tcPr>
            <w:tcW w:w="1871" w:type="dxa"/>
            <w:tcBorders>
              <w:top w:val="single" w:sz="4" w:space="0" w:color="auto"/>
              <w:bottom w:val="single" w:sz="4" w:space="0" w:color="auto"/>
            </w:tcBorders>
            <w:vAlign w:val="center"/>
          </w:tcPr>
          <w:p w14:paraId="3C0C3CEB" w14:textId="77777777" w:rsidR="00E0643A" w:rsidRPr="00730356" w:rsidRDefault="00E0643A" w:rsidP="00E0643A">
            <w:pPr>
              <w:spacing w:after="0" w:line="240" w:lineRule="auto"/>
              <w:rPr>
                <w:rFonts w:cs="Times New Roman"/>
                <w:sz w:val="18"/>
                <w:szCs w:val="18"/>
              </w:rPr>
            </w:pPr>
            <w:r>
              <w:rPr>
                <w:rFonts w:cs="Times New Roman"/>
                <w:sz w:val="18"/>
                <w:szCs w:val="18"/>
              </w:rPr>
              <w:t>0.07 (0.04 – 0.11)</w:t>
            </w:r>
          </w:p>
        </w:tc>
        <w:tc>
          <w:tcPr>
            <w:tcW w:w="585" w:type="dxa"/>
            <w:tcBorders>
              <w:top w:val="single" w:sz="4" w:space="0" w:color="auto"/>
              <w:bottom w:val="single" w:sz="4" w:space="0" w:color="auto"/>
            </w:tcBorders>
            <w:vAlign w:val="bottom"/>
          </w:tcPr>
          <w:p w14:paraId="3C89D438"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49</w:t>
            </w:r>
          </w:p>
        </w:tc>
        <w:tc>
          <w:tcPr>
            <w:tcW w:w="1893" w:type="dxa"/>
            <w:tcBorders>
              <w:top w:val="single" w:sz="4" w:space="0" w:color="auto"/>
              <w:bottom w:val="single" w:sz="4" w:space="0" w:color="auto"/>
            </w:tcBorders>
            <w:vAlign w:val="bottom"/>
          </w:tcPr>
          <w:p w14:paraId="0E9F41D0" w14:textId="77777777" w:rsidR="00E0643A" w:rsidRPr="00730356" w:rsidRDefault="00E0643A" w:rsidP="00E0643A">
            <w:pPr>
              <w:spacing w:after="0" w:line="240" w:lineRule="auto"/>
              <w:rPr>
                <w:rFonts w:cs="Times New Roman"/>
                <w:sz w:val="18"/>
                <w:szCs w:val="18"/>
              </w:rPr>
            </w:pPr>
            <w:r>
              <w:rPr>
                <w:rFonts w:cs="Times New Roman"/>
                <w:sz w:val="18"/>
                <w:szCs w:val="18"/>
              </w:rPr>
              <w:t>0.03 (0.01 – 0.05)</w:t>
            </w:r>
          </w:p>
        </w:tc>
        <w:tc>
          <w:tcPr>
            <w:tcW w:w="623" w:type="dxa"/>
            <w:tcBorders>
              <w:top w:val="single" w:sz="4" w:space="0" w:color="auto"/>
              <w:bottom w:val="single" w:sz="4" w:space="0" w:color="auto"/>
            </w:tcBorders>
            <w:vAlign w:val="center"/>
          </w:tcPr>
          <w:p w14:paraId="50991027" w14:textId="4F43B804" w:rsidR="00E0643A" w:rsidRDefault="00E0643A" w:rsidP="00E0643A">
            <w:pPr>
              <w:spacing w:after="0" w:line="240" w:lineRule="auto"/>
              <w:jc w:val="right"/>
              <w:rPr>
                <w:rFonts w:cs="Times New Roman"/>
                <w:sz w:val="18"/>
                <w:szCs w:val="18"/>
              </w:rPr>
            </w:pPr>
            <w:r>
              <w:rPr>
                <w:rFonts w:cs="Times New Roman"/>
                <w:color w:val="000000"/>
                <w:sz w:val="18"/>
                <w:szCs w:val="18"/>
              </w:rPr>
              <w:t>1</w:t>
            </w:r>
            <w:r w:rsidRPr="00487403">
              <w:rPr>
                <w:rFonts w:cs="Times New Roman"/>
                <w:color w:val="000000"/>
                <w:sz w:val="18"/>
                <w:szCs w:val="18"/>
              </w:rPr>
              <w:t>7</w:t>
            </w:r>
            <w:r>
              <w:rPr>
                <w:rFonts w:cs="Times New Roman"/>
                <w:color w:val="000000"/>
                <w:sz w:val="18"/>
                <w:szCs w:val="18"/>
              </w:rPr>
              <w:t>6</w:t>
            </w:r>
          </w:p>
        </w:tc>
        <w:tc>
          <w:tcPr>
            <w:tcW w:w="1926" w:type="dxa"/>
            <w:tcBorders>
              <w:top w:val="single" w:sz="4" w:space="0" w:color="auto"/>
              <w:bottom w:val="single" w:sz="4" w:space="0" w:color="auto"/>
            </w:tcBorders>
          </w:tcPr>
          <w:p w14:paraId="35AA982D" w14:textId="73F7496B" w:rsidR="00E0643A" w:rsidRDefault="00E0643A" w:rsidP="00E0643A">
            <w:pPr>
              <w:spacing w:after="0" w:line="240" w:lineRule="auto"/>
              <w:rPr>
                <w:rFonts w:cs="Times New Roman"/>
                <w:sz w:val="18"/>
                <w:szCs w:val="18"/>
              </w:rPr>
            </w:pPr>
            <w:r>
              <w:rPr>
                <w:sz w:val="18"/>
                <w:szCs w:val="18"/>
              </w:rPr>
              <w:t>0.04 (0.02 – 0.06)</w:t>
            </w:r>
          </w:p>
        </w:tc>
      </w:tr>
      <w:tr w:rsidR="005E2D08" w:rsidRPr="00730356" w14:paraId="6BEC6AC2" w14:textId="4A28D925" w:rsidTr="007A494D">
        <w:tc>
          <w:tcPr>
            <w:tcW w:w="3319" w:type="dxa"/>
            <w:tcBorders>
              <w:top w:val="single" w:sz="4" w:space="0" w:color="auto"/>
              <w:bottom w:val="single" w:sz="4" w:space="0" w:color="auto"/>
            </w:tcBorders>
          </w:tcPr>
          <w:p w14:paraId="096D2554" w14:textId="77777777" w:rsidR="00E0643A" w:rsidRPr="00730356" w:rsidRDefault="00E0643A" w:rsidP="00E0643A">
            <w:pPr>
              <w:spacing w:after="0" w:line="240" w:lineRule="auto"/>
              <w:ind w:left="170"/>
              <w:rPr>
                <w:rFonts w:cs="Times New Roman"/>
                <w:sz w:val="18"/>
                <w:szCs w:val="18"/>
              </w:rPr>
            </w:pPr>
            <w:r w:rsidRPr="00730356">
              <w:rPr>
                <w:rFonts w:cs="Times New Roman"/>
                <w:i/>
                <w:sz w:val="18"/>
                <w:szCs w:val="18"/>
              </w:rPr>
              <w:t>Citrobacter</w:t>
            </w:r>
            <w:r w:rsidRPr="00730356">
              <w:rPr>
                <w:rFonts w:cs="Times New Roman"/>
                <w:sz w:val="18"/>
                <w:szCs w:val="18"/>
              </w:rPr>
              <w:t xml:space="preserve"> species</w:t>
            </w:r>
          </w:p>
        </w:tc>
        <w:tc>
          <w:tcPr>
            <w:tcW w:w="472" w:type="dxa"/>
            <w:tcBorders>
              <w:top w:val="single" w:sz="4" w:space="0" w:color="auto"/>
              <w:bottom w:val="single" w:sz="4" w:space="0" w:color="auto"/>
            </w:tcBorders>
            <w:vAlign w:val="bottom"/>
          </w:tcPr>
          <w:p w14:paraId="3B3DAD81"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w:t>
            </w:r>
          </w:p>
        </w:tc>
        <w:tc>
          <w:tcPr>
            <w:tcW w:w="1871" w:type="dxa"/>
            <w:tcBorders>
              <w:top w:val="single" w:sz="4" w:space="0" w:color="auto"/>
              <w:bottom w:val="single" w:sz="4" w:space="0" w:color="auto"/>
            </w:tcBorders>
            <w:vAlign w:val="bottom"/>
          </w:tcPr>
          <w:p w14:paraId="48360B39" w14:textId="77777777" w:rsidR="00E0643A" w:rsidRPr="00730356" w:rsidRDefault="00E0643A" w:rsidP="00E0643A">
            <w:pPr>
              <w:spacing w:after="0" w:line="240" w:lineRule="auto"/>
              <w:rPr>
                <w:rFonts w:cs="Times New Roman"/>
                <w:sz w:val="18"/>
                <w:szCs w:val="18"/>
              </w:rPr>
            </w:pPr>
            <w:r>
              <w:rPr>
                <w:rFonts w:cs="Times New Roman"/>
                <w:sz w:val="18"/>
                <w:szCs w:val="18"/>
              </w:rPr>
              <w:t>0.04 (0.01 – 0.19)</w:t>
            </w:r>
          </w:p>
        </w:tc>
        <w:tc>
          <w:tcPr>
            <w:tcW w:w="576" w:type="dxa"/>
            <w:tcBorders>
              <w:top w:val="single" w:sz="4" w:space="0" w:color="auto"/>
              <w:bottom w:val="single" w:sz="4" w:space="0" w:color="auto"/>
            </w:tcBorders>
            <w:vAlign w:val="bottom"/>
          </w:tcPr>
          <w:p w14:paraId="5C596FFC"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11</w:t>
            </w:r>
          </w:p>
        </w:tc>
        <w:tc>
          <w:tcPr>
            <w:tcW w:w="1926" w:type="dxa"/>
            <w:tcBorders>
              <w:top w:val="single" w:sz="4" w:space="0" w:color="auto"/>
              <w:bottom w:val="single" w:sz="4" w:space="0" w:color="auto"/>
            </w:tcBorders>
            <w:vAlign w:val="bottom"/>
          </w:tcPr>
          <w:p w14:paraId="6E29EE10" w14:textId="77777777" w:rsidR="00E0643A" w:rsidRPr="00730356" w:rsidRDefault="00E0643A" w:rsidP="00E0643A">
            <w:pPr>
              <w:spacing w:after="0" w:line="240" w:lineRule="auto"/>
              <w:rPr>
                <w:rFonts w:cs="Times New Roman"/>
                <w:sz w:val="18"/>
                <w:szCs w:val="18"/>
              </w:rPr>
            </w:pPr>
            <w:r>
              <w:rPr>
                <w:rFonts w:cs="Times New Roman"/>
                <w:sz w:val="18"/>
                <w:szCs w:val="18"/>
              </w:rPr>
              <w:t>0.07 (0.03 – 0.12)</w:t>
            </w:r>
          </w:p>
        </w:tc>
        <w:tc>
          <w:tcPr>
            <w:tcW w:w="576" w:type="dxa"/>
            <w:tcBorders>
              <w:top w:val="single" w:sz="4" w:space="0" w:color="auto"/>
              <w:bottom w:val="single" w:sz="4" w:space="0" w:color="auto"/>
            </w:tcBorders>
            <w:vAlign w:val="bottom"/>
          </w:tcPr>
          <w:p w14:paraId="599EBBA5"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23</w:t>
            </w:r>
          </w:p>
        </w:tc>
        <w:tc>
          <w:tcPr>
            <w:tcW w:w="1871" w:type="dxa"/>
            <w:tcBorders>
              <w:top w:val="single" w:sz="4" w:space="0" w:color="auto"/>
              <w:bottom w:val="single" w:sz="4" w:space="0" w:color="auto"/>
            </w:tcBorders>
            <w:vAlign w:val="bottom"/>
          </w:tcPr>
          <w:p w14:paraId="39918F12" w14:textId="77777777" w:rsidR="00E0643A" w:rsidRPr="00730356" w:rsidRDefault="00E0643A" w:rsidP="00E0643A">
            <w:pPr>
              <w:spacing w:after="0" w:line="240" w:lineRule="auto"/>
              <w:rPr>
                <w:rFonts w:cs="Times New Roman"/>
                <w:sz w:val="18"/>
                <w:szCs w:val="18"/>
              </w:rPr>
            </w:pPr>
            <w:r>
              <w:rPr>
                <w:rFonts w:cs="Times New Roman"/>
                <w:sz w:val="18"/>
                <w:szCs w:val="18"/>
              </w:rPr>
              <w:t>0.02 (0.01 – 0.03)</w:t>
            </w:r>
          </w:p>
        </w:tc>
        <w:tc>
          <w:tcPr>
            <w:tcW w:w="585" w:type="dxa"/>
            <w:tcBorders>
              <w:top w:val="single" w:sz="4" w:space="0" w:color="auto"/>
              <w:bottom w:val="single" w:sz="4" w:space="0" w:color="auto"/>
            </w:tcBorders>
            <w:vAlign w:val="bottom"/>
          </w:tcPr>
          <w:p w14:paraId="202A6F1F"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87</w:t>
            </w:r>
          </w:p>
        </w:tc>
        <w:tc>
          <w:tcPr>
            <w:tcW w:w="1893" w:type="dxa"/>
            <w:tcBorders>
              <w:top w:val="single" w:sz="4" w:space="0" w:color="auto"/>
              <w:bottom w:val="single" w:sz="4" w:space="0" w:color="auto"/>
            </w:tcBorders>
            <w:vAlign w:val="bottom"/>
          </w:tcPr>
          <w:p w14:paraId="16F5B9FA" w14:textId="77777777" w:rsidR="00E0643A" w:rsidRPr="00730356" w:rsidRDefault="00E0643A" w:rsidP="00E0643A">
            <w:pPr>
              <w:spacing w:after="0" w:line="240" w:lineRule="auto"/>
              <w:rPr>
                <w:rFonts w:cs="Times New Roman"/>
                <w:sz w:val="18"/>
                <w:szCs w:val="18"/>
              </w:rPr>
            </w:pPr>
            <w:r>
              <w:rPr>
                <w:rFonts w:cs="Times New Roman"/>
                <w:sz w:val="18"/>
                <w:szCs w:val="18"/>
              </w:rPr>
              <w:t>0.03 (0.02 – 0.04)</w:t>
            </w:r>
          </w:p>
        </w:tc>
        <w:tc>
          <w:tcPr>
            <w:tcW w:w="623" w:type="dxa"/>
            <w:tcBorders>
              <w:top w:val="single" w:sz="4" w:space="0" w:color="auto"/>
              <w:bottom w:val="single" w:sz="4" w:space="0" w:color="auto"/>
            </w:tcBorders>
            <w:vAlign w:val="center"/>
          </w:tcPr>
          <w:p w14:paraId="3D068E74" w14:textId="70C87126" w:rsidR="00E0643A" w:rsidRDefault="00E0643A" w:rsidP="00E0643A">
            <w:pPr>
              <w:spacing w:after="0" w:line="240" w:lineRule="auto"/>
              <w:jc w:val="right"/>
              <w:rPr>
                <w:rFonts w:cs="Times New Roman"/>
                <w:sz w:val="18"/>
                <w:szCs w:val="18"/>
              </w:rPr>
            </w:pPr>
            <w:r w:rsidRPr="00487403">
              <w:rPr>
                <w:rFonts w:cs="Times New Roman"/>
                <w:color w:val="000000"/>
                <w:sz w:val="18"/>
                <w:szCs w:val="18"/>
              </w:rPr>
              <w:t>122</w:t>
            </w:r>
          </w:p>
        </w:tc>
        <w:tc>
          <w:tcPr>
            <w:tcW w:w="1926" w:type="dxa"/>
            <w:tcBorders>
              <w:top w:val="single" w:sz="4" w:space="0" w:color="auto"/>
              <w:bottom w:val="single" w:sz="4" w:space="0" w:color="auto"/>
            </w:tcBorders>
          </w:tcPr>
          <w:p w14:paraId="1C1F3184" w14:textId="54A9B291" w:rsidR="00E0643A" w:rsidRDefault="00E0643A" w:rsidP="00E0643A">
            <w:pPr>
              <w:spacing w:after="0" w:line="240" w:lineRule="auto"/>
              <w:rPr>
                <w:rFonts w:cs="Times New Roman"/>
                <w:sz w:val="18"/>
                <w:szCs w:val="18"/>
              </w:rPr>
            </w:pPr>
            <w:r>
              <w:rPr>
                <w:sz w:val="18"/>
                <w:szCs w:val="18"/>
              </w:rPr>
              <w:t>0.02 (0.02 – 0.04)</w:t>
            </w:r>
          </w:p>
        </w:tc>
      </w:tr>
      <w:tr w:rsidR="005E2D08" w:rsidRPr="00730356" w14:paraId="4AC57087" w14:textId="2FC8F749" w:rsidTr="007A494D">
        <w:tc>
          <w:tcPr>
            <w:tcW w:w="3319" w:type="dxa"/>
            <w:tcBorders>
              <w:top w:val="single" w:sz="4" w:space="0" w:color="auto"/>
              <w:bottom w:val="single" w:sz="4" w:space="0" w:color="auto"/>
            </w:tcBorders>
          </w:tcPr>
          <w:p w14:paraId="67C8847E" w14:textId="77777777" w:rsidR="00E0643A" w:rsidRPr="00730356" w:rsidRDefault="00E0643A" w:rsidP="00E0643A">
            <w:pPr>
              <w:spacing w:after="0" w:line="240" w:lineRule="auto"/>
              <w:ind w:left="170"/>
              <w:rPr>
                <w:rFonts w:cs="Times New Roman"/>
                <w:sz w:val="18"/>
                <w:szCs w:val="18"/>
              </w:rPr>
            </w:pPr>
            <w:r w:rsidRPr="00730356">
              <w:rPr>
                <w:rFonts w:cs="Times New Roman"/>
                <w:i/>
                <w:sz w:val="18"/>
                <w:szCs w:val="18"/>
              </w:rPr>
              <w:t>Haemophilus influenzae</w:t>
            </w:r>
          </w:p>
        </w:tc>
        <w:tc>
          <w:tcPr>
            <w:tcW w:w="472" w:type="dxa"/>
            <w:tcBorders>
              <w:top w:val="single" w:sz="4" w:space="0" w:color="auto"/>
              <w:bottom w:val="single" w:sz="4" w:space="0" w:color="auto"/>
            </w:tcBorders>
          </w:tcPr>
          <w:p w14:paraId="128FC4E5" w14:textId="77777777" w:rsidR="00E0643A" w:rsidRPr="00730356" w:rsidRDefault="00E0643A" w:rsidP="00E0643A">
            <w:pPr>
              <w:spacing w:after="0" w:line="240" w:lineRule="auto"/>
              <w:jc w:val="right"/>
              <w:rPr>
                <w:rFonts w:cs="Times New Roman"/>
                <w:sz w:val="18"/>
                <w:szCs w:val="18"/>
              </w:rPr>
            </w:pPr>
            <w:r w:rsidRPr="00191A92">
              <w:rPr>
                <w:rFonts w:cs="Times New Roman"/>
                <w:sz w:val="18"/>
                <w:szCs w:val="18"/>
              </w:rPr>
              <w:t>0</w:t>
            </w:r>
          </w:p>
        </w:tc>
        <w:tc>
          <w:tcPr>
            <w:tcW w:w="1871" w:type="dxa"/>
            <w:tcBorders>
              <w:top w:val="single" w:sz="4" w:space="0" w:color="auto"/>
              <w:bottom w:val="single" w:sz="4" w:space="0" w:color="auto"/>
            </w:tcBorders>
            <w:vAlign w:val="center"/>
          </w:tcPr>
          <w:p w14:paraId="308146FB" w14:textId="77777777" w:rsidR="00E0643A" w:rsidRPr="00730356" w:rsidRDefault="00E0643A" w:rsidP="00E0643A">
            <w:pPr>
              <w:spacing w:after="0" w:line="240" w:lineRule="auto"/>
              <w:rPr>
                <w:rFonts w:cs="Times New Roman"/>
                <w:sz w:val="18"/>
                <w:szCs w:val="18"/>
              </w:rPr>
            </w:pPr>
          </w:p>
        </w:tc>
        <w:tc>
          <w:tcPr>
            <w:tcW w:w="576" w:type="dxa"/>
            <w:tcBorders>
              <w:top w:val="single" w:sz="4" w:space="0" w:color="auto"/>
              <w:bottom w:val="single" w:sz="4" w:space="0" w:color="auto"/>
            </w:tcBorders>
            <w:vAlign w:val="bottom"/>
          </w:tcPr>
          <w:p w14:paraId="6A8CD117"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4</w:t>
            </w:r>
          </w:p>
        </w:tc>
        <w:tc>
          <w:tcPr>
            <w:tcW w:w="1926" w:type="dxa"/>
            <w:tcBorders>
              <w:top w:val="single" w:sz="4" w:space="0" w:color="auto"/>
              <w:bottom w:val="single" w:sz="4" w:space="0" w:color="auto"/>
            </w:tcBorders>
            <w:vAlign w:val="bottom"/>
          </w:tcPr>
          <w:p w14:paraId="373E4B41" w14:textId="77777777" w:rsidR="00E0643A" w:rsidRPr="00730356" w:rsidRDefault="00E0643A" w:rsidP="00E0643A">
            <w:pPr>
              <w:spacing w:after="0" w:line="240" w:lineRule="auto"/>
              <w:rPr>
                <w:rFonts w:cs="Times New Roman"/>
                <w:sz w:val="18"/>
                <w:szCs w:val="18"/>
              </w:rPr>
            </w:pPr>
            <w:r>
              <w:rPr>
                <w:rFonts w:cs="Times New Roman"/>
                <w:sz w:val="18"/>
                <w:szCs w:val="18"/>
              </w:rPr>
              <w:t>0.00 (0.00 – 0.01)</w:t>
            </w:r>
          </w:p>
        </w:tc>
        <w:tc>
          <w:tcPr>
            <w:tcW w:w="576" w:type="dxa"/>
            <w:tcBorders>
              <w:top w:val="single" w:sz="4" w:space="0" w:color="auto"/>
              <w:bottom w:val="single" w:sz="4" w:space="0" w:color="auto"/>
            </w:tcBorders>
            <w:vAlign w:val="bottom"/>
          </w:tcPr>
          <w:p w14:paraId="6BD9C5AB"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2</w:t>
            </w:r>
          </w:p>
        </w:tc>
        <w:tc>
          <w:tcPr>
            <w:tcW w:w="1871" w:type="dxa"/>
            <w:tcBorders>
              <w:top w:val="single" w:sz="4" w:space="0" w:color="auto"/>
              <w:bottom w:val="single" w:sz="4" w:space="0" w:color="auto"/>
            </w:tcBorders>
            <w:vAlign w:val="bottom"/>
          </w:tcPr>
          <w:p w14:paraId="1C810EC9" w14:textId="77777777" w:rsidR="00E0643A" w:rsidRPr="00730356" w:rsidRDefault="00E0643A" w:rsidP="00E0643A">
            <w:pPr>
              <w:spacing w:after="0" w:line="240" w:lineRule="auto"/>
              <w:rPr>
                <w:rFonts w:cs="Times New Roman"/>
                <w:sz w:val="18"/>
                <w:szCs w:val="18"/>
              </w:rPr>
            </w:pPr>
            <w:r>
              <w:rPr>
                <w:rFonts w:cs="Times New Roman"/>
                <w:sz w:val="18"/>
                <w:szCs w:val="18"/>
              </w:rPr>
              <w:t>0.00 (0.00 – 0.01)</w:t>
            </w:r>
          </w:p>
        </w:tc>
        <w:tc>
          <w:tcPr>
            <w:tcW w:w="585" w:type="dxa"/>
            <w:tcBorders>
              <w:top w:val="single" w:sz="4" w:space="0" w:color="auto"/>
              <w:bottom w:val="single" w:sz="4" w:space="0" w:color="auto"/>
            </w:tcBorders>
            <w:vAlign w:val="bottom"/>
          </w:tcPr>
          <w:p w14:paraId="1E20EA98"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4</w:t>
            </w:r>
          </w:p>
        </w:tc>
        <w:tc>
          <w:tcPr>
            <w:tcW w:w="1893" w:type="dxa"/>
            <w:tcBorders>
              <w:top w:val="single" w:sz="4" w:space="0" w:color="auto"/>
              <w:bottom w:val="single" w:sz="4" w:space="0" w:color="auto"/>
            </w:tcBorders>
            <w:vAlign w:val="bottom"/>
          </w:tcPr>
          <w:p w14:paraId="6FD49E2F" w14:textId="77777777" w:rsidR="00E0643A" w:rsidRPr="00730356" w:rsidRDefault="00E0643A" w:rsidP="00E0643A">
            <w:pPr>
              <w:spacing w:after="0" w:line="240" w:lineRule="auto"/>
              <w:rPr>
                <w:rFonts w:cs="Times New Roman"/>
                <w:sz w:val="18"/>
                <w:szCs w:val="18"/>
              </w:rPr>
            </w:pPr>
            <w:r>
              <w:rPr>
                <w:rFonts w:cs="Times New Roman"/>
                <w:sz w:val="18"/>
                <w:szCs w:val="18"/>
              </w:rPr>
              <w:t>0.04 (0.01 – 0.09)</w:t>
            </w:r>
          </w:p>
        </w:tc>
        <w:tc>
          <w:tcPr>
            <w:tcW w:w="623" w:type="dxa"/>
            <w:tcBorders>
              <w:top w:val="single" w:sz="4" w:space="0" w:color="auto"/>
              <w:bottom w:val="single" w:sz="4" w:space="0" w:color="auto"/>
            </w:tcBorders>
            <w:vAlign w:val="center"/>
          </w:tcPr>
          <w:p w14:paraId="5C43B58E" w14:textId="0D3456F2" w:rsidR="00E0643A" w:rsidRDefault="00E0643A" w:rsidP="00E0643A">
            <w:pPr>
              <w:spacing w:after="0" w:line="240" w:lineRule="auto"/>
              <w:jc w:val="right"/>
              <w:rPr>
                <w:rFonts w:cs="Times New Roman"/>
                <w:sz w:val="18"/>
                <w:szCs w:val="18"/>
              </w:rPr>
            </w:pPr>
            <w:r w:rsidRPr="00487403">
              <w:rPr>
                <w:rFonts w:cs="Times New Roman"/>
                <w:color w:val="000000"/>
                <w:sz w:val="18"/>
                <w:szCs w:val="18"/>
              </w:rPr>
              <w:t>10</w:t>
            </w:r>
          </w:p>
        </w:tc>
        <w:tc>
          <w:tcPr>
            <w:tcW w:w="1926" w:type="dxa"/>
            <w:tcBorders>
              <w:top w:val="single" w:sz="4" w:space="0" w:color="auto"/>
              <w:bottom w:val="single" w:sz="4" w:space="0" w:color="auto"/>
            </w:tcBorders>
            <w:vAlign w:val="center"/>
          </w:tcPr>
          <w:p w14:paraId="4BC36D62" w14:textId="2BF83577" w:rsidR="00E0643A" w:rsidRDefault="00E0643A" w:rsidP="00E0643A">
            <w:pPr>
              <w:spacing w:after="0" w:line="240" w:lineRule="auto"/>
              <w:rPr>
                <w:rFonts w:cs="Times New Roman"/>
                <w:sz w:val="18"/>
                <w:szCs w:val="18"/>
              </w:rPr>
            </w:pPr>
            <w:r>
              <w:rPr>
                <w:sz w:val="18"/>
                <w:szCs w:val="18"/>
              </w:rPr>
              <w:t>0.01 (0.00 – 0.03)</w:t>
            </w:r>
          </w:p>
        </w:tc>
      </w:tr>
      <w:tr w:rsidR="005E2D08" w:rsidRPr="00730356" w14:paraId="112D381E" w14:textId="2C9E7583" w:rsidTr="007A494D">
        <w:tc>
          <w:tcPr>
            <w:tcW w:w="3319" w:type="dxa"/>
            <w:tcBorders>
              <w:top w:val="single" w:sz="4" w:space="0" w:color="auto"/>
              <w:bottom w:val="single" w:sz="4" w:space="0" w:color="auto"/>
            </w:tcBorders>
          </w:tcPr>
          <w:p w14:paraId="137AC3D6" w14:textId="77777777" w:rsidR="00E0643A" w:rsidRPr="00730356" w:rsidRDefault="00E0643A" w:rsidP="00E0643A">
            <w:pPr>
              <w:spacing w:after="0" w:line="240" w:lineRule="auto"/>
              <w:ind w:left="170"/>
              <w:rPr>
                <w:rFonts w:cs="Times New Roman"/>
                <w:sz w:val="18"/>
                <w:szCs w:val="18"/>
              </w:rPr>
            </w:pPr>
            <w:r w:rsidRPr="00730356">
              <w:rPr>
                <w:rFonts w:cs="Times New Roman"/>
                <w:i/>
                <w:sz w:val="18"/>
                <w:szCs w:val="18"/>
              </w:rPr>
              <w:t>Neisseria meningitidis</w:t>
            </w:r>
          </w:p>
        </w:tc>
        <w:tc>
          <w:tcPr>
            <w:tcW w:w="472" w:type="dxa"/>
            <w:tcBorders>
              <w:top w:val="single" w:sz="4" w:space="0" w:color="auto"/>
              <w:bottom w:val="single" w:sz="4" w:space="0" w:color="auto"/>
            </w:tcBorders>
          </w:tcPr>
          <w:p w14:paraId="67B7A595" w14:textId="77777777" w:rsidR="00E0643A" w:rsidRPr="00730356" w:rsidRDefault="00E0643A" w:rsidP="00E0643A">
            <w:pPr>
              <w:spacing w:after="0" w:line="240" w:lineRule="auto"/>
              <w:jc w:val="right"/>
              <w:rPr>
                <w:rFonts w:cs="Times New Roman"/>
                <w:sz w:val="18"/>
                <w:szCs w:val="18"/>
              </w:rPr>
            </w:pPr>
            <w:r w:rsidRPr="00191A92">
              <w:rPr>
                <w:rFonts w:cs="Times New Roman"/>
                <w:sz w:val="18"/>
                <w:szCs w:val="18"/>
              </w:rPr>
              <w:t>0</w:t>
            </w:r>
          </w:p>
        </w:tc>
        <w:tc>
          <w:tcPr>
            <w:tcW w:w="1871" w:type="dxa"/>
            <w:tcBorders>
              <w:top w:val="single" w:sz="4" w:space="0" w:color="auto"/>
              <w:bottom w:val="single" w:sz="4" w:space="0" w:color="auto"/>
            </w:tcBorders>
            <w:vAlign w:val="center"/>
          </w:tcPr>
          <w:p w14:paraId="0B5831DA" w14:textId="77777777" w:rsidR="00E0643A" w:rsidRPr="00730356" w:rsidRDefault="00E0643A" w:rsidP="00E0643A">
            <w:pPr>
              <w:spacing w:after="0" w:line="240" w:lineRule="auto"/>
              <w:rPr>
                <w:rFonts w:cs="Times New Roman"/>
                <w:sz w:val="18"/>
                <w:szCs w:val="18"/>
              </w:rPr>
            </w:pPr>
          </w:p>
        </w:tc>
        <w:tc>
          <w:tcPr>
            <w:tcW w:w="576" w:type="dxa"/>
            <w:tcBorders>
              <w:top w:val="single" w:sz="4" w:space="0" w:color="auto"/>
              <w:bottom w:val="single" w:sz="4" w:space="0" w:color="auto"/>
            </w:tcBorders>
            <w:vAlign w:val="bottom"/>
          </w:tcPr>
          <w:p w14:paraId="517D412D"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12</w:t>
            </w:r>
          </w:p>
        </w:tc>
        <w:tc>
          <w:tcPr>
            <w:tcW w:w="1926" w:type="dxa"/>
            <w:tcBorders>
              <w:top w:val="single" w:sz="4" w:space="0" w:color="auto"/>
              <w:bottom w:val="single" w:sz="4" w:space="0" w:color="auto"/>
            </w:tcBorders>
            <w:vAlign w:val="bottom"/>
          </w:tcPr>
          <w:p w14:paraId="4D3A320A" w14:textId="77777777" w:rsidR="00E0643A" w:rsidRPr="00730356" w:rsidRDefault="00E0643A" w:rsidP="00E0643A">
            <w:pPr>
              <w:spacing w:after="0" w:line="240" w:lineRule="auto"/>
              <w:rPr>
                <w:rFonts w:cs="Times New Roman"/>
                <w:sz w:val="18"/>
                <w:szCs w:val="18"/>
              </w:rPr>
            </w:pPr>
            <w:r>
              <w:rPr>
                <w:rFonts w:cs="Times New Roman"/>
                <w:sz w:val="18"/>
                <w:szCs w:val="18"/>
              </w:rPr>
              <w:t>0.01 (0.00 – 0.02)</w:t>
            </w:r>
          </w:p>
        </w:tc>
        <w:tc>
          <w:tcPr>
            <w:tcW w:w="576" w:type="dxa"/>
            <w:tcBorders>
              <w:top w:val="single" w:sz="4" w:space="0" w:color="auto"/>
              <w:bottom w:val="single" w:sz="4" w:space="0" w:color="auto"/>
            </w:tcBorders>
            <w:vAlign w:val="bottom"/>
          </w:tcPr>
          <w:p w14:paraId="4C9E898A"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3</w:t>
            </w:r>
          </w:p>
        </w:tc>
        <w:tc>
          <w:tcPr>
            <w:tcW w:w="1871" w:type="dxa"/>
            <w:tcBorders>
              <w:top w:val="single" w:sz="4" w:space="0" w:color="auto"/>
              <w:bottom w:val="single" w:sz="4" w:space="0" w:color="auto"/>
            </w:tcBorders>
            <w:vAlign w:val="bottom"/>
          </w:tcPr>
          <w:p w14:paraId="790F6026" w14:textId="77777777" w:rsidR="00E0643A" w:rsidRPr="00730356" w:rsidRDefault="00E0643A" w:rsidP="00E0643A">
            <w:pPr>
              <w:spacing w:after="0" w:line="240" w:lineRule="auto"/>
              <w:rPr>
                <w:rFonts w:cs="Times New Roman"/>
                <w:sz w:val="18"/>
                <w:szCs w:val="18"/>
              </w:rPr>
            </w:pPr>
            <w:r>
              <w:rPr>
                <w:rFonts w:cs="Times New Roman"/>
                <w:sz w:val="18"/>
                <w:szCs w:val="18"/>
              </w:rPr>
              <w:t>0.01 (0.00 – 0.02)</w:t>
            </w:r>
          </w:p>
        </w:tc>
        <w:tc>
          <w:tcPr>
            <w:tcW w:w="585" w:type="dxa"/>
            <w:tcBorders>
              <w:top w:val="single" w:sz="4" w:space="0" w:color="auto"/>
              <w:bottom w:val="single" w:sz="4" w:space="0" w:color="auto"/>
            </w:tcBorders>
            <w:vAlign w:val="bottom"/>
          </w:tcPr>
          <w:p w14:paraId="5DE89D05"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2</w:t>
            </w:r>
          </w:p>
        </w:tc>
        <w:tc>
          <w:tcPr>
            <w:tcW w:w="1893" w:type="dxa"/>
            <w:tcBorders>
              <w:top w:val="single" w:sz="4" w:space="0" w:color="auto"/>
              <w:bottom w:val="single" w:sz="4" w:space="0" w:color="auto"/>
            </w:tcBorders>
            <w:vAlign w:val="bottom"/>
          </w:tcPr>
          <w:p w14:paraId="3FDCB58A" w14:textId="77777777" w:rsidR="00E0643A" w:rsidRPr="00730356" w:rsidRDefault="00E0643A" w:rsidP="00E0643A">
            <w:pPr>
              <w:spacing w:after="0" w:line="240" w:lineRule="auto"/>
              <w:rPr>
                <w:rFonts w:cs="Times New Roman"/>
                <w:sz w:val="18"/>
                <w:szCs w:val="18"/>
              </w:rPr>
            </w:pPr>
            <w:r>
              <w:rPr>
                <w:rFonts w:cs="Times New Roman"/>
                <w:sz w:val="18"/>
                <w:szCs w:val="18"/>
              </w:rPr>
              <w:t>0.04 (0.01 – 0.13)</w:t>
            </w:r>
          </w:p>
        </w:tc>
        <w:tc>
          <w:tcPr>
            <w:tcW w:w="623" w:type="dxa"/>
            <w:tcBorders>
              <w:top w:val="single" w:sz="4" w:space="0" w:color="auto"/>
              <w:bottom w:val="single" w:sz="4" w:space="0" w:color="auto"/>
            </w:tcBorders>
            <w:vAlign w:val="center"/>
          </w:tcPr>
          <w:p w14:paraId="1C4CCA26" w14:textId="6C27EEDE" w:rsidR="00E0643A" w:rsidRDefault="00E0643A" w:rsidP="00E0643A">
            <w:pPr>
              <w:spacing w:after="0" w:line="240" w:lineRule="auto"/>
              <w:jc w:val="right"/>
              <w:rPr>
                <w:rFonts w:cs="Times New Roman"/>
                <w:sz w:val="18"/>
                <w:szCs w:val="18"/>
              </w:rPr>
            </w:pPr>
            <w:r w:rsidRPr="00487403">
              <w:rPr>
                <w:rFonts w:cs="Times New Roman"/>
                <w:color w:val="000000"/>
                <w:sz w:val="18"/>
                <w:szCs w:val="18"/>
              </w:rPr>
              <w:t>17</w:t>
            </w:r>
          </w:p>
        </w:tc>
        <w:tc>
          <w:tcPr>
            <w:tcW w:w="1926" w:type="dxa"/>
            <w:tcBorders>
              <w:top w:val="single" w:sz="4" w:space="0" w:color="auto"/>
              <w:bottom w:val="single" w:sz="4" w:space="0" w:color="auto"/>
            </w:tcBorders>
            <w:vAlign w:val="center"/>
          </w:tcPr>
          <w:p w14:paraId="560EFCBA" w14:textId="5303B647" w:rsidR="00E0643A" w:rsidRDefault="00E0643A" w:rsidP="00E0643A">
            <w:pPr>
              <w:spacing w:after="0" w:line="240" w:lineRule="auto"/>
              <w:rPr>
                <w:rFonts w:cs="Times New Roman"/>
                <w:sz w:val="18"/>
                <w:szCs w:val="18"/>
              </w:rPr>
            </w:pPr>
            <w:r>
              <w:rPr>
                <w:sz w:val="18"/>
                <w:szCs w:val="18"/>
              </w:rPr>
              <w:t>0.03 (0.00 – 0.08)</w:t>
            </w:r>
          </w:p>
        </w:tc>
      </w:tr>
      <w:tr w:rsidR="005E2D08" w:rsidRPr="00730356" w14:paraId="5AA196A3" w14:textId="7D895A8E" w:rsidTr="007A494D">
        <w:tc>
          <w:tcPr>
            <w:tcW w:w="3319" w:type="dxa"/>
            <w:tcBorders>
              <w:top w:val="single" w:sz="4" w:space="0" w:color="auto"/>
              <w:bottom w:val="single" w:sz="4" w:space="0" w:color="auto"/>
            </w:tcBorders>
          </w:tcPr>
          <w:p w14:paraId="0ECE873B" w14:textId="77777777" w:rsidR="00E0643A" w:rsidRPr="00730356" w:rsidRDefault="00E0643A" w:rsidP="00E0643A">
            <w:pPr>
              <w:spacing w:after="0" w:line="240" w:lineRule="auto"/>
              <w:ind w:left="170"/>
              <w:rPr>
                <w:rFonts w:cs="Times New Roman"/>
                <w:sz w:val="18"/>
                <w:szCs w:val="18"/>
              </w:rPr>
            </w:pPr>
            <w:r w:rsidRPr="00730356">
              <w:rPr>
                <w:rFonts w:cs="Times New Roman"/>
                <w:i/>
                <w:sz w:val="18"/>
                <w:szCs w:val="18"/>
              </w:rPr>
              <w:t>Acinetobacter</w:t>
            </w:r>
            <w:r w:rsidRPr="00730356">
              <w:rPr>
                <w:rFonts w:cs="Times New Roman"/>
                <w:sz w:val="18"/>
                <w:szCs w:val="18"/>
              </w:rPr>
              <w:t xml:space="preserve"> species</w:t>
            </w:r>
          </w:p>
        </w:tc>
        <w:tc>
          <w:tcPr>
            <w:tcW w:w="472" w:type="dxa"/>
            <w:tcBorders>
              <w:top w:val="single" w:sz="4" w:space="0" w:color="auto"/>
              <w:bottom w:val="single" w:sz="4" w:space="0" w:color="auto"/>
            </w:tcBorders>
            <w:vAlign w:val="bottom"/>
          </w:tcPr>
          <w:p w14:paraId="24269BFB"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6</w:t>
            </w:r>
          </w:p>
        </w:tc>
        <w:tc>
          <w:tcPr>
            <w:tcW w:w="1871" w:type="dxa"/>
            <w:tcBorders>
              <w:top w:val="single" w:sz="4" w:space="0" w:color="auto"/>
              <w:bottom w:val="single" w:sz="4" w:space="0" w:color="auto"/>
            </w:tcBorders>
            <w:vAlign w:val="bottom"/>
          </w:tcPr>
          <w:p w14:paraId="783AB2D6" w14:textId="77777777" w:rsidR="00E0643A" w:rsidRPr="00730356" w:rsidRDefault="00E0643A" w:rsidP="00E0643A">
            <w:pPr>
              <w:spacing w:after="0" w:line="240" w:lineRule="auto"/>
              <w:rPr>
                <w:rFonts w:cs="Times New Roman"/>
                <w:sz w:val="18"/>
                <w:szCs w:val="18"/>
              </w:rPr>
            </w:pPr>
            <w:r>
              <w:rPr>
                <w:rFonts w:cs="Times New Roman"/>
                <w:sz w:val="18"/>
                <w:szCs w:val="18"/>
              </w:rPr>
              <w:t>0.11 (0.03 – 0.21)</w:t>
            </w:r>
          </w:p>
        </w:tc>
        <w:tc>
          <w:tcPr>
            <w:tcW w:w="576" w:type="dxa"/>
            <w:tcBorders>
              <w:top w:val="single" w:sz="4" w:space="0" w:color="auto"/>
              <w:bottom w:val="single" w:sz="4" w:space="0" w:color="auto"/>
            </w:tcBorders>
            <w:vAlign w:val="bottom"/>
          </w:tcPr>
          <w:p w14:paraId="7EEBC6F5"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54</w:t>
            </w:r>
          </w:p>
        </w:tc>
        <w:tc>
          <w:tcPr>
            <w:tcW w:w="1926" w:type="dxa"/>
            <w:tcBorders>
              <w:top w:val="single" w:sz="4" w:space="0" w:color="auto"/>
              <w:bottom w:val="single" w:sz="4" w:space="0" w:color="auto"/>
            </w:tcBorders>
            <w:vAlign w:val="bottom"/>
          </w:tcPr>
          <w:p w14:paraId="363C91BA" w14:textId="77777777" w:rsidR="00E0643A" w:rsidRPr="00730356" w:rsidRDefault="00E0643A" w:rsidP="00E0643A">
            <w:pPr>
              <w:spacing w:after="0" w:line="240" w:lineRule="auto"/>
              <w:rPr>
                <w:rFonts w:cs="Times New Roman"/>
                <w:sz w:val="18"/>
                <w:szCs w:val="18"/>
              </w:rPr>
            </w:pPr>
            <w:r>
              <w:rPr>
                <w:rFonts w:cs="Times New Roman"/>
                <w:sz w:val="18"/>
                <w:szCs w:val="18"/>
              </w:rPr>
              <w:t>0.05 (0.01 – 0.09)</w:t>
            </w:r>
          </w:p>
        </w:tc>
        <w:tc>
          <w:tcPr>
            <w:tcW w:w="576" w:type="dxa"/>
            <w:tcBorders>
              <w:top w:val="single" w:sz="4" w:space="0" w:color="auto"/>
              <w:bottom w:val="single" w:sz="4" w:space="0" w:color="auto"/>
            </w:tcBorders>
            <w:vAlign w:val="bottom"/>
          </w:tcPr>
          <w:p w14:paraId="4CAF55A0"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156</w:t>
            </w:r>
          </w:p>
        </w:tc>
        <w:tc>
          <w:tcPr>
            <w:tcW w:w="1871" w:type="dxa"/>
            <w:tcBorders>
              <w:top w:val="single" w:sz="4" w:space="0" w:color="auto"/>
              <w:bottom w:val="single" w:sz="4" w:space="0" w:color="auto"/>
            </w:tcBorders>
            <w:vAlign w:val="bottom"/>
          </w:tcPr>
          <w:p w14:paraId="7D74B8C8" w14:textId="77777777" w:rsidR="00E0643A" w:rsidRPr="00730356" w:rsidRDefault="00E0643A" w:rsidP="00E0643A">
            <w:pPr>
              <w:spacing w:after="0" w:line="240" w:lineRule="auto"/>
              <w:rPr>
                <w:rFonts w:cs="Times New Roman"/>
                <w:sz w:val="18"/>
                <w:szCs w:val="18"/>
              </w:rPr>
            </w:pPr>
            <w:r>
              <w:rPr>
                <w:rFonts w:cs="Times New Roman"/>
                <w:sz w:val="18"/>
                <w:szCs w:val="18"/>
              </w:rPr>
              <w:t>0.07 (0.03 – 0.11)</w:t>
            </w:r>
          </w:p>
        </w:tc>
        <w:tc>
          <w:tcPr>
            <w:tcW w:w="585" w:type="dxa"/>
            <w:tcBorders>
              <w:top w:val="single" w:sz="4" w:space="0" w:color="auto"/>
              <w:bottom w:val="single" w:sz="4" w:space="0" w:color="auto"/>
            </w:tcBorders>
            <w:vAlign w:val="bottom"/>
          </w:tcPr>
          <w:p w14:paraId="01E1D2D0"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83</w:t>
            </w:r>
          </w:p>
        </w:tc>
        <w:tc>
          <w:tcPr>
            <w:tcW w:w="1893" w:type="dxa"/>
            <w:tcBorders>
              <w:top w:val="single" w:sz="4" w:space="0" w:color="auto"/>
              <w:bottom w:val="single" w:sz="4" w:space="0" w:color="auto"/>
            </w:tcBorders>
            <w:vAlign w:val="bottom"/>
          </w:tcPr>
          <w:p w14:paraId="4F61164E" w14:textId="77777777" w:rsidR="00E0643A" w:rsidRPr="00730356" w:rsidRDefault="00E0643A" w:rsidP="00E0643A">
            <w:pPr>
              <w:spacing w:after="0" w:line="240" w:lineRule="auto"/>
              <w:rPr>
                <w:rFonts w:cs="Times New Roman"/>
                <w:sz w:val="18"/>
                <w:szCs w:val="18"/>
              </w:rPr>
            </w:pPr>
            <w:r>
              <w:rPr>
                <w:rFonts w:cs="Times New Roman"/>
                <w:sz w:val="18"/>
                <w:szCs w:val="18"/>
              </w:rPr>
              <w:t>0.02 (0.02 – 0.03)</w:t>
            </w:r>
          </w:p>
        </w:tc>
        <w:tc>
          <w:tcPr>
            <w:tcW w:w="623" w:type="dxa"/>
            <w:tcBorders>
              <w:top w:val="single" w:sz="4" w:space="0" w:color="auto"/>
              <w:bottom w:val="single" w:sz="4" w:space="0" w:color="auto"/>
            </w:tcBorders>
            <w:vAlign w:val="center"/>
          </w:tcPr>
          <w:p w14:paraId="77534A20" w14:textId="5074B6E8" w:rsidR="00E0643A" w:rsidRDefault="00E0643A" w:rsidP="00E0643A">
            <w:pPr>
              <w:spacing w:after="0" w:line="240" w:lineRule="auto"/>
              <w:jc w:val="right"/>
              <w:rPr>
                <w:rFonts w:cs="Times New Roman"/>
                <w:sz w:val="18"/>
                <w:szCs w:val="18"/>
              </w:rPr>
            </w:pPr>
            <w:r w:rsidRPr="00487403">
              <w:rPr>
                <w:rFonts w:cs="Times New Roman"/>
                <w:color w:val="000000"/>
                <w:sz w:val="18"/>
                <w:szCs w:val="18"/>
              </w:rPr>
              <w:t>299</w:t>
            </w:r>
          </w:p>
        </w:tc>
        <w:tc>
          <w:tcPr>
            <w:tcW w:w="1926" w:type="dxa"/>
            <w:tcBorders>
              <w:top w:val="single" w:sz="4" w:space="0" w:color="auto"/>
              <w:bottom w:val="single" w:sz="4" w:space="0" w:color="auto"/>
            </w:tcBorders>
            <w:vAlign w:val="center"/>
          </w:tcPr>
          <w:p w14:paraId="196403FB" w14:textId="2899B873" w:rsidR="00E0643A" w:rsidRDefault="00E0643A" w:rsidP="00E0643A">
            <w:pPr>
              <w:spacing w:after="0" w:line="240" w:lineRule="auto"/>
              <w:rPr>
                <w:rFonts w:cs="Times New Roman"/>
                <w:sz w:val="18"/>
                <w:szCs w:val="18"/>
              </w:rPr>
            </w:pPr>
            <w:r>
              <w:rPr>
                <w:sz w:val="18"/>
                <w:szCs w:val="18"/>
              </w:rPr>
              <w:t>0.05 (0.03 – 0.07)</w:t>
            </w:r>
          </w:p>
        </w:tc>
      </w:tr>
      <w:tr w:rsidR="005E2D08" w:rsidRPr="00730356" w14:paraId="712B2C6D" w14:textId="7895F202" w:rsidTr="007A494D">
        <w:tc>
          <w:tcPr>
            <w:tcW w:w="3319" w:type="dxa"/>
            <w:tcBorders>
              <w:top w:val="single" w:sz="4" w:space="0" w:color="auto"/>
              <w:bottom w:val="single" w:sz="4" w:space="0" w:color="auto"/>
            </w:tcBorders>
          </w:tcPr>
          <w:p w14:paraId="041CD611" w14:textId="77777777" w:rsidR="00E0643A" w:rsidRPr="00730356" w:rsidRDefault="00E0643A" w:rsidP="00E0643A">
            <w:pPr>
              <w:spacing w:after="0" w:line="240" w:lineRule="auto"/>
              <w:ind w:left="170"/>
              <w:rPr>
                <w:rFonts w:cs="Times New Roman"/>
                <w:sz w:val="18"/>
                <w:szCs w:val="18"/>
              </w:rPr>
            </w:pPr>
            <w:r w:rsidRPr="00730356">
              <w:rPr>
                <w:rFonts w:cs="Times New Roman"/>
                <w:sz w:val="18"/>
                <w:szCs w:val="18"/>
              </w:rPr>
              <w:t>Other/unspecified Gram negatives</w:t>
            </w:r>
          </w:p>
        </w:tc>
        <w:tc>
          <w:tcPr>
            <w:tcW w:w="472" w:type="dxa"/>
            <w:tcBorders>
              <w:top w:val="single" w:sz="4" w:space="0" w:color="auto"/>
              <w:bottom w:val="single" w:sz="4" w:space="0" w:color="auto"/>
            </w:tcBorders>
            <w:vAlign w:val="bottom"/>
          </w:tcPr>
          <w:p w14:paraId="614CFE66"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w:t>
            </w:r>
          </w:p>
        </w:tc>
        <w:tc>
          <w:tcPr>
            <w:tcW w:w="1871" w:type="dxa"/>
            <w:tcBorders>
              <w:top w:val="single" w:sz="4" w:space="0" w:color="auto"/>
              <w:bottom w:val="single" w:sz="4" w:space="0" w:color="auto"/>
            </w:tcBorders>
            <w:vAlign w:val="bottom"/>
          </w:tcPr>
          <w:p w14:paraId="61C8800B" w14:textId="77777777" w:rsidR="00E0643A" w:rsidRPr="00730356" w:rsidRDefault="00E0643A" w:rsidP="00E0643A">
            <w:pPr>
              <w:spacing w:after="0" w:line="240" w:lineRule="auto"/>
              <w:rPr>
                <w:rFonts w:cs="Times New Roman"/>
                <w:sz w:val="18"/>
                <w:szCs w:val="18"/>
              </w:rPr>
            </w:pPr>
            <w:r>
              <w:rPr>
                <w:rFonts w:cs="Times New Roman"/>
                <w:sz w:val="18"/>
                <w:szCs w:val="18"/>
              </w:rPr>
              <w:t>0.04 (0.01 – 0.19)</w:t>
            </w:r>
          </w:p>
        </w:tc>
        <w:tc>
          <w:tcPr>
            <w:tcW w:w="576" w:type="dxa"/>
            <w:tcBorders>
              <w:top w:val="single" w:sz="4" w:space="0" w:color="auto"/>
              <w:bottom w:val="single" w:sz="4" w:space="0" w:color="auto"/>
            </w:tcBorders>
            <w:vAlign w:val="bottom"/>
          </w:tcPr>
          <w:p w14:paraId="63E522E6"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73</w:t>
            </w:r>
          </w:p>
        </w:tc>
        <w:tc>
          <w:tcPr>
            <w:tcW w:w="1926" w:type="dxa"/>
            <w:tcBorders>
              <w:top w:val="single" w:sz="4" w:space="0" w:color="auto"/>
              <w:bottom w:val="single" w:sz="4" w:space="0" w:color="auto"/>
            </w:tcBorders>
            <w:vAlign w:val="bottom"/>
          </w:tcPr>
          <w:p w14:paraId="6878C9E3" w14:textId="77777777" w:rsidR="00E0643A" w:rsidRPr="00730356" w:rsidRDefault="00E0643A" w:rsidP="00E0643A">
            <w:pPr>
              <w:spacing w:after="0" w:line="240" w:lineRule="auto"/>
              <w:rPr>
                <w:rFonts w:cs="Times New Roman"/>
                <w:sz w:val="18"/>
                <w:szCs w:val="18"/>
              </w:rPr>
            </w:pPr>
            <w:r>
              <w:rPr>
                <w:rFonts w:cs="Times New Roman"/>
                <w:sz w:val="18"/>
                <w:szCs w:val="18"/>
              </w:rPr>
              <w:t>0.09 (0.03 – 0.17)</w:t>
            </w:r>
          </w:p>
        </w:tc>
        <w:tc>
          <w:tcPr>
            <w:tcW w:w="576" w:type="dxa"/>
            <w:tcBorders>
              <w:top w:val="single" w:sz="4" w:space="0" w:color="auto"/>
              <w:bottom w:val="single" w:sz="4" w:space="0" w:color="auto"/>
            </w:tcBorders>
            <w:vAlign w:val="bottom"/>
          </w:tcPr>
          <w:p w14:paraId="7CE5FEB9"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118</w:t>
            </w:r>
          </w:p>
        </w:tc>
        <w:tc>
          <w:tcPr>
            <w:tcW w:w="1871" w:type="dxa"/>
            <w:tcBorders>
              <w:top w:val="single" w:sz="4" w:space="0" w:color="auto"/>
              <w:bottom w:val="single" w:sz="4" w:space="0" w:color="auto"/>
            </w:tcBorders>
            <w:vAlign w:val="bottom"/>
          </w:tcPr>
          <w:p w14:paraId="1E6A09AD" w14:textId="77777777" w:rsidR="00E0643A" w:rsidRPr="00730356" w:rsidRDefault="00E0643A" w:rsidP="00E0643A">
            <w:pPr>
              <w:spacing w:after="0" w:line="240" w:lineRule="auto"/>
              <w:rPr>
                <w:rFonts w:cs="Times New Roman"/>
                <w:sz w:val="18"/>
                <w:szCs w:val="18"/>
              </w:rPr>
            </w:pPr>
            <w:r>
              <w:rPr>
                <w:rFonts w:cs="Times New Roman"/>
                <w:sz w:val="18"/>
                <w:szCs w:val="18"/>
              </w:rPr>
              <w:t>0.04 (0.02 – 0.06)</w:t>
            </w:r>
          </w:p>
        </w:tc>
        <w:tc>
          <w:tcPr>
            <w:tcW w:w="585" w:type="dxa"/>
            <w:tcBorders>
              <w:top w:val="single" w:sz="4" w:space="0" w:color="auto"/>
              <w:bottom w:val="single" w:sz="4" w:space="0" w:color="auto"/>
            </w:tcBorders>
            <w:vAlign w:val="bottom"/>
          </w:tcPr>
          <w:p w14:paraId="6501FF19"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316</w:t>
            </w:r>
          </w:p>
        </w:tc>
        <w:tc>
          <w:tcPr>
            <w:tcW w:w="1893" w:type="dxa"/>
            <w:tcBorders>
              <w:top w:val="single" w:sz="4" w:space="0" w:color="auto"/>
              <w:bottom w:val="single" w:sz="4" w:space="0" w:color="auto"/>
            </w:tcBorders>
            <w:vAlign w:val="bottom"/>
          </w:tcPr>
          <w:p w14:paraId="18A44657" w14:textId="77777777" w:rsidR="00E0643A" w:rsidRPr="00730356" w:rsidRDefault="00E0643A" w:rsidP="00E0643A">
            <w:pPr>
              <w:spacing w:after="0" w:line="240" w:lineRule="auto"/>
              <w:rPr>
                <w:rFonts w:cs="Times New Roman"/>
                <w:sz w:val="18"/>
                <w:szCs w:val="18"/>
              </w:rPr>
            </w:pPr>
            <w:r>
              <w:rPr>
                <w:rFonts w:cs="Times New Roman"/>
                <w:sz w:val="18"/>
                <w:szCs w:val="18"/>
              </w:rPr>
              <w:t>0.14 (0.07 – 0.23)</w:t>
            </w:r>
          </w:p>
        </w:tc>
        <w:tc>
          <w:tcPr>
            <w:tcW w:w="623" w:type="dxa"/>
            <w:tcBorders>
              <w:top w:val="single" w:sz="4" w:space="0" w:color="auto"/>
              <w:bottom w:val="single" w:sz="4" w:space="0" w:color="auto"/>
            </w:tcBorders>
            <w:vAlign w:val="center"/>
          </w:tcPr>
          <w:p w14:paraId="1834FB7A" w14:textId="2C45E946" w:rsidR="00E0643A" w:rsidRDefault="00E0643A" w:rsidP="00E0643A">
            <w:pPr>
              <w:spacing w:after="0" w:line="240" w:lineRule="auto"/>
              <w:jc w:val="right"/>
              <w:rPr>
                <w:rFonts w:cs="Times New Roman"/>
                <w:sz w:val="18"/>
                <w:szCs w:val="18"/>
              </w:rPr>
            </w:pPr>
            <w:r w:rsidRPr="00487403">
              <w:rPr>
                <w:sz w:val="18"/>
                <w:szCs w:val="18"/>
              </w:rPr>
              <w:t>508</w:t>
            </w:r>
          </w:p>
        </w:tc>
        <w:tc>
          <w:tcPr>
            <w:tcW w:w="1926" w:type="dxa"/>
            <w:tcBorders>
              <w:top w:val="single" w:sz="4" w:space="0" w:color="auto"/>
              <w:bottom w:val="single" w:sz="4" w:space="0" w:color="auto"/>
            </w:tcBorders>
            <w:vAlign w:val="center"/>
          </w:tcPr>
          <w:p w14:paraId="2B723D13" w14:textId="1112DF93" w:rsidR="00E0643A" w:rsidRDefault="00E0643A" w:rsidP="00E0643A">
            <w:pPr>
              <w:spacing w:after="0" w:line="240" w:lineRule="auto"/>
              <w:rPr>
                <w:rFonts w:cs="Times New Roman"/>
                <w:sz w:val="18"/>
                <w:szCs w:val="18"/>
              </w:rPr>
            </w:pPr>
            <w:r>
              <w:rPr>
                <w:sz w:val="18"/>
                <w:szCs w:val="18"/>
              </w:rPr>
              <w:t>0.10 (0.06 – 0.14)</w:t>
            </w:r>
          </w:p>
        </w:tc>
      </w:tr>
      <w:tr w:rsidR="005E2D08" w:rsidRPr="00730356" w14:paraId="62B76A77" w14:textId="553458C4" w:rsidTr="007A494D">
        <w:tc>
          <w:tcPr>
            <w:tcW w:w="3319" w:type="dxa"/>
            <w:tcBorders>
              <w:top w:val="single" w:sz="4" w:space="0" w:color="auto"/>
              <w:bottom w:val="single" w:sz="4" w:space="0" w:color="auto"/>
            </w:tcBorders>
            <w:vAlign w:val="center"/>
          </w:tcPr>
          <w:p w14:paraId="205453FA" w14:textId="77777777" w:rsidR="00E0643A" w:rsidRPr="00730356" w:rsidRDefault="00E0643A" w:rsidP="00E0643A">
            <w:pPr>
              <w:spacing w:after="0" w:line="240" w:lineRule="auto"/>
              <w:rPr>
                <w:rFonts w:cs="Times New Roman"/>
                <w:sz w:val="18"/>
                <w:szCs w:val="18"/>
              </w:rPr>
            </w:pPr>
            <w:r w:rsidRPr="00730356">
              <w:rPr>
                <w:rFonts w:cs="Times New Roman"/>
                <w:sz w:val="18"/>
                <w:szCs w:val="18"/>
              </w:rPr>
              <w:t>Other pathogens</w:t>
            </w:r>
          </w:p>
        </w:tc>
        <w:tc>
          <w:tcPr>
            <w:tcW w:w="472" w:type="dxa"/>
            <w:tcBorders>
              <w:top w:val="single" w:sz="4" w:space="0" w:color="auto"/>
              <w:bottom w:val="single" w:sz="4" w:space="0" w:color="auto"/>
            </w:tcBorders>
            <w:vAlign w:val="center"/>
          </w:tcPr>
          <w:p w14:paraId="5E265364" w14:textId="77777777" w:rsidR="00E0643A" w:rsidRPr="00730356" w:rsidRDefault="00E0643A" w:rsidP="00E0643A">
            <w:pPr>
              <w:spacing w:after="0" w:line="240" w:lineRule="auto"/>
              <w:jc w:val="right"/>
              <w:rPr>
                <w:rFonts w:cs="Times New Roman"/>
                <w:sz w:val="18"/>
                <w:szCs w:val="18"/>
              </w:rPr>
            </w:pPr>
            <w:r>
              <w:rPr>
                <w:rFonts w:cs="Times New Roman"/>
                <w:sz w:val="18"/>
                <w:szCs w:val="18"/>
              </w:rPr>
              <w:t>0</w:t>
            </w:r>
          </w:p>
        </w:tc>
        <w:tc>
          <w:tcPr>
            <w:tcW w:w="1871" w:type="dxa"/>
            <w:tcBorders>
              <w:top w:val="single" w:sz="4" w:space="0" w:color="auto"/>
              <w:bottom w:val="single" w:sz="4" w:space="0" w:color="auto"/>
            </w:tcBorders>
            <w:vAlign w:val="center"/>
          </w:tcPr>
          <w:p w14:paraId="7F5A1EA8" w14:textId="77777777" w:rsidR="00E0643A" w:rsidRPr="00730356" w:rsidRDefault="00E0643A" w:rsidP="00E0643A">
            <w:pPr>
              <w:spacing w:after="0" w:line="240" w:lineRule="auto"/>
              <w:rPr>
                <w:rFonts w:cs="Times New Roman"/>
                <w:sz w:val="18"/>
                <w:szCs w:val="18"/>
              </w:rPr>
            </w:pPr>
          </w:p>
        </w:tc>
        <w:tc>
          <w:tcPr>
            <w:tcW w:w="576" w:type="dxa"/>
            <w:tcBorders>
              <w:top w:val="single" w:sz="4" w:space="0" w:color="auto"/>
              <w:bottom w:val="single" w:sz="4" w:space="0" w:color="auto"/>
            </w:tcBorders>
            <w:vAlign w:val="bottom"/>
          </w:tcPr>
          <w:p w14:paraId="3F57127C" w14:textId="77777777" w:rsidR="00E0643A" w:rsidRPr="00730356" w:rsidRDefault="00E0643A" w:rsidP="00E0643A">
            <w:pPr>
              <w:spacing w:after="0" w:line="240" w:lineRule="auto"/>
              <w:jc w:val="right"/>
              <w:rPr>
                <w:rFonts w:cs="Times New Roman"/>
                <w:sz w:val="18"/>
                <w:szCs w:val="18"/>
              </w:rPr>
            </w:pPr>
            <w:r w:rsidRPr="00730356">
              <w:rPr>
                <w:rFonts w:cs="Times New Roman"/>
                <w:sz w:val="18"/>
                <w:szCs w:val="18"/>
              </w:rPr>
              <w:t>9</w:t>
            </w:r>
          </w:p>
        </w:tc>
        <w:tc>
          <w:tcPr>
            <w:tcW w:w="1926" w:type="dxa"/>
            <w:tcBorders>
              <w:top w:val="single" w:sz="4" w:space="0" w:color="auto"/>
              <w:bottom w:val="single" w:sz="4" w:space="0" w:color="auto"/>
            </w:tcBorders>
            <w:vAlign w:val="bottom"/>
          </w:tcPr>
          <w:p w14:paraId="0A6CF7D7" w14:textId="77777777" w:rsidR="00E0643A" w:rsidRPr="00730356" w:rsidRDefault="00E0643A" w:rsidP="00E0643A">
            <w:pPr>
              <w:spacing w:after="0" w:line="240" w:lineRule="auto"/>
              <w:rPr>
                <w:rFonts w:cs="Times New Roman"/>
                <w:sz w:val="18"/>
                <w:szCs w:val="18"/>
              </w:rPr>
            </w:pPr>
            <w:r>
              <w:rPr>
                <w:rFonts w:cs="Times New Roman"/>
                <w:sz w:val="18"/>
                <w:szCs w:val="18"/>
              </w:rPr>
              <w:t>N/a (only 1 study)</w:t>
            </w:r>
          </w:p>
        </w:tc>
        <w:tc>
          <w:tcPr>
            <w:tcW w:w="576" w:type="dxa"/>
            <w:tcBorders>
              <w:top w:val="single" w:sz="4" w:space="0" w:color="auto"/>
              <w:bottom w:val="single" w:sz="4" w:space="0" w:color="auto"/>
            </w:tcBorders>
            <w:vAlign w:val="center"/>
          </w:tcPr>
          <w:p w14:paraId="116CAFF3" w14:textId="77777777" w:rsidR="00E0643A" w:rsidRPr="00730356" w:rsidRDefault="00E0643A" w:rsidP="00E0643A">
            <w:pPr>
              <w:spacing w:after="0" w:line="240" w:lineRule="auto"/>
              <w:jc w:val="right"/>
              <w:rPr>
                <w:rFonts w:cs="Times New Roman"/>
                <w:sz w:val="18"/>
                <w:szCs w:val="18"/>
              </w:rPr>
            </w:pPr>
            <w:r>
              <w:rPr>
                <w:rFonts w:cs="Times New Roman"/>
                <w:sz w:val="18"/>
                <w:szCs w:val="18"/>
              </w:rPr>
              <w:t>0</w:t>
            </w:r>
          </w:p>
        </w:tc>
        <w:tc>
          <w:tcPr>
            <w:tcW w:w="1871" w:type="dxa"/>
            <w:tcBorders>
              <w:top w:val="single" w:sz="4" w:space="0" w:color="auto"/>
              <w:bottom w:val="single" w:sz="4" w:space="0" w:color="auto"/>
            </w:tcBorders>
            <w:vAlign w:val="center"/>
          </w:tcPr>
          <w:p w14:paraId="11A6C3A3" w14:textId="77777777" w:rsidR="00E0643A" w:rsidRPr="00730356" w:rsidRDefault="00E0643A" w:rsidP="00E0643A">
            <w:pPr>
              <w:spacing w:after="0" w:line="240" w:lineRule="auto"/>
              <w:rPr>
                <w:rFonts w:cs="Times New Roman"/>
                <w:sz w:val="18"/>
                <w:szCs w:val="18"/>
              </w:rPr>
            </w:pPr>
          </w:p>
        </w:tc>
        <w:tc>
          <w:tcPr>
            <w:tcW w:w="585" w:type="dxa"/>
            <w:tcBorders>
              <w:top w:val="single" w:sz="4" w:space="0" w:color="auto"/>
              <w:bottom w:val="single" w:sz="4" w:space="0" w:color="auto"/>
            </w:tcBorders>
            <w:vAlign w:val="center"/>
          </w:tcPr>
          <w:p w14:paraId="45AC0D32" w14:textId="77777777" w:rsidR="00E0643A" w:rsidRPr="00730356" w:rsidRDefault="00E0643A" w:rsidP="00E0643A">
            <w:pPr>
              <w:spacing w:after="0" w:line="240" w:lineRule="auto"/>
              <w:jc w:val="right"/>
              <w:rPr>
                <w:rFonts w:cs="Times New Roman"/>
                <w:sz w:val="18"/>
                <w:szCs w:val="18"/>
              </w:rPr>
            </w:pPr>
            <w:r>
              <w:rPr>
                <w:rFonts w:cs="Times New Roman"/>
                <w:sz w:val="18"/>
                <w:szCs w:val="18"/>
              </w:rPr>
              <w:t>0</w:t>
            </w:r>
          </w:p>
        </w:tc>
        <w:tc>
          <w:tcPr>
            <w:tcW w:w="1893" w:type="dxa"/>
            <w:tcBorders>
              <w:top w:val="single" w:sz="4" w:space="0" w:color="auto"/>
              <w:bottom w:val="single" w:sz="4" w:space="0" w:color="auto"/>
            </w:tcBorders>
            <w:vAlign w:val="center"/>
          </w:tcPr>
          <w:p w14:paraId="74830DDA" w14:textId="77777777" w:rsidR="00E0643A" w:rsidRPr="00730356" w:rsidRDefault="00E0643A" w:rsidP="00E0643A">
            <w:pPr>
              <w:spacing w:after="0" w:line="240" w:lineRule="auto"/>
              <w:rPr>
                <w:rFonts w:cs="Times New Roman"/>
                <w:sz w:val="18"/>
                <w:szCs w:val="18"/>
              </w:rPr>
            </w:pPr>
          </w:p>
        </w:tc>
        <w:tc>
          <w:tcPr>
            <w:tcW w:w="623" w:type="dxa"/>
            <w:tcBorders>
              <w:top w:val="single" w:sz="4" w:space="0" w:color="auto"/>
              <w:bottom w:val="single" w:sz="4" w:space="0" w:color="auto"/>
            </w:tcBorders>
            <w:vAlign w:val="center"/>
          </w:tcPr>
          <w:p w14:paraId="246E319B" w14:textId="1C17C646" w:rsidR="00E0643A" w:rsidRPr="00730356" w:rsidRDefault="00E0643A" w:rsidP="00E0643A">
            <w:pPr>
              <w:spacing w:after="0" w:line="240" w:lineRule="auto"/>
              <w:jc w:val="right"/>
              <w:rPr>
                <w:rFonts w:cs="Times New Roman"/>
                <w:sz w:val="18"/>
                <w:szCs w:val="18"/>
              </w:rPr>
            </w:pPr>
            <w:r w:rsidRPr="00487403">
              <w:rPr>
                <w:rFonts w:cs="Times New Roman"/>
                <w:b/>
                <w:color w:val="2E74B5" w:themeColor="accent1" w:themeShade="BF"/>
                <w:sz w:val="18"/>
                <w:szCs w:val="18"/>
              </w:rPr>
              <w:t>9</w:t>
            </w:r>
          </w:p>
        </w:tc>
        <w:tc>
          <w:tcPr>
            <w:tcW w:w="1926" w:type="dxa"/>
            <w:tcBorders>
              <w:top w:val="single" w:sz="4" w:space="0" w:color="auto"/>
              <w:bottom w:val="single" w:sz="4" w:space="0" w:color="auto"/>
            </w:tcBorders>
            <w:vAlign w:val="center"/>
          </w:tcPr>
          <w:p w14:paraId="543E3576" w14:textId="571E23ED" w:rsidR="00E0643A" w:rsidRPr="00730356" w:rsidRDefault="00E0643A" w:rsidP="00E0643A">
            <w:pPr>
              <w:spacing w:after="0" w:line="240" w:lineRule="auto"/>
              <w:rPr>
                <w:rFonts w:cs="Times New Roman"/>
                <w:sz w:val="18"/>
                <w:szCs w:val="18"/>
              </w:rPr>
            </w:pPr>
            <w:r>
              <w:rPr>
                <w:b/>
                <w:color w:val="2E74B5" w:themeColor="accent1" w:themeShade="BF"/>
                <w:sz w:val="18"/>
                <w:szCs w:val="18"/>
              </w:rPr>
              <w:t>-</w:t>
            </w:r>
          </w:p>
        </w:tc>
      </w:tr>
      <w:tr w:rsidR="005E2D08" w:rsidRPr="00730356" w14:paraId="62901493" w14:textId="445C44C7" w:rsidTr="007A494D">
        <w:tc>
          <w:tcPr>
            <w:tcW w:w="3319" w:type="dxa"/>
            <w:tcBorders>
              <w:top w:val="single" w:sz="4" w:space="0" w:color="auto"/>
              <w:bottom w:val="single" w:sz="4" w:space="0" w:color="auto"/>
            </w:tcBorders>
            <w:vAlign w:val="center"/>
          </w:tcPr>
          <w:p w14:paraId="317C4441" w14:textId="77777777" w:rsidR="00E0643A" w:rsidRPr="00730356" w:rsidRDefault="00E0643A" w:rsidP="00E0643A">
            <w:pPr>
              <w:spacing w:after="0" w:line="240" w:lineRule="auto"/>
              <w:rPr>
                <w:rFonts w:cs="Times New Roman"/>
                <w:b/>
                <w:color w:val="000000" w:themeColor="text1"/>
                <w:sz w:val="18"/>
                <w:szCs w:val="18"/>
              </w:rPr>
            </w:pPr>
            <w:r w:rsidRPr="00730356">
              <w:rPr>
                <w:rFonts w:cs="Times New Roman"/>
                <w:b/>
                <w:color w:val="000000" w:themeColor="text1"/>
                <w:sz w:val="18"/>
                <w:szCs w:val="18"/>
              </w:rPr>
              <w:t>Total</w:t>
            </w:r>
          </w:p>
        </w:tc>
        <w:tc>
          <w:tcPr>
            <w:tcW w:w="472" w:type="dxa"/>
            <w:tcBorders>
              <w:top w:val="single" w:sz="4" w:space="0" w:color="auto"/>
              <w:bottom w:val="single" w:sz="4" w:space="0" w:color="auto"/>
            </w:tcBorders>
            <w:vAlign w:val="bottom"/>
          </w:tcPr>
          <w:p w14:paraId="0753301B" w14:textId="77777777" w:rsidR="00E0643A" w:rsidRPr="00730356" w:rsidRDefault="00E0643A" w:rsidP="00E0643A">
            <w:pPr>
              <w:spacing w:after="0" w:line="240" w:lineRule="auto"/>
              <w:jc w:val="right"/>
              <w:rPr>
                <w:rFonts w:cs="Times New Roman"/>
                <w:b/>
                <w:color w:val="000000" w:themeColor="text1"/>
                <w:sz w:val="18"/>
                <w:szCs w:val="18"/>
              </w:rPr>
            </w:pPr>
            <w:r w:rsidRPr="00730356">
              <w:rPr>
                <w:rFonts w:cs="Times New Roman"/>
                <w:b/>
                <w:bCs/>
                <w:color w:val="000000" w:themeColor="text1"/>
                <w:sz w:val="18"/>
                <w:szCs w:val="18"/>
              </w:rPr>
              <w:t>90</w:t>
            </w:r>
          </w:p>
        </w:tc>
        <w:tc>
          <w:tcPr>
            <w:tcW w:w="1871" w:type="dxa"/>
            <w:tcBorders>
              <w:top w:val="single" w:sz="4" w:space="0" w:color="auto"/>
              <w:bottom w:val="single" w:sz="4" w:space="0" w:color="auto"/>
            </w:tcBorders>
            <w:vAlign w:val="bottom"/>
          </w:tcPr>
          <w:p w14:paraId="1D694205" w14:textId="77777777" w:rsidR="00E0643A" w:rsidRPr="00730356" w:rsidRDefault="00E0643A" w:rsidP="00E0643A">
            <w:pPr>
              <w:spacing w:after="0" w:line="240" w:lineRule="auto"/>
              <w:rPr>
                <w:rFonts w:cs="Times New Roman"/>
                <w:b/>
                <w:color w:val="000000" w:themeColor="text1"/>
                <w:sz w:val="18"/>
                <w:szCs w:val="18"/>
              </w:rPr>
            </w:pPr>
          </w:p>
        </w:tc>
        <w:tc>
          <w:tcPr>
            <w:tcW w:w="576" w:type="dxa"/>
            <w:tcBorders>
              <w:top w:val="single" w:sz="4" w:space="0" w:color="auto"/>
              <w:bottom w:val="single" w:sz="4" w:space="0" w:color="auto"/>
            </w:tcBorders>
            <w:vAlign w:val="bottom"/>
          </w:tcPr>
          <w:p w14:paraId="6A1674DC" w14:textId="77777777" w:rsidR="00E0643A" w:rsidRPr="00730356" w:rsidRDefault="00E0643A" w:rsidP="00E0643A">
            <w:pPr>
              <w:spacing w:after="0" w:line="240" w:lineRule="auto"/>
              <w:jc w:val="right"/>
              <w:rPr>
                <w:rFonts w:cs="Times New Roman"/>
                <w:b/>
                <w:color w:val="000000" w:themeColor="text1"/>
                <w:sz w:val="18"/>
                <w:szCs w:val="18"/>
              </w:rPr>
            </w:pPr>
            <w:r w:rsidRPr="00730356">
              <w:rPr>
                <w:rFonts w:cs="Times New Roman"/>
                <w:b/>
                <w:bCs/>
                <w:color w:val="000000" w:themeColor="text1"/>
                <w:sz w:val="18"/>
                <w:szCs w:val="18"/>
              </w:rPr>
              <w:t>1321</w:t>
            </w:r>
          </w:p>
        </w:tc>
        <w:tc>
          <w:tcPr>
            <w:tcW w:w="1926" w:type="dxa"/>
            <w:tcBorders>
              <w:top w:val="single" w:sz="4" w:space="0" w:color="auto"/>
              <w:bottom w:val="single" w:sz="4" w:space="0" w:color="auto"/>
            </w:tcBorders>
            <w:vAlign w:val="bottom"/>
          </w:tcPr>
          <w:p w14:paraId="7A8DFADA" w14:textId="77777777" w:rsidR="00E0643A" w:rsidRPr="00730356" w:rsidRDefault="00E0643A" w:rsidP="00E0643A">
            <w:pPr>
              <w:spacing w:after="0" w:line="240" w:lineRule="auto"/>
              <w:rPr>
                <w:rFonts w:cs="Times New Roman"/>
                <w:b/>
                <w:color w:val="000000" w:themeColor="text1"/>
                <w:sz w:val="18"/>
                <w:szCs w:val="18"/>
              </w:rPr>
            </w:pPr>
          </w:p>
        </w:tc>
        <w:tc>
          <w:tcPr>
            <w:tcW w:w="576" w:type="dxa"/>
            <w:tcBorders>
              <w:top w:val="single" w:sz="4" w:space="0" w:color="auto"/>
              <w:bottom w:val="single" w:sz="4" w:space="0" w:color="auto"/>
            </w:tcBorders>
            <w:vAlign w:val="bottom"/>
          </w:tcPr>
          <w:p w14:paraId="33DD82B8" w14:textId="77777777" w:rsidR="00E0643A" w:rsidRPr="00730356" w:rsidRDefault="00E0643A" w:rsidP="00E0643A">
            <w:pPr>
              <w:spacing w:after="0" w:line="240" w:lineRule="auto"/>
              <w:jc w:val="right"/>
              <w:rPr>
                <w:rFonts w:cs="Times New Roman"/>
                <w:b/>
                <w:color w:val="000000" w:themeColor="text1"/>
                <w:sz w:val="18"/>
                <w:szCs w:val="18"/>
              </w:rPr>
            </w:pPr>
            <w:r w:rsidRPr="00730356">
              <w:rPr>
                <w:rFonts w:cs="Times New Roman"/>
                <w:b/>
                <w:bCs/>
                <w:color w:val="000000" w:themeColor="text1"/>
                <w:sz w:val="18"/>
                <w:szCs w:val="18"/>
              </w:rPr>
              <w:t>2909</w:t>
            </w:r>
          </w:p>
        </w:tc>
        <w:tc>
          <w:tcPr>
            <w:tcW w:w="1871" w:type="dxa"/>
            <w:tcBorders>
              <w:top w:val="single" w:sz="4" w:space="0" w:color="auto"/>
              <w:bottom w:val="single" w:sz="4" w:space="0" w:color="auto"/>
            </w:tcBorders>
            <w:vAlign w:val="bottom"/>
          </w:tcPr>
          <w:p w14:paraId="53EC9AB1" w14:textId="77777777" w:rsidR="00E0643A" w:rsidRPr="00730356" w:rsidRDefault="00E0643A" w:rsidP="00E0643A">
            <w:pPr>
              <w:spacing w:after="0" w:line="240" w:lineRule="auto"/>
              <w:rPr>
                <w:rFonts w:cs="Times New Roman"/>
                <w:b/>
                <w:color w:val="000000" w:themeColor="text1"/>
                <w:sz w:val="18"/>
                <w:szCs w:val="18"/>
              </w:rPr>
            </w:pPr>
          </w:p>
        </w:tc>
        <w:tc>
          <w:tcPr>
            <w:tcW w:w="585" w:type="dxa"/>
            <w:tcBorders>
              <w:top w:val="single" w:sz="4" w:space="0" w:color="auto"/>
              <w:bottom w:val="single" w:sz="4" w:space="0" w:color="auto"/>
            </w:tcBorders>
            <w:vAlign w:val="bottom"/>
          </w:tcPr>
          <w:p w14:paraId="36F76DF0" w14:textId="77777777" w:rsidR="00E0643A" w:rsidRPr="00730356" w:rsidRDefault="00E0643A" w:rsidP="00E0643A">
            <w:pPr>
              <w:spacing w:after="0" w:line="240" w:lineRule="auto"/>
              <w:jc w:val="right"/>
              <w:rPr>
                <w:rFonts w:cs="Times New Roman"/>
                <w:b/>
                <w:color w:val="000000" w:themeColor="text1"/>
                <w:sz w:val="18"/>
                <w:szCs w:val="18"/>
              </w:rPr>
            </w:pPr>
            <w:r w:rsidRPr="00730356">
              <w:rPr>
                <w:rFonts w:cs="Times New Roman"/>
                <w:b/>
                <w:bCs/>
                <w:color w:val="000000" w:themeColor="text1"/>
                <w:sz w:val="18"/>
                <w:szCs w:val="18"/>
              </w:rPr>
              <w:t>3651</w:t>
            </w:r>
          </w:p>
        </w:tc>
        <w:tc>
          <w:tcPr>
            <w:tcW w:w="1893" w:type="dxa"/>
            <w:tcBorders>
              <w:top w:val="single" w:sz="4" w:space="0" w:color="auto"/>
              <w:bottom w:val="single" w:sz="4" w:space="0" w:color="auto"/>
            </w:tcBorders>
            <w:vAlign w:val="bottom"/>
          </w:tcPr>
          <w:p w14:paraId="4D4170C5" w14:textId="77777777" w:rsidR="00E0643A" w:rsidRPr="00730356" w:rsidRDefault="00E0643A" w:rsidP="00E0643A">
            <w:pPr>
              <w:spacing w:after="0" w:line="240" w:lineRule="auto"/>
              <w:rPr>
                <w:rFonts w:cs="Times New Roman"/>
                <w:b/>
                <w:color w:val="000000" w:themeColor="text1"/>
                <w:sz w:val="18"/>
                <w:szCs w:val="18"/>
              </w:rPr>
            </w:pPr>
          </w:p>
        </w:tc>
        <w:tc>
          <w:tcPr>
            <w:tcW w:w="623" w:type="dxa"/>
            <w:tcBorders>
              <w:top w:val="single" w:sz="4" w:space="0" w:color="auto"/>
              <w:bottom w:val="single" w:sz="4" w:space="0" w:color="auto"/>
            </w:tcBorders>
            <w:vAlign w:val="center"/>
          </w:tcPr>
          <w:p w14:paraId="0F1F0112" w14:textId="3A55134A" w:rsidR="00E0643A" w:rsidRPr="00730356" w:rsidRDefault="00E0643A" w:rsidP="00E0643A">
            <w:pPr>
              <w:spacing w:after="0" w:line="240" w:lineRule="auto"/>
              <w:jc w:val="right"/>
              <w:rPr>
                <w:rFonts w:cs="Times New Roman"/>
                <w:b/>
                <w:color w:val="000000" w:themeColor="text1"/>
                <w:sz w:val="18"/>
                <w:szCs w:val="18"/>
              </w:rPr>
            </w:pPr>
            <w:r>
              <w:rPr>
                <w:rFonts w:cs="Times New Roman"/>
                <w:b/>
                <w:sz w:val="18"/>
                <w:szCs w:val="18"/>
              </w:rPr>
              <w:t>7971</w:t>
            </w:r>
          </w:p>
        </w:tc>
        <w:tc>
          <w:tcPr>
            <w:tcW w:w="1926" w:type="dxa"/>
            <w:tcBorders>
              <w:top w:val="single" w:sz="4" w:space="0" w:color="auto"/>
              <w:bottom w:val="single" w:sz="4" w:space="0" w:color="auto"/>
            </w:tcBorders>
            <w:vAlign w:val="center"/>
          </w:tcPr>
          <w:p w14:paraId="22C76873" w14:textId="77777777" w:rsidR="00E0643A" w:rsidRPr="00730356" w:rsidRDefault="00E0643A" w:rsidP="00E0643A">
            <w:pPr>
              <w:spacing w:after="0" w:line="240" w:lineRule="auto"/>
              <w:rPr>
                <w:rFonts w:cs="Times New Roman"/>
                <w:b/>
                <w:color w:val="000000" w:themeColor="text1"/>
                <w:sz w:val="18"/>
                <w:szCs w:val="18"/>
              </w:rPr>
            </w:pPr>
          </w:p>
        </w:tc>
      </w:tr>
    </w:tbl>
    <w:p w14:paraId="4C723187" w14:textId="77777777" w:rsidR="00A61B4F" w:rsidRDefault="00A61B4F" w:rsidP="00A61B4F">
      <w:pPr>
        <w:spacing w:line="240" w:lineRule="auto"/>
        <w:jc w:val="both"/>
      </w:pPr>
    </w:p>
    <w:p w14:paraId="53E2F7FC" w14:textId="77777777" w:rsidR="00A61B4F" w:rsidRDefault="00A61B4F" w:rsidP="00A61B4F">
      <w:pPr>
        <w:spacing w:line="240" w:lineRule="auto"/>
        <w:jc w:val="both"/>
      </w:pPr>
    </w:p>
    <w:p w14:paraId="4550669F" w14:textId="77777777" w:rsidR="00A61B4F" w:rsidRDefault="00A61B4F" w:rsidP="00A61B4F">
      <w:pPr>
        <w:spacing w:line="240" w:lineRule="auto"/>
        <w:jc w:val="both"/>
        <w:sectPr w:rsidR="00A61B4F" w:rsidSect="003675E3">
          <w:pgSz w:w="16838" w:h="11906" w:orient="landscape"/>
          <w:pgMar w:top="1020" w:right="1440" w:bottom="1440" w:left="1135" w:header="708" w:footer="708" w:gutter="0"/>
          <w:cols w:space="708"/>
          <w:docGrid w:linePitch="360"/>
        </w:sectPr>
      </w:pPr>
    </w:p>
    <w:p w14:paraId="01721EB5" w14:textId="1E57368F" w:rsidR="00A61B4F" w:rsidRPr="001246DA" w:rsidRDefault="00A61B4F" w:rsidP="00A61B4F">
      <w:pPr>
        <w:spacing w:line="240" w:lineRule="auto"/>
        <w:jc w:val="both"/>
        <w:rPr>
          <w:b/>
        </w:rPr>
      </w:pPr>
      <w:r>
        <w:rPr>
          <w:b/>
        </w:rPr>
        <w:lastRenderedPageBreak/>
        <w:t xml:space="preserve"> </w:t>
      </w:r>
      <w:r w:rsidR="007B7E2C" w:rsidRPr="00C90983">
        <w:rPr>
          <w:b/>
        </w:rPr>
        <w:t xml:space="preserve">Table </w:t>
      </w:r>
      <w:r w:rsidR="007B7E2C">
        <w:rPr>
          <w:b/>
        </w:rPr>
        <w:t>2</w:t>
      </w:r>
      <w:r w:rsidR="00E45F6D">
        <w:rPr>
          <w:b/>
        </w:rPr>
        <w:t xml:space="preserve"> (continued)</w:t>
      </w:r>
      <w:r w:rsidR="007B7E2C" w:rsidRPr="00C90983">
        <w:rPr>
          <w:b/>
        </w:rPr>
        <w:t xml:space="preserve">. </w:t>
      </w:r>
      <w:r w:rsidR="007B7E2C">
        <w:rPr>
          <w:b/>
        </w:rPr>
        <w:t xml:space="preserve">Regional distribution of </w:t>
      </w:r>
      <w:r w:rsidR="007B7E2C" w:rsidRPr="00C90983">
        <w:rPr>
          <w:b/>
        </w:rPr>
        <w:t xml:space="preserve">pathogens </w:t>
      </w:r>
      <w:r w:rsidR="00E45F6D">
        <w:rPr>
          <w:b/>
        </w:rPr>
        <w:t>causing</w:t>
      </w:r>
      <w:r w:rsidR="007B7E2C" w:rsidRPr="00C90983">
        <w:rPr>
          <w:b/>
        </w:rPr>
        <w:t xml:space="preserve"> </w:t>
      </w:r>
      <w:r w:rsidR="007B7E2C">
        <w:rPr>
          <w:b/>
        </w:rPr>
        <w:t xml:space="preserve">serious bacterial </w:t>
      </w:r>
      <w:r w:rsidR="007B7E2C" w:rsidRPr="00C90983">
        <w:rPr>
          <w:b/>
        </w:rPr>
        <w:t xml:space="preserve">neonatal </w:t>
      </w:r>
      <w:r w:rsidR="007B7E2C">
        <w:rPr>
          <w:b/>
        </w:rPr>
        <w:t xml:space="preserve">infections </w:t>
      </w:r>
      <w:r w:rsidR="007B7E2C" w:rsidRPr="00C90983">
        <w:rPr>
          <w:b/>
        </w:rPr>
        <w:t>between 2008 – 2018</w:t>
      </w:r>
      <w:r w:rsidR="007B7E2C">
        <w:rPr>
          <w:b/>
        </w:rPr>
        <w:t>.</w:t>
      </w:r>
      <w:r w:rsidR="007B7E2C" w:rsidRPr="001246DA">
        <w:rPr>
          <w:b/>
        </w:rPr>
        <w:t xml:space="preserve"> </w:t>
      </w:r>
    </w:p>
    <w:tbl>
      <w:tblPr>
        <w:tblStyle w:val="TableGrid"/>
        <w:tblW w:w="1549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72"/>
        <w:gridCol w:w="1925"/>
        <w:gridCol w:w="510"/>
        <w:gridCol w:w="1870"/>
        <w:gridCol w:w="576"/>
        <w:gridCol w:w="1926"/>
        <w:gridCol w:w="510"/>
        <w:gridCol w:w="1871"/>
        <w:gridCol w:w="618"/>
        <w:gridCol w:w="1876"/>
      </w:tblGrid>
      <w:tr w:rsidR="00DC663B" w:rsidRPr="00730356" w14:paraId="2B71DA47" w14:textId="112BE8DF" w:rsidTr="003F4CA0">
        <w:tc>
          <w:tcPr>
            <w:tcW w:w="3342" w:type="dxa"/>
            <w:vMerge w:val="restart"/>
            <w:tcBorders>
              <w:top w:val="single" w:sz="4" w:space="0" w:color="auto"/>
            </w:tcBorders>
            <w:vAlign w:val="center"/>
          </w:tcPr>
          <w:p w14:paraId="1210B7F6" w14:textId="6CA3CC18" w:rsidR="00DC663B" w:rsidRPr="00730356" w:rsidRDefault="00DC663B" w:rsidP="00E042F0">
            <w:pPr>
              <w:spacing w:after="0" w:line="240" w:lineRule="auto"/>
              <w:rPr>
                <w:rFonts w:cs="Times New Roman"/>
                <w:sz w:val="18"/>
                <w:szCs w:val="18"/>
              </w:rPr>
            </w:pPr>
            <w:r>
              <w:rPr>
                <w:b/>
              </w:rPr>
              <w:t xml:space="preserve">B) Causes of </w:t>
            </w:r>
            <w:r w:rsidRPr="001246DA">
              <w:rPr>
                <w:b/>
              </w:rPr>
              <w:t>meningitis</w:t>
            </w:r>
          </w:p>
        </w:tc>
        <w:tc>
          <w:tcPr>
            <w:tcW w:w="2397" w:type="dxa"/>
            <w:gridSpan w:val="2"/>
            <w:tcBorders>
              <w:top w:val="single" w:sz="4" w:space="0" w:color="auto"/>
            </w:tcBorders>
            <w:vAlign w:val="center"/>
          </w:tcPr>
          <w:p w14:paraId="266E004F" w14:textId="77777777" w:rsidR="00DC663B" w:rsidRPr="00730356" w:rsidRDefault="00DC663B" w:rsidP="00E042F0">
            <w:pPr>
              <w:spacing w:after="0" w:line="240" w:lineRule="auto"/>
              <w:jc w:val="center"/>
              <w:rPr>
                <w:rFonts w:cs="Times New Roman"/>
                <w:b/>
                <w:sz w:val="18"/>
                <w:szCs w:val="18"/>
              </w:rPr>
            </w:pPr>
            <w:r w:rsidRPr="00730356">
              <w:rPr>
                <w:rFonts w:cs="Times New Roman"/>
                <w:b/>
                <w:sz w:val="18"/>
                <w:szCs w:val="18"/>
              </w:rPr>
              <w:t>Central Africa</w:t>
            </w:r>
          </w:p>
        </w:tc>
        <w:tc>
          <w:tcPr>
            <w:tcW w:w="2380" w:type="dxa"/>
            <w:gridSpan w:val="2"/>
            <w:tcBorders>
              <w:top w:val="single" w:sz="4" w:space="0" w:color="auto"/>
            </w:tcBorders>
            <w:vAlign w:val="center"/>
          </w:tcPr>
          <w:p w14:paraId="650E8E8E" w14:textId="77777777" w:rsidR="00DC663B" w:rsidRPr="00730356" w:rsidRDefault="00DC663B" w:rsidP="00E042F0">
            <w:pPr>
              <w:spacing w:after="0" w:line="240" w:lineRule="auto"/>
              <w:jc w:val="center"/>
              <w:rPr>
                <w:rFonts w:cs="Times New Roman"/>
                <w:b/>
                <w:sz w:val="18"/>
                <w:szCs w:val="18"/>
              </w:rPr>
            </w:pPr>
            <w:r w:rsidRPr="00730356">
              <w:rPr>
                <w:rFonts w:cs="Times New Roman"/>
                <w:b/>
                <w:sz w:val="18"/>
                <w:szCs w:val="18"/>
              </w:rPr>
              <w:t>Eastern Africa</w:t>
            </w:r>
          </w:p>
        </w:tc>
        <w:tc>
          <w:tcPr>
            <w:tcW w:w="2502" w:type="dxa"/>
            <w:gridSpan w:val="2"/>
            <w:tcBorders>
              <w:top w:val="single" w:sz="4" w:space="0" w:color="auto"/>
            </w:tcBorders>
            <w:vAlign w:val="center"/>
          </w:tcPr>
          <w:p w14:paraId="7A7FDA73" w14:textId="77777777" w:rsidR="00DC663B" w:rsidRPr="00730356" w:rsidRDefault="00DC663B" w:rsidP="00E042F0">
            <w:pPr>
              <w:spacing w:after="0" w:line="240" w:lineRule="auto"/>
              <w:jc w:val="center"/>
              <w:rPr>
                <w:rFonts w:cs="Times New Roman"/>
                <w:b/>
                <w:sz w:val="18"/>
                <w:szCs w:val="18"/>
              </w:rPr>
            </w:pPr>
            <w:r w:rsidRPr="00730356">
              <w:rPr>
                <w:rFonts w:cs="Times New Roman"/>
                <w:b/>
                <w:sz w:val="18"/>
                <w:szCs w:val="18"/>
              </w:rPr>
              <w:t>Southern Africa</w:t>
            </w:r>
          </w:p>
        </w:tc>
        <w:tc>
          <w:tcPr>
            <w:tcW w:w="2381" w:type="dxa"/>
            <w:gridSpan w:val="2"/>
            <w:tcBorders>
              <w:top w:val="single" w:sz="4" w:space="0" w:color="auto"/>
            </w:tcBorders>
            <w:vAlign w:val="center"/>
          </w:tcPr>
          <w:p w14:paraId="15EC75DA" w14:textId="77777777" w:rsidR="00DC663B" w:rsidRPr="00730356" w:rsidRDefault="00DC663B" w:rsidP="00E042F0">
            <w:pPr>
              <w:spacing w:after="0" w:line="240" w:lineRule="auto"/>
              <w:jc w:val="center"/>
              <w:rPr>
                <w:rFonts w:cs="Times New Roman"/>
                <w:b/>
                <w:sz w:val="18"/>
                <w:szCs w:val="18"/>
              </w:rPr>
            </w:pPr>
            <w:r w:rsidRPr="00730356">
              <w:rPr>
                <w:rFonts w:cs="Times New Roman"/>
                <w:b/>
                <w:sz w:val="18"/>
                <w:szCs w:val="18"/>
              </w:rPr>
              <w:t>West Africa</w:t>
            </w:r>
          </w:p>
        </w:tc>
        <w:tc>
          <w:tcPr>
            <w:tcW w:w="2494" w:type="dxa"/>
            <w:gridSpan w:val="2"/>
            <w:tcBorders>
              <w:top w:val="single" w:sz="4" w:space="0" w:color="auto"/>
            </w:tcBorders>
          </w:tcPr>
          <w:p w14:paraId="5C916EBA" w14:textId="56C318CA" w:rsidR="00DC663B" w:rsidRPr="00730356" w:rsidRDefault="00DC663B" w:rsidP="00E042F0">
            <w:pPr>
              <w:spacing w:after="0" w:line="240" w:lineRule="auto"/>
              <w:jc w:val="center"/>
              <w:rPr>
                <w:rFonts w:cs="Times New Roman"/>
                <w:b/>
                <w:sz w:val="18"/>
                <w:szCs w:val="18"/>
              </w:rPr>
            </w:pPr>
            <w:r>
              <w:rPr>
                <w:rFonts w:cs="Times New Roman"/>
                <w:b/>
                <w:sz w:val="20"/>
                <w:szCs w:val="18"/>
              </w:rPr>
              <w:t>All regions</w:t>
            </w:r>
          </w:p>
        </w:tc>
      </w:tr>
      <w:tr w:rsidR="00DC663B" w:rsidRPr="00730356" w14:paraId="16339513" w14:textId="7CE75A58" w:rsidTr="003F4CA0">
        <w:tc>
          <w:tcPr>
            <w:tcW w:w="3342" w:type="dxa"/>
            <w:vMerge/>
            <w:vAlign w:val="center"/>
          </w:tcPr>
          <w:p w14:paraId="49CFA478" w14:textId="669EEDED" w:rsidR="00DC663B" w:rsidRPr="00730356" w:rsidRDefault="00DC663B" w:rsidP="00E042F0">
            <w:pPr>
              <w:spacing w:after="0" w:line="240" w:lineRule="auto"/>
              <w:rPr>
                <w:rFonts w:cs="Times New Roman"/>
                <w:b/>
                <w:sz w:val="18"/>
                <w:szCs w:val="18"/>
              </w:rPr>
            </w:pPr>
          </w:p>
        </w:tc>
        <w:tc>
          <w:tcPr>
            <w:tcW w:w="2397" w:type="dxa"/>
            <w:gridSpan w:val="2"/>
            <w:tcBorders>
              <w:bottom w:val="single" w:sz="4" w:space="0" w:color="auto"/>
            </w:tcBorders>
            <w:vAlign w:val="center"/>
          </w:tcPr>
          <w:p w14:paraId="3DE55ECB" w14:textId="0AFD0D98" w:rsidR="00DC663B" w:rsidRPr="00730356" w:rsidRDefault="00DC663B" w:rsidP="00E042F0">
            <w:pPr>
              <w:spacing w:after="0" w:line="240" w:lineRule="auto"/>
              <w:jc w:val="center"/>
              <w:rPr>
                <w:rFonts w:cs="Times New Roman"/>
                <w:b/>
                <w:sz w:val="18"/>
                <w:szCs w:val="18"/>
              </w:rPr>
            </w:pPr>
            <w:r w:rsidRPr="00730356">
              <w:rPr>
                <w:rFonts w:cs="Times New Roman"/>
                <w:b/>
                <w:sz w:val="18"/>
                <w:szCs w:val="18"/>
              </w:rPr>
              <w:t>(</w:t>
            </w:r>
            <w:r w:rsidR="00307A9B">
              <w:rPr>
                <w:rFonts w:cs="Times New Roman"/>
                <w:b/>
                <w:sz w:val="18"/>
                <w:szCs w:val="18"/>
              </w:rPr>
              <w:t>2</w:t>
            </w:r>
            <w:r w:rsidRPr="00730356">
              <w:rPr>
                <w:rFonts w:cs="Times New Roman"/>
                <w:b/>
                <w:sz w:val="18"/>
                <w:szCs w:val="18"/>
              </w:rPr>
              <w:t xml:space="preserve"> studies)</w:t>
            </w:r>
          </w:p>
        </w:tc>
        <w:tc>
          <w:tcPr>
            <w:tcW w:w="2380" w:type="dxa"/>
            <w:gridSpan w:val="2"/>
            <w:tcBorders>
              <w:bottom w:val="single" w:sz="4" w:space="0" w:color="auto"/>
            </w:tcBorders>
            <w:vAlign w:val="center"/>
          </w:tcPr>
          <w:p w14:paraId="23726B5D" w14:textId="2BBA8C3E" w:rsidR="00DC663B" w:rsidRPr="00730356" w:rsidRDefault="00DC663B" w:rsidP="00E042F0">
            <w:pPr>
              <w:spacing w:after="0" w:line="240" w:lineRule="auto"/>
              <w:jc w:val="center"/>
              <w:rPr>
                <w:rFonts w:cs="Times New Roman"/>
                <w:b/>
                <w:sz w:val="18"/>
                <w:szCs w:val="18"/>
              </w:rPr>
            </w:pPr>
            <w:r w:rsidRPr="00730356">
              <w:rPr>
                <w:rFonts w:cs="Times New Roman"/>
                <w:b/>
                <w:sz w:val="18"/>
                <w:szCs w:val="18"/>
              </w:rPr>
              <w:t>(</w:t>
            </w:r>
            <w:r w:rsidR="00FB5BF6">
              <w:rPr>
                <w:rFonts w:cs="Times New Roman"/>
                <w:b/>
                <w:sz w:val="18"/>
                <w:szCs w:val="18"/>
              </w:rPr>
              <w:t>6</w:t>
            </w:r>
            <w:r w:rsidRPr="00730356">
              <w:rPr>
                <w:rFonts w:cs="Times New Roman"/>
                <w:b/>
                <w:sz w:val="18"/>
                <w:szCs w:val="18"/>
              </w:rPr>
              <w:t xml:space="preserve"> studies)</w:t>
            </w:r>
          </w:p>
        </w:tc>
        <w:tc>
          <w:tcPr>
            <w:tcW w:w="2502" w:type="dxa"/>
            <w:gridSpan w:val="2"/>
            <w:tcBorders>
              <w:bottom w:val="single" w:sz="4" w:space="0" w:color="auto"/>
            </w:tcBorders>
            <w:vAlign w:val="center"/>
          </w:tcPr>
          <w:p w14:paraId="778D8B8D" w14:textId="4473AD82" w:rsidR="00DC663B" w:rsidRPr="00730356" w:rsidRDefault="00DC663B" w:rsidP="00E042F0">
            <w:pPr>
              <w:spacing w:after="0" w:line="240" w:lineRule="auto"/>
              <w:jc w:val="center"/>
              <w:rPr>
                <w:rFonts w:cs="Times New Roman"/>
                <w:b/>
                <w:sz w:val="18"/>
                <w:szCs w:val="18"/>
              </w:rPr>
            </w:pPr>
            <w:r w:rsidRPr="00730356">
              <w:rPr>
                <w:rFonts w:cs="Times New Roman"/>
                <w:b/>
                <w:sz w:val="18"/>
                <w:szCs w:val="18"/>
              </w:rPr>
              <w:t>(</w:t>
            </w:r>
            <w:r w:rsidR="00FB5BF6">
              <w:rPr>
                <w:rFonts w:cs="Times New Roman"/>
                <w:b/>
                <w:sz w:val="18"/>
                <w:szCs w:val="18"/>
              </w:rPr>
              <w:t>5</w:t>
            </w:r>
            <w:r w:rsidRPr="00730356">
              <w:rPr>
                <w:rFonts w:cs="Times New Roman"/>
                <w:b/>
                <w:sz w:val="18"/>
                <w:szCs w:val="18"/>
              </w:rPr>
              <w:t xml:space="preserve"> studies)</w:t>
            </w:r>
          </w:p>
        </w:tc>
        <w:tc>
          <w:tcPr>
            <w:tcW w:w="2381" w:type="dxa"/>
            <w:gridSpan w:val="2"/>
            <w:tcBorders>
              <w:bottom w:val="single" w:sz="4" w:space="0" w:color="auto"/>
            </w:tcBorders>
            <w:vAlign w:val="center"/>
          </w:tcPr>
          <w:p w14:paraId="0C2F85FB" w14:textId="4E334508" w:rsidR="00DC663B" w:rsidRPr="00730356" w:rsidRDefault="00DC663B" w:rsidP="00E042F0">
            <w:pPr>
              <w:spacing w:after="0" w:line="240" w:lineRule="auto"/>
              <w:jc w:val="center"/>
              <w:rPr>
                <w:rFonts w:cs="Times New Roman"/>
                <w:b/>
                <w:sz w:val="18"/>
                <w:szCs w:val="18"/>
              </w:rPr>
            </w:pPr>
            <w:r w:rsidRPr="00730356">
              <w:rPr>
                <w:rFonts w:cs="Times New Roman"/>
                <w:b/>
                <w:sz w:val="18"/>
                <w:szCs w:val="18"/>
              </w:rPr>
              <w:t>(</w:t>
            </w:r>
            <w:r w:rsidR="001D150A">
              <w:rPr>
                <w:rFonts w:cs="Times New Roman"/>
                <w:b/>
                <w:sz w:val="18"/>
                <w:szCs w:val="18"/>
              </w:rPr>
              <w:t>6</w:t>
            </w:r>
            <w:r w:rsidRPr="00730356">
              <w:rPr>
                <w:rFonts w:cs="Times New Roman"/>
                <w:b/>
                <w:sz w:val="18"/>
                <w:szCs w:val="18"/>
              </w:rPr>
              <w:t xml:space="preserve"> studies)</w:t>
            </w:r>
          </w:p>
        </w:tc>
        <w:tc>
          <w:tcPr>
            <w:tcW w:w="2494" w:type="dxa"/>
            <w:gridSpan w:val="2"/>
            <w:tcBorders>
              <w:bottom w:val="single" w:sz="4" w:space="0" w:color="auto"/>
            </w:tcBorders>
          </w:tcPr>
          <w:p w14:paraId="5281D056" w14:textId="2541C05C" w:rsidR="00DC663B" w:rsidRPr="00730356" w:rsidRDefault="00EA2FB3" w:rsidP="00E042F0">
            <w:pPr>
              <w:spacing w:after="0" w:line="240" w:lineRule="auto"/>
              <w:jc w:val="center"/>
              <w:rPr>
                <w:rFonts w:cs="Times New Roman"/>
                <w:b/>
                <w:sz w:val="18"/>
                <w:szCs w:val="18"/>
              </w:rPr>
            </w:pPr>
            <w:r>
              <w:rPr>
                <w:rFonts w:cs="Times New Roman"/>
                <w:b/>
                <w:sz w:val="18"/>
                <w:szCs w:val="18"/>
              </w:rPr>
              <w:t>19 studies</w:t>
            </w:r>
          </w:p>
        </w:tc>
      </w:tr>
      <w:tr w:rsidR="00EA3B91" w:rsidRPr="00730356" w14:paraId="2E1D7354" w14:textId="4300E018" w:rsidTr="003F4CA0">
        <w:tc>
          <w:tcPr>
            <w:tcW w:w="3342" w:type="dxa"/>
            <w:vMerge/>
            <w:tcBorders>
              <w:bottom w:val="single" w:sz="4" w:space="0" w:color="auto"/>
            </w:tcBorders>
            <w:vAlign w:val="center"/>
          </w:tcPr>
          <w:p w14:paraId="53EAB7CB" w14:textId="58795BFF" w:rsidR="003E6B49" w:rsidRPr="00730356" w:rsidRDefault="003E6B49" w:rsidP="003E6B49">
            <w:pPr>
              <w:spacing w:after="0" w:line="240" w:lineRule="auto"/>
              <w:rPr>
                <w:rFonts w:cs="Times New Roman"/>
                <w:b/>
                <w:color w:val="2E74B5" w:themeColor="accent1" w:themeShade="BF"/>
                <w:sz w:val="18"/>
                <w:szCs w:val="18"/>
              </w:rPr>
            </w:pPr>
          </w:p>
        </w:tc>
        <w:tc>
          <w:tcPr>
            <w:tcW w:w="472" w:type="dxa"/>
            <w:tcBorders>
              <w:top w:val="single" w:sz="4" w:space="0" w:color="auto"/>
              <w:bottom w:val="single" w:sz="4" w:space="0" w:color="auto"/>
            </w:tcBorders>
            <w:vAlign w:val="center"/>
          </w:tcPr>
          <w:p w14:paraId="6E99C1EE" w14:textId="77777777" w:rsidR="003E6B49" w:rsidRPr="00730356" w:rsidRDefault="003E6B49" w:rsidP="003E6B49">
            <w:pPr>
              <w:spacing w:after="0" w:line="240" w:lineRule="auto"/>
              <w:jc w:val="right"/>
              <w:rPr>
                <w:rFonts w:cs="Times New Roman"/>
                <w:b/>
                <w:color w:val="2E74B5" w:themeColor="accent1" w:themeShade="BF"/>
                <w:sz w:val="18"/>
                <w:szCs w:val="18"/>
              </w:rPr>
            </w:pPr>
            <w:r w:rsidRPr="00730356">
              <w:rPr>
                <w:rFonts w:cs="Times New Roman"/>
                <w:b/>
                <w:color w:val="2E74B5" w:themeColor="accent1" w:themeShade="BF"/>
                <w:sz w:val="18"/>
                <w:szCs w:val="18"/>
              </w:rPr>
              <w:t>N</w:t>
            </w:r>
          </w:p>
        </w:tc>
        <w:tc>
          <w:tcPr>
            <w:tcW w:w="1925" w:type="dxa"/>
            <w:tcBorders>
              <w:top w:val="single" w:sz="4" w:space="0" w:color="auto"/>
              <w:bottom w:val="single" w:sz="4" w:space="0" w:color="auto"/>
            </w:tcBorders>
            <w:vAlign w:val="center"/>
          </w:tcPr>
          <w:p w14:paraId="0E98F2AF" w14:textId="42338A5D" w:rsidR="003E6B49" w:rsidRPr="00730356" w:rsidRDefault="003E6B49" w:rsidP="003E6B49">
            <w:pPr>
              <w:spacing w:before="40" w:after="40" w:line="240" w:lineRule="auto"/>
              <w:rPr>
                <w:rFonts w:cs="Times New Roman"/>
                <w:b/>
                <w:color w:val="2E74B5" w:themeColor="accent1" w:themeShade="BF"/>
                <w:sz w:val="18"/>
                <w:szCs w:val="18"/>
              </w:rPr>
            </w:pPr>
            <w:r w:rsidRPr="00730356">
              <w:rPr>
                <w:b/>
                <w:sz w:val="18"/>
                <w:szCs w:val="18"/>
              </w:rPr>
              <w:t>Proportion</w:t>
            </w:r>
            <w:r>
              <w:rPr>
                <w:b/>
                <w:sz w:val="18"/>
                <w:szCs w:val="18"/>
              </w:rPr>
              <w:t xml:space="preserve"> </w:t>
            </w:r>
            <w:r w:rsidRPr="00730356">
              <w:rPr>
                <w:b/>
                <w:sz w:val="18"/>
                <w:szCs w:val="18"/>
              </w:rPr>
              <w:t>(95% CI)</w:t>
            </w:r>
          </w:p>
        </w:tc>
        <w:tc>
          <w:tcPr>
            <w:tcW w:w="510" w:type="dxa"/>
            <w:tcBorders>
              <w:top w:val="single" w:sz="4" w:space="0" w:color="auto"/>
              <w:bottom w:val="single" w:sz="4" w:space="0" w:color="auto"/>
            </w:tcBorders>
            <w:vAlign w:val="center"/>
          </w:tcPr>
          <w:p w14:paraId="1CA2D22F" w14:textId="77777777" w:rsidR="003E6B49" w:rsidRPr="00730356" w:rsidRDefault="003E6B49" w:rsidP="003E6B49">
            <w:pPr>
              <w:spacing w:after="0" w:line="240" w:lineRule="auto"/>
              <w:jc w:val="right"/>
              <w:rPr>
                <w:rFonts w:cs="Times New Roman"/>
                <w:b/>
                <w:color w:val="2E74B5" w:themeColor="accent1" w:themeShade="BF"/>
                <w:sz w:val="18"/>
                <w:szCs w:val="18"/>
              </w:rPr>
            </w:pPr>
            <w:r w:rsidRPr="00730356">
              <w:rPr>
                <w:rFonts w:cs="Times New Roman"/>
                <w:b/>
                <w:color w:val="2E74B5" w:themeColor="accent1" w:themeShade="BF"/>
                <w:sz w:val="18"/>
                <w:szCs w:val="18"/>
              </w:rPr>
              <w:t>N</w:t>
            </w:r>
          </w:p>
        </w:tc>
        <w:tc>
          <w:tcPr>
            <w:tcW w:w="1870" w:type="dxa"/>
            <w:tcBorders>
              <w:top w:val="single" w:sz="4" w:space="0" w:color="auto"/>
              <w:bottom w:val="single" w:sz="4" w:space="0" w:color="auto"/>
            </w:tcBorders>
            <w:vAlign w:val="center"/>
          </w:tcPr>
          <w:p w14:paraId="3E461C30" w14:textId="66E3ABB2" w:rsidR="003E6B49" w:rsidRPr="00730356" w:rsidRDefault="003E6B49" w:rsidP="003E6B49">
            <w:pPr>
              <w:spacing w:before="40" w:after="40" w:line="240" w:lineRule="auto"/>
              <w:rPr>
                <w:rFonts w:cs="Times New Roman"/>
                <w:b/>
                <w:color w:val="2E74B5" w:themeColor="accent1" w:themeShade="BF"/>
                <w:sz w:val="18"/>
                <w:szCs w:val="18"/>
              </w:rPr>
            </w:pPr>
            <w:r w:rsidRPr="00730356">
              <w:rPr>
                <w:b/>
                <w:sz w:val="18"/>
                <w:szCs w:val="18"/>
              </w:rPr>
              <w:t>Proportion</w:t>
            </w:r>
            <w:r>
              <w:rPr>
                <w:b/>
                <w:sz w:val="18"/>
                <w:szCs w:val="18"/>
              </w:rPr>
              <w:t xml:space="preserve"> </w:t>
            </w:r>
            <w:r w:rsidRPr="00730356">
              <w:rPr>
                <w:b/>
                <w:sz w:val="18"/>
                <w:szCs w:val="18"/>
              </w:rPr>
              <w:t>(95% CI)</w:t>
            </w:r>
          </w:p>
        </w:tc>
        <w:tc>
          <w:tcPr>
            <w:tcW w:w="576" w:type="dxa"/>
            <w:tcBorders>
              <w:top w:val="single" w:sz="4" w:space="0" w:color="auto"/>
              <w:bottom w:val="single" w:sz="4" w:space="0" w:color="auto"/>
            </w:tcBorders>
            <w:vAlign w:val="center"/>
          </w:tcPr>
          <w:p w14:paraId="22B439AD" w14:textId="77777777" w:rsidR="003E6B49" w:rsidRPr="00730356" w:rsidRDefault="003E6B49" w:rsidP="003E6B49">
            <w:pPr>
              <w:spacing w:after="0" w:line="240" w:lineRule="auto"/>
              <w:jc w:val="right"/>
              <w:rPr>
                <w:rFonts w:cs="Times New Roman"/>
                <w:b/>
                <w:color w:val="2E74B5" w:themeColor="accent1" w:themeShade="BF"/>
                <w:sz w:val="18"/>
                <w:szCs w:val="18"/>
              </w:rPr>
            </w:pPr>
            <w:r w:rsidRPr="00730356">
              <w:rPr>
                <w:rFonts w:cs="Times New Roman"/>
                <w:b/>
                <w:color w:val="2E74B5" w:themeColor="accent1" w:themeShade="BF"/>
                <w:sz w:val="18"/>
                <w:szCs w:val="18"/>
              </w:rPr>
              <w:t>N</w:t>
            </w:r>
          </w:p>
        </w:tc>
        <w:tc>
          <w:tcPr>
            <w:tcW w:w="1926" w:type="dxa"/>
            <w:tcBorders>
              <w:top w:val="single" w:sz="4" w:space="0" w:color="auto"/>
              <w:bottom w:val="single" w:sz="4" w:space="0" w:color="auto"/>
            </w:tcBorders>
            <w:vAlign w:val="center"/>
          </w:tcPr>
          <w:p w14:paraId="0BE99B20" w14:textId="1172AC99" w:rsidR="003E6B49" w:rsidRPr="00730356" w:rsidRDefault="003E6B49" w:rsidP="003E6B49">
            <w:pPr>
              <w:spacing w:before="40" w:after="40" w:line="240" w:lineRule="auto"/>
              <w:rPr>
                <w:rFonts w:cs="Times New Roman"/>
                <w:b/>
                <w:color w:val="2E74B5" w:themeColor="accent1" w:themeShade="BF"/>
                <w:sz w:val="18"/>
                <w:szCs w:val="18"/>
              </w:rPr>
            </w:pPr>
            <w:r w:rsidRPr="00730356">
              <w:rPr>
                <w:b/>
                <w:sz w:val="18"/>
                <w:szCs w:val="18"/>
              </w:rPr>
              <w:t>Proportion</w:t>
            </w:r>
            <w:r>
              <w:rPr>
                <w:b/>
                <w:sz w:val="18"/>
                <w:szCs w:val="18"/>
              </w:rPr>
              <w:t xml:space="preserve"> </w:t>
            </w:r>
            <w:r w:rsidRPr="00730356">
              <w:rPr>
                <w:b/>
                <w:sz w:val="18"/>
                <w:szCs w:val="18"/>
              </w:rPr>
              <w:t>(95% CI)</w:t>
            </w:r>
          </w:p>
        </w:tc>
        <w:tc>
          <w:tcPr>
            <w:tcW w:w="510" w:type="dxa"/>
            <w:tcBorders>
              <w:top w:val="single" w:sz="4" w:space="0" w:color="auto"/>
              <w:bottom w:val="single" w:sz="4" w:space="0" w:color="auto"/>
            </w:tcBorders>
            <w:vAlign w:val="center"/>
          </w:tcPr>
          <w:p w14:paraId="1BF0CE8E" w14:textId="77777777" w:rsidR="003E6B49" w:rsidRPr="00730356" w:rsidRDefault="003E6B49" w:rsidP="003E6B49">
            <w:pPr>
              <w:spacing w:after="0" w:line="240" w:lineRule="auto"/>
              <w:jc w:val="right"/>
              <w:rPr>
                <w:rFonts w:cs="Times New Roman"/>
                <w:b/>
                <w:color w:val="2E74B5" w:themeColor="accent1" w:themeShade="BF"/>
                <w:sz w:val="18"/>
                <w:szCs w:val="18"/>
              </w:rPr>
            </w:pPr>
            <w:r w:rsidRPr="00730356">
              <w:rPr>
                <w:rFonts w:cs="Times New Roman"/>
                <w:b/>
                <w:color w:val="2E74B5" w:themeColor="accent1" w:themeShade="BF"/>
                <w:sz w:val="18"/>
                <w:szCs w:val="18"/>
              </w:rPr>
              <w:t>N</w:t>
            </w:r>
          </w:p>
        </w:tc>
        <w:tc>
          <w:tcPr>
            <w:tcW w:w="1871" w:type="dxa"/>
            <w:tcBorders>
              <w:top w:val="single" w:sz="4" w:space="0" w:color="auto"/>
              <w:bottom w:val="single" w:sz="4" w:space="0" w:color="auto"/>
            </w:tcBorders>
            <w:vAlign w:val="center"/>
          </w:tcPr>
          <w:p w14:paraId="6B1C0CA1" w14:textId="1BE3D57D" w:rsidR="003E6B49" w:rsidRPr="00730356" w:rsidRDefault="003E6B49" w:rsidP="003E6B49">
            <w:pPr>
              <w:spacing w:before="40" w:after="40" w:line="240" w:lineRule="auto"/>
              <w:rPr>
                <w:rFonts w:cs="Times New Roman"/>
                <w:b/>
                <w:color w:val="2E74B5" w:themeColor="accent1" w:themeShade="BF"/>
                <w:sz w:val="18"/>
                <w:szCs w:val="18"/>
              </w:rPr>
            </w:pPr>
            <w:r w:rsidRPr="00730356">
              <w:rPr>
                <w:b/>
                <w:sz w:val="18"/>
                <w:szCs w:val="18"/>
              </w:rPr>
              <w:t>Proportion</w:t>
            </w:r>
            <w:r>
              <w:rPr>
                <w:b/>
                <w:sz w:val="18"/>
                <w:szCs w:val="18"/>
              </w:rPr>
              <w:t xml:space="preserve"> </w:t>
            </w:r>
            <w:r w:rsidRPr="00730356">
              <w:rPr>
                <w:b/>
                <w:sz w:val="18"/>
                <w:szCs w:val="18"/>
              </w:rPr>
              <w:t>(95% CI)</w:t>
            </w:r>
          </w:p>
        </w:tc>
        <w:tc>
          <w:tcPr>
            <w:tcW w:w="618" w:type="dxa"/>
            <w:tcBorders>
              <w:top w:val="single" w:sz="4" w:space="0" w:color="auto"/>
              <w:bottom w:val="single" w:sz="4" w:space="0" w:color="auto"/>
            </w:tcBorders>
            <w:vAlign w:val="center"/>
          </w:tcPr>
          <w:p w14:paraId="67593364" w14:textId="2AA50FD7" w:rsidR="003E6B49" w:rsidRPr="00730356" w:rsidRDefault="003E6B49" w:rsidP="00DC663B">
            <w:pPr>
              <w:spacing w:before="40" w:after="40" w:line="240" w:lineRule="auto"/>
              <w:jc w:val="right"/>
              <w:rPr>
                <w:b/>
                <w:sz w:val="18"/>
                <w:szCs w:val="18"/>
              </w:rPr>
            </w:pPr>
            <w:r w:rsidRPr="00730356">
              <w:rPr>
                <w:rFonts w:cs="Times New Roman"/>
                <w:b/>
                <w:color w:val="2E74B5" w:themeColor="accent1" w:themeShade="BF"/>
                <w:sz w:val="18"/>
                <w:szCs w:val="18"/>
              </w:rPr>
              <w:t>N</w:t>
            </w:r>
          </w:p>
        </w:tc>
        <w:tc>
          <w:tcPr>
            <w:tcW w:w="1871" w:type="dxa"/>
            <w:tcBorders>
              <w:top w:val="single" w:sz="4" w:space="0" w:color="auto"/>
              <w:bottom w:val="single" w:sz="4" w:space="0" w:color="auto"/>
            </w:tcBorders>
            <w:vAlign w:val="center"/>
          </w:tcPr>
          <w:p w14:paraId="13A1BF01" w14:textId="6A832157" w:rsidR="003E6B49" w:rsidRPr="00730356" w:rsidRDefault="003E6B49" w:rsidP="003E6B49">
            <w:pPr>
              <w:spacing w:before="40" w:after="40" w:line="240" w:lineRule="auto"/>
              <w:rPr>
                <w:b/>
                <w:sz w:val="18"/>
                <w:szCs w:val="18"/>
              </w:rPr>
            </w:pPr>
            <w:r w:rsidRPr="00730356">
              <w:rPr>
                <w:b/>
                <w:sz w:val="18"/>
                <w:szCs w:val="18"/>
              </w:rPr>
              <w:t>Proportion</w:t>
            </w:r>
            <w:r>
              <w:rPr>
                <w:b/>
                <w:sz w:val="18"/>
                <w:szCs w:val="18"/>
              </w:rPr>
              <w:t xml:space="preserve"> </w:t>
            </w:r>
            <w:r w:rsidRPr="00730356">
              <w:rPr>
                <w:b/>
                <w:sz w:val="18"/>
                <w:szCs w:val="18"/>
              </w:rPr>
              <w:t>(95% CI)</w:t>
            </w:r>
          </w:p>
        </w:tc>
      </w:tr>
      <w:tr w:rsidR="00EA3B91" w:rsidRPr="00730356" w14:paraId="58715B01" w14:textId="07E54B7A" w:rsidTr="003F4CA0">
        <w:tc>
          <w:tcPr>
            <w:tcW w:w="3342" w:type="dxa"/>
            <w:tcBorders>
              <w:top w:val="single" w:sz="4" w:space="0" w:color="auto"/>
              <w:bottom w:val="single" w:sz="4" w:space="0" w:color="auto"/>
            </w:tcBorders>
          </w:tcPr>
          <w:p w14:paraId="3ADE2286" w14:textId="77777777" w:rsidR="00831E3C" w:rsidRPr="00730356" w:rsidRDefault="00831E3C" w:rsidP="00831E3C">
            <w:pPr>
              <w:spacing w:after="0" w:line="240" w:lineRule="auto"/>
              <w:rPr>
                <w:rFonts w:cs="Times New Roman"/>
                <w:b/>
                <w:color w:val="000000" w:themeColor="text1"/>
                <w:sz w:val="18"/>
                <w:szCs w:val="18"/>
              </w:rPr>
            </w:pPr>
            <w:r w:rsidRPr="00730356">
              <w:rPr>
                <w:rFonts w:cs="Times New Roman"/>
                <w:b/>
                <w:color w:val="000000" w:themeColor="text1"/>
                <w:sz w:val="18"/>
                <w:szCs w:val="18"/>
              </w:rPr>
              <w:t>All Gram positives</w:t>
            </w:r>
          </w:p>
        </w:tc>
        <w:tc>
          <w:tcPr>
            <w:tcW w:w="472" w:type="dxa"/>
            <w:tcBorders>
              <w:top w:val="single" w:sz="4" w:space="0" w:color="auto"/>
              <w:bottom w:val="single" w:sz="4" w:space="0" w:color="auto"/>
            </w:tcBorders>
            <w:vAlign w:val="center"/>
          </w:tcPr>
          <w:p w14:paraId="76DF53AE" w14:textId="77777777" w:rsidR="00831E3C" w:rsidRPr="00B50945" w:rsidRDefault="00831E3C" w:rsidP="00831E3C">
            <w:pPr>
              <w:spacing w:after="0" w:line="240" w:lineRule="auto"/>
              <w:jc w:val="right"/>
              <w:rPr>
                <w:rFonts w:cs="Times New Roman"/>
                <w:b/>
                <w:color w:val="000000" w:themeColor="text1"/>
                <w:sz w:val="18"/>
                <w:szCs w:val="18"/>
              </w:rPr>
            </w:pPr>
            <w:r w:rsidRPr="00B50945">
              <w:rPr>
                <w:rFonts w:cs="Times New Roman"/>
                <w:b/>
                <w:bCs/>
                <w:sz w:val="18"/>
                <w:szCs w:val="18"/>
              </w:rPr>
              <w:t>1</w:t>
            </w:r>
          </w:p>
        </w:tc>
        <w:tc>
          <w:tcPr>
            <w:tcW w:w="1925" w:type="dxa"/>
            <w:tcBorders>
              <w:top w:val="single" w:sz="4" w:space="0" w:color="auto"/>
              <w:bottom w:val="single" w:sz="4" w:space="0" w:color="auto"/>
            </w:tcBorders>
            <w:vAlign w:val="center"/>
          </w:tcPr>
          <w:p w14:paraId="709A34B7" w14:textId="77777777" w:rsidR="00831E3C" w:rsidRPr="00B50945" w:rsidRDefault="00831E3C" w:rsidP="00831E3C">
            <w:pPr>
              <w:spacing w:after="0" w:line="240" w:lineRule="auto"/>
              <w:rPr>
                <w:rFonts w:cs="Times New Roman"/>
                <w:b/>
                <w:color w:val="000000" w:themeColor="text1"/>
                <w:sz w:val="18"/>
                <w:szCs w:val="18"/>
              </w:rPr>
            </w:pPr>
          </w:p>
        </w:tc>
        <w:tc>
          <w:tcPr>
            <w:tcW w:w="510" w:type="dxa"/>
            <w:tcBorders>
              <w:top w:val="single" w:sz="4" w:space="0" w:color="auto"/>
              <w:bottom w:val="single" w:sz="4" w:space="0" w:color="auto"/>
            </w:tcBorders>
            <w:vAlign w:val="center"/>
          </w:tcPr>
          <w:p w14:paraId="66E55015" w14:textId="77777777" w:rsidR="00831E3C" w:rsidRPr="00B50945" w:rsidRDefault="00831E3C" w:rsidP="00831E3C">
            <w:pPr>
              <w:spacing w:after="0" w:line="240" w:lineRule="auto"/>
              <w:jc w:val="right"/>
              <w:rPr>
                <w:rFonts w:cs="Times New Roman"/>
                <w:b/>
                <w:color w:val="000000" w:themeColor="text1"/>
                <w:sz w:val="18"/>
                <w:szCs w:val="18"/>
              </w:rPr>
            </w:pPr>
            <w:r w:rsidRPr="00B50945">
              <w:rPr>
                <w:rFonts w:cs="Times New Roman"/>
                <w:b/>
                <w:bCs/>
                <w:sz w:val="18"/>
                <w:szCs w:val="18"/>
              </w:rPr>
              <w:t>67</w:t>
            </w:r>
          </w:p>
        </w:tc>
        <w:tc>
          <w:tcPr>
            <w:tcW w:w="1870" w:type="dxa"/>
            <w:tcBorders>
              <w:top w:val="single" w:sz="4" w:space="0" w:color="auto"/>
              <w:bottom w:val="single" w:sz="4" w:space="0" w:color="auto"/>
            </w:tcBorders>
            <w:vAlign w:val="center"/>
          </w:tcPr>
          <w:p w14:paraId="063E1C5C" w14:textId="77777777" w:rsidR="00831E3C" w:rsidRPr="00B50945" w:rsidRDefault="00831E3C" w:rsidP="00831E3C">
            <w:pPr>
              <w:spacing w:after="0" w:line="240" w:lineRule="auto"/>
              <w:rPr>
                <w:rFonts w:cs="Times New Roman"/>
                <w:b/>
                <w:color w:val="000000" w:themeColor="text1"/>
                <w:sz w:val="18"/>
                <w:szCs w:val="18"/>
              </w:rPr>
            </w:pPr>
          </w:p>
        </w:tc>
        <w:tc>
          <w:tcPr>
            <w:tcW w:w="576" w:type="dxa"/>
            <w:tcBorders>
              <w:top w:val="single" w:sz="4" w:space="0" w:color="auto"/>
              <w:bottom w:val="single" w:sz="4" w:space="0" w:color="auto"/>
            </w:tcBorders>
            <w:vAlign w:val="center"/>
          </w:tcPr>
          <w:p w14:paraId="17D2AA06" w14:textId="77777777" w:rsidR="00831E3C" w:rsidRPr="00B50945" w:rsidRDefault="00831E3C" w:rsidP="00831E3C">
            <w:pPr>
              <w:spacing w:after="0" w:line="240" w:lineRule="auto"/>
              <w:jc w:val="right"/>
              <w:rPr>
                <w:rFonts w:cs="Times New Roman"/>
                <w:b/>
                <w:color w:val="000000" w:themeColor="text1"/>
                <w:sz w:val="18"/>
                <w:szCs w:val="18"/>
              </w:rPr>
            </w:pPr>
            <w:r w:rsidRPr="00B50945">
              <w:rPr>
                <w:rFonts w:cs="Times New Roman"/>
                <w:b/>
                <w:bCs/>
                <w:sz w:val="18"/>
                <w:szCs w:val="18"/>
              </w:rPr>
              <w:t>845</w:t>
            </w:r>
          </w:p>
        </w:tc>
        <w:tc>
          <w:tcPr>
            <w:tcW w:w="1926" w:type="dxa"/>
            <w:tcBorders>
              <w:top w:val="single" w:sz="4" w:space="0" w:color="auto"/>
              <w:bottom w:val="single" w:sz="4" w:space="0" w:color="auto"/>
            </w:tcBorders>
            <w:vAlign w:val="center"/>
          </w:tcPr>
          <w:p w14:paraId="07D16F4A" w14:textId="77777777" w:rsidR="00831E3C" w:rsidRPr="00B50945" w:rsidRDefault="00831E3C" w:rsidP="00831E3C">
            <w:pPr>
              <w:spacing w:after="0" w:line="240" w:lineRule="auto"/>
              <w:rPr>
                <w:rFonts w:cs="Times New Roman"/>
                <w:b/>
                <w:color w:val="000000" w:themeColor="text1"/>
                <w:sz w:val="18"/>
                <w:szCs w:val="18"/>
              </w:rPr>
            </w:pPr>
          </w:p>
        </w:tc>
        <w:tc>
          <w:tcPr>
            <w:tcW w:w="510" w:type="dxa"/>
            <w:tcBorders>
              <w:top w:val="single" w:sz="4" w:space="0" w:color="auto"/>
              <w:bottom w:val="single" w:sz="4" w:space="0" w:color="auto"/>
            </w:tcBorders>
            <w:vAlign w:val="center"/>
          </w:tcPr>
          <w:p w14:paraId="08A72BD3" w14:textId="77777777" w:rsidR="00831E3C" w:rsidRPr="00B50945" w:rsidRDefault="00831E3C" w:rsidP="00831E3C">
            <w:pPr>
              <w:spacing w:after="0" w:line="240" w:lineRule="auto"/>
              <w:jc w:val="right"/>
              <w:rPr>
                <w:rFonts w:cs="Times New Roman"/>
                <w:b/>
                <w:color w:val="000000" w:themeColor="text1"/>
                <w:sz w:val="18"/>
                <w:szCs w:val="18"/>
              </w:rPr>
            </w:pPr>
            <w:r w:rsidRPr="00B50945">
              <w:rPr>
                <w:rFonts w:cs="Times New Roman"/>
                <w:b/>
                <w:bCs/>
                <w:sz w:val="18"/>
                <w:szCs w:val="18"/>
              </w:rPr>
              <w:t>40</w:t>
            </w:r>
          </w:p>
        </w:tc>
        <w:tc>
          <w:tcPr>
            <w:tcW w:w="1871" w:type="dxa"/>
            <w:tcBorders>
              <w:top w:val="single" w:sz="4" w:space="0" w:color="auto"/>
              <w:bottom w:val="single" w:sz="4" w:space="0" w:color="auto"/>
            </w:tcBorders>
            <w:vAlign w:val="center"/>
          </w:tcPr>
          <w:p w14:paraId="1048EB23" w14:textId="77777777" w:rsidR="00831E3C" w:rsidRPr="00B50945" w:rsidRDefault="00831E3C" w:rsidP="00831E3C">
            <w:pPr>
              <w:spacing w:after="0" w:line="240" w:lineRule="auto"/>
              <w:rPr>
                <w:rFonts w:cs="Times New Roman"/>
                <w:b/>
                <w:color w:val="000000" w:themeColor="text1"/>
                <w:sz w:val="18"/>
                <w:szCs w:val="18"/>
              </w:rPr>
            </w:pPr>
          </w:p>
        </w:tc>
        <w:tc>
          <w:tcPr>
            <w:tcW w:w="618" w:type="dxa"/>
            <w:tcBorders>
              <w:top w:val="single" w:sz="4" w:space="0" w:color="auto"/>
              <w:bottom w:val="single" w:sz="4" w:space="0" w:color="auto"/>
            </w:tcBorders>
            <w:vAlign w:val="center"/>
          </w:tcPr>
          <w:p w14:paraId="5F51F5B7" w14:textId="77777777" w:rsidR="00831E3C" w:rsidRPr="00B50945" w:rsidRDefault="00831E3C" w:rsidP="00DC663B">
            <w:pPr>
              <w:spacing w:after="0" w:line="240" w:lineRule="auto"/>
              <w:jc w:val="right"/>
              <w:rPr>
                <w:rFonts w:cs="Times New Roman"/>
                <w:b/>
                <w:color w:val="000000" w:themeColor="text1"/>
                <w:sz w:val="18"/>
                <w:szCs w:val="18"/>
              </w:rPr>
            </w:pPr>
          </w:p>
        </w:tc>
        <w:tc>
          <w:tcPr>
            <w:tcW w:w="1871" w:type="dxa"/>
            <w:tcBorders>
              <w:top w:val="single" w:sz="4" w:space="0" w:color="auto"/>
              <w:bottom w:val="single" w:sz="4" w:space="0" w:color="auto"/>
            </w:tcBorders>
            <w:vAlign w:val="center"/>
          </w:tcPr>
          <w:p w14:paraId="028D2B24" w14:textId="77777777" w:rsidR="00831E3C" w:rsidRPr="00B50945" w:rsidRDefault="00831E3C" w:rsidP="00831E3C">
            <w:pPr>
              <w:spacing w:after="0" w:line="240" w:lineRule="auto"/>
              <w:rPr>
                <w:rFonts w:cs="Times New Roman"/>
                <w:b/>
                <w:color w:val="000000" w:themeColor="text1"/>
                <w:sz w:val="18"/>
                <w:szCs w:val="18"/>
              </w:rPr>
            </w:pPr>
          </w:p>
        </w:tc>
      </w:tr>
      <w:tr w:rsidR="00EA3B91" w:rsidRPr="00730356" w14:paraId="0F5A2C8E" w14:textId="0DB55E4A" w:rsidTr="003F4CA0">
        <w:tc>
          <w:tcPr>
            <w:tcW w:w="3342" w:type="dxa"/>
            <w:tcBorders>
              <w:top w:val="single" w:sz="4" w:space="0" w:color="auto"/>
              <w:bottom w:val="single" w:sz="4" w:space="0" w:color="auto"/>
            </w:tcBorders>
          </w:tcPr>
          <w:p w14:paraId="0FBD2589" w14:textId="77777777" w:rsidR="00831E3C" w:rsidRPr="00730356" w:rsidRDefault="00831E3C" w:rsidP="00831E3C">
            <w:pPr>
              <w:spacing w:after="0" w:line="240" w:lineRule="auto"/>
              <w:ind w:left="170"/>
              <w:rPr>
                <w:rFonts w:cs="Times New Roman"/>
                <w:sz w:val="18"/>
                <w:szCs w:val="18"/>
              </w:rPr>
            </w:pPr>
            <w:r w:rsidRPr="00730356">
              <w:rPr>
                <w:rFonts w:cs="Times New Roman"/>
                <w:i/>
                <w:sz w:val="18"/>
                <w:szCs w:val="18"/>
              </w:rPr>
              <w:t>Staphylococcus aureus</w:t>
            </w:r>
          </w:p>
        </w:tc>
        <w:tc>
          <w:tcPr>
            <w:tcW w:w="472" w:type="dxa"/>
            <w:tcBorders>
              <w:top w:val="single" w:sz="4" w:space="0" w:color="auto"/>
              <w:bottom w:val="single" w:sz="4" w:space="0" w:color="auto"/>
            </w:tcBorders>
            <w:vAlign w:val="center"/>
          </w:tcPr>
          <w:p w14:paraId="6655A905" w14:textId="77777777" w:rsidR="00831E3C" w:rsidRPr="00B50945" w:rsidRDefault="00831E3C" w:rsidP="00831E3C">
            <w:pPr>
              <w:spacing w:after="0" w:line="240" w:lineRule="auto"/>
              <w:jc w:val="right"/>
              <w:rPr>
                <w:rFonts w:cs="Times New Roman"/>
                <w:sz w:val="18"/>
                <w:szCs w:val="18"/>
              </w:rPr>
            </w:pPr>
            <w:r>
              <w:rPr>
                <w:rFonts w:cs="Times New Roman"/>
                <w:sz w:val="18"/>
                <w:szCs w:val="18"/>
              </w:rPr>
              <w:t>0</w:t>
            </w:r>
          </w:p>
        </w:tc>
        <w:tc>
          <w:tcPr>
            <w:tcW w:w="1925" w:type="dxa"/>
            <w:tcBorders>
              <w:top w:val="single" w:sz="4" w:space="0" w:color="auto"/>
              <w:bottom w:val="single" w:sz="4" w:space="0" w:color="auto"/>
            </w:tcBorders>
            <w:vAlign w:val="center"/>
          </w:tcPr>
          <w:p w14:paraId="7F42241E"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2770840B"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4</w:t>
            </w:r>
          </w:p>
        </w:tc>
        <w:tc>
          <w:tcPr>
            <w:tcW w:w="1870" w:type="dxa"/>
            <w:tcBorders>
              <w:top w:val="single" w:sz="4" w:space="0" w:color="auto"/>
              <w:bottom w:val="single" w:sz="4" w:space="0" w:color="auto"/>
            </w:tcBorders>
            <w:vAlign w:val="center"/>
          </w:tcPr>
          <w:p w14:paraId="22865843" w14:textId="77777777" w:rsidR="00831E3C" w:rsidRPr="00B50945" w:rsidRDefault="00831E3C" w:rsidP="00831E3C">
            <w:pPr>
              <w:spacing w:after="0" w:line="240" w:lineRule="auto"/>
              <w:rPr>
                <w:rFonts w:cs="Times New Roman"/>
                <w:sz w:val="18"/>
                <w:szCs w:val="18"/>
              </w:rPr>
            </w:pPr>
            <w:r>
              <w:rPr>
                <w:rFonts w:cs="Times New Roman"/>
                <w:sz w:val="18"/>
                <w:szCs w:val="18"/>
              </w:rPr>
              <w:t>0.05 (0.01 – 0.12)</w:t>
            </w:r>
          </w:p>
        </w:tc>
        <w:tc>
          <w:tcPr>
            <w:tcW w:w="576" w:type="dxa"/>
            <w:tcBorders>
              <w:top w:val="single" w:sz="4" w:space="0" w:color="auto"/>
              <w:bottom w:val="single" w:sz="4" w:space="0" w:color="auto"/>
            </w:tcBorders>
            <w:vAlign w:val="center"/>
          </w:tcPr>
          <w:p w14:paraId="16F4DA02"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71</w:t>
            </w:r>
          </w:p>
        </w:tc>
        <w:tc>
          <w:tcPr>
            <w:tcW w:w="1926" w:type="dxa"/>
            <w:tcBorders>
              <w:top w:val="single" w:sz="4" w:space="0" w:color="auto"/>
              <w:bottom w:val="single" w:sz="4" w:space="0" w:color="auto"/>
            </w:tcBorders>
            <w:vAlign w:val="center"/>
          </w:tcPr>
          <w:p w14:paraId="4A5C4622" w14:textId="77777777" w:rsidR="00831E3C" w:rsidRPr="00B50945" w:rsidRDefault="00831E3C" w:rsidP="00831E3C">
            <w:pPr>
              <w:spacing w:after="0" w:line="240" w:lineRule="auto"/>
              <w:rPr>
                <w:rFonts w:cs="Times New Roman"/>
                <w:sz w:val="18"/>
                <w:szCs w:val="18"/>
              </w:rPr>
            </w:pPr>
            <w:r>
              <w:rPr>
                <w:rFonts w:cs="Times New Roman"/>
                <w:sz w:val="18"/>
                <w:szCs w:val="18"/>
              </w:rPr>
              <w:t>0.02 (0.01 – 0.03)</w:t>
            </w:r>
          </w:p>
        </w:tc>
        <w:tc>
          <w:tcPr>
            <w:tcW w:w="510" w:type="dxa"/>
            <w:tcBorders>
              <w:top w:val="single" w:sz="4" w:space="0" w:color="auto"/>
              <w:bottom w:val="single" w:sz="4" w:space="0" w:color="auto"/>
            </w:tcBorders>
            <w:vAlign w:val="center"/>
          </w:tcPr>
          <w:p w14:paraId="50FB6429"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17</w:t>
            </w:r>
          </w:p>
        </w:tc>
        <w:tc>
          <w:tcPr>
            <w:tcW w:w="1871" w:type="dxa"/>
            <w:tcBorders>
              <w:top w:val="single" w:sz="4" w:space="0" w:color="auto"/>
              <w:bottom w:val="single" w:sz="4" w:space="0" w:color="auto"/>
            </w:tcBorders>
            <w:vAlign w:val="center"/>
          </w:tcPr>
          <w:p w14:paraId="573E629E" w14:textId="77777777" w:rsidR="00831E3C" w:rsidRPr="00B50945" w:rsidRDefault="00831E3C" w:rsidP="00831E3C">
            <w:pPr>
              <w:spacing w:after="0" w:line="240" w:lineRule="auto"/>
              <w:rPr>
                <w:rFonts w:cs="Times New Roman"/>
                <w:sz w:val="18"/>
                <w:szCs w:val="18"/>
              </w:rPr>
            </w:pPr>
            <w:r>
              <w:rPr>
                <w:rFonts w:cs="Times New Roman"/>
                <w:sz w:val="18"/>
                <w:szCs w:val="18"/>
              </w:rPr>
              <w:t>0.29 (0.17 – 0.42)</w:t>
            </w:r>
          </w:p>
        </w:tc>
        <w:tc>
          <w:tcPr>
            <w:tcW w:w="618" w:type="dxa"/>
            <w:tcBorders>
              <w:top w:val="single" w:sz="4" w:space="0" w:color="auto"/>
              <w:bottom w:val="single" w:sz="4" w:space="0" w:color="auto"/>
            </w:tcBorders>
            <w:vAlign w:val="center"/>
          </w:tcPr>
          <w:p w14:paraId="125A378F" w14:textId="3A72BC2B" w:rsidR="00831E3C" w:rsidRDefault="00831E3C" w:rsidP="00DC663B">
            <w:pPr>
              <w:spacing w:after="0" w:line="240" w:lineRule="auto"/>
              <w:jc w:val="right"/>
              <w:rPr>
                <w:rFonts w:cs="Times New Roman"/>
                <w:sz w:val="18"/>
                <w:szCs w:val="18"/>
              </w:rPr>
            </w:pPr>
            <w:r w:rsidRPr="003609FF">
              <w:rPr>
                <w:rFonts w:cs="Times New Roman"/>
                <w:color w:val="000000"/>
                <w:sz w:val="18"/>
                <w:szCs w:val="18"/>
              </w:rPr>
              <w:t>92</w:t>
            </w:r>
          </w:p>
        </w:tc>
        <w:tc>
          <w:tcPr>
            <w:tcW w:w="1871" w:type="dxa"/>
            <w:tcBorders>
              <w:top w:val="single" w:sz="4" w:space="0" w:color="auto"/>
              <w:bottom w:val="single" w:sz="4" w:space="0" w:color="auto"/>
            </w:tcBorders>
            <w:vAlign w:val="center"/>
          </w:tcPr>
          <w:p w14:paraId="01EEE75F" w14:textId="5EA9864D" w:rsidR="00831E3C" w:rsidRDefault="00831E3C" w:rsidP="00831E3C">
            <w:pPr>
              <w:spacing w:after="0" w:line="240" w:lineRule="auto"/>
              <w:rPr>
                <w:rFonts w:cs="Times New Roman"/>
                <w:sz w:val="18"/>
                <w:szCs w:val="18"/>
              </w:rPr>
            </w:pPr>
            <w:r>
              <w:rPr>
                <w:sz w:val="18"/>
                <w:szCs w:val="18"/>
              </w:rPr>
              <w:t>0.12 (0.03 – 0.25)</w:t>
            </w:r>
          </w:p>
        </w:tc>
      </w:tr>
      <w:tr w:rsidR="00EA3B91" w:rsidRPr="00730356" w14:paraId="27BE1417" w14:textId="6BAE4C11" w:rsidTr="003F4CA0">
        <w:tc>
          <w:tcPr>
            <w:tcW w:w="3342" w:type="dxa"/>
            <w:tcBorders>
              <w:top w:val="single" w:sz="4" w:space="0" w:color="auto"/>
              <w:bottom w:val="single" w:sz="4" w:space="0" w:color="auto"/>
            </w:tcBorders>
          </w:tcPr>
          <w:p w14:paraId="116BFF4F" w14:textId="77777777" w:rsidR="00831E3C" w:rsidRPr="00E45F6D" w:rsidRDefault="00831E3C" w:rsidP="00831E3C">
            <w:pPr>
              <w:spacing w:after="0" w:line="240" w:lineRule="auto"/>
              <w:ind w:left="170"/>
              <w:rPr>
                <w:rFonts w:cs="Times New Roman"/>
                <w:i/>
                <w:sz w:val="18"/>
                <w:szCs w:val="18"/>
              </w:rPr>
            </w:pPr>
            <w:r w:rsidRPr="00E45F6D">
              <w:rPr>
                <w:rFonts w:cs="Times New Roman"/>
                <w:i/>
                <w:sz w:val="18"/>
                <w:szCs w:val="18"/>
              </w:rPr>
              <w:t>Streptococcus pyogenes</w:t>
            </w:r>
          </w:p>
        </w:tc>
        <w:tc>
          <w:tcPr>
            <w:tcW w:w="472" w:type="dxa"/>
            <w:tcBorders>
              <w:top w:val="single" w:sz="4" w:space="0" w:color="auto"/>
              <w:bottom w:val="single" w:sz="4" w:space="0" w:color="auto"/>
            </w:tcBorders>
            <w:vAlign w:val="center"/>
          </w:tcPr>
          <w:p w14:paraId="772E2441" w14:textId="77777777" w:rsidR="00831E3C" w:rsidRPr="00B50945" w:rsidRDefault="00831E3C" w:rsidP="00831E3C">
            <w:pPr>
              <w:spacing w:after="0" w:line="240" w:lineRule="auto"/>
              <w:jc w:val="right"/>
              <w:rPr>
                <w:rFonts w:cs="Times New Roman"/>
                <w:sz w:val="18"/>
                <w:szCs w:val="18"/>
              </w:rPr>
            </w:pPr>
            <w:r>
              <w:rPr>
                <w:rFonts w:cs="Times New Roman"/>
                <w:sz w:val="18"/>
                <w:szCs w:val="18"/>
              </w:rPr>
              <w:t>0</w:t>
            </w:r>
          </w:p>
        </w:tc>
        <w:tc>
          <w:tcPr>
            <w:tcW w:w="1925" w:type="dxa"/>
            <w:tcBorders>
              <w:top w:val="single" w:sz="4" w:space="0" w:color="auto"/>
              <w:bottom w:val="single" w:sz="4" w:space="0" w:color="auto"/>
            </w:tcBorders>
            <w:vAlign w:val="center"/>
          </w:tcPr>
          <w:p w14:paraId="4031D869"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5348054B"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8</w:t>
            </w:r>
          </w:p>
        </w:tc>
        <w:tc>
          <w:tcPr>
            <w:tcW w:w="1870" w:type="dxa"/>
            <w:tcBorders>
              <w:top w:val="single" w:sz="4" w:space="0" w:color="auto"/>
              <w:bottom w:val="single" w:sz="4" w:space="0" w:color="auto"/>
            </w:tcBorders>
            <w:vAlign w:val="center"/>
          </w:tcPr>
          <w:p w14:paraId="0CFFDD39" w14:textId="77777777" w:rsidR="00831E3C" w:rsidRPr="00B50945" w:rsidRDefault="00831E3C" w:rsidP="00831E3C">
            <w:pPr>
              <w:spacing w:after="0" w:line="240" w:lineRule="auto"/>
              <w:rPr>
                <w:rFonts w:cs="Times New Roman"/>
                <w:sz w:val="18"/>
                <w:szCs w:val="18"/>
              </w:rPr>
            </w:pPr>
            <w:r>
              <w:rPr>
                <w:rFonts w:cs="Times New Roman"/>
                <w:sz w:val="18"/>
                <w:szCs w:val="18"/>
              </w:rPr>
              <w:t>0.07 (0.03 – 0.12)</w:t>
            </w:r>
          </w:p>
        </w:tc>
        <w:tc>
          <w:tcPr>
            <w:tcW w:w="576" w:type="dxa"/>
            <w:tcBorders>
              <w:top w:val="single" w:sz="4" w:space="0" w:color="auto"/>
              <w:bottom w:val="single" w:sz="4" w:space="0" w:color="auto"/>
            </w:tcBorders>
            <w:vAlign w:val="center"/>
          </w:tcPr>
          <w:p w14:paraId="4ED6986A" w14:textId="77777777" w:rsidR="00831E3C" w:rsidRPr="00B50945" w:rsidRDefault="00831E3C" w:rsidP="00831E3C">
            <w:pPr>
              <w:spacing w:after="0" w:line="240" w:lineRule="auto"/>
              <w:jc w:val="right"/>
              <w:rPr>
                <w:rFonts w:cs="Times New Roman"/>
                <w:sz w:val="18"/>
                <w:szCs w:val="18"/>
              </w:rPr>
            </w:pPr>
            <w:r>
              <w:rPr>
                <w:rFonts w:cs="Times New Roman"/>
                <w:sz w:val="18"/>
                <w:szCs w:val="18"/>
              </w:rPr>
              <w:t>0</w:t>
            </w:r>
          </w:p>
        </w:tc>
        <w:tc>
          <w:tcPr>
            <w:tcW w:w="1926" w:type="dxa"/>
            <w:tcBorders>
              <w:top w:val="single" w:sz="4" w:space="0" w:color="auto"/>
              <w:bottom w:val="single" w:sz="4" w:space="0" w:color="auto"/>
            </w:tcBorders>
            <w:vAlign w:val="center"/>
          </w:tcPr>
          <w:p w14:paraId="19A20A01"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786686A0" w14:textId="77777777" w:rsidR="00831E3C" w:rsidRPr="00B50945" w:rsidRDefault="00831E3C" w:rsidP="00831E3C">
            <w:pPr>
              <w:spacing w:after="0" w:line="240" w:lineRule="auto"/>
              <w:jc w:val="right"/>
              <w:rPr>
                <w:rFonts w:cs="Times New Roman"/>
                <w:sz w:val="18"/>
                <w:szCs w:val="18"/>
              </w:rPr>
            </w:pPr>
            <w:r>
              <w:rPr>
                <w:rFonts w:cs="Times New Roman"/>
                <w:sz w:val="18"/>
                <w:szCs w:val="18"/>
              </w:rPr>
              <w:t>0</w:t>
            </w:r>
          </w:p>
        </w:tc>
        <w:tc>
          <w:tcPr>
            <w:tcW w:w="1871" w:type="dxa"/>
            <w:tcBorders>
              <w:top w:val="single" w:sz="4" w:space="0" w:color="auto"/>
              <w:bottom w:val="single" w:sz="4" w:space="0" w:color="auto"/>
            </w:tcBorders>
            <w:vAlign w:val="center"/>
          </w:tcPr>
          <w:p w14:paraId="1047A628" w14:textId="77777777" w:rsidR="00831E3C" w:rsidRPr="00B50945" w:rsidRDefault="00831E3C" w:rsidP="00831E3C">
            <w:pPr>
              <w:spacing w:after="0" w:line="240" w:lineRule="auto"/>
              <w:rPr>
                <w:rFonts w:cs="Times New Roman"/>
                <w:sz w:val="18"/>
                <w:szCs w:val="18"/>
              </w:rPr>
            </w:pPr>
          </w:p>
        </w:tc>
        <w:tc>
          <w:tcPr>
            <w:tcW w:w="618" w:type="dxa"/>
            <w:tcBorders>
              <w:top w:val="single" w:sz="4" w:space="0" w:color="auto"/>
              <w:bottom w:val="single" w:sz="4" w:space="0" w:color="auto"/>
            </w:tcBorders>
            <w:vAlign w:val="center"/>
          </w:tcPr>
          <w:p w14:paraId="1EEBBD24" w14:textId="28921928" w:rsidR="00831E3C" w:rsidRPr="00B50945" w:rsidRDefault="00831E3C" w:rsidP="00DC663B">
            <w:pPr>
              <w:spacing w:after="0" w:line="240" w:lineRule="auto"/>
              <w:jc w:val="right"/>
              <w:rPr>
                <w:rFonts w:cs="Times New Roman"/>
                <w:sz w:val="18"/>
                <w:szCs w:val="18"/>
              </w:rPr>
            </w:pPr>
            <w:r w:rsidRPr="003609FF">
              <w:rPr>
                <w:rFonts w:cs="Times New Roman"/>
                <w:color w:val="000000"/>
                <w:sz w:val="18"/>
                <w:szCs w:val="18"/>
              </w:rPr>
              <w:t>8</w:t>
            </w:r>
          </w:p>
        </w:tc>
        <w:tc>
          <w:tcPr>
            <w:tcW w:w="1871" w:type="dxa"/>
            <w:tcBorders>
              <w:top w:val="single" w:sz="4" w:space="0" w:color="auto"/>
              <w:bottom w:val="single" w:sz="4" w:space="0" w:color="auto"/>
            </w:tcBorders>
            <w:vAlign w:val="center"/>
          </w:tcPr>
          <w:p w14:paraId="18A911D4" w14:textId="07DBDD90" w:rsidR="00831E3C" w:rsidRPr="00B50945" w:rsidRDefault="00831E3C" w:rsidP="00831E3C">
            <w:pPr>
              <w:spacing w:after="0" w:line="240" w:lineRule="auto"/>
              <w:rPr>
                <w:rFonts w:cs="Times New Roman"/>
                <w:sz w:val="18"/>
                <w:szCs w:val="18"/>
              </w:rPr>
            </w:pPr>
            <w:r>
              <w:rPr>
                <w:sz w:val="18"/>
                <w:szCs w:val="18"/>
              </w:rPr>
              <w:t>0.07 (0.03 – 0.12)</w:t>
            </w:r>
          </w:p>
        </w:tc>
      </w:tr>
      <w:tr w:rsidR="00EA3B91" w:rsidRPr="00730356" w14:paraId="7FD0AF94" w14:textId="48CC543E" w:rsidTr="003F4CA0">
        <w:tc>
          <w:tcPr>
            <w:tcW w:w="3342" w:type="dxa"/>
            <w:tcBorders>
              <w:top w:val="single" w:sz="4" w:space="0" w:color="auto"/>
              <w:bottom w:val="single" w:sz="4" w:space="0" w:color="auto"/>
            </w:tcBorders>
          </w:tcPr>
          <w:p w14:paraId="42157BBD" w14:textId="77777777" w:rsidR="00831E3C" w:rsidRPr="00730356" w:rsidRDefault="00831E3C" w:rsidP="00831E3C">
            <w:pPr>
              <w:spacing w:after="0" w:line="240" w:lineRule="auto"/>
              <w:ind w:left="170"/>
              <w:rPr>
                <w:rFonts w:cs="Times New Roman"/>
                <w:sz w:val="18"/>
                <w:szCs w:val="18"/>
              </w:rPr>
            </w:pPr>
            <w:r w:rsidRPr="00730356">
              <w:rPr>
                <w:rFonts w:cs="Times New Roman"/>
                <w:sz w:val="18"/>
                <w:szCs w:val="18"/>
              </w:rPr>
              <w:t xml:space="preserve">Group B </w:t>
            </w:r>
            <w:r w:rsidRPr="00730356">
              <w:rPr>
                <w:rFonts w:cs="Times New Roman"/>
                <w:i/>
                <w:sz w:val="18"/>
                <w:szCs w:val="18"/>
              </w:rPr>
              <w:t>Streptococci</w:t>
            </w:r>
          </w:p>
        </w:tc>
        <w:tc>
          <w:tcPr>
            <w:tcW w:w="472" w:type="dxa"/>
            <w:tcBorders>
              <w:top w:val="single" w:sz="4" w:space="0" w:color="auto"/>
              <w:bottom w:val="single" w:sz="4" w:space="0" w:color="auto"/>
            </w:tcBorders>
            <w:vAlign w:val="center"/>
          </w:tcPr>
          <w:p w14:paraId="4D38E324"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w:t>
            </w:r>
          </w:p>
        </w:tc>
        <w:tc>
          <w:tcPr>
            <w:tcW w:w="1925" w:type="dxa"/>
            <w:tcBorders>
              <w:top w:val="single" w:sz="4" w:space="0" w:color="auto"/>
              <w:bottom w:val="single" w:sz="4" w:space="0" w:color="auto"/>
            </w:tcBorders>
            <w:vAlign w:val="center"/>
          </w:tcPr>
          <w:p w14:paraId="1A6EC1FC" w14:textId="77777777" w:rsidR="00831E3C" w:rsidRPr="00B50945" w:rsidRDefault="00831E3C" w:rsidP="00831E3C">
            <w:pPr>
              <w:spacing w:after="0" w:line="240" w:lineRule="auto"/>
              <w:rPr>
                <w:rFonts w:cs="Times New Roman"/>
                <w:sz w:val="18"/>
                <w:szCs w:val="18"/>
              </w:rPr>
            </w:pPr>
            <w:r>
              <w:rPr>
                <w:rFonts w:cs="Times New Roman"/>
                <w:sz w:val="18"/>
                <w:szCs w:val="18"/>
              </w:rPr>
              <w:t>0.50 (0.09 – 0.91)</w:t>
            </w:r>
          </w:p>
        </w:tc>
        <w:tc>
          <w:tcPr>
            <w:tcW w:w="510" w:type="dxa"/>
            <w:tcBorders>
              <w:top w:val="single" w:sz="4" w:space="0" w:color="auto"/>
              <w:bottom w:val="single" w:sz="4" w:space="0" w:color="auto"/>
            </w:tcBorders>
            <w:vAlign w:val="center"/>
          </w:tcPr>
          <w:p w14:paraId="26149539"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16</w:t>
            </w:r>
          </w:p>
        </w:tc>
        <w:tc>
          <w:tcPr>
            <w:tcW w:w="1870" w:type="dxa"/>
            <w:tcBorders>
              <w:top w:val="single" w:sz="4" w:space="0" w:color="auto"/>
              <w:bottom w:val="single" w:sz="4" w:space="0" w:color="auto"/>
            </w:tcBorders>
            <w:vAlign w:val="center"/>
          </w:tcPr>
          <w:p w14:paraId="7EAD79C7" w14:textId="77777777" w:rsidR="00831E3C" w:rsidRPr="00B50945" w:rsidRDefault="00831E3C" w:rsidP="00831E3C">
            <w:pPr>
              <w:spacing w:after="0" w:line="240" w:lineRule="auto"/>
              <w:rPr>
                <w:rFonts w:cs="Times New Roman"/>
                <w:sz w:val="18"/>
                <w:szCs w:val="18"/>
              </w:rPr>
            </w:pPr>
            <w:r>
              <w:rPr>
                <w:rFonts w:cs="Times New Roman"/>
                <w:sz w:val="18"/>
                <w:szCs w:val="18"/>
              </w:rPr>
              <w:t>0.19 (0.11 – 0.28)</w:t>
            </w:r>
          </w:p>
        </w:tc>
        <w:tc>
          <w:tcPr>
            <w:tcW w:w="576" w:type="dxa"/>
            <w:tcBorders>
              <w:top w:val="single" w:sz="4" w:space="0" w:color="auto"/>
              <w:bottom w:val="single" w:sz="4" w:space="0" w:color="auto"/>
            </w:tcBorders>
            <w:vAlign w:val="center"/>
          </w:tcPr>
          <w:p w14:paraId="6025D1D5"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394</w:t>
            </w:r>
          </w:p>
        </w:tc>
        <w:tc>
          <w:tcPr>
            <w:tcW w:w="1926" w:type="dxa"/>
            <w:tcBorders>
              <w:top w:val="single" w:sz="4" w:space="0" w:color="auto"/>
              <w:bottom w:val="single" w:sz="4" w:space="0" w:color="auto"/>
            </w:tcBorders>
            <w:vAlign w:val="center"/>
          </w:tcPr>
          <w:p w14:paraId="25EFD30A" w14:textId="77777777" w:rsidR="00831E3C" w:rsidRPr="00B50945" w:rsidRDefault="00831E3C" w:rsidP="00831E3C">
            <w:pPr>
              <w:spacing w:after="0" w:line="240" w:lineRule="auto"/>
              <w:rPr>
                <w:rFonts w:cs="Times New Roman"/>
                <w:sz w:val="18"/>
                <w:szCs w:val="18"/>
              </w:rPr>
            </w:pPr>
            <w:r>
              <w:rPr>
                <w:rFonts w:cs="Times New Roman"/>
                <w:sz w:val="18"/>
                <w:szCs w:val="18"/>
              </w:rPr>
              <w:t>0.31 (0.21 – 0.41)</w:t>
            </w:r>
          </w:p>
        </w:tc>
        <w:tc>
          <w:tcPr>
            <w:tcW w:w="510" w:type="dxa"/>
            <w:tcBorders>
              <w:top w:val="single" w:sz="4" w:space="0" w:color="auto"/>
              <w:bottom w:val="single" w:sz="4" w:space="0" w:color="auto"/>
            </w:tcBorders>
            <w:vAlign w:val="center"/>
          </w:tcPr>
          <w:p w14:paraId="7C7FE75E"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5</w:t>
            </w:r>
          </w:p>
        </w:tc>
        <w:tc>
          <w:tcPr>
            <w:tcW w:w="1871" w:type="dxa"/>
            <w:tcBorders>
              <w:top w:val="single" w:sz="4" w:space="0" w:color="auto"/>
              <w:bottom w:val="single" w:sz="4" w:space="0" w:color="auto"/>
            </w:tcBorders>
            <w:vAlign w:val="center"/>
          </w:tcPr>
          <w:p w14:paraId="51DBFEF4" w14:textId="77777777" w:rsidR="00831E3C" w:rsidRPr="00B50945" w:rsidRDefault="00831E3C" w:rsidP="00831E3C">
            <w:pPr>
              <w:spacing w:after="0" w:line="240" w:lineRule="auto"/>
              <w:rPr>
                <w:rFonts w:cs="Times New Roman"/>
                <w:sz w:val="18"/>
                <w:szCs w:val="18"/>
              </w:rPr>
            </w:pPr>
            <w:r>
              <w:rPr>
                <w:rFonts w:cs="Times New Roman"/>
                <w:sz w:val="18"/>
                <w:szCs w:val="18"/>
              </w:rPr>
              <w:t>0.21 (0.01 – 0.52)</w:t>
            </w:r>
          </w:p>
        </w:tc>
        <w:tc>
          <w:tcPr>
            <w:tcW w:w="618" w:type="dxa"/>
            <w:tcBorders>
              <w:top w:val="single" w:sz="4" w:space="0" w:color="auto"/>
              <w:bottom w:val="single" w:sz="4" w:space="0" w:color="auto"/>
            </w:tcBorders>
            <w:vAlign w:val="center"/>
          </w:tcPr>
          <w:p w14:paraId="78A30FF7" w14:textId="18CFA279" w:rsidR="00831E3C" w:rsidRDefault="00831E3C" w:rsidP="00DC663B">
            <w:pPr>
              <w:spacing w:after="0" w:line="240" w:lineRule="auto"/>
              <w:jc w:val="right"/>
              <w:rPr>
                <w:rFonts w:cs="Times New Roman"/>
                <w:sz w:val="18"/>
                <w:szCs w:val="18"/>
              </w:rPr>
            </w:pPr>
            <w:r w:rsidRPr="003609FF">
              <w:rPr>
                <w:rFonts w:cs="Times New Roman"/>
                <w:color w:val="000000"/>
                <w:sz w:val="18"/>
                <w:szCs w:val="18"/>
              </w:rPr>
              <w:t>416</w:t>
            </w:r>
          </w:p>
        </w:tc>
        <w:tc>
          <w:tcPr>
            <w:tcW w:w="1871" w:type="dxa"/>
            <w:tcBorders>
              <w:top w:val="single" w:sz="4" w:space="0" w:color="auto"/>
              <w:bottom w:val="single" w:sz="4" w:space="0" w:color="auto"/>
            </w:tcBorders>
            <w:vAlign w:val="center"/>
          </w:tcPr>
          <w:p w14:paraId="61C8B34D" w14:textId="7098C888" w:rsidR="00831E3C" w:rsidRDefault="00831E3C" w:rsidP="00831E3C">
            <w:pPr>
              <w:spacing w:after="0" w:line="240" w:lineRule="auto"/>
              <w:rPr>
                <w:rFonts w:cs="Times New Roman"/>
                <w:sz w:val="18"/>
                <w:szCs w:val="18"/>
              </w:rPr>
            </w:pPr>
            <w:r>
              <w:rPr>
                <w:sz w:val="18"/>
                <w:szCs w:val="18"/>
              </w:rPr>
              <w:t>0.24 (0.16 – 0.33)</w:t>
            </w:r>
          </w:p>
        </w:tc>
      </w:tr>
      <w:tr w:rsidR="00EA3B91" w:rsidRPr="00730356" w14:paraId="398050CA" w14:textId="04CDEB19" w:rsidTr="003F4CA0">
        <w:tc>
          <w:tcPr>
            <w:tcW w:w="3342" w:type="dxa"/>
            <w:tcBorders>
              <w:top w:val="single" w:sz="4" w:space="0" w:color="auto"/>
              <w:bottom w:val="single" w:sz="4" w:space="0" w:color="auto"/>
            </w:tcBorders>
          </w:tcPr>
          <w:p w14:paraId="03ECB1E9" w14:textId="77777777" w:rsidR="00831E3C" w:rsidRPr="00730356" w:rsidRDefault="00831E3C" w:rsidP="00831E3C">
            <w:pPr>
              <w:spacing w:after="0" w:line="240" w:lineRule="auto"/>
              <w:ind w:left="170"/>
              <w:rPr>
                <w:rFonts w:cs="Times New Roman"/>
                <w:sz w:val="18"/>
                <w:szCs w:val="18"/>
              </w:rPr>
            </w:pPr>
            <w:r w:rsidRPr="00730356">
              <w:rPr>
                <w:rFonts w:cs="Times New Roman"/>
                <w:sz w:val="18"/>
                <w:szCs w:val="18"/>
              </w:rPr>
              <w:t xml:space="preserve">Group D </w:t>
            </w:r>
            <w:r w:rsidRPr="00730356">
              <w:rPr>
                <w:rFonts w:cs="Times New Roman"/>
                <w:i/>
                <w:sz w:val="18"/>
                <w:szCs w:val="18"/>
              </w:rPr>
              <w:t>Streptococci</w:t>
            </w:r>
            <w:r w:rsidRPr="00730356">
              <w:rPr>
                <w:rFonts w:cs="Times New Roman"/>
                <w:sz w:val="18"/>
                <w:szCs w:val="18"/>
              </w:rPr>
              <w:t xml:space="preserve">/ </w:t>
            </w:r>
            <w:r w:rsidRPr="00730356">
              <w:rPr>
                <w:rFonts w:cs="Times New Roman"/>
                <w:i/>
                <w:sz w:val="18"/>
                <w:szCs w:val="18"/>
              </w:rPr>
              <w:t>Enterococcus</w:t>
            </w:r>
          </w:p>
        </w:tc>
        <w:tc>
          <w:tcPr>
            <w:tcW w:w="472" w:type="dxa"/>
            <w:tcBorders>
              <w:top w:val="single" w:sz="4" w:space="0" w:color="auto"/>
              <w:bottom w:val="single" w:sz="4" w:space="0" w:color="auto"/>
            </w:tcBorders>
          </w:tcPr>
          <w:p w14:paraId="2A71F5E9" w14:textId="77777777" w:rsidR="00831E3C" w:rsidRPr="00B50945" w:rsidRDefault="00831E3C" w:rsidP="00831E3C">
            <w:pPr>
              <w:spacing w:after="0" w:line="240" w:lineRule="auto"/>
              <w:jc w:val="right"/>
              <w:rPr>
                <w:rFonts w:cs="Times New Roman"/>
                <w:sz w:val="18"/>
                <w:szCs w:val="18"/>
              </w:rPr>
            </w:pPr>
            <w:r w:rsidRPr="00F16E81">
              <w:rPr>
                <w:rFonts w:cs="Times New Roman"/>
                <w:sz w:val="18"/>
                <w:szCs w:val="18"/>
              </w:rPr>
              <w:t>0</w:t>
            </w:r>
          </w:p>
        </w:tc>
        <w:tc>
          <w:tcPr>
            <w:tcW w:w="1925" w:type="dxa"/>
            <w:tcBorders>
              <w:top w:val="single" w:sz="4" w:space="0" w:color="auto"/>
              <w:bottom w:val="single" w:sz="4" w:space="0" w:color="auto"/>
            </w:tcBorders>
            <w:vAlign w:val="center"/>
          </w:tcPr>
          <w:p w14:paraId="70F3C34F"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52989B78"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3</w:t>
            </w:r>
          </w:p>
        </w:tc>
        <w:tc>
          <w:tcPr>
            <w:tcW w:w="1870" w:type="dxa"/>
            <w:tcBorders>
              <w:top w:val="single" w:sz="4" w:space="0" w:color="auto"/>
              <w:bottom w:val="single" w:sz="4" w:space="0" w:color="auto"/>
            </w:tcBorders>
            <w:vAlign w:val="center"/>
          </w:tcPr>
          <w:p w14:paraId="4391287B" w14:textId="77777777" w:rsidR="00831E3C" w:rsidRPr="00B50945" w:rsidRDefault="00831E3C" w:rsidP="00831E3C">
            <w:pPr>
              <w:spacing w:after="0" w:line="240" w:lineRule="auto"/>
              <w:rPr>
                <w:rFonts w:cs="Times New Roman"/>
                <w:sz w:val="18"/>
                <w:szCs w:val="18"/>
              </w:rPr>
            </w:pPr>
            <w:r>
              <w:rPr>
                <w:rFonts w:cs="Times New Roman"/>
                <w:sz w:val="18"/>
                <w:szCs w:val="18"/>
              </w:rPr>
              <w:t>0.03 (0.00 – 0.08)</w:t>
            </w:r>
          </w:p>
        </w:tc>
        <w:tc>
          <w:tcPr>
            <w:tcW w:w="576" w:type="dxa"/>
            <w:tcBorders>
              <w:top w:val="single" w:sz="4" w:space="0" w:color="auto"/>
              <w:bottom w:val="single" w:sz="4" w:space="0" w:color="auto"/>
            </w:tcBorders>
            <w:vAlign w:val="center"/>
          </w:tcPr>
          <w:p w14:paraId="32CAC103"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60</w:t>
            </w:r>
          </w:p>
        </w:tc>
        <w:tc>
          <w:tcPr>
            <w:tcW w:w="1926" w:type="dxa"/>
            <w:tcBorders>
              <w:top w:val="single" w:sz="4" w:space="0" w:color="auto"/>
              <w:bottom w:val="single" w:sz="4" w:space="0" w:color="auto"/>
            </w:tcBorders>
            <w:vAlign w:val="center"/>
          </w:tcPr>
          <w:p w14:paraId="275B7120" w14:textId="77777777" w:rsidR="00831E3C" w:rsidRPr="00B50945" w:rsidRDefault="00831E3C" w:rsidP="00831E3C">
            <w:pPr>
              <w:spacing w:after="0" w:line="240" w:lineRule="auto"/>
              <w:rPr>
                <w:rFonts w:cs="Times New Roman"/>
                <w:sz w:val="18"/>
                <w:szCs w:val="18"/>
              </w:rPr>
            </w:pPr>
            <w:r>
              <w:rPr>
                <w:rFonts w:cs="Times New Roman"/>
                <w:sz w:val="18"/>
                <w:szCs w:val="18"/>
              </w:rPr>
              <w:t>0.05 (0.03 – 0.06)</w:t>
            </w:r>
          </w:p>
        </w:tc>
        <w:tc>
          <w:tcPr>
            <w:tcW w:w="510" w:type="dxa"/>
            <w:tcBorders>
              <w:top w:val="single" w:sz="4" w:space="0" w:color="auto"/>
              <w:bottom w:val="single" w:sz="4" w:space="0" w:color="auto"/>
            </w:tcBorders>
            <w:vAlign w:val="center"/>
          </w:tcPr>
          <w:p w14:paraId="7A0F94B7"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5</w:t>
            </w:r>
          </w:p>
        </w:tc>
        <w:tc>
          <w:tcPr>
            <w:tcW w:w="1871" w:type="dxa"/>
            <w:tcBorders>
              <w:top w:val="single" w:sz="4" w:space="0" w:color="auto"/>
              <w:bottom w:val="single" w:sz="4" w:space="0" w:color="auto"/>
            </w:tcBorders>
            <w:vAlign w:val="center"/>
          </w:tcPr>
          <w:p w14:paraId="42C9243F" w14:textId="77777777" w:rsidR="00831E3C" w:rsidRPr="00B50945" w:rsidRDefault="00831E3C" w:rsidP="00831E3C">
            <w:pPr>
              <w:spacing w:after="0" w:line="240" w:lineRule="auto"/>
              <w:rPr>
                <w:rFonts w:cs="Times New Roman"/>
                <w:sz w:val="18"/>
                <w:szCs w:val="18"/>
              </w:rPr>
            </w:pPr>
            <w:r>
              <w:rPr>
                <w:rFonts w:cs="Times New Roman"/>
                <w:sz w:val="18"/>
                <w:szCs w:val="18"/>
              </w:rPr>
              <w:t>0.08 (0.00 – 0.25)</w:t>
            </w:r>
          </w:p>
        </w:tc>
        <w:tc>
          <w:tcPr>
            <w:tcW w:w="618" w:type="dxa"/>
            <w:tcBorders>
              <w:top w:val="single" w:sz="4" w:space="0" w:color="auto"/>
              <w:bottom w:val="single" w:sz="4" w:space="0" w:color="auto"/>
            </w:tcBorders>
            <w:vAlign w:val="center"/>
          </w:tcPr>
          <w:p w14:paraId="44A3F0E5" w14:textId="3051FBAC" w:rsidR="00831E3C" w:rsidRDefault="00831E3C" w:rsidP="00DC663B">
            <w:pPr>
              <w:spacing w:after="0" w:line="240" w:lineRule="auto"/>
              <w:jc w:val="right"/>
              <w:rPr>
                <w:rFonts w:cs="Times New Roman"/>
                <w:sz w:val="18"/>
                <w:szCs w:val="18"/>
              </w:rPr>
            </w:pPr>
            <w:r w:rsidRPr="003609FF">
              <w:rPr>
                <w:rFonts w:cs="Times New Roman"/>
                <w:color w:val="000000"/>
                <w:sz w:val="18"/>
                <w:szCs w:val="18"/>
              </w:rPr>
              <w:t>68</w:t>
            </w:r>
          </w:p>
        </w:tc>
        <w:tc>
          <w:tcPr>
            <w:tcW w:w="1871" w:type="dxa"/>
            <w:tcBorders>
              <w:top w:val="single" w:sz="4" w:space="0" w:color="auto"/>
              <w:bottom w:val="single" w:sz="4" w:space="0" w:color="auto"/>
            </w:tcBorders>
            <w:vAlign w:val="center"/>
          </w:tcPr>
          <w:p w14:paraId="6AC0E15E" w14:textId="5430CF79" w:rsidR="00831E3C" w:rsidRDefault="00831E3C" w:rsidP="00831E3C">
            <w:pPr>
              <w:spacing w:after="0" w:line="240" w:lineRule="auto"/>
              <w:rPr>
                <w:rFonts w:cs="Times New Roman"/>
                <w:sz w:val="18"/>
                <w:szCs w:val="18"/>
              </w:rPr>
            </w:pPr>
            <w:r>
              <w:rPr>
                <w:sz w:val="18"/>
                <w:szCs w:val="18"/>
              </w:rPr>
              <w:t>0.03 (0.01 – 0.06)</w:t>
            </w:r>
          </w:p>
        </w:tc>
      </w:tr>
      <w:tr w:rsidR="00EA3B91" w:rsidRPr="00730356" w14:paraId="7B7F884A" w14:textId="346C262E" w:rsidTr="003F4CA0">
        <w:tc>
          <w:tcPr>
            <w:tcW w:w="3342" w:type="dxa"/>
            <w:tcBorders>
              <w:top w:val="single" w:sz="4" w:space="0" w:color="auto"/>
              <w:bottom w:val="single" w:sz="4" w:space="0" w:color="auto"/>
            </w:tcBorders>
          </w:tcPr>
          <w:p w14:paraId="0AA82F4D" w14:textId="77777777" w:rsidR="00831E3C" w:rsidRPr="00730356" w:rsidRDefault="00831E3C" w:rsidP="00831E3C">
            <w:pPr>
              <w:spacing w:after="0" w:line="240" w:lineRule="auto"/>
              <w:ind w:left="170"/>
              <w:rPr>
                <w:rFonts w:cs="Times New Roman"/>
                <w:sz w:val="18"/>
                <w:szCs w:val="18"/>
              </w:rPr>
            </w:pPr>
            <w:r w:rsidRPr="00730356">
              <w:rPr>
                <w:rFonts w:cs="Times New Roman"/>
                <w:i/>
                <w:sz w:val="18"/>
                <w:szCs w:val="18"/>
              </w:rPr>
              <w:t>Streptococcus pneumoniae</w:t>
            </w:r>
          </w:p>
        </w:tc>
        <w:tc>
          <w:tcPr>
            <w:tcW w:w="472" w:type="dxa"/>
            <w:tcBorders>
              <w:top w:val="single" w:sz="4" w:space="0" w:color="auto"/>
              <w:bottom w:val="single" w:sz="4" w:space="0" w:color="auto"/>
            </w:tcBorders>
          </w:tcPr>
          <w:p w14:paraId="712B4F3F" w14:textId="77777777" w:rsidR="00831E3C" w:rsidRPr="00B50945" w:rsidRDefault="00831E3C" w:rsidP="00831E3C">
            <w:pPr>
              <w:spacing w:after="0" w:line="240" w:lineRule="auto"/>
              <w:jc w:val="right"/>
              <w:rPr>
                <w:rFonts w:cs="Times New Roman"/>
                <w:sz w:val="18"/>
                <w:szCs w:val="18"/>
              </w:rPr>
            </w:pPr>
            <w:r w:rsidRPr="00F16E81">
              <w:rPr>
                <w:rFonts w:cs="Times New Roman"/>
                <w:sz w:val="18"/>
                <w:szCs w:val="18"/>
              </w:rPr>
              <w:t>0</w:t>
            </w:r>
          </w:p>
        </w:tc>
        <w:tc>
          <w:tcPr>
            <w:tcW w:w="1925" w:type="dxa"/>
            <w:tcBorders>
              <w:top w:val="single" w:sz="4" w:space="0" w:color="auto"/>
              <w:bottom w:val="single" w:sz="4" w:space="0" w:color="auto"/>
            </w:tcBorders>
            <w:vAlign w:val="center"/>
          </w:tcPr>
          <w:p w14:paraId="258C1F85"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0BA20012"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31</w:t>
            </w:r>
          </w:p>
        </w:tc>
        <w:tc>
          <w:tcPr>
            <w:tcW w:w="1870" w:type="dxa"/>
            <w:tcBorders>
              <w:top w:val="single" w:sz="4" w:space="0" w:color="auto"/>
              <w:bottom w:val="single" w:sz="4" w:space="0" w:color="auto"/>
            </w:tcBorders>
            <w:vAlign w:val="center"/>
          </w:tcPr>
          <w:p w14:paraId="60E96257" w14:textId="77777777" w:rsidR="00831E3C" w:rsidRPr="00B50945" w:rsidRDefault="00831E3C" w:rsidP="00831E3C">
            <w:pPr>
              <w:spacing w:after="0" w:line="240" w:lineRule="auto"/>
              <w:rPr>
                <w:rFonts w:cs="Times New Roman"/>
                <w:sz w:val="18"/>
                <w:szCs w:val="18"/>
              </w:rPr>
            </w:pPr>
            <w:r>
              <w:rPr>
                <w:rFonts w:cs="Times New Roman"/>
                <w:sz w:val="18"/>
                <w:szCs w:val="18"/>
              </w:rPr>
              <w:t>0.18 (0.08 – 0.30)</w:t>
            </w:r>
          </w:p>
        </w:tc>
        <w:tc>
          <w:tcPr>
            <w:tcW w:w="576" w:type="dxa"/>
            <w:tcBorders>
              <w:top w:val="single" w:sz="4" w:space="0" w:color="auto"/>
              <w:bottom w:val="single" w:sz="4" w:space="0" w:color="auto"/>
            </w:tcBorders>
            <w:vAlign w:val="center"/>
          </w:tcPr>
          <w:p w14:paraId="746E9F76"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113</w:t>
            </w:r>
          </w:p>
        </w:tc>
        <w:tc>
          <w:tcPr>
            <w:tcW w:w="1926" w:type="dxa"/>
            <w:tcBorders>
              <w:top w:val="single" w:sz="4" w:space="0" w:color="auto"/>
              <w:bottom w:val="single" w:sz="4" w:space="0" w:color="auto"/>
            </w:tcBorders>
            <w:vAlign w:val="center"/>
          </w:tcPr>
          <w:p w14:paraId="52E8555F" w14:textId="77777777" w:rsidR="00831E3C" w:rsidRPr="00B50945" w:rsidRDefault="00831E3C" w:rsidP="00831E3C">
            <w:pPr>
              <w:spacing w:after="0" w:line="240" w:lineRule="auto"/>
              <w:rPr>
                <w:rFonts w:cs="Times New Roman"/>
                <w:sz w:val="18"/>
                <w:szCs w:val="18"/>
              </w:rPr>
            </w:pPr>
            <w:r>
              <w:rPr>
                <w:rFonts w:cs="Times New Roman"/>
                <w:sz w:val="18"/>
                <w:szCs w:val="18"/>
              </w:rPr>
              <w:t>0.12 (0.04 – 0.24)</w:t>
            </w:r>
          </w:p>
        </w:tc>
        <w:tc>
          <w:tcPr>
            <w:tcW w:w="510" w:type="dxa"/>
            <w:tcBorders>
              <w:top w:val="single" w:sz="4" w:space="0" w:color="auto"/>
              <w:bottom w:val="single" w:sz="4" w:space="0" w:color="auto"/>
            </w:tcBorders>
            <w:vAlign w:val="center"/>
          </w:tcPr>
          <w:p w14:paraId="361FFFBE"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13</w:t>
            </w:r>
          </w:p>
        </w:tc>
        <w:tc>
          <w:tcPr>
            <w:tcW w:w="1871" w:type="dxa"/>
            <w:tcBorders>
              <w:top w:val="single" w:sz="4" w:space="0" w:color="auto"/>
              <w:bottom w:val="single" w:sz="4" w:space="0" w:color="auto"/>
            </w:tcBorders>
            <w:vAlign w:val="center"/>
          </w:tcPr>
          <w:p w14:paraId="04A2FAE3" w14:textId="77777777" w:rsidR="00831E3C" w:rsidRPr="00B50945" w:rsidRDefault="00831E3C" w:rsidP="00831E3C">
            <w:pPr>
              <w:spacing w:after="0" w:line="240" w:lineRule="auto"/>
              <w:rPr>
                <w:rFonts w:cs="Times New Roman"/>
                <w:sz w:val="18"/>
                <w:szCs w:val="18"/>
              </w:rPr>
            </w:pPr>
            <w:r>
              <w:rPr>
                <w:rFonts w:cs="Times New Roman"/>
                <w:sz w:val="18"/>
                <w:szCs w:val="18"/>
              </w:rPr>
              <w:t>0.07 (0.00 – 0.70)</w:t>
            </w:r>
          </w:p>
        </w:tc>
        <w:tc>
          <w:tcPr>
            <w:tcW w:w="618" w:type="dxa"/>
            <w:tcBorders>
              <w:top w:val="single" w:sz="4" w:space="0" w:color="auto"/>
              <w:bottom w:val="single" w:sz="4" w:space="0" w:color="auto"/>
            </w:tcBorders>
            <w:vAlign w:val="center"/>
          </w:tcPr>
          <w:p w14:paraId="703C006F" w14:textId="6F943490" w:rsidR="00831E3C" w:rsidRDefault="00831E3C" w:rsidP="00DC663B">
            <w:pPr>
              <w:spacing w:after="0" w:line="240" w:lineRule="auto"/>
              <w:jc w:val="right"/>
              <w:rPr>
                <w:rFonts w:cs="Times New Roman"/>
                <w:sz w:val="18"/>
                <w:szCs w:val="18"/>
              </w:rPr>
            </w:pPr>
            <w:r w:rsidRPr="003609FF">
              <w:rPr>
                <w:rFonts w:cs="Times New Roman"/>
                <w:color w:val="000000"/>
                <w:sz w:val="18"/>
                <w:szCs w:val="18"/>
              </w:rPr>
              <w:t>157</w:t>
            </w:r>
          </w:p>
        </w:tc>
        <w:tc>
          <w:tcPr>
            <w:tcW w:w="1871" w:type="dxa"/>
            <w:tcBorders>
              <w:top w:val="single" w:sz="4" w:space="0" w:color="auto"/>
              <w:bottom w:val="single" w:sz="4" w:space="0" w:color="auto"/>
            </w:tcBorders>
            <w:vAlign w:val="center"/>
          </w:tcPr>
          <w:p w14:paraId="3401704E" w14:textId="23B16FD3" w:rsidR="00831E3C" w:rsidRDefault="00831E3C" w:rsidP="00831E3C">
            <w:pPr>
              <w:spacing w:after="0" w:line="240" w:lineRule="auto"/>
              <w:rPr>
                <w:rFonts w:cs="Times New Roman"/>
                <w:sz w:val="18"/>
                <w:szCs w:val="18"/>
              </w:rPr>
            </w:pPr>
            <w:r>
              <w:rPr>
                <w:sz w:val="18"/>
                <w:szCs w:val="18"/>
              </w:rPr>
              <w:t>0.17 (0.09 – 0.26)</w:t>
            </w:r>
          </w:p>
        </w:tc>
      </w:tr>
      <w:tr w:rsidR="00EA3B91" w:rsidRPr="00730356" w14:paraId="54F9277D" w14:textId="28D805EA" w:rsidTr="003F4CA0">
        <w:tc>
          <w:tcPr>
            <w:tcW w:w="3342" w:type="dxa"/>
            <w:tcBorders>
              <w:top w:val="single" w:sz="4" w:space="0" w:color="auto"/>
              <w:bottom w:val="single" w:sz="4" w:space="0" w:color="auto"/>
            </w:tcBorders>
          </w:tcPr>
          <w:p w14:paraId="669C7711" w14:textId="77777777" w:rsidR="00831E3C" w:rsidRPr="00E45F6D" w:rsidRDefault="00831E3C" w:rsidP="00831E3C">
            <w:pPr>
              <w:spacing w:after="0" w:line="240" w:lineRule="auto"/>
              <w:ind w:left="170"/>
              <w:rPr>
                <w:rFonts w:cs="Times New Roman"/>
                <w:i/>
                <w:sz w:val="18"/>
                <w:szCs w:val="18"/>
              </w:rPr>
            </w:pPr>
            <w:r w:rsidRPr="00E45F6D">
              <w:rPr>
                <w:rFonts w:cs="Times New Roman"/>
                <w:i/>
                <w:sz w:val="18"/>
                <w:szCs w:val="18"/>
              </w:rPr>
              <w:t>Viridians streptococci</w:t>
            </w:r>
          </w:p>
        </w:tc>
        <w:tc>
          <w:tcPr>
            <w:tcW w:w="472" w:type="dxa"/>
            <w:tcBorders>
              <w:top w:val="single" w:sz="4" w:space="0" w:color="auto"/>
              <w:bottom w:val="single" w:sz="4" w:space="0" w:color="auto"/>
            </w:tcBorders>
          </w:tcPr>
          <w:p w14:paraId="1B90AE81" w14:textId="77777777" w:rsidR="00831E3C" w:rsidRPr="00B50945" w:rsidRDefault="00831E3C" w:rsidP="00831E3C">
            <w:pPr>
              <w:spacing w:after="0" w:line="240" w:lineRule="auto"/>
              <w:jc w:val="right"/>
              <w:rPr>
                <w:rFonts w:cs="Times New Roman"/>
                <w:sz w:val="18"/>
                <w:szCs w:val="18"/>
              </w:rPr>
            </w:pPr>
            <w:r w:rsidRPr="00F16E81">
              <w:rPr>
                <w:rFonts w:cs="Times New Roman"/>
                <w:sz w:val="18"/>
                <w:szCs w:val="18"/>
              </w:rPr>
              <w:t>0</w:t>
            </w:r>
          </w:p>
        </w:tc>
        <w:tc>
          <w:tcPr>
            <w:tcW w:w="1925" w:type="dxa"/>
            <w:tcBorders>
              <w:top w:val="single" w:sz="4" w:space="0" w:color="auto"/>
              <w:bottom w:val="single" w:sz="4" w:space="0" w:color="auto"/>
            </w:tcBorders>
            <w:vAlign w:val="center"/>
          </w:tcPr>
          <w:p w14:paraId="188350D9"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00C16157"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2</w:t>
            </w:r>
          </w:p>
        </w:tc>
        <w:tc>
          <w:tcPr>
            <w:tcW w:w="1870" w:type="dxa"/>
            <w:tcBorders>
              <w:top w:val="single" w:sz="4" w:space="0" w:color="auto"/>
              <w:bottom w:val="single" w:sz="4" w:space="0" w:color="auto"/>
            </w:tcBorders>
            <w:vAlign w:val="center"/>
          </w:tcPr>
          <w:p w14:paraId="15BFE52E" w14:textId="77777777" w:rsidR="00831E3C" w:rsidRPr="00B50945" w:rsidRDefault="00831E3C" w:rsidP="00831E3C">
            <w:pPr>
              <w:spacing w:after="0" w:line="240" w:lineRule="auto"/>
              <w:rPr>
                <w:rFonts w:cs="Times New Roman"/>
                <w:sz w:val="18"/>
                <w:szCs w:val="18"/>
              </w:rPr>
            </w:pPr>
            <w:r>
              <w:rPr>
                <w:rFonts w:cs="Times New Roman"/>
                <w:sz w:val="18"/>
                <w:szCs w:val="18"/>
              </w:rPr>
              <w:t>0.02 (0.00 – 0.07)</w:t>
            </w:r>
          </w:p>
        </w:tc>
        <w:tc>
          <w:tcPr>
            <w:tcW w:w="576" w:type="dxa"/>
            <w:tcBorders>
              <w:top w:val="single" w:sz="4" w:space="0" w:color="auto"/>
              <w:bottom w:val="single" w:sz="4" w:space="0" w:color="auto"/>
            </w:tcBorders>
            <w:vAlign w:val="center"/>
          </w:tcPr>
          <w:p w14:paraId="7DC7CD61"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11</w:t>
            </w:r>
          </w:p>
        </w:tc>
        <w:tc>
          <w:tcPr>
            <w:tcW w:w="1926" w:type="dxa"/>
            <w:tcBorders>
              <w:top w:val="single" w:sz="4" w:space="0" w:color="auto"/>
              <w:bottom w:val="single" w:sz="4" w:space="0" w:color="auto"/>
            </w:tcBorders>
            <w:vAlign w:val="center"/>
          </w:tcPr>
          <w:p w14:paraId="751F0C5E" w14:textId="77777777" w:rsidR="00831E3C" w:rsidRPr="00B50945" w:rsidRDefault="00831E3C" w:rsidP="00831E3C">
            <w:pPr>
              <w:spacing w:after="0" w:line="240" w:lineRule="auto"/>
              <w:rPr>
                <w:rFonts w:cs="Times New Roman"/>
                <w:sz w:val="18"/>
                <w:szCs w:val="18"/>
              </w:rPr>
            </w:pPr>
            <w:r>
              <w:rPr>
                <w:rFonts w:cs="Times New Roman"/>
                <w:sz w:val="18"/>
                <w:szCs w:val="18"/>
              </w:rPr>
              <w:t>0.01 (0.01 – 0.02)</w:t>
            </w:r>
          </w:p>
        </w:tc>
        <w:tc>
          <w:tcPr>
            <w:tcW w:w="510" w:type="dxa"/>
            <w:tcBorders>
              <w:top w:val="single" w:sz="4" w:space="0" w:color="auto"/>
              <w:bottom w:val="single" w:sz="4" w:space="0" w:color="auto"/>
            </w:tcBorders>
          </w:tcPr>
          <w:p w14:paraId="432A59A0" w14:textId="77777777" w:rsidR="00831E3C" w:rsidRPr="00B50945" w:rsidRDefault="00831E3C" w:rsidP="00831E3C">
            <w:pPr>
              <w:spacing w:after="0" w:line="240" w:lineRule="auto"/>
              <w:jc w:val="right"/>
              <w:rPr>
                <w:rFonts w:cs="Times New Roman"/>
                <w:sz w:val="18"/>
                <w:szCs w:val="18"/>
              </w:rPr>
            </w:pPr>
            <w:r w:rsidRPr="00BC307D">
              <w:rPr>
                <w:rFonts w:cs="Times New Roman"/>
                <w:sz w:val="18"/>
                <w:szCs w:val="18"/>
              </w:rPr>
              <w:t>0</w:t>
            </w:r>
          </w:p>
        </w:tc>
        <w:tc>
          <w:tcPr>
            <w:tcW w:w="1871" w:type="dxa"/>
            <w:tcBorders>
              <w:top w:val="single" w:sz="4" w:space="0" w:color="auto"/>
              <w:bottom w:val="single" w:sz="4" w:space="0" w:color="auto"/>
            </w:tcBorders>
            <w:vAlign w:val="center"/>
          </w:tcPr>
          <w:p w14:paraId="4ABD231F" w14:textId="77777777" w:rsidR="00831E3C" w:rsidRPr="00B50945" w:rsidRDefault="00831E3C" w:rsidP="00831E3C">
            <w:pPr>
              <w:spacing w:after="0" w:line="240" w:lineRule="auto"/>
              <w:rPr>
                <w:rFonts w:cs="Times New Roman"/>
                <w:sz w:val="18"/>
                <w:szCs w:val="18"/>
              </w:rPr>
            </w:pPr>
          </w:p>
        </w:tc>
        <w:tc>
          <w:tcPr>
            <w:tcW w:w="618" w:type="dxa"/>
            <w:tcBorders>
              <w:top w:val="single" w:sz="4" w:space="0" w:color="auto"/>
              <w:bottom w:val="single" w:sz="4" w:space="0" w:color="auto"/>
            </w:tcBorders>
            <w:vAlign w:val="center"/>
          </w:tcPr>
          <w:p w14:paraId="0ECE66FD" w14:textId="691BC0B3" w:rsidR="00831E3C" w:rsidRPr="00B50945" w:rsidRDefault="00831E3C" w:rsidP="00DC663B">
            <w:pPr>
              <w:spacing w:after="0" w:line="240" w:lineRule="auto"/>
              <w:jc w:val="right"/>
              <w:rPr>
                <w:rFonts w:cs="Times New Roman"/>
                <w:sz w:val="18"/>
                <w:szCs w:val="18"/>
              </w:rPr>
            </w:pPr>
            <w:r w:rsidRPr="003609FF">
              <w:rPr>
                <w:rFonts w:cs="Times New Roman"/>
                <w:color w:val="000000"/>
                <w:sz w:val="18"/>
                <w:szCs w:val="18"/>
              </w:rPr>
              <w:t>13</w:t>
            </w:r>
          </w:p>
        </w:tc>
        <w:tc>
          <w:tcPr>
            <w:tcW w:w="1871" w:type="dxa"/>
            <w:tcBorders>
              <w:top w:val="single" w:sz="4" w:space="0" w:color="auto"/>
              <w:bottom w:val="single" w:sz="4" w:space="0" w:color="auto"/>
            </w:tcBorders>
            <w:vAlign w:val="center"/>
          </w:tcPr>
          <w:p w14:paraId="02679EB4" w14:textId="68BC8511" w:rsidR="00831E3C" w:rsidRPr="00B50945" w:rsidRDefault="00831E3C" w:rsidP="00831E3C">
            <w:pPr>
              <w:spacing w:after="0" w:line="240" w:lineRule="auto"/>
              <w:rPr>
                <w:rFonts w:cs="Times New Roman"/>
                <w:sz w:val="18"/>
                <w:szCs w:val="18"/>
              </w:rPr>
            </w:pPr>
            <w:r>
              <w:rPr>
                <w:sz w:val="18"/>
                <w:szCs w:val="18"/>
              </w:rPr>
              <w:t>0.01 (0.00 – 0.03)</w:t>
            </w:r>
          </w:p>
        </w:tc>
      </w:tr>
      <w:tr w:rsidR="00EA3B91" w:rsidRPr="00730356" w14:paraId="4C151455" w14:textId="69DAA6F7" w:rsidTr="003F4CA0">
        <w:tc>
          <w:tcPr>
            <w:tcW w:w="3342" w:type="dxa"/>
            <w:tcBorders>
              <w:top w:val="single" w:sz="4" w:space="0" w:color="auto"/>
              <w:bottom w:val="single" w:sz="4" w:space="0" w:color="auto"/>
            </w:tcBorders>
          </w:tcPr>
          <w:p w14:paraId="756CCE55" w14:textId="77777777" w:rsidR="00831E3C" w:rsidRPr="00730356" w:rsidRDefault="00831E3C" w:rsidP="00831E3C">
            <w:pPr>
              <w:spacing w:after="0" w:line="240" w:lineRule="auto"/>
              <w:ind w:left="170"/>
              <w:rPr>
                <w:rFonts w:cs="Times New Roman"/>
                <w:sz w:val="18"/>
                <w:szCs w:val="18"/>
              </w:rPr>
            </w:pPr>
            <w:r w:rsidRPr="00730356">
              <w:rPr>
                <w:rFonts w:cs="Times New Roman"/>
                <w:sz w:val="18"/>
                <w:szCs w:val="18"/>
              </w:rPr>
              <w:t xml:space="preserve">Other </w:t>
            </w:r>
            <w:r w:rsidRPr="00730356">
              <w:rPr>
                <w:rFonts w:cs="Times New Roman"/>
                <w:i/>
                <w:sz w:val="18"/>
                <w:szCs w:val="18"/>
              </w:rPr>
              <w:t>Streptococcus</w:t>
            </w:r>
            <w:r w:rsidRPr="00730356">
              <w:rPr>
                <w:rFonts w:cs="Times New Roman"/>
                <w:sz w:val="18"/>
                <w:szCs w:val="18"/>
              </w:rPr>
              <w:t xml:space="preserve"> species/unspecified</w:t>
            </w:r>
          </w:p>
        </w:tc>
        <w:tc>
          <w:tcPr>
            <w:tcW w:w="472" w:type="dxa"/>
            <w:tcBorders>
              <w:top w:val="single" w:sz="4" w:space="0" w:color="auto"/>
              <w:bottom w:val="single" w:sz="4" w:space="0" w:color="auto"/>
            </w:tcBorders>
          </w:tcPr>
          <w:p w14:paraId="6A34909B" w14:textId="77777777" w:rsidR="00831E3C" w:rsidRPr="00B50945" w:rsidRDefault="00831E3C" w:rsidP="00831E3C">
            <w:pPr>
              <w:spacing w:after="0" w:line="240" w:lineRule="auto"/>
              <w:jc w:val="right"/>
              <w:rPr>
                <w:rFonts w:cs="Times New Roman"/>
                <w:sz w:val="18"/>
                <w:szCs w:val="18"/>
              </w:rPr>
            </w:pPr>
            <w:r w:rsidRPr="00F16E81">
              <w:rPr>
                <w:rFonts w:cs="Times New Roman"/>
                <w:sz w:val="18"/>
                <w:szCs w:val="18"/>
              </w:rPr>
              <w:t>0</w:t>
            </w:r>
          </w:p>
        </w:tc>
        <w:tc>
          <w:tcPr>
            <w:tcW w:w="1925" w:type="dxa"/>
            <w:tcBorders>
              <w:top w:val="single" w:sz="4" w:space="0" w:color="auto"/>
              <w:bottom w:val="single" w:sz="4" w:space="0" w:color="auto"/>
            </w:tcBorders>
            <w:vAlign w:val="center"/>
          </w:tcPr>
          <w:p w14:paraId="7D9C82B7"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784FA2B5"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2</w:t>
            </w:r>
          </w:p>
        </w:tc>
        <w:tc>
          <w:tcPr>
            <w:tcW w:w="1870" w:type="dxa"/>
            <w:tcBorders>
              <w:top w:val="single" w:sz="4" w:space="0" w:color="auto"/>
              <w:bottom w:val="single" w:sz="4" w:space="0" w:color="auto"/>
            </w:tcBorders>
            <w:vAlign w:val="center"/>
          </w:tcPr>
          <w:p w14:paraId="22220041" w14:textId="77777777" w:rsidR="00831E3C" w:rsidRPr="00B50945" w:rsidRDefault="00831E3C" w:rsidP="00831E3C">
            <w:pPr>
              <w:spacing w:after="0" w:line="240" w:lineRule="auto"/>
              <w:rPr>
                <w:rFonts w:cs="Times New Roman"/>
                <w:sz w:val="18"/>
                <w:szCs w:val="18"/>
              </w:rPr>
            </w:pPr>
            <w:r>
              <w:rPr>
                <w:rFonts w:cs="Times New Roman"/>
                <w:sz w:val="18"/>
                <w:szCs w:val="18"/>
              </w:rPr>
              <w:t>0.04 (0.01 – 0.12)</w:t>
            </w:r>
          </w:p>
        </w:tc>
        <w:tc>
          <w:tcPr>
            <w:tcW w:w="576" w:type="dxa"/>
            <w:tcBorders>
              <w:top w:val="single" w:sz="4" w:space="0" w:color="auto"/>
              <w:bottom w:val="single" w:sz="4" w:space="0" w:color="auto"/>
            </w:tcBorders>
            <w:vAlign w:val="center"/>
          </w:tcPr>
          <w:p w14:paraId="0D7072E4"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35</w:t>
            </w:r>
          </w:p>
        </w:tc>
        <w:tc>
          <w:tcPr>
            <w:tcW w:w="1926" w:type="dxa"/>
            <w:tcBorders>
              <w:top w:val="single" w:sz="4" w:space="0" w:color="auto"/>
              <w:bottom w:val="single" w:sz="4" w:space="0" w:color="auto"/>
            </w:tcBorders>
            <w:vAlign w:val="center"/>
          </w:tcPr>
          <w:p w14:paraId="2DF44DED" w14:textId="77777777" w:rsidR="00831E3C" w:rsidRPr="00B50945" w:rsidRDefault="00831E3C" w:rsidP="00831E3C">
            <w:pPr>
              <w:spacing w:after="0" w:line="240" w:lineRule="auto"/>
              <w:rPr>
                <w:rFonts w:cs="Times New Roman"/>
                <w:sz w:val="18"/>
                <w:szCs w:val="18"/>
              </w:rPr>
            </w:pPr>
            <w:r>
              <w:rPr>
                <w:rFonts w:cs="Times New Roman"/>
                <w:sz w:val="18"/>
                <w:szCs w:val="18"/>
              </w:rPr>
              <w:t>0.03 (0.02 – 0.04)</w:t>
            </w:r>
          </w:p>
        </w:tc>
        <w:tc>
          <w:tcPr>
            <w:tcW w:w="510" w:type="dxa"/>
            <w:tcBorders>
              <w:top w:val="single" w:sz="4" w:space="0" w:color="auto"/>
              <w:bottom w:val="single" w:sz="4" w:space="0" w:color="auto"/>
            </w:tcBorders>
          </w:tcPr>
          <w:p w14:paraId="105E4050" w14:textId="77777777" w:rsidR="00831E3C" w:rsidRPr="00B50945" w:rsidRDefault="00831E3C" w:rsidP="00831E3C">
            <w:pPr>
              <w:spacing w:after="0" w:line="240" w:lineRule="auto"/>
              <w:jc w:val="right"/>
              <w:rPr>
                <w:rFonts w:cs="Times New Roman"/>
                <w:sz w:val="18"/>
                <w:szCs w:val="18"/>
              </w:rPr>
            </w:pPr>
            <w:r w:rsidRPr="00BC307D">
              <w:rPr>
                <w:rFonts w:cs="Times New Roman"/>
                <w:sz w:val="18"/>
                <w:szCs w:val="18"/>
              </w:rPr>
              <w:t>0</w:t>
            </w:r>
          </w:p>
        </w:tc>
        <w:tc>
          <w:tcPr>
            <w:tcW w:w="1871" w:type="dxa"/>
            <w:tcBorders>
              <w:top w:val="single" w:sz="4" w:space="0" w:color="auto"/>
              <w:bottom w:val="single" w:sz="4" w:space="0" w:color="auto"/>
            </w:tcBorders>
            <w:vAlign w:val="center"/>
          </w:tcPr>
          <w:p w14:paraId="0AD5EDEB" w14:textId="77777777" w:rsidR="00831E3C" w:rsidRPr="00B50945" w:rsidRDefault="00831E3C" w:rsidP="00831E3C">
            <w:pPr>
              <w:spacing w:after="0" w:line="240" w:lineRule="auto"/>
              <w:rPr>
                <w:rFonts w:cs="Times New Roman"/>
                <w:sz w:val="18"/>
                <w:szCs w:val="18"/>
              </w:rPr>
            </w:pPr>
          </w:p>
        </w:tc>
        <w:tc>
          <w:tcPr>
            <w:tcW w:w="618" w:type="dxa"/>
            <w:tcBorders>
              <w:top w:val="single" w:sz="4" w:space="0" w:color="auto"/>
              <w:bottom w:val="single" w:sz="4" w:space="0" w:color="auto"/>
            </w:tcBorders>
            <w:vAlign w:val="center"/>
          </w:tcPr>
          <w:p w14:paraId="057D59F0" w14:textId="2349C88D" w:rsidR="00831E3C" w:rsidRPr="00B50945" w:rsidRDefault="00831E3C" w:rsidP="00DC663B">
            <w:pPr>
              <w:spacing w:after="0" w:line="240" w:lineRule="auto"/>
              <w:jc w:val="right"/>
              <w:rPr>
                <w:rFonts w:cs="Times New Roman"/>
                <w:sz w:val="18"/>
                <w:szCs w:val="18"/>
              </w:rPr>
            </w:pPr>
            <w:r w:rsidRPr="003609FF">
              <w:rPr>
                <w:rFonts w:cs="Times New Roman"/>
                <w:color w:val="000000"/>
                <w:sz w:val="18"/>
                <w:szCs w:val="18"/>
              </w:rPr>
              <w:t>37</w:t>
            </w:r>
          </w:p>
        </w:tc>
        <w:tc>
          <w:tcPr>
            <w:tcW w:w="1871" w:type="dxa"/>
            <w:tcBorders>
              <w:top w:val="single" w:sz="4" w:space="0" w:color="auto"/>
              <w:bottom w:val="single" w:sz="4" w:space="0" w:color="auto"/>
            </w:tcBorders>
            <w:vAlign w:val="center"/>
          </w:tcPr>
          <w:p w14:paraId="04442F9F" w14:textId="609F87DC" w:rsidR="00831E3C" w:rsidRPr="00B50945" w:rsidRDefault="00831E3C" w:rsidP="00831E3C">
            <w:pPr>
              <w:spacing w:after="0" w:line="240" w:lineRule="auto"/>
              <w:rPr>
                <w:rFonts w:cs="Times New Roman"/>
                <w:sz w:val="18"/>
                <w:szCs w:val="18"/>
              </w:rPr>
            </w:pPr>
            <w:r>
              <w:rPr>
                <w:sz w:val="18"/>
                <w:szCs w:val="18"/>
              </w:rPr>
              <w:t>0.03 (0.02 – 0.04)</w:t>
            </w:r>
          </w:p>
        </w:tc>
      </w:tr>
      <w:tr w:rsidR="00EA3B91" w:rsidRPr="00730356" w14:paraId="64479A19" w14:textId="20FB1067" w:rsidTr="003F4CA0">
        <w:tc>
          <w:tcPr>
            <w:tcW w:w="3342" w:type="dxa"/>
            <w:tcBorders>
              <w:top w:val="single" w:sz="4" w:space="0" w:color="auto"/>
              <w:bottom w:val="single" w:sz="4" w:space="0" w:color="auto"/>
            </w:tcBorders>
          </w:tcPr>
          <w:p w14:paraId="5FB9D10D" w14:textId="77777777" w:rsidR="00831E3C" w:rsidRPr="00730356" w:rsidRDefault="00831E3C" w:rsidP="00831E3C">
            <w:pPr>
              <w:spacing w:after="0" w:line="240" w:lineRule="auto"/>
              <w:ind w:left="170"/>
              <w:rPr>
                <w:rFonts w:cs="Times New Roman"/>
                <w:sz w:val="18"/>
                <w:szCs w:val="18"/>
              </w:rPr>
            </w:pPr>
            <w:r w:rsidRPr="00730356">
              <w:rPr>
                <w:rFonts w:cs="Times New Roman"/>
                <w:sz w:val="18"/>
                <w:szCs w:val="18"/>
              </w:rPr>
              <w:t>Other/ unspecified Gram positives</w:t>
            </w:r>
          </w:p>
        </w:tc>
        <w:tc>
          <w:tcPr>
            <w:tcW w:w="472" w:type="dxa"/>
            <w:tcBorders>
              <w:top w:val="single" w:sz="4" w:space="0" w:color="auto"/>
              <w:bottom w:val="single" w:sz="4" w:space="0" w:color="auto"/>
            </w:tcBorders>
          </w:tcPr>
          <w:p w14:paraId="7695C732" w14:textId="77777777" w:rsidR="00831E3C" w:rsidRPr="00B50945" w:rsidRDefault="00831E3C" w:rsidP="00831E3C">
            <w:pPr>
              <w:spacing w:after="0" w:line="240" w:lineRule="auto"/>
              <w:jc w:val="right"/>
              <w:rPr>
                <w:rFonts w:cs="Times New Roman"/>
                <w:sz w:val="18"/>
                <w:szCs w:val="18"/>
              </w:rPr>
            </w:pPr>
            <w:r w:rsidRPr="00F16E81">
              <w:rPr>
                <w:rFonts w:cs="Times New Roman"/>
                <w:sz w:val="18"/>
                <w:szCs w:val="18"/>
              </w:rPr>
              <w:t>0</w:t>
            </w:r>
          </w:p>
        </w:tc>
        <w:tc>
          <w:tcPr>
            <w:tcW w:w="1925" w:type="dxa"/>
            <w:tcBorders>
              <w:top w:val="single" w:sz="4" w:space="0" w:color="auto"/>
              <w:bottom w:val="single" w:sz="4" w:space="0" w:color="auto"/>
            </w:tcBorders>
            <w:vAlign w:val="center"/>
          </w:tcPr>
          <w:p w14:paraId="6B07C372"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23E1D70A"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w:t>
            </w:r>
          </w:p>
        </w:tc>
        <w:tc>
          <w:tcPr>
            <w:tcW w:w="1870" w:type="dxa"/>
            <w:tcBorders>
              <w:top w:val="single" w:sz="4" w:space="0" w:color="auto"/>
              <w:bottom w:val="single" w:sz="4" w:space="0" w:color="auto"/>
            </w:tcBorders>
            <w:vAlign w:val="center"/>
          </w:tcPr>
          <w:p w14:paraId="2A036065" w14:textId="77777777" w:rsidR="00831E3C" w:rsidRPr="00B50945" w:rsidRDefault="00831E3C" w:rsidP="00831E3C">
            <w:pPr>
              <w:spacing w:after="0" w:line="240" w:lineRule="auto"/>
              <w:rPr>
                <w:rFonts w:cs="Times New Roman"/>
                <w:sz w:val="18"/>
                <w:szCs w:val="18"/>
              </w:rPr>
            </w:pPr>
            <w:r>
              <w:rPr>
                <w:rFonts w:cs="Times New Roman"/>
                <w:sz w:val="18"/>
                <w:szCs w:val="18"/>
              </w:rPr>
              <w:t>0.05 (0.01 – 0.24)</w:t>
            </w:r>
          </w:p>
        </w:tc>
        <w:tc>
          <w:tcPr>
            <w:tcW w:w="576" w:type="dxa"/>
            <w:tcBorders>
              <w:top w:val="single" w:sz="4" w:space="0" w:color="auto"/>
              <w:bottom w:val="single" w:sz="4" w:space="0" w:color="auto"/>
            </w:tcBorders>
            <w:vAlign w:val="center"/>
          </w:tcPr>
          <w:p w14:paraId="5E95BA49"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13</w:t>
            </w:r>
          </w:p>
        </w:tc>
        <w:tc>
          <w:tcPr>
            <w:tcW w:w="1926" w:type="dxa"/>
            <w:tcBorders>
              <w:top w:val="single" w:sz="4" w:space="0" w:color="auto"/>
              <w:bottom w:val="single" w:sz="4" w:space="0" w:color="auto"/>
            </w:tcBorders>
            <w:vAlign w:val="center"/>
          </w:tcPr>
          <w:p w14:paraId="31187A2E" w14:textId="77777777" w:rsidR="00831E3C" w:rsidRPr="00B50945" w:rsidRDefault="00831E3C" w:rsidP="00831E3C">
            <w:pPr>
              <w:spacing w:after="0" w:line="240" w:lineRule="auto"/>
              <w:rPr>
                <w:rFonts w:cs="Times New Roman"/>
                <w:sz w:val="18"/>
                <w:szCs w:val="18"/>
              </w:rPr>
            </w:pPr>
            <w:r>
              <w:rPr>
                <w:rFonts w:cs="Times New Roman"/>
                <w:sz w:val="18"/>
                <w:szCs w:val="18"/>
              </w:rPr>
              <w:t>0.01 (0.01 – 0.02)</w:t>
            </w:r>
          </w:p>
        </w:tc>
        <w:tc>
          <w:tcPr>
            <w:tcW w:w="510" w:type="dxa"/>
            <w:tcBorders>
              <w:top w:val="single" w:sz="4" w:space="0" w:color="auto"/>
              <w:bottom w:val="single" w:sz="4" w:space="0" w:color="auto"/>
            </w:tcBorders>
          </w:tcPr>
          <w:p w14:paraId="131413A0" w14:textId="77777777" w:rsidR="00831E3C" w:rsidRPr="00B50945" w:rsidRDefault="00831E3C" w:rsidP="00831E3C">
            <w:pPr>
              <w:spacing w:after="0" w:line="240" w:lineRule="auto"/>
              <w:jc w:val="right"/>
              <w:rPr>
                <w:rFonts w:cs="Times New Roman"/>
                <w:sz w:val="18"/>
                <w:szCs w:val="18"/>
              </w:rPr>
            </w:pPr>
            <w:r w:rsidRPr="00BC307D">
              <w:rPr>
                <w:rFonts w:cs="Times New Roman"/>
                <w:sz w:val="18"/>
                <w:szCs w:val="18"/>
              </w:rPr>
              <w:t>0</w:t>
            </w:r>
          </w:p>
        </w:tc>
        <w:tc>
          <w:tcPr>
            <w:tcW w:w="1871" w:type="dxa"/>
            <w:tcBorders>
              <w:top w:val="single" w:sz="4" w:space="0" w:color="auto"/>
              <w:bottom w:val="single" w:sz="4" w:space="0" w:color="auto"/>
            </w:tcBorders>
            <w:vAlign w:val="center"/>
          </w:tcPr>
          <w:p w14:paraId="04419D99" w14:textId="77777777" w:rsidR="00831E3C" w:rsidRPr="00B50945" w:rsidRDefault="00831E3C" w:rsidP="00831E3C">
            <w:pPr>
              <w:spacing w:after="0" w:line="240" w:lineRule="auto"/>
              <w:rPr>
                <w:rFonts w:cs="Times New Roman"/>
                <w:sz w:val="18"/>
                <w:szCs w:val="18"/>
              </w:rPr>
            </w:pPr>
          </w:p>
        </w:tc>
        <w:tc>
          <w:tcPr>
            <w:tcW w:w="618" w:type="dxa"/>
            <w:tcBorders>
              <w:top w:val="single" w:sz="4" w:space="0" w:color="auto"/>
              <w:bottom w:val="single" w:sz="4" w:space="0" w:color="auto"/>
            </w:tcBorders>
            <w:vAlign w:val="center"/>
          </w:tcPr>
          <w:p w14:paraId="33340BA8" w14:textId="632BFD6E" w:rsidR="00831E3C" w:rsidRPr="00B50945" w:rsidRDefault="00831E3C" w:rsidP="00DC663B">
            <w:pPr>
              <w:spacing w:after="0" w:line="240" w:lineRule="auto"/>
              <w:jc w:val="right"/>
              <w:rPr>
                <w:rFonts w:cs="Times New Roman"/>
                <w:sz w:val="18"/>
                <w:szCs w:val="18"/>
              </w:rPr>
            </w:pPr>
            <w:r w:rsidRPr="003609FF">
              <w:rPr>
                <w:rFonts w:cs="Times New Roman"/>
                <w:color w:val="000000"/>
                <w:sz w:val="18"/>
                <w:szCs w:val="18"/>
              </w:rPr>
              <w:t>12</w:t>
            </w:r>
          </w:p>
        </w:tc>
        <w:tc>
          <w:tcPr>
            <w:tcW w:w="1871" w:type="dxa"/>
            <w:tcBorders>
              <w:top w:val="single" w:sz="4" w:space="0" w:color="auto"/>
              <w:bottom w:val="single" w:sz="4" w:space="0" w:color="auto"/>
            </w:tcBorders>
            <w:vAlign w:val="center"/>
          </w:tcPr>
          <w:p w14:paraId="5AB10CD1" w14:textId="29A63E21" w:rsidR="00831E3C" w:rsidRPr="00B50945" w:rsidRDefault="00831E3C" w:rsidP="00831E3C">
            <w:pPr>
              <w:spacing w:after="0" w:line="240" w:lineRule="auto"/>
              <w:rPr>
                <w:rFonts w:cs="Times New Roman"/>
                <w:sz w:val="18"/>
                <w:szCs w:val="18"/>
              </w:rPr>
            </w:pPr>
            <w:r>
              <w:rPr>
                <w:sz w:val="18"/>
                <w:szCs w:val="18"/>
              </w:rPr>
              <w:t>0.00 (0.00 – 0.01)</w:t>
            </w:r>
          </w:p>
        </w:tc>
      </w:tr>
      <w:tr w:rsidR="00EA3B91" w:rsidRPr="00730356" w14:paraId="1073B823" w14:textId="3D48483B" w:rsidTr="003F4CA0">
        <w:tc>
          <w:tcPr>
            <w:tcW w:w="3342" w:type="dxa"/>
            <w:tcBorders>
              <w:top w:val="single" w:sz="4" w:space="0" w:color="auto"/>
              <w:bottom w:val="single" w:sz="4" w:space="0" w:color="auto"/>
            </w:tcBorders>
            <w:vAlign w:val="center"/>
          </w:tcPr>
          <w:p w14:paraId="29EF8EAB" w14:textId="77777777" w:rsidR="00831E3C" w:rsidRPr="00730356" w:rsidRDefault="00831E3C" w:rsidP="00831E3C">
            <w:pPr>
              <w:spacing w:after="0" w:line="240" w:lineRule="auto"/>
              <w:rPr>
                <w:rFonts w:cs="Times New Roman"/>
                <w:b/>
                <w:color w:val="000000" w:themeColor="text1"/>
                <w:sz w:val="18"/>
                <w:szCs w:val="18"/>
              </w:rPr>
            </w:pPr>
            <w:r w:rsidRPr="00730356">
              <w:rPr>
                <w:rFonts w:cs="Times New Roman"/>
                <w:b/>
                <w:color w:val="000000" w:themeColor="text1"/>
                <w:sz w:val="18"/>
                <w:szCs w:val="18"/>
              </w:rPr>
              <w:t>All Gram negatives</w:t>
            </w:r>
          </w:p>
        </w:tc>
        <w:tc>
          <w:tcPr>
            <w:tcW w:w="472" w:type="dxa"/>
            <w:tcBorders>
              <w:top w:val="single" w:sz="4" w:space="0" w:color="auto"/>
              <w:bottom w:val="single" w:sz="4" w:space="0" w:color="auto"/>
            </w:tcBorders>
            <w:vAlign w:val="center"/>
          </w:tcPr>
          <w:p w14:paraId="66410AF0" w14:textId="77777777" w:rsidR="00831E3C" w:rsidRPr="00B50945" w:rsidRDefault="00831E3C" w:rsidP="00831E3C">
            <w:pPr>
              <w:spacing w:after="0" w:line="240" w:lineRule="auto"/>
              <w:jc w:val="right"/>
              <w:rPr>
                <w:rFonts w:cs="Times New Roman"/>
                <w:b/>
                <w:color w:val="000000" w:themeColor="text1"/>
                <w:sz w:val="18"/>
                <w:szCs w:val="18"/>
              </w:rPr>
            </w:pPr>
            <w:r w:rsidRPr="00B50945">
              <w:rPr>
                <w:rFonts w:cs="Times New Roman"/>
                <w:b/>
                <w:sz w:val="18"/>
                <w:szCs w:val="18"/>
              </w:rPr>
              <w:t>3</w:t>
            </w:r>
          </w:p>
        </w:tc>
        <w:tc>
          <w:tcPr>
            <w:tcW w:w="1925" w:type="dxa"/>
            <w:tcBorders>
              <w:top w:val="single" w:sz="4" w:space="0" w:color="auto"/>
              <w:bottom w:val="single" w:sz="4" w:space="0" w:color="auto"/>
            </w:tcBorders>
            <w:vAlign w:val="center"/>
          </w:tcPr>
          <w:p w14:paraId="684D8AB4" w14:textId="77777777" w:rsidR="00831E3C" w:rsidRPr="00B50945" w:rsidRDefault="00831E3C" w:rsidP="00831E3C">
            <w:pPr>
              <w:spacing w:after="0" w:line="240" w:lineRule="auto"/>
              <w:rPr>
                <w:rFonts w:cs="Times New Roman"/>
                <w:b/>
                <w:color w:val="000000" w:themeColor="text1"/>
                <w:sz w:val="18"/>
                <w:szCs w:val="18"/>
              </w:rPr>
            </w:pPr>
          </w:p>
        </w:tc>
        <w:tc>
          <w:tcPr>
            <w:tcW w:w="510" w:type="dxa"/>
            <w:tcBorders>
              <w:top w:val="single" w:sz="4" w:space="0" w:color="auto"/>
              <w:bottom w:val="single" w:sz="4" w:space="0" w:color="auto"/>
            </w:tcBorders>
            <w:vAlign w:val="center"/>
          </w:tcPr>
          <w:p w14:paraId="01CEFC5A" w14:textId="77777777" w:rsidR="00831E3C" w:rsidRPr="00B50945" w:rsidRDefault="00831E3C" w:rsidP="00831E3C">
            <w:pPr>
              <w:spacing w:after="0" w:line="240" w:lineRule="auto"/>
              <w:jc w:val="right"/>
              <w:rPr>
                <w:rFonts w:cs="Times New Roman"/>
                <w:b/>
                <w:color w:val="000000" w:themeColor="text1"/>
                <w:sz w:val="18"/>
                <w:szCs w:val="18"/>
              </w:rPr>
            </w:pPr>
            <w:r w:rsidRPr="00B50945">
              <w:rPr>
                <w:rFonts w:cs="Times New Roman"/>
                <w:b/>
                <w:sz w:val="18"/>
                <w:szCs w:val="18"/>
              </w:rPr>
              <w:t>83</w:t>
            </w:r>
          </w:p>
        </w:tc>
        <w:tc>
          <w:tcPr>
            <w:tcW w:w="1870" w:type="dxa"/>
            <w:tcBorders>
              <w:top w:val="single" w:sz="4" w:space="0" w:color="auto"/>
              <w:bottom w:val="single" w:sz="4" w:space="0" w:color="auto"/>
            </w:tcBorders>
            <w:vAlign w:val="center"/>
          </w:tcPr>
          <w:p w14:paraId="7CB3BDD1" w14:textId="77777777" w:rsidR="00831E3C" w:rsidRPr="00B50945" w:rsidRDefault="00831E3C" w:rsidP="00831E3C">
            <w:pPr>
              <w:spacing w:after="0" w:line="240" w:lineRule="auto"/>
              <w:rPr>
                <w:rFonts w:cs="Times New Roman"/>
                <w:b/>
                <w:color w:val="000000" w:themeColor="text1"/>
                <w:sz w:val="18"/>
                <w:szCs w:val="18"/>
              </w:rPr>
            </w:pPr>
          </w:p>
        </w:tc>
        <w:tc>
          <w:tcPr>
            <w:tcW w:w="576" w:type="dxa"/>
            <w:tcBorders>
              <w:top w:val="single" w:sz="4" w:space="0" w:color="auto"/>
              <w:bottom w:val="single" w:sz="4" w:space="0" w:color="auto"/>
            </w:tcBorders>
            <w:vAlign w:val="center"/>
          </w:tcPr>
          <w:p w14:paraId="1685F2D1" w14:textId="77777777" w:rsidR="00831E3C" w:rsidRPr="00B50945" w:rsidRDefault="00831E3C" w:rsidP="00831E3C">
            <w:pPr>
              <w:spacing w:after="0" w:line="240" w:lineRule="auto"/>
              <w:jc w:val="right"/>
              <w:rPr>
                <w:rFonts w:cs="Times New Roman"/>
                <w:b/>
                <w:color w:val="000000" w:themeColor="text1"/>
                <w:sz w:val="18"/>
                <w:szCs w:val="18"/>
              </w:rPr>
            </w:pPr>
            <w:r w:rsidRPr="00B50945">
              <w:rPr>
                <w:rFonts w:cs="Times New Roman"/>
                <w:b/>
                <w:sz w:val="18"/>
                <w:szCs w:val="18"/>
              </w:rPr>
              <w:t>431</w:t>
            </w:r>
          </w:p>
        </w:tc>
        <w:tc>
          <w:tcPr>
            <w:tcW w:w="1926" w:type="dxa"/>
            <w:tcBorders>
              <w:top w:val="single" w:sz="4" w:space="0" w:color="auto"/>
              <w:bottom w:val="single" w:sz="4" w:space="0" w:color="auto"/>
            </w:tcBorders>
            <w:vAlign w:val="center"/>
          </w:tcPr>
          <w:p w14:paraId="2BC0F818" w14:textId="77777777" w:rsidR="00831E3C" w:rsidRPr="00B50945" w:rsidRDefault="00831E3C" w:rsidP="00831E3C">
            <w:pPr>
              <w:spacing w:after="0" w:line="240" w:lineRule="auto"/>
              <w:rPr>
                <w:rFonts w:cs="Times New Roman"/>
                <w:b/>
                <w:color w:val="000000" w:themeColor="text1"/>
                <w:sz w:val="18"/>
                <w:szCs w:val="18"/>
              </w:rPr>
            </w:pPr>
          </w:p>
        </w:tc>
        <w:tc>
          <w:tcPr>
            <w:tcW w:w="510" w:type="dxa"/>
            <w:tcBorders>
              <w:top w:val="single" w:sz="4" w:space="0" w:color="auto"/>
              <w:bottom w:val="single" w:sz="4" w:space="0" w:color="auto"/>
            </w:tcBorders>
            <w:vAlign w:val="center"/>
          </w:tcPr>
          <w:p w14:paraId="24FA8517" w14:textId="77777777" w:rsidR="00831E3C" w:rsidRPr="00B50945" w:rsidRDefault="00831E3C" w:rsidP="00831E3C">
            <w:pPr>
              <w:spacing w:after="0" w:line="240" w:lineRule="auto"/>
              <w:jc w:val="right"/>
              <w:rPr>
                <w:rFonts w:cs="Times New Roman"/>
                <w:b/>
                <w:color w:val="000000" w:themeColor="text1"/>
                <w:sz w:val="18"/>
                <w:szCs w:val="18"/>
              </w:rPr>
            </w:pPr>
            <w:r w:rsidRPr="00B50945">
              <w:rPr>
                <w:rFonts w:cs="Times New Roman"/>
                <w:sz w:val="18"/>
                <w:szCs w:val="18"/>
              </w:rPr>
              <w:t>48</w:t>
            </w:r>
          </w:p>
        </w:tc>
        <w:tc>
          <w:tcPr>
            <w:tcW w:w="1871" w:type="dxa"/>
            <w:tcBorders>
              <w:top w:val="single" w:sz="4" w:space="0" w:color="auto"/>
              <w:bottom w:val="single" w:sz="4" w:space="0" w:color="auto"/>
            </w:tcBorders>
            <w:vAlign w:val="center"/>
          </w:tcPr>
          <w:p w14:paraId="39D08B10" w14:textId="77777777" w:rsidR="00831E3C" w:rsidRPr="00B50945" w:rsidRDefault="00831E3C" w:rsidP="00831E3C">
            <w:pPr>
              <w:spacing w:after="0" w:line="240" w:lineRule="auto"/>
              <w:rPr>
                <w:rFonts w:cs="Times New Roman"/>
                <w:b/>
                <w:color w:val="000000" w:themeColor="text1"/>
                <w:sz w:val="18"/>
                <w:szCs w:val="18"/>
              </w:rPr>
            </w:pPr>
          </w:p>
        </w:tc>
        <w:tc>
          <w:tcPr>
            <w:tcW w:w="618" w:type="dxa"/>
            <w:tcBorders>
              <w:top w:val="single" w:sz="4" w:space="0" w:color="auto"/>
              <w:bottom w:val="single" w:sz="4" w:space="0" w:color="auto"/>
            </w:tcBorders>
            <w:vAlign w:val="center"/>
          </w:tcPr>
          <w:p w14:paraId="035374E8" w14:textId="77777777" w:rsidR="00831E3C" w:rsidRPr="00B50945" w:rsidRDefault="00831E3C" w:rsidP="00DC663B">
            <w:pPr>
              <w:spacing w:after="0" w:line="240" w:lineRule="auto"/>
              <w:jc w:val="right"/>
              <w:rPr>
                <w:rFonts w:cs="Times New Roman"/>
                <w:b/>
                <w:color w:val="000000" w:themeColor="text1"/>
                <w:sz w:val="18"/>
                <w:szCs w:val="18"/>
              </w:rPr>
            </w:pPr>
          </w:p>
        </w:tc>
        <w:tc>
          <w:tcPr>
            <w:tcW w:w="1871" w:type="dxa"/>
            <w:tcBorders>
              <w:top w:val="single" w:sz="4" w:space="0" w:color="auto"/>
              <w:bottom w:val="single" w:sz="4" w:space="0" w:color="auto"/>
            </w:tcBorders>
            <w:vAlign w:val="center"/>
          </w:tcPr>
          <w:p w14:paraId="1907D47B" w14:textId="77777777" w:rsidR="00831E3C" w:rsidRPr="00B50945" w:rsidRDefault="00831E3C" w:rsidP="00831E3C">
            <w:pPr>
              <w:spacing w:after="0" w:line="240" w:lineRule="auto"/>
              <w:rPr>
                <w:rFonts w:cs="Times New Roman"/>
                <w:b/>
                <w:color w:val="000000" w:themeColor="text1"/>
                <w:sz w:val="18"/>
                <w:szCs w:val="18"/>
              </w:rPr>
            </w:pPr>
          </w:p>
        </w:tc>
      </w:tr>
      <w:tr w:rsidR="00EA3B91" w:rsidRPr="00730356" w14:paraId="426822F2" w14:textId="7EB11CFD" w:rsidTr="003F4CA0">
        <w:tc>
          <w:tcPr>
            <w:tcW w:w="3342" w:type="dxa"/>
            <w:tcBorders>
              <w:top w:val="single" w:sz="4" w:space="0" w:color="auto"/>
              <w:bottom w:val="single" w:sz="4" w:space="0" w:color="auto"/>
            </w:tcBorders>
          </w:tcPr>
          <w:p w14:paraId="426BC997" w14:textId="77777777" w:rsidR="00831E3C" w:rsidRPr="00730356" w:rsidRDefault="00831E3C" w:rsidP="00831E3C">
            <w:pPr>
              <w:spacing w:after="0" w:line="240" w:lineRule="auto"/>
              <w:ind w:left="170"/>
              <w:rPr>
                <w:rFonts w:cs="Times New Roman"/>
                <w:sz w:val="18"/>
                <w:szCs w:val="18"/>
              </w:rPr>
            </w:pPr>
            <w:r w:rsidRPr="00730356">
              <w:rPr>
                <w:rFonts w:cs="Times New Roman"/>
                <w:i/>
                <w:sz w:val="18"/>
                <w:szCs w:val="18"/>
              </w:rPr>
              <w:t>Klebsiella</w:t>
            </w:r>
            <w:r w:rsidRPr="00730356">
              <w:rPr>
                <w:rFonts w:cs="Times New Roman"/>
                <w:sz w:val="18"/>
                <w:szCs w:val="18"/>
              </w:rPr>
              <w:t xml:space="preserve"> species</w:t>
            </w:r>
          </w:p>
        </w:tc>
        <w:tc>
          <w:tcPr>
            <w:tcW w:w="472" w:type="dxa"/>
            <w:tcBorders>
              <w:top w:val="single" w:sz="4" w:space="0" w:color="auto"/>
              <w:bottom w:val="single" w:sz="4" w:space="0" w:color="auto"/>
            </w:tcBorders>
            <w:vAlign w:val="center"/>
          </w:tcPr>
          <w:p w14:paraId="3C218C82"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w:t>
            </w:r>
          </w:p>
        </w:tc>
        <w:tc>
          <w:tcPr>
            <w:tcW w:w="1925" w:type="dxa"/>
            <w:tcBorders>
              <w:top w:val="single" w:sz="4" w:space="0" w:color="auto"/>
              <w:bottom w:val="single" w:sz="4" w:space="0" w:color="auto"/>
            </w:tcBorders>
            <w:vAlign w:val="center"/>
          </w:tcPr>
          <w:p w14:paraId="6E182B38" w14:textId="77777777" w:rsidR="00831E3C" w:rsidRPr="00B50945" w:rsidRDefault="00831E3C" w:rsidP="00831E3C">
            <w:pPr>
              <w:spacing w:after="0" w:line="240" w:lineRule="auto"/>
              <w:rPr>
                <w:rFonts w:cs="Times New Roman"/>
                <w:sz w:val="18"/>
                <w:szCs w:val="18"/>
              </w:rPr>
            </w:pPr>
            <w:r>
              <w:rPr>
                <w:rFonts w:cs="Times New Roman"/>
                <w:sz w:val="18"/>
                <w:szCs w:val="18"/>
              </w:rPr>
              <w:t>0.50 (0.09 – 0.91)</w:t>
            </w:r>
          </w:p>
        </w:tc>
        <w:tc>
          <w:tcPr>
            <w:tcW w:w="510" w:type="dxa"/>
            <w:tcBorders>
              <w:top w:val="single" w:sz="4" w:space="0" w:color="auto"/>
              <w:bottom w:val="single" w:sz="4" w:space="0" w:color="auto"/>
            </w:tcBorders>
            <w:vAlign w:val="center"/>
          </w:tcPr>
          <w:p w14:paraId="303EF4F0"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10</w:t>
            </w:r>
          </w:p>
        </w:tc>
        <w:tc>
          <w:tcPr>
            <w:tcW w:w="1870" w:type="dxa"/>
            <w:tcBorders>
              <w:top w:val="single" w:sz="4" w:space="0" w:color="auto"/>
              <w:bottom w:val="single" w:sz="4" w:space="0" w:color="auto"/>
            </w:tcBorders>
            <w:vAlign w:val="center"/>
          </w:tcPr>
          <w:p w14:paraId="7A475CBF" w14:textId="77777777" w:rsidR="00831E3C" w:rsidRPr="00B50945" w:rsidRDefault="00831E3C" w:rsidP="00831E3C">
            <w:pPr>
              <w:spacing w:after="0" w:line="240" w:lineRule="auto"/>
              <w:rPr>
                <w:rFonts w:cs="Times New Roman"/>
                <w:sz w:val="18"/>
                <w:szCs w:val="18"/>
              </w:rPr>
            </w:pPr>
            <w:r>
              <w:rPr>
                <w:rFonts w:cs="Times New Roman"/>
                <w:sz w:val="18"/>
                <w:szCs w:val="18"/>
              </w:rPr>
              <w:t>0.07 (0.03 – 0.12)</w:t>
            </w:r>
          </w:p>
        </w:tc>
        <w:tc>
          <w:tcPr>
            <w:tcW w:w="576" w:type="dxa"/>
            <w:tcBorders>
              <w:top w:val="single" w:sz="4" w:space="0" w:color="auto"/>
              <w:bottom w:val="single" w:sz="4" w:space="0" w:color="auto"/>
            </w:tcBorders>
            <w:vAlign w:val="center"/>
          </w:tcPr>
          <w:p w14:paraId="1EBE091E"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18</w:t>
            </w:r>
          </w:p>
        </w:tc>
        <w:tc>
          <w:tcPr>
            <w:tcW w:w="1926" w:type="dxa"/>
            <w:tcBorders>
              <w:top w:val="single" w:sz="4" w:space="0" w:color="auto"/>
              <w:bottom w:val="single" w:sz="4" w:space="0" w:color="auto"/>
            </w:tcBorders>
            <w:vAlign w:val="center"/>
          </w:tcPr>
          <w:p w14:paraId="7B7095F1" w14:textId="77777777" w:rsidR="00831E3C" w:rsidRPr="00B50945" w:rsidRDefault="00831E3C" w:rsidP="00831E3C">
            <w:pPr>
              <w:spacing w:after="0" w:line="240" w:lineRule="auto"/>
              <w:rPr>
                <w:rFonts w:cs="Times New Roman"/>
                <w:sz w:val="18"/>
                <w:szCs w:val="18"/>
              </w:rPr>
            </w:pPr>
            <w:r>
              <w:rPr>
                <w:rFonts w:cs="Times New Roman"/>
                <w:sz w:val="18"/>
                <w:szCs w:val="18"/>
              </w:rPr>
              <w:t>0.22 (0.02 – 0.51)</w:t>
            </w:r>
          </w:p>
        </w:tc>
        <w:tc>
          <w:tcPr>
            <w:tcW w:w="510" w:type="dxa"/>
            <w:tcBorders>
              <w:top w:val="single" w:sz="4" w:space="0" w:color="auto"/>
              <w:bottom w:val="single" w:sz="4" w:space="0" w:color="auto"/>
            </w:tcBorders>
            <w:vAlign w:val="center"/>
          </w:tcPr>
          <w:p w14:paraId="29353AC9"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10</w:t>
            </w:r>
          </w:p>
        </w:tc>
        <w:tc>
          <w:tcPr>
            <w:tcW w:w="1871" w:type="dxa"/>
            <w:tcBorders>
              <w:top w:val="single" w:sz="4" w:space="0" w:color="auto"/>
              <w:bottom w:val="single" w:sz="4" w:space="0" w:color="auto"/>
            </w:tcBorders>
            <w:vAlign w:val="center"/>
          </w:tcPr>
          <w:p w14:paraId="7A1CEAC9" w14:textId="77777777" w:rsidR="00831E3C" w:rsidRPr="00B50945" w:rsidRDefault="00831E3C" w:rsidP="00831E3C">
            <w:pPr>
              <w:spacing w:after="0" w:line="240" w:lineRule="auto"/>
              <w:rPr>
                <w:rFonts w:cs="Times New Roman"/>
                <w:sz w:val="18"/>
                <w:szCs w:val="18"/>
              </w:rPr>
            </w:pPr>
            <w:r>
              <w:rPr>
                <w:rFonts w:cs="Times New Roman"/>
                <w:sz w:val="18"/>
                <w:szCs w:val="18"/>
              </w:rPr>
              <w:t>0.10 (0.03 – 0.19)</w:t>
            </w:r>
          </w:p>
        </w:tc>
        <w:tc>
          <w:tcPr>
            <w:tcW w:w="618" w:type="dxa"/>
            <w:tcBorders>
              <w:top w:val="single" w:sz="4" w:space="0" w:color="auto"/>
              <w:bottom w:val="single" w:sz="4" w:space="0" w:color="auto"/>
            </w:tcBorders>
            <w:vAlign w:val="center"/>
          </w:tcPr>
          <w:p w14:paraId="1C2CC82A" w14:textId="69AA314E" w:rsidR="00831E3C" w:rsidRDefault="00831E3C" w:rsidP="00DC663B">
            <w:pPr>
              <w:spacing w:after="0" w:line="240" w:lineRule="auto"/>
              <w:jc w:val="right"/>
              <w:rPr>
                <w:rFonts w:cs="Times New Roman"/>
                <w:sz w:val="18"/>
                <w:szCs w:val="18"/>
              </w:rPr>
            </w:pPr>
            <w:r>
              <w:rPr>
                <w:rFonts w:cs="Times New Roman"/>
                <w:color w:val="000000"/>
                <w:sz w:val="18"/>
                <w:szCs w:val="18"/>
              </w:rPr>
              <w:t>39</w:t>
            </w:r>
          </w:p>
        </w:tc>
        <w:tc>
          <w:tcPr>
            <w:tcW w:w="1871" w:type="dxa"/>
            <w:tcBorders>
              <w:top w:val="single" w:sz="4" w:space="0" w:color="auto"/>
              <w:bottom w:val="single" w:sz="4" w:space="0" w:color="auto"/>
            </w:tcBorders>
            <w:vAlign w:val="center"/>
          </w:tcPr>
          <w:p w14:paraId="6BB2033A" w14:textId="41327BD1" w:rsidR="00831E3C" w:rsidRDefault="00831E3C" w:rsidP="00831E3C">
            <w:pPr>
              <w:spacing w:after="0" w:line="240" w:lineRule="auto"/>
              <w:rPr>
                <w:rFonts w:cs="Times New Roman"/>
                <w:sz w:val="18"/>
                <w:szCs w:val="18"/>
              </w:rPr>
            </w:pPr>
            <w:r>
              <w:rPr>
                <w:sz w:val="18"/>
                <w:szCs w:val="18"/>
              </w:rPr>
              <w:t>0.10 (0.04 – 0.18)</w:t>
            </w:r>
          </w:p>
        </w:tc>
      </w:tr>
      <w:tr w:rsidR="00EA3B91" w:rsidRPr="00730356" w14:paraId="40FBC5E1" w14:textId="56FFA8D4" w:rsidTr="003F4CA0">
        <w:tc>
          <w:tcPr>
            <w:tcW w:w="3342" w:type="dxa"/>
            <w:tcBorders>
              <w:top w:val="single" w:sz="4" w:space="0" w:color="auto"/>
              <w:bottom w:val="single" w:sz="4" w:space="0" w:color="auto"/>
            </w:tcBorders>
          </w:tcPr>
          <w:p w14:paraId="3011768E" w14:textId="77777777" w:rsidR="00831E3C" w:rsidRPr="00730356" w:rsidRDefault="00831E3C" w:rsidP="00831E3C">
            <w:pPr>
              <w:spacing w:after="0" w:line="240" w:lineRule="auto"/>
              <w:ind w:left="170"/>
              <w:rPr>
                <w:rFonts w:cs="Times New Roman"/>
                <w:sz w:val="18"/>
                <w:szCs w:val="18"/>
              </w:rPr>
            </w:pPr>
            <w:r w:rsidRPr="00730356">
              <w:rPr>
                <w:rFonts w:cs="Times New Roman"/>
                <w:i/>
                <w:sz w:val="18"/>
                <w:szCs w:val="18"/>
              </w:rPr>
              <w:t>Escherichia coli</w:t>
            </w:r>
          </w:p>
        </w:tc>
        <w:tc>
          <w:tcPr>
            <w:tcW w:w="472" w:type="dxa"/>
            <w:tcBorders>
              <w:top w:val="single" w:sz="4" w:space="0" w:color="auto"/>
              <w:bottom w:val="single" w:sz="4" w:space="0" w:color="auto"/>
            </w:tcBorders>
            <w:vAlign w:val="center"/>
          </w:tcPr>
          <w:p w14:paraId="28FDFADB"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w:t>
            </w:r>
          </w:p>
        </w:tc>
        <w:tc>
          <w:tcPr>
            <w:tcW w:w="1925" w:type="dxa"/>
            <w:tcBorders>
              <w:top w:val="single" w:sz="4" w:space="0" w:color="auto"/>
              <w:bottom w:val="single" w:sz="4" w:space="0" w:color="auto"/>
            </w:tcBorders>
            <w:vAlign w:val="center"/>
          </w:tcPr>
          <w:p w14:paraId="328D7229" w14:textId="77777777" w:rsidR="00831E3C" w:rsidRPr="00B50945" w:rsidRDefault="00831E3C" w:rsidP="00831E3C">
            <w:pPr>
              <w:spacing w:after="0" w:line="240" w:lineRule="auto"/>
              <w:rPr>
                <w:rFonts w:cs="Times New Roman"/>
                <w:sz w:val="18"/>
                <w:szCs w:val="18"/>
              </w:rPr>
            </w:pPr>
            <w:r>
              <w:rPr>
                <w:rFonts w:cs="Times New Roman"/>
                <w:sz w:val="18"/>
                <w:szCs w:val="18"/>
              </w:rPr>
              <w:t>0.50 (0.09 – 0.91)</w:t>
            </w:r>
          </w:p>
        </w:tc>
        <w:tc>
          <w:tcPr>
            <w:tcW w:w="510" w:type="dxa"/>
            <w:tcBorders>
              <w:top w:val="single" w:sz="4" w:space="0" w:color="auto"/>
              <w:bottom w:val="single" w:sz="4" w:space="0" w:color="auto"/>
            </w:tcBorders>
            <w:vAlign w:val="center"/>
          </w:tcPr>
          <w:p w14:paraId="7761571F"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16</w:t>
            </w:r>
          </w:p>
        </w:tc>
        <w:tc>
          <w:tcPr>
            <w:tcW w:w="1870" w:type="dxa"/>
            <w:tcBorders>
              <w:top w:val="single" w:sz="4" w:space="0" w:color="auto"/>
              <w:bottom w:val="single" w:sz="4" w:space="0" w:color="auto"/>
            </w:tcBorders>
            <w:vAlign w:val="center"/>
          </w:tcPr>
          <w:p w14:paraId="6C58445C" w14:textId="77777777" w:rsidR="00831E3C" w:rsidRPr="00B50945" w:rsidRDefault="00831E3C" w:rsidP="00831E3C">
            <w:pPr>
              <w:spacing w:after="0" w:line="240" w:lineRule="auto"/>
              <w:rPr>
                <w:rFonts w:cs="Times New Roman"/>
                <w:sz w:val="18"/>
                <w:szCs w:val="18"/>
              </w:rPr>
            </w:pPr>
            <w:r>
              <w:rPr>
                <w:rFonts w:cs="Times New Roman"/>
                <w:sz w:val="18"/>
                <w:szCs w:val="18"/>
              </w:rPr>
              <w:t>0.11 (0.06 – 0.17)</w:t>
            </w:r>
          </w:p>
        </w:tc>
        <w:tc>
          <w:tcPr>
            <w:tcW w:w="576" w:type="dxa"/>
            <w:tcBorders>
              <w:top w:val="single" w:sz="4" w:space="0" w:color="auto"/>
              <w:bottom w:val="single" w:sz="4" w:space="0" w:color="auto"/>
            </w:tcBorders>
            <w:vAlign w:val="center"/>
          </w:tcPr>
          <w:p w14:paraId="11436041"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8</w:t>
            </w:r>
          </w:p>
        </w:tc>
        <w:tc>
          <w:tcPr>
            <w:tcW w:w="1926" w:type="dxa"/>
            <w:tcBorders>
              <w:top w:val="single" w:sz="4" w:space="0" w:color="auto"/>
              <w:bottom w:val="single" w:sz="4" w:space="0" w:color="auto"/>
            </w:tcBorders>
            <w:vAlign w:val="center"/>
          </w:tcPr>
          <w:p w14:paraId="60D06791" w14:textId="77777777" w:rsidR="00831E3C" w:rsidRPr="00B50945" w:rsidRDefault="00831E3C" w:rsidP="00831E3C">
            <w:pPr>
              <w:spacing w:after="0" w:line="240" w:lineRule="auto"/>
              <w:rPr>
                <w:rFonts w:cs="Times New Roman"/>
                <w:sz w:val="18"/>
                <w:szCs w:val="18"/>
              </w:rPr>
            </w:pPr>
            <w:r>
              <w:rPr>
                <w:rFonts w:cs="Times New Roman"/>
                <w:sz w:val="18"/>
                <w:szCs w:val="18"/>
              </w:rPr>
              <w:t>0.06 (0.02 – 0.13)</w:t>
            </w:r>
          </w:p>
        </w:tc>
        <w:tc>
          <w:tcPr>
            <w:tcW w:w="510" w:type="dxa"/>
            <w:tcBorders>
              <w:top w:val="single" w:sz="4" w:space="0" w:color="auto"/>
              <w:bottom w:val="single" w:sz="4" w:space="0" w:color="auto"/>
            </w:tcBorders>
            <w:vAlign w:val="center"/>
          </w:tcPr>
          <w:p w14:paraId="36220A3B"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20</w:t>
            </w:r>
          </w:p>
        </w:tc>
        <w:tc>
          <w:tcPr>
            <w:tcW w:w="1871" w:type="dxa"/>
            <w:tcBorders>
              <w:top w:val="single" w:sz="4" w:space="0" w:color="auto"/>
              <w:bottom w:val="single" w:sz="4" w:space="0" w:color="auto"/>
            </w:tcBorders>
            <w:vAlign w:val="center"/>
          </w:tcPr>
          <w:p w14:paraId="52EF4A21" w14:textId="77777777" w:rsidR="00831E3C" w:rsidRPr="00B50945" w:rsidRDefault="00831E3C" w:rsidP="00831E3C">
            <w:pPr>
              <w:spacing w:after="0" w:line="240" w:lineRule="auto"/>
              <w:rPr>
                <w:rFonts w:cs="Times New Roman"/>
                <w:sz w:val="18"/>
                <w:szCs w:val="18"/>
              </w:rPr>
            </w:pPr>
            <w:r>
              <w:rPr>
                <w:rFonts w:cs="Times New Roman"/>
                <w:sz w:val="18"/>
                <w:szCs w:val="18"/>
              </w:rPr>
              <w:t>0.22 (0.08 – 0.38)</w:t>
            </w:r>
          </w:p>
        </w:tc>
        <w:tc>
          <w:tcPr>
            <w:tcW w:w="618" w:type="dxa"/>
            <w:tcBorders>
              <w:top w:val="single" w:sz="4" w:space="0" w:color="auto"/>
              <w:bottom w:val="single" w:sz="4" w:space="0" w:color="auto"/>
            </w:tcBorders>
            <w:vAlign w:val="center"/>
          </w:tcPr>
          <w:p w14:paraId="20289715" w14:textId="48C4CBC7" w:rsidR="00831E3C" w:rsidRDefault="00831E3C" w:rsidP="00DC663B">
            <w:pPr>
              <w:spacing w:after="0" w:line="240" w:lineRule="auto"/>
              <w:jc w:val="right"/>
              <w:rPr>
                <w:rFonts w:cs="Times New Roman"/>
                <w:sz w:val="18"/>
                <w:szCs w:val="18"/>
              </w:rPr>
            </w:pPr>
            <w:r w:rsidRPr="003609FF">
              <w:rPr>
                <w:rFonts w:cs="Times New Roman"/>
                <w:color w:val="000000"/>
                <w:sz w:val="18"/>
                <w:szCs w:val="18"/>
              </w:rPr>
              <w:t>45</w:t>
            </w:r>
          </w:p>
        </w:tc>
        <w:tc>
          <w:tcPr>
            <w:tcW w:w="1871" w:type="dxa"/>
            <w:tcBorders>
              <w:top w:val="single" w:sz="4" w:space="0" w:color="auto"/>
              <w:bottom w:val="single" w:sz="4" w:space="0" w:color="auto"/>
            </w:tcBorders>
            <w:vAlign w:val="center"/>
          </w:tcPr>
          <w:p w14:paraId="28FCC07B" w14:textId="40CA7CBE" w:rsidR="00831E3C" w:rsidRDefault="00831E3C" w:rsidP="00831E3C">
            <w:pPr>
              <w:spacing w:after="0" w:line="240" w:lineRule="auto"/>
              <w:rPr>
                <w:rFonts w:cs="Times New Roman"/>
                <w:sz w:val="18"/>
                <w:szCs w:val="18"/>
              </w:rPr>
            </w:pPr>
            <w:r>
              <w:rPr>
                <w:sz w:val="18"/>
                <w:szCs w:val="18"/>
              </w:rPr>
              <w:t>0.11 (0.06 – 0.18)</w:t>
            </w:r>
          </w:p>
        </w:tc>
      </w:tr>
      <w:tr w:rsidR="00EA3B91" w:rsidRPr="00730356" w14:paraId="53206DC3" w14:textId="37EBBB39" w:rsidTr="003F4CA0">
        <w:tc>
          <w:tcPr>
            <w:tcW w:w="3342" w:type="dxa"/>
            <w:tcBorders>
              <w:top w:val="single" w:sz="4" w:space="0" w:color="auto"/>
              <w:bottom w:val="single" w:sz="4" w:space="0" w:color="auto"/>
            </w:tcBorders>
          </w:tcPr>
          <w:p w14:paraId="15E3262D" w14:textId="77777777" w:rsidR="00831E3C" w:rsidRPr="00730356" w:rsidRDefault="00831E3C" w:rsidP="00831E3C">
            <w:pPr>
              <w:spacing w:after="0" w:line="240" w:lineRule="auto"/>
              <w:ind w:left="170"/>
              <w:rPr>
                <w:rFonts w:cs="Times New Roman"/>
                <w:sz w:val="18"/>
                <w:szCs w:val="18"/>
              </w:rPr>
            </w:pPr>
            <w:r w:rsidRPr="00730356">
              <w:rPr>
                <w:rFonts w:cs="Times New Roman"/>
                <w:i/>
                <w:sz w:val="18"/>
                <w:szCs w:val="18"/>
              </w:rPr>
              <w:t>Pseudomonas</w:t>
            </w:r>
            <w:r w:rsidRPr="00730356">
              <w:rPr>
                <w:rFonts w:cs="Times New Roman"/>
                <w:sz w:val="18"/>
                <w:szCs w:val="18"/>
              </w:rPr>
              <w:t xml:space="preserve"> species</w:t>
            </w:r>
          </w:p>
        </w:tc>
        <w:tc>
          <w:tcPr>
            <w:tcW w:w="472" w:type="dxa"/>
            <w:tcBorders>
              <w:top w:val="single" w:sz="4" w:space="0" w:color="auto"/>
              <w:bottom w:val="single" w:sz="4" w:space="0" w:color="auto"/>
            </w:tcBorders>
            <w:vAlign w:val="center"/>
          </w:tcPr>
          <w:p w14:paraId="463C533B" w14:textId="77777777" w:rsidR="00831E3C" w:rsidRPr="00B50945" w:rsidRDefault="00831E3C" w:rsidP="00831E3C">
            <w:pPr>
              <w:spacing w:after="0" w:line="240" w:lineRule="auto"/>
              <w:jc w:val="right"/>
              <w:rPr>
                <w:rFonts w:cs="Times New Roman"/>
                <w:sz w:val="18"/>
                <w:szCs w:val="18"/>
              </w:rPr>
            </w:pPr>
            <w:r>
              <w:rPr>
                <w:rFonts w:cs="Times New Roman"/>
                <w:sz w:val="18"/>
                <w:szCs w:val="18"/>
              </w:rPr>
              <w:t>0</w:t>
            </w:r>
          </w:p>
        </w:tc>
        <w:tc>
          <w:tcPr>
            <w:tcW w:w="1925" w:type="dxa"/>
            <w:tcBorders>
              <w:top w:val="single" w:sz="4" w:space="0" w:color="auto"/>
              <w:bottom w:val="single" w:sz="4" w:space="0" w:color="auto"/>
            </w:tcBorders>
            <w:vAlign w:val="center"/>
          </w:tcPr>
          <w:p w14:paraId="1351D1D5"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44EB9239"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2</w:t>
            </w:r>
          </w:p>
        </w:tc>
        <w:tc>
          <w:tcPr>
            <w:tcW w:w="1870" w:type="dxa"/>
            <w:tcBorders>
              <w:top w:val="single" w:sz="4" w:space="0" w:color="auto"/>
              <w:bottom w:val="single" w:sz="4" w:space="0" w:color="auto"/>
            </w:tcBorders>
            <w:vAlign w:val="center"/>
          </w:tcPr>
          <w:p w14:paraId="1C55773E" w14:textId="77777777" w:rsidR="00831E3C" w:rsidRPr="00B50945" w:rsidRDefault="00831E3C" w:rsidP="00831E3C">
            <w:pPr>
              <w:spacing w:after="0" w:line="240" w:lineRule="auto"/>
              <w:rPr>
                <w:rFonts w:cs="Times New Roman"/>
                <w:sz w:val="18"/>
                <w:szCs w:val="18"/>
              </w:rPr>
            </w:pPr>
            <w:r>
              <w:rPr>
                <w:rFonts w:cs="Times New Roman"/>
                <w:sz w:val="18"/>
                <w:szCs w:val="18"/>
              </w:rPr>
              <w:t>0.06 (0.00 – 0.20)</w:t>
            </w:r>
          </w:p>
        </w:tc>
        <w:tc>
          <w:tcPr>
            <w:tcW w:w="576" w:type="dxa"/>
            <w:tcBorders>
              <w:top w:val="single" w:sz="4" w:space="0" w:color="auto"/>
              <w:bottom w:val="single" w:sz="4" w:space="0" w:color="auto"/>
            </w:tcBorders>
            <w:vAlign w:val="center"/>
          </w:tcPr>
          <w:p w14:paraId="15CC3388"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w:t>
            </w:r>
          </w:p>
        </w:tc>
        <w:tc>
          <w:tcPr>
            <w:tcW w:w="1926" w:type="dxa"/>
            <w:tcBorders>
              <w:top w:val="single" w:sz="4" w:space="0" w:color="auto"/>
              <w:bottom w:val="single" w:sz="4" w:space="0" w:color="auto"/>
            </w:tcBorders>
            <w:vAlign w:val="center"/>
          </w:tcPr>
          <w:p w14:paraId="55E1B01D" w14:textId="77777777" w:rsidR="00831E3C" w:rsidRPr="00B50945" w:rsidRDefault="00831E3C" w:rsidP="00831E3C">
            <w:pPr>
              <w:spacing w:after="0" w:line="240" w:lineRule="auto"/>
              <w:rPr>
                <w:rFonts w:cs="Times New Roman"/>
                <w:sz w:val="18"/>
                <w:szCs w:val="18"/>
              </w:rPr>
            </w:pPr>
            <w:r>
              <w:rPr>
                <w:rFonts w:cs="Times New Roman"/>
                <w:sz w:val="18"/>
                <w:szCs w:val="18"/>
              </w:rPr>
              <w:t>0.02 (0.00 – 0.09)</w:t>
            </w:r>
          </w:p>
        </w:tc>
        <w:tc>
          <w:tcPr>
            <w:tcW w:w="510" w:type="dxa"/>
            <w:tcBorders>
              <w:top w:val="single" w:sz="4" w:space="0" w:color="auto"/>
              <w:bottom w:val="single" w:sz="4" w:space="0" w:color="auto"/>
            </w:tcBorders>
            <w:vAlign w:val="center"/>
          </w:tcPr>
          <w:p w14:paraId="4E2E1BDB"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3</w:t>
            </w:r>
          </w:p>
        </w:tc>
        <w:tc>
          <w:tcPr>
            <w:tcW w:w="1871" w:type="dxa"/>
            <w:tcBorders>
              <w:top w:val="single" w:sz="4" w:space="0" w:color="auto"/>
              <w:bottom w:val="single" w:sz="4" w:space="0" w:color="auto"/>
            </w:tcBorders>
            <w:vAlign w:val="center"/>
          </w:tcPr>
          <w:p w14:paraId="59EF79CC" w14:textId="77777777" w:rsidR="00831E3C" w:rsidRPr="00B50945" w:rsidRDefault="00831E3C" w:rsidP="00831E3C">
            <w:pPr>
              <w:spacing w:after="0" w:line="240" w:lineRule="auto"/>
              <w:rPr>
                <w:rFonts w:cs="Times New Roman"/>
                <w:sz w:val="18"/>
                <w:szCs w:val="18"/>
              </w:rPr>
            </w:pPr>
            <w:r>
              <w:rPr>
                <w:rFonts w:cs="Times New Roman"/>
                <w:sz w:val="18"/>
                <w:szCs w:val="18"/>
              </w:rPr>
              <w:t>0.03 (0.00 – 0.10)</w:t>
            </w:r>
          </w:p>
        </w:tc>
        <w:tc>
          <w:tcPr>
            <w:tcW w:w="618" w:type="dxa"/>
            <w:tcBorders>
              <w:top w:val="single" w:sz="4" w:space="0" w:color="auto"/>
              <w:bottom w:val="single" w:sz="4" w:space="0" w:color="auto"/>
            </w:tcBorders>
            <w:vAlign w:val="center"/>
          </w:tcPr>
          <w:p w14:paraId="186B3AF8" w14:textId="33204AA2" w:rsidR="00831E3C" w:rsidRDefault="00831E3C" w:rsidP="00DC663B">
            <w:pPr>
              <w:spacing w:after="0" w:line="240" w:lineRule="auto"/>
              <w:jc w:val="right"/>
              <w:rPr>
                <w:rFonts w:cs="Times New Roman"/>
                <w:sz w:val="18"/>
                <w:szCs w:val="18"/>
              </w:rPr>
            </w:pPr>
            <w:r w:rsidRPr="003609FF">
              <w:rPr>
                <w:rFonts w:cs="Times New Roman"/>
                <w:color w:val="000000"/>
                <w:sz w:val="18"/>
                <w:szCs w:val="18"/>
              </w:rPr>
              <w:t>6</w:t>
            </w:r>
          </w:p>
        </w:tc>
        <w:tc>
          <w:tcPr>
            <w:tcW w:w="1871" w:type="dxa"/>
            <w:tcBorders>
              <w:top w:val="single" w:sz="4" w:space="0" w:color="auto"/>
              <w:bottom w:val="single" w:sz="4" w:space="0" w:color="auto"/>
            </w:tcBorders>
            <w:vAlign w:val="center"/>
          </w:tcPr>
          <w:p w14:paraId="697A5CAF" w14:textId="78DBF8DF" w:rsidR="00831E3C" w:rsidRDefault="00831E3C" w:rsidP="00831E3C">
            <w:pPr>
              <w:spacing w:after="0" w:line="240" w:lineRule="auto"/>
              <w:rPr>
                <w:rFonts w:cs="Times New Roman"/>
                <w:sz w:val="18"/>
                <w:szCs w:val="18"/>
              </w:rPr>
            </w:pPr>
            <w:r>
              <w:rPr>
                <w:sz w:val="18"/>
                <w:szCs w:val="18"/>
              </w:rPr>
              <w:t>0.03 (0.00 – 0.08)</w:t>
            </w:r>
          </w:p>
        </w:tc>
      </w:tr>
      <w:tr w:rsidR="00EA3B91" w:rsidRPr="00730356" w14:paraId="25862BA2" w14:textId="75987612" w:rsidTr="003F4CA0">
        <w:tc>
          <w:tcPr>
            <w:tcW w:w="3342" w:type="dxa"/>
            <w:tcBorders>
              <w:top w:val="single" w:sz="4" w:space="0" w:color="auto"/>
              <w:bottom w:val="single" w:sz="4" w:space="0" w:color="auto"/>
            </w:tcBorders>
          </w:tcPr>
          <w:p w14:paraId="1E1FA5D6" w14:textId="77777777" w:rsidR="00831E3C" w:rsidRPr="00730356" w:rsidRDefault="00831E3C" w:rsidP="00831E3C">
            <w:pPr>
              <w:spacing w:after="0" w:line="240" w:lineRule="auto"/>
              <w:ind w:left="170"/>
              <w:rPr>
                <w:rFonts w:cs="Times New Roman"/>
                <w:sz w:val="18"/>
                <w:szCs w:val="18"/>
              </w:rPr>
            </w:pPr>
            <w:r w:rsidRPr="00730356">
              <w:rPr>
                <w:rFonts w:cs="Times New Roman"/>
                <w:i/>
                <w:sz w:val="18"/>
                <w:szCs w:val="18"/>
              </w:rPr>
              <w:t>Enterobacter</w:t>
            </w:r>
            <w:r w:rsidRPr="00730356">
              <w:rPr>
                <w:rFonts w:cs="Times New Roman"/>
                <w:sz w:val="18"/>
                <w:szCs w:val="18"/>
              </w:rPr>
              <w:t xml:space="preserve"> species</w:t>
            </w:r>
          </w:p>
        </w:tc>
        <w:tc>
          <w:tcPr>
            <w:tcW w:w="472" w:type="dxa"/>
            <w:tcBorders>
              <w:top w:val="single" w:sz="4" w:space="0" w:color="auto"/>
              <w:bottom w:val="single" w:sz="4" w:space="0" w:color="auto"/>
            </w:tcBorders>
            <w:vAlign w:val="center"/>
          </w:tcPr>
          <w:p w14:paraId="3F29CDF8"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w:t>
            </w:r>
          </w:p>
        </w:tc>
        <w:tc>
          <w:tcPr>
            <w:tcW w:w="1925" w:type="dxa"/>
            <w:tcBorders>
              <w:top w:val="single" w:sz="4" w:space="0" w:color="auto"/>
              <w:bottom w:val="single" w:sz="4" w:space="0" w:color="auto"/>
            </w:tcBorders>
            <w:vAlign w:val="center"/>
          </w:tcPr>
          <w:p w14:paraId="41CF8B05" w14:textId="77777777" w:rsidR="00831E3C" w:rsidRPr="00B50945" w:rsidRDefault="00831E3C" w:rsidP="00831E3C">
            <w:pPr>
              <w:spacing w:after="0" w:line="240" w:lineRule="auto"/>
              <w:rPr>
                <w:rFonts w:cs="Times New Roman"/>
                <w:sz w:val="18"/>
                <w:szCs w:val="18"/>
              </w:rPr>
            </w:pPr>
            <w:r>
              <w:rPr>
                <w:rFonts w:cs="Times New Roman"/>
                <w:sz w:val="18"/>
                <w:szCs w:val="18"/>
              </w:rPr>
              <w:t>0.50 (0.09 – 0.91)</w:t>
            </w:r>
          </w:p>
        </w:tc>
        <w:tc>
          <w:tcPr>
            <w:tcW w:w="510" w:type="dxa"/>
            <w:tcBorders>
              <w:top w:val="single" w:sz="4" w:space="0" w:color="auto"/>
              <w:bottom w:val="single" w:sz="4" w:space="0" w:color="auto"/>
            </w:tcBorders>
            <w:vAlign w:val="center"/>
          </w:tcPr>
          <w:p w14:paraId="5215162F"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9</w:t>
            </w:r>
          </w:p>
        </w:tc>
        <w:tc>
          <w:tcPr>
            <w:tcW w:w="1870" w:type="dxa"/>
            <w:tcBorders>
              <w:top w:val="single" w:sz="4" w:space="0" w:color="auto"/>
              <w:bottom w:val="single" w:sz="4" w:space="0" w:color="auto"/>
            </w:tcBorders>
            <w:vAlign w:val="center"/>
          </w:tcPr>
          <w:p w14:paraId="0E00DAF9" w14:textId="77777777" w:rsidR="00831E3C" w:rsidRPr="00B50945" w:rsidRDefault="00831E3C" w:rsidP="00831E3C">
            <w:pPr>
              <w:spacing w:after="0" w:line="240" w:lineRule="auto"/>
              <w:rPr>
                <w:rFonts w:cs="Times New Roman"/>
                <w:sz w:val="18"/>
                <w:szCs w:val="18"/>
              </w:rPr>
            </w:pPr>
            <w:r>
              <w:rPr>
                <w:rFonts w:cs="Times New Roman"/>
                <w:sz w:val="18"/>
                <w:szCs w:val="18"/>
              </w:rPr>
              <w:t>0.10 (0.04 – 0.18)</w:t>
            </w:r>
          </w:p>
        </w:tc>
        <w:tc>
          <w:tcPr>
            <w:tcW w:w="576" w:type="dxa"/>
            <w:tcBorders>
              <w:top w:val="single" w:sz="4" w:space="0" w:color="auto"/>
              <w:bottom w:val="single" w:sz="4" w:space="0" w:color="auto"/>
            </w:tcBorders>
            <w:vAlign w:val="center"/>
          </w:tcPr>
          <w:p w14:paraId="51DD4A63"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4</w:t>
            </w:r>
          </w:p>
        </w:tc>
        <w:tc>
          <w:tcPr>
            <w:tcW w:w="1926" w:type="dxa"/>
            <w:tcBorders>
              <w:top w:val="single" w:sz="4" w:space="0" w:color="auto"/>
              <w:bottom w:val="single" w:sz="4" w:space="0" w:color="auto"/>
            </w:tcBorders>
            <w:vAlign w:val="center"/>
          </w:tcPr>
          <w:p w14:paraId="317BA031" w14:textId="77777777" w:rsidR="00831E3C" w:rsidRPr="00B50945" w:rsidRDefault="00831E3C" w:rsidP="00831E3C">
            <w:pPr>
              <w:spacing w:after="0" w:line="240" w:lineRule="auto"/>
              <w:rPr>
                <w:rFonts w:cs="Times New Roman"/>
                <w:sz w:val="18"/>
                <w:szCs w:val="18"/>
              </w:rPr>
            </w:pPr>
            <w:r>
              <w:rPr>
                <w:rFonts w:cs="Times New Roman"/>
                <w:sz w:val="18"/>
                <w:szCs w:val="18"/>
              </w:rPr>
              <w:t>0.07 (0.03 – 0.16)</w:t>
            </w:r>
          </w:p>
        </w:tc>
        <w:tc>
          <w:tcPr>
            <w:tcW w:w="510" w:type="dxa"/>
            <w:tcBorders>
              <w:top w:val="single" w:sz="4" w:space="0" w:color="auto"/>
              <w:bottom w:val="single" w:sz="4" w:space="0" w:color="auto"/>
            </w:tcBorders>
            <w:vAlign w:val="center"/>
          </w:tcPr>
          <w:p w14:paraId="6EBD44AD"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w:t>
            </w:r>
          </w:p>
        </w:tc>
        <w:tc>
          <w:tcPr>
            <w:tcW w:w="1871" w:type="dxa"/>
            <w:tcBorders>
              <w:top w:val="single" w:sz="4" w:space="0" w:color="auto"/>
              <w:bottom w:val="single" w:sz="4" w:space="0" w:color="auto"/>
            </w:tcBorders>
            <w:vAlign w:val="center"/>
          </w:tcPr>
          <w:p w14:paraId="6E00889F" w14:textId="77777777" w:rsidR="00831E3C" w:rsidRPr="00B50945" w:rsidRDefault="00831E3C" w:rsidP="00831E3C">
            <w:pPr>
              <w:spacing w:after="0" w:line="240" w:lineRule="auto"/>
              <w:rPr>
                <w:rFonts w:cs="Times New Roman"/>
                <w:sz w:val="18"/>
                <w:szCs w:val="18"/>
              </w:rPr>
            </w:pPr>
            <w:r>
              <w:rPr>
                <w:rFonts w:cs="Times New Roman"/>
                <w:sz w:val="18"/>
                <w:szCs w:val="18"/>
              </w:rPr>
              <w:t>0.07 (0.01 – 0.30)</w:t>
            </w:r>
          </w:p>
        </w:tc>
        <w:tc>
          <w:tcPr>
            <w:tcW w:w="618" w:type="dxa"/>
            <w:tcBorders>
              <w:top w:val="single" w:sz="4" w:space="0" w:color="auto"/>
              <w:bottom w:val="single" w:sz="4" w:space="0" w:color="auto"/>
            </w:tcBorders>
            <w:vAlign w:val="center"/>
          </w:tcPr>
          <w:p w14:paraId="6986BD8B" w14:textId="29E782EA" w:rsidR="00831E3C" w:rsidRDefault="00831E3C" w:rsidP="00DC663B">
            <w:pPr>
              <w:spacing w:after="0" w:line="240" w:lineRule="auto"/>
              <w:jc w:val="right"/>
              <w:rPr>
                <w:rFonts w:cs="Times New Roman"/>
                <w:sz w:val="18"/>
                <w:szCs w:val="18"/>
              </w:rPr>
            </w:pPr>
            <w:r w:rsidRPr="003609FF">
              <w:rPr>
                <w:rFonts w:cs="Times New Roman"/>
                <w:color w:val="000000"/>
                <w:sz w:val="18"/>
                <w:szCs w:val="18"/>
              </w:rPr>
              <w:t>15</w:t>
            </w:r>
          </w:p>
        </w:tc>
        <w:tc>
          <w:tcPr>
            <w:tcW w:w="1871" w:type="dxa"/>
            <w:tcBorders>
              <w:top w:val="single" w:sz="4" w:space="0" w:color="auto"/>
              <w:bottom w:val="single" w:sz="4" w:space="0" w:color="auto"/>
            </w:tcBorders>
            <w:vAlign w:val="center"/>
          </w:tcPr>
          <w:p w14:paraId="74F67B02" w14:textId="3196273F" w:rsidR="00831E3C" w:rsidRDefault="00831E3C" w:rsidP="00831E3C">
            <w:pPr>
              <w:spacing w:after="0" w:line="240" w:lineRule="auto"/>
              <w:rPr>
                <w:rFonts w:cs="Times New Roman"/>
                <w:sz w:val="18"/>
                <w:szCs w:val="18"/>
              </w:rPr>
            </w:pPr>
            <w:r>
              <w:rPr>
                <w:sz w:val="18"/>
                <w:szCs w:val="18"/>
              </w:rPr>
              <w:t>0.06 (0.02 – 0.11)</w:t>
            </w:r>
          </w:p>
        </w:tc>
      </w:tr>
      <w:tr w:rsidR="00EA3B91" w:rsidRPr="00730356" w14:paraId="196D1907" w14:textId="2682EE46" w:rsidTr="003F4CA0">
        <w:tc>
          <w:tcPr>
            <w:tcW w:w="3342" w:type="dxa"/>
            <w:tcBorders>
              <w:top w:val="single" w:sz="4" w:space="0" w:color="auto"/>
              <w:bottom w:val="single" w:sz="4" w:space="0" w:color="auto"/>
            </w:tcBorders>
          </w:tcPr>
          <w:p w14:paraId="2744A0AC" w14:textId="77777777" w:rsidR="00831E3C" w:rsidRPr="00730356" w:rsidRDefault="00831E3C" w:rsidP="00831E3C">
            <w:pPr>
              <w:spacing w:after="0" w:line="240" w:lineRule="auto"/>
              <w:ind w:left="170"/>
              <w:rPr>
                <w:rFonts w:cs="Times New Roman"/>
                <w:sz w:val="18"/>
                <w:szCs w:val="18"/>
              </w:rPr>
            </w:pPr>
            <w:r w:rsidRPr="00730356">
              <w:rPr>
                <w:rFonts w:cs="Times New Roman"/>
                <w:i/>
                <w:sz w:val="18"/>
                <w:szCs w:val="18"/>
              </w:rPr>
              <w:t>Serratia</w:t>
            </w:r>
            <w:r w:rsidRPr="00730356">
              <w:rPr>
                <w:rFonts w:cs="Times New Roman"/>
                <w:sz w:val="18"/>
                <w:szCs w:val="18"/>
              </w:rPr>
              <w:t xml:space="preserve"> species</w:t>
            </w:r>
          </w:p>
        </w:tc>
        <w:tc>
          <w:tcPr>
            <w:tcW w:w="472" w:type="dxa"/>
            <w:tcBorders>
              <w:top w:val="single" w:sz="4" w:space="0" w:color="auto"/>
              <w:bottom w:val="single" w:sz="4" w:space="0" w:color="auto"/>
            </w:tcBorders>
          </w:tcPr>
          <w:p w14:paraId="0ED4B084" w14:textId="77777777" w:rsidR="00831E3C" w:rsidRPr="00B50945" w:rsidRDefault="00831E3C" w:rsidP="00831E3C">
            <w:pPr>
              <w:spacing w:after="0" w:line="240" w:lineRule="auto"/>
              <w:jc w:val="right"/>
              <w:rPr>
                <w:rFonts w:cs="Times New Roman"/>
                <w:sz w:val="18"/>
                <w:szCs w:val="18"/>
              </w:rPr>
            </w:pPr>
            <w:r w:rsidRPr="00B81062">
              <w:rPr>
                <w:rFonts w:cs="Times New Roman"/>
                <w:sz w:val="18"/>
                <w:szCs w:val="18"/>
              </w:rPr>
              <w:t>0</w:t>
            </w:r>
          </w:p>
        </w:tc>
        <w:tc>
          <w:tcPr>
            <w:tcW w:w="1925" w:type="dxa"/>
            <w:tcBorders>
              <w:top w:val="single" w:sz="4" w:space="0" w:color="auto"/>
              <w:bottom w:val="single" w:sz="4" w:space="0" w:color="auto"/>
            </w:tcBorders>
            <w:vAlign w:val="center"/>
          </w:tcPr>
          <w:p w14:paraId="10847D1D"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45C08E1D" w14:textId="77777777" w:rsidR="00831E3C" w:rsidRPr="00B50945" w:rsidRDefault="00831E3C" w:rsidP="00831E3C">
            <w:pPr>
              <w:spacing w:after="0" w:line="240" w:lineRule="auto"/>
              <w:jc w:val="right"/>
              <w:rPr>
                <w:rFonts w:cs="Times New Roman"/>
                <w:sz w:val="18"/>
                <w:szCs w:val="18"/>
              </w:rPr>
            </w:pPr>
            <w:r>
              <w:rPr>
                <w:rFonts w:cs="Times New Roman"/>
                <w:sz w:val="18"/>
                <w:szCs w:val="18"/>
              </w:rPr>
              <w:t>0</w:t>
            </w:r>
          </w:p>
        </w:tc>
        <w:tc>
          <w:tcPr>
            <w:tcW w:w="1870" w:type="dxa"/>
            <w:tcBorders>
              <w:top w:val="single" w:sz="4" w:space="0" w:color="auto"/>
              <w:bottom w:val="single" w:sz="4" w:space="0" w:color="auto"/>
            </w:tcBorders>
            <w:vAlign w:val="center"/>
          </w:tcPr>
          <w:p w14:paraId="0718BA71" w14:textId="77777777" w:rsidR="00831E3C" w:rsidRPr="00B50945" w:rsidRDefault="00831E3C" w:rsidP="00831E3C">
            <w:pPr>
              <w:spacing w:after="0" w:line="240" w:lineRule="auto"/>
              <w:rPr>
                <w:rFonts w:cs="Times New Roman"/>
                <w:sz w:val="18"/>
                <w:szCs w:val="18"/>
              </w:rPr>
            </w:pPr>
          </w:p>
        </w:tc>
        <w:tc>
          <w:tcPr>
            <w:tcW w:w="576" w:type="dxa"/>
            <w:tcBorders>
              <w:top w:val="single" w:sz="4" w:space="0" w:color="auto"/>
              <w:bottom w:val="single" w:sz="4" w:space="0" w:color="auto"/>
            </w:tcBorders>
            <w:vAlign w:val="center"/>
          </w:tcPr>
          <w:p w14:paraId="5AB5349A"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3</w:t>
            </w:r>
          </w:p>
        </w:tc>
        <w:tc>
          <w:tcPr>
            <w:tcW w:w="1926" w:type="dxa"/>
            <w:tcBorders>
              <w:top w:val="single" w:sz="4" w:space="0" w:color="auto"/>
              <w:bottom w:val="single" w:sz="4" w:space="0" w:color="auto"/>
            </w:tcBorders>
            <w:vAlign w:val="center"/>
          </w:tcPr>
          <w:p w14:paraId="74AFD095" w14:textId="77777777" w:rsidR="00831E3C" w:rsidRPr="00B50945" w:rsidRDefault="00831E3C" w:rsidP="00831E3C">
            <w:pPr>
              <w:spacing w:after="0" w:line="240" w:lineRule="auto"/>
              <w:rPr>
                <w:rFonts w:cs="Times New Roman"/>
                <w:sz w:val="18"/>
                <w:szCs w:val="18"/>
              </w:rPr>
            </w:pPr>
            <w:r>
              <w:rPr>
                <w:rFonts w:cs="Times New Roman"/>
                <w:sz w:val="18"/>
                <w:szCs w:val="18"/>
              </w:rPr>
              <w:t>0.08 (0.03 – 0.22)</w:t>
            </w:r>
          </w:p>
        </w:tc>
        <w:tc>
          <w:tcPr>
            <w:tcW w:w="510" w:type="dxa"/>
            <w:tcBorders>
              <w:top w:val="single" w:sz="4" w:space="0" w:color="auto"/>
              <w:bottom w:val="single" w:sz="4" w:space="0" w:color="auto"/>
            </w:tcBorders>
          </w:tcPr>
          <w:p w14:paraId="17E1DFC3" w14:textId="77777777" w:rsidR="00831E3C" w:rsidRPr="00B50945" w:rsidRDefault="00831E3C" w:rsidP="00831E3C">
            <w:pPr>
              <w:spacing w:after="0" w:line="240" w:lineRule="auto"/>
              <w:jc w:val="right"/>
              <w:rPr>
                <w:rFonts w:cs="Times New Roman"/>
                <w:sz w:val="18"/>
                <w:szCs w:val="18"/>
              </w:rPr>
            </w:pPr>
            <w:r w:rsidRPr="006A5D9C">
              <w:rPr>
                <w:rFonts w:cs="Times New Roman"/>
                <w:sz w:val="18"/>
                <w:szCs w:val="18"/>
              </w:rPr>
              <w:t>0</w:t>
            </w:r>
          </w:p>
        </w:tc>
        <w:tc>
          <w:tcPr>
            <w:tcW w:w="1871" w:type="dxa"/>
            <w:tcBorders>
              <w:top w:val="single" w:sz="4" w:space="0" w:color="auto"/>
              <w:bottom w:val="single" w:sz="4" w:space="0" w:color="auto"/>
            </w:tcBorders>
            <w:vAlign w:val="center"/>
          </w:tcPr>
          <w:p w14:paraId="4F520A97" w14:textId="77777777" w:rsidR="00831E3C" w:rsidRPr="00B50945" w:rsidRDefault="00831E3C" w:rsidP="00831E3C">
            <w:pPr>
              <w:spacing w:after="0" w:line="240" w:lineRule="auto"/>
              <w:rPr>
                <w:rFonts w:cs="Times New Roman"/>
                <w:sz w:val="18"/>
                <w:szCs w:val="18"/>
              </w:rPr>
            </w:pPr>
          </w:p>
        </w:tc>
        <w:tc>
          <w:tcPr>
            <w:tcW w:w="618" w:type="dxa"/>
            <w:tcBorders>
              <w:top w:val="single" w:sz="4" w:space="0" w:color="auto"/>
              <w:bottom w:val="single" w:sz="4" w:space="0" w:color="auto"/>
            </w:tcBorders>
            <w:vAlign w:val="center"/>
          </w:tcPr>
          <w:p w14:paraId="4B4BED97" w14:textId="686C665D" w:rsidR="00831E3C" w:rsidRPr="00B50945" w:rsidRDefault="00831E3C" w:rsidP="00DC663B">
            <w:pPr>
              <w:spacing w:after="0" w:line="240" w:lineRule="auto"/>
              <w:jc w:val="right"/>
              <w:rPr>
                <w:rFonts w:cs="Times New Roman"/>
                <w:sz w:val="18"/>
                <w:szCs w:val="18"/>
              </w:rPr>
            </w:pPr>
            <w:r w:rsidRPr="003609FF">
              <w:rPr>
                <w:rFonts w:cs="Times New Roman"/>
                <w:color w:val="000000"/>
                <w:sz w:val="18"/>
                <w:szCs w:val="18"/>
              </w:rPr>
              <w:t>3</w:t>
            </w:r>
          </w:p>
        </w:tc>
        <w:tc>
          <w:tcPr>
            <w:tcW w:w="1871" w:type="dxa"/>
            <w:tcBorders>
              <w:top w:val="single" w:sz="4" w:space="0" w:color="auto"/>
              <w:bottom w:val="single" w:sz="4" w:space="0" w:color="auto"/>
            </w:tcBorders>
            <w:vAlign w:val="center"/>
          </w:tcPr>
          <w:p w14:paraId="07FBACE7" w14:textId="219FECC2" w:rsidR="00831E3C" w:rsidRPr="00B50945" w:rsidRDefault="00831E3C" w:rsidP="00831E3C">
            <w:pPr>
              <w:spacing w:after="0" w:line="240" w:lineRule="auto"/>
              <w:rPr>
                <w:rFonts w:cs="Times New Roman"/>
                <w:sz w:val="18"/>
                <w:szCs w:val="18"/>
              </w:rPr>
            </w:pPr>
            <w:r>
              <w:rPr>
                <w:sz w:val="18"/>
                <w:szCs w:val="18"/>
              </w:rPr>
              <w:t>0.08 (0.01 – 0.20)</w:t>
            </w:r>
          </w:p>
        </w:tc>
      </w:tr>
      <w:tr w:rsidR="00EA3B91" w:rsidRPr="00730356" w14:paraId="36716987" w14:textId="118DCE5B" w:rsidTr="003F4CA0">
        <w:tc>
          <w:tcPr>
            <w:tcW w:w="3342" w:type="dxa"/>
            <w:tcBorders>
              <w:top w:val="single" w:sz="4" w:space="0" w:color="auto"/>
              <w:bottom w:val="single" w:sz="4" w:space="0" w:color="auto"/>
            </w:tcBorders>
          </w:tcPr>
          <w:p w14:paraId="0965D0AD" w14:textId="77777777" w:rsidR="00831E3C" w:rsidRPr="00730356" w:rsidRDefault="00831E3C" w:rsidP="00831E3C">
            <w:pPr>
              <w:spacing w:after="0" w:line="240" w:lineRule="auto"/>
              <w:ind w:left="170"/>
              <w:rPr>
                <w:rFonts w:cs="Times New Roman"/>
                <w:sz w:val="18"/>
                <w:szCs w:val="18"/>
              </w:rPr>
            </w:pPr>
            <w:r w:rsidRPr="00730356">
              <w:rPr>
                <w:rFonts w:cs="Times New Roman"/>
                <w:i/>
                <w:sz w:val="18"/>
                <w:szCs w:val="18"/>
              </w:rPr>
              <w:t>Proteus</w:t>
            </w:r>
            <w:r w:rsidRPr="00730356">
              <w:rPr>
                <w:rFonts w:cs="Times New Roman"/>
                <w:sz w:val="18"/>
                <w:szCs w:val="18"/>
              </w:rPr>
              <w:t xml:space="preserve"> species</w:t>
            </w:r>
          </w:p>
        </w:tc>
        <w:tc>
          <w:tcPr>
            <w:tcW w:w="472" w:type="dxa"/>
            <w:tcBorders>
              <w:top w:val="single" w:sz="4" w:space="0" w:color="auto"/>
              <w:bottom w:val="single" w:sz="4" w:space="0" w:color="auto"/>
            </w:tcBorders>
          </w:tcPr>
          <w:p w14:paraId="220339FE" w14:textId="77777777" w:rsidR="00831E3C" w:rsidRPr="00B50945" w:rsidRDefault="00831E3C" w:rsidP="00831E3C">
            <w:pPr>
              <w:spacing w:after="0" w:line="240" w:lineRule="auto"/>
              <w:jc w:val="right"/>
              <w:rPr>
                <w:rFonts w:cs="Times New Roman"/>
                <w:sz w:val="18"/>
                <w:szCs w:val="18"/>
              </w:rPr>
            </w:pPr>
            <w:r w:rsidRPr="00B81062">
              <w:rPr>
                <w:rFonts w:cs="Times New Roman"/>
                <w:sz w:val="18"/>
                <w:szCs w:val="18"/>
              </w:rPr>
              <w:t>0</w:t>
            </w:r>
          </w:p>
        </w:tc>
        <w:tc>
          <w:tcPr>
            <w:tcW w:w="1925" w:type="dxa"/>
            <w:tcBorders>
              <w:top w:val="single" w:sz="4" w:space="0" w:color="auto"/>
              <w:bottom w:val="single" w:sz="4" w:space="0" w:color="auto"/>
            </w:tcBorders>
            <w:vAlign w:val="center"/>
          </w:tcPr>
          <w:p w14:paraId="70D48123"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236B20F0"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2</w:t>
            </w:r>
          </w:p>
        </w:tc>
        <w:tc>
          <w:tcPr>
            <w:tcW w:w="1870" w:type="dxa"/>
            <w:tcBorders>
              <w:top w:val="single" w:sz="4" w:space="0" w:color="auto"/>
              <w:bottom w:val="single" w:sz="4" w:space="0" w:color="auto"/>
            </w:tcBorders>
            <w:vAlign w:val="center"/>
          </w:tcPr>
          <w:p w14:paraId="5FDB6F87" w14:textId="77777777" w:rsidR="00831E3C" w:rsidRPr="00B50945" w:rsidRDefault="00831E3C" w:rsidP="00831E3C">
            <w:pPr>
              <w:spacing w:after="0" w:line="240" w:lineRule="auto"/>
              <w:rPr>
                <w:rFonts w:cs="Times New Roman"/>
                <w:sz w:val="18"/>
                <w:szCs w:val="18"/>
              </w:rPr>
            </w:pPr>
            <w:r>
              <w:rPr>
                <w:rFonts w:cs="Times New Roman"/>
                <w:sz w:val="18"/>
                <w:szCs w:val="18"/>
              </w:rPr>
              <w:t>0.01 (0.00 – 0.06)</w:t>
            </w:r>
          </w:p>
        </w:tc>
        <w:tc>
          <w:tcPr>
            <w:tcW w:w="576" w:type="dxa"/>
            <w:tcBorders>
              <w:top w:val="single" w:sz="4" w:space="0" w:color="auto"/>
              <w:bottom w:val="single" w:sz="4" w:space="0" w:color="auto"/>
            </w:tcBorders>
            <w:vAlign w:val="center"/>
          </w:tcPr>
          <w:p w14:paraId="00526DCE" w14:textId="77777777" w:rsidR="00831E3C" w:rsidRPr="00B50945" w:rsidRDefault="00831E3C" w:rsidP="00831E3C">
            <w:pPr>
              <w:spacing w:after="0" w:line="240" w:lineRule="auto"/>
              <w:jc w:val="right"/>
              <w:rPr>
                <w:rFonts w:cs="Times New Roman"/>
                <w:sz w:val="18"/>
                <w:szCs w:val="18"/>
              </w:rPr>
            </w:pPr>
            <w:r>
              <w:rPr>
                <w:rFonts w:cs="Times New Roman"/>
                <w:sz w:val="18"/>
                <w:szCs w:val="18"/>
              </w:rPr>
              <w:t>0</w:t>
            </w:r>
          </w:p>
        </w:tc>
        <w:tc>
          <w:tcPr>
            <w:tcW w:w="1926" w:type="dxa"/>
            <w:tcBorders>
              <w:top w:val="single" w:sz="4" w:space="0" w:color="auto"/>
              <w:bottom w:val="single" w:sz="4" w:space="0" w:color="auto"/>
            </w:tcBorders>
            <w:vAlign w:val="center"/>
          </w:tcPr>
          <w:p w14:paraId="754B308E"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tcPr>
          <w:p w14:paraId="6092A4AE" w14:textId="77777777" w:rsidR="00831E3C" w:rsidRPr="00B50945" w:rsidRDefault="00831E3C" w:rsidP="00831E3C">
            <w:pPr>
              <w:spacing w:after="0" w:line="240" w:lineRule="auto"/>
              <w:jc w:val="right"/>
              <w:rPr>
                <w:rFonts w:cs="Times New Roman"/>
                <w:sz w:val="18"/>
                <w:szCs w:val="18"/>
              </w:rPr>
            </w:pPr>
            <w:r w:rsidRPr="006A5D9C">
              <w:rPr>
                <w:rFonts w:cs="Times New Roman"/>
                <w:sz w:val="18"/>
                <w:szCs w:val="18"/>
              </w:rPr>
              <w:t>0</w:t>
            </w:r>
          </w:p>
        </w:tc>
        <w:tc>
          <w:tcPr>
            <w:tcW w:w="1871" w:type="dxa"/>
            <w:tcBorders>
              <w:top w:val="single" w:sz="4" w:space="0" w:color="auto"/>
              <w:bottom w:val="single" w:sz="4" w:space="0" w:color="auto"/>
            </w:tcBorders>
            <w:vAlign w:val="center"/>
          </w:tcPr>
          <w:p w14:paraId="74C4A16B" w14:textId="77777777" w:rsidR="00831E3C" w:rsidRPr="00B50945" w:rsidRDefault="00831E3C" w:rsidP="00831E3C">
            <w:pPr>
              <w:spacing w:after="0" w:line="240" w:lineRule="auto"/>
              <w:rPr>
                <w:rFonts w:cs="Times New Roman"/>
                <w:sz w:val="18"/>
                <w:szCs w:val="18"/>
              </w:rPr>
            </w:pPr>
          </w:p>
        </w:tc>
        <w:tc>
          <w:tcPr>
            <w:tcW w:w="618" w:type="dxa"/>
            <w:tcBorders>
              <w:top w:val="single" w:sz="4" w:space="0" w:color="auto"/>
              <w:bottom w:val="single" w:sz="4" w:space="0" w:color="auto"/>
            </w:tcBorders>
            <w:vAlign w:val="center"/>
          </w:tcPr>
          <w:p w14:paraId="4BA8D011" w14:textId="0F4A8255" w:rsidR="00831E3C" w:rsidRPr="00B50945" w:rsidRDefault="00831E3C" w:rsidP="00DC663B">
            <w:pPr>
              <w:spacing w:after="0" w:line="240" w:lineRule="auto"/>
              <w:jc w:val="right"/>
              <w:rPr>
                <w:rFonts w:cs="Times New Roman"/>
                <w:sz w:val="18"/>
                <w:szCs w:val="18"/>
              </w:rPr>
            </w:pPr>
            <w:r w:rsidRPr="003609FF">
              <w:rPr>
                <w:rFonts w:cs="Times New Roman"/>
                <w:color w:val="000000"/>
                <w:sz w:val="18"/>
                <w:szCs w:val="18"/>
              </w:rPr>
              <w:t>2</w:t>
            </w:r>
          </w:p>
        </w:tc>
        <w:tc>
          <w:tcPr>
            <w:tcW w:w="1871" w:type="dxa"/>
            <w:tcBorders>
              <w:top w:val="single" w:sz="4" w:space="0" w:color="auto"/>
              <w:bottom w:val="single" w:sz="4" w:space="0" w:color="auto"/>
            </w:tcBorders>
            <w:vAlign w:val="center"/>
          </w:tcPr>
          <w:p w14:paraId="083237A1" w14:textId="38769EAB" w:rsidR="00831E3C" w:rsidRPr="00B50945" w:rsidRDefault="00831E3C" w:rsidP="00831E3C">
            <w:pPr>
              <w:spacing w:after="0" w:line="240" w:lineRule="auto"/>
              <w:rPr>
                <w:rFonts w:cs="Times New Roman"/>
                <w:sz w:val="18"/>
                <w:szCs w:val="18"/>
              </w:rPr>
            </w:pPr>
            <w:r>
              <w:rPr>
                <w:sz w:val="18"/>
                <w:szCs w:val="18"/>
              </w:rPr>
              <w:t>0.01 (0.00 – 0.06)</w:t>
            </w:r>
          </w:p>
        </w:tc>
      </w:tr>
      <w:tr w:rsidR="00EA3B91" w:rsidRPr="00730356" w14:paraId="1AAC4A9D" w14:textId="3AFC8049" w:rsidTr="003F4CA0">
        <w:tc>
          <w:tcPr>
            <w:tcW w:w="3342" w:type="dxa"/>
            <w:tcBorders>
              <w:top w:val="single" w:sz="4" w:space="0" w:color="auto"/>
              <w:bottom w:val="single" w:sz="4" w:space="0" w:color="auto"/>
            </w:tcBorders>
          </w:tcPr>
          <w:p w14:paraId="37EA29FF" w14:textId="77777777" w:rsidR="00831E3C" w:rsidRPr="00730356" w:rsidRDefault="00831E3C" w:rsidP="00831E3C">
            <w:pPr>
              <w:spacing w:after="0" w:line="240" w:lineRule="auto"/>
              <w:ind w:left="170"/>
              <w:rPr>
                <w:rFonts w:cs="Times New Roman"/>
                <w:sz w:val="18"/>
                <w:szCs w:val="18"/>
              </w:rPr>
            </w:pPr>
            <w:r w:rsidRPr="00730356">
              <w:rPr>
                <w:rFonts w:cs="Times New Roman"/>
                <w:i/>
                <w:sz w:val="18"/>
                <w:szCs w:val="18"/>
              </w:rPr>
              <w:t>Salmonella</w:t>
            </w:r>
            <w:r w:rsidRPr="00730356">
              <w:rPr>
                <w:rFonts w:cs="Times New Roman"/>
                <w:sz w:val="18"/>
                <w:szCs w:val="18"/>
              </w:rPr>
              <w:t xml:space="preserve"> species</w:t>
            </w:r>
          </w:p>
        </w:tc>
        <w:tc>
          <w:tcPr>
            <w:tcW w:w="472" w:type="dxa"/>
            <w:tcBorders>
              <w:top w:val="single" w:sz="4" w:space="0" w:color="auto"/>
              <w:bottom w:val="single" w:sz="4" w:space="0" w:color="auto"/>
            </w:tcBorders>
          </w:tcPr>
          <w:p w14:paraId="2D5A0031" w14:textId="77777777" w:rsidR="00831E3C" w:rsidRPr="00B50945" w:rsidRDefault="00831E3C" w:rsidP="00831E3C">
            <w:pPr>
              <w:spacing w:after="0" w:line="240" w:lineRule="auto"/>
              <w:jc w:val="right"/>
              <w:rPr>
                <w:rFonts w:cs="Times New Roman"/>
                <w:sz w:val="18"/>
                <w:szCs w:val="18"/>
              </w:rPr>
            </w:pPr>
            <w:r w:rsidRPr="00B81062">
              <w:rPr>
                <w:rFonts w:cs="Times New Roman"/>
                <w:sz w:val="18"/>
                <w:szCs w:val="18"/>
              </w:rPr>
              <w:t>0</w:t>
            </w:r>
          </w:p>
        </w:tc>
        <w:tc>
          <w:tcPr>
            <w:tcW w:w="1925" w:type="dxa"/>
            <w:tcBorders>
              <w:top w:val="single" w:sz="4" w:space="0" w:color="auto"/>
              <w:bottom w:val="single" w:sz="4" w:space="0" w:color="auto"/>
            </w:tcBorders>
            <w:vAlign w:val="center"/>
          </w:tcPr>
          <w:p w14:paraId="70C6287F"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7D0C8206"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10</w:t>
            </w:r>
          </w:p>
        </w:tc>
        <w:tc>
          <w:tcPr>
            <w:tcW w:w="1870" w:type="dxa"/>
            <w:tcBorders>
              <w:top w:val="single" w:sz="4" w:space="0" w:color="auto"/>
              <w:bottom w:val="single" w:sz="4" w:space="0" w:color="auto"/>
            </w:tcBorders>
            <w:vAlign w:val="center"/>
          </w:tcPr>
          <w:p w14:paraId="63E523FA" w14:textId="77777777" w:rsidR="00831E3C" w:rsidRPr="00B50945" w:rsidRDefault="00831E3C" w:rsidP="00831E3C">
            <w:pPr>
              <w:spacing w:after="0" w:line="240" w:lineRule="auto"/>
              <w:rPr>
                <w:rFonts w:cs="Times New Roman"/>
                <w:sz w:val="18"/>
                <w:szCs w:val="18"/>
              </w:rPr>
            </w:pPr>
            <w:r>
              <w:rPr>
                <w:rFonts w:cs="Times New Roman"/>
                <w:sz w:val="18"/>
                <w:szCs w:val="18"/>
              </w:rPr>
              <w:t>0.08 (0.03 – 0.13)</w:t>
            </w:r>
          </w:p>
        </w:tc>
        <w:tc>
          <w:tcPr>
            <w:tcW w:w="576" w:type="dxa"/>
            <w:tcBorders>
              <w:top w:val="single" w:sz="4" w:space="0" w:color="auto"/>
              <w:bottom w:val="single" w:sz="4" w:space="0" w:color="auto"/>
            </w:tcBorders>
            <w:vAlign w:val="center"/>
          </w:tcPr>
          <w:p w14:paraId="68A21B23"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7</w:t>
            </w:r>
          </w:p>
        </w:tc>
        <w:tc>
          <w:tcPr>
            <w:tcW w:w="1926" w:type="dxa"/>
            <w:tcBorders>
              <w:top w:val="single" w:sz="4" w:space="0" w:color="auto"/>
              <w:bottom w:val="single" w:sz="4" w:space="0" w:color="auto"/>
            </w:tcBorders>
            <w:vAlign w:val="center"/>
          </w:tcPr>
          <w:p w14:paraId="2DF80E71" w14:textId="77777777" w:rsidR="00831E3C" w:rsidRPr="00B50945" w:rsidRDefault="00831E3C" w:rsidP="00831E3C">
            <w:pPr>
              <w:spacing w:after="0" w:line="240" w:lineRule="auto"/>
              <w:rPr>
                <w:rFonts w:cs="Times New Roman"/>
                <w:sz w:val="18"/>
                <w:szCs w:val="18"/>
              </w:rPr>
            </w:pPr>
            <w:r>
              <w:rPr>
                <w:rFonts w:cs="Times New Roman"/>
                <w:sz w:val="18"/>
                <w:szCs w:val="18"/>
              </w:rPr>
              <w:t>0.12 (0.06 – 0.22))</w:t>
            </w:r>
          </w:p>
        </w:tc>
        <w:tc>
          <w:tcPr>
            <w:tcW w:w="510" w:type="dxa"/>
            <w:tcBorders>
              <w:top w:val="single" w:sz="4" w:space="0" w:color="auto"/>
              <w:bottom w:val="single" w:sz="4" w:space="0" w:color="auto"/>
            </w:tcBorders>
            <w:vAlign w:val="center"/>
          </w:tcPr>
          <w:p w14:paraId="204EE124"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2</w:t>
            </w:r>
          </w:p>
        </w:tc>
        <w:tc>
          <w:tcPr>
            <w:tcW w:w="1871" w:type="dxa"/>
            <w:tcBorders>
              <w:top w:val="single" w:sz="4" w:space="0" w:color="auto"/>
              <w:bottom w:val="single" w:sz="4" w:space="0" w:color="auto"/>
            </w:tcBorders>
            <w:vAlign w:val="center"/>
          </w:tcPr>
          <w:p w14:paraId="0D1FDEA0" w14:textId="77777777" w:rsidR="00831E3C" w:rsidRPr="00B50945" w:rsidRDefault="00831E3C" w:rsidP="00831E3C">
            <w:pPr>
              <w:spacing w:after="0" w:line="240" w:lineRule="auto"/>
              <w:rPr>
                <w:rFonts w:cs="Times New Roman"/>
                <w:sz w:val="18"/>
                <w:szCs w:val="18"/>
              </w:rPr>
            </w:pPr>
            <w:r>
              <w:rPr>
                <w:rFonts w:cs="Times New Roman"/>
                <w:sz w:val="18"/>
                <w:szCs w:val="18"/>
              </w:rPr>
              <w:t>0.06 (0.00 – 0.19)</w:t>
            </w:r>
          </w:p>
        </w:tc>
        <w:tc>
          <w:tcPr>
            <w:tcW w:w="618" w:type="dxa"/>
            <w:tcBorders>
              <w:top w:val="single" w:sz="4" w:space="0" w:color="auto"/>
              <w:bottom w:val="single" w:sz="4" w:space="0" w:color="auto"/>
            </w:tcBorders>
            <w:vAlign w:val="center"/>
          </w:tcPr>
          <w:p w14:paraId="4C5E4076" w14:textId="39B1CAE8" w:rsidR="00831E3C" w:rsidRDefault="00831E3C" w:rsidP="00DC663B">
            <w:pPr>
              <w:spacing w:after="0" w:line="240" w:lineRule="auto"/>
              <w:jc w:val="right"/>
              <w:rPr>
                <w:rFonts w:cs="Times New Roman"/>
                <w:sz w:val="18"/>
                <w:szCs w:val="18"/>
              </w:rPr>
            </w:pPr>
            <w:r w:rsidRPr="003609FF">
              <w:rPr>
                <w:rFonts w:cs="Times New Roman"/>
                <w:color w:val="000000"/>
                <w:sz w:val="18"/>
                <w:szCs w:val="18"/>
              </w:rPr>
              <w:t>19</w:t>
            </w:r>
          </w:p>
        </w:tc>
        <w:tc>
          <w:tcPr>
            <w:tcW w:w="1871" w:type="dxa"/>
            <w:tcBorders>
              <w:top w:val="single" w:sz="4" w:space="0" w:color="auto"/>
              <w:bottom w:val="single" w:sz="4" w:space="0" w:color="auto"/>
            </w:tcBorders>
            <w:vAlign w:val="center"/>
          </w:tcPr>
          <w:p w14:paraId="03D24C29" w14:textId="74C1F660" w:rsidR="00831E3C" w:rsidRDefault="00831E3C" w:rsidP="00831E3C">
            <w:pPr>
              <w:spacing w:after="0" w:line="240" w:lineRule="auto"/>
              <w:rPr>
                <w:rFonts w:cs="Times New Roman"/>
                <w:sz w:val="18"/>
                <w:szCs w:val="18"/>
              </w:rPr>
            </w:pPr>
            <w:r>
              <w:rPr>
                <w:sz w:val="18"/>
                <w:szCs w:val="18"/>
              </w:rPr>
              <w:t>0.08 (0.05 – 0.13)</w:t>
            </w:r>
          </w:p>
        </w:tc>
      </w:tr>
      <w:tr w:rsidR="00EA3B91" w:rsidRPr="00730356" w14:paraId="3A0DEA23" w14:textId="1C5C1444" w:rsidTr="003F4CA0">
        <w:tc>
          <w:tcPr>
            <w:tcW w:w="3342" w:type="dxa"/>
            <w:tcBorders>
              <w:top w:val="single" w:sz="4" w:space="0" w:color="auto"/>
              <w:bottom w:val="single" w:sz="4" w:space="0" w:color="auto"/>
            </w:tcBorders>
          </w:tcPr>
          <w:p w14:paraId="5EB71C22" w14:textId="77777777" w:rsidR="00831E3C" w:rsidRPr="00730356" w:rsidRDefault="00831E3C" w:rsidP="00831E3C">
            <w:pPr>
              <w:spacing w:after="0" w:line="240" w:lineRule="auto"/>
              <w:ind w:left="170"/>
              <w:rPr>
                <w:rFonts w:cs="Times New Roman"/>
                <w:sz w:val="18"/>
                <w:szCs w:val="18"/>
              </w:rPr>
            </w:pPr>
            <w:r w:rsidRPr="00730356">
              <w:rPr>
                <w:rFonts w:cs="Times New Roman"/>
                <w:i/>
                <w:sz w:val="18"/>
                <w:szCs w:val="18"/>
              </w:rPr>
              <w:t>Citrobacter</w:t>
            </w:r>
            <w:r w:rsidRPr="00730356">
              <w:rPr>
                <w:rFonts w:cs="Times New Roman"/>
                <w:sz w:val="18"/>
                <w:szCs w:val="18"/>
              </w:rPr>
              <w:t xml:space="preserve"> species</w:t>
            </w:r>
          </w:p>
        </w:tc>
        <w:tc>
          <w:tcPr>
            <w:tcW w:w="472" w:type="dxa"/>
            <w:tcBorders>
              <w:top w:val="single" w:sz="4" w:space="0" w:color="auto"/>
              <w:bottom w:val="single" w:sz="4" w:space="0" w:color="auto"/>
            </w:tcBorders>
          </w:tcPr>
          <w:p w14:paraId="31BF3FE9" w14:textId="77777777" w:rsidR="00831E3C" w:rsidRPr="00B50945" w:rsidRDefault="00831E3C" w:rsidP="00831E3C">
            <w:pPr>
              <w:spacing w:after="0" w:line="240" w:lineRule="auto"/>
              <w:jc w:val="right"/>
              <w:rPr>
                <w:rFonts w:cs="Times New Roman"/>
                <w:sz w:val="18"/>
                <w:szCs w:val="18"/>
              </w:rPr>
            </w:pPr>
            <w:r w:rsidRPr="00B81062">
              <w:rPr>
                <w:rFonts w:cs="Times New Roman"/>
                <w:sz w:val="18"/>
                <w:szCs w:val="18"/>
              </w:rPr>
              <w:t>0</w:t>
            </w:r>
          </w:p>
        </w:tc>
        <w:tc>
          <w:tcPr>
            <w:tcW w:w="1925" w:type="dxa"/>
            <w:tcBorders>
              <w:top w:val="single" w:sz="4" w:space="0" w:color="auto"/>
              <w:bottom w:val="single" w:sz="4" w:space="0" w:color="auto"/>
            </w:tcBorders>
            <w:vAlign w:val="center"/>
          </w:tcPr>
          <w:p w14:paraId="11039547"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51829125"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w:t>
            </w:r>
          </w:p>
        </w:tc>
        <w:tc>
          <w:tcPr>
            <w:tcW w:w="1870" w:type="dxa"/>
            <w:tcBorders>
              <w:top w:val="single" w:sz="4" w:space="0" w:color="auto"/>
              <w:bottom w:val="single" w:sz="4" w:space="0" w:color="auto"/>
            </w:tcBorders>
            <w:vAlign w:val="center"/>
          </w:tcPr>
          <w:p w14:paraId="190715CE" w14:textId="77777777" w:rsidR="00831E3C" w:rsidRPr="00B50945" w:rsidRDefault="00831E3C" w:rsidP="00831E3C">
            <w:pPr>
              <w:spacing w:after="0" w:line="240" w:lineRule="auto"/>
              <w:rPr>
                <w:rFonts w:cs="Times New Roman"/>
                <w:sz w:val="18"/>
                <w:szCs w:val="18"/>
              </w:rPr>
            </w:pPr>
            <w:r>
              <w:rPr>
                <w:rFonts w:cs="Times New Roman"/>
                <w:sz w:val="18"/>
                <w:szCs w:val="18"/>
              </w:rPr>
              <w:t>0.11 (0.02 – 0.43)</w:t>
            </w:r>
          </w:p>
        </w:tc>
        <w:tc>
          <w:tcPr>
            <w:tcW w:w="576" w:type="dxa"/>
            <w:tcBorders>
              <w:top w:val="single" w:sz="4" w:space="0" w:color="auto"/>
              <w:bottom w:val="single" w:sz="4" w:space="0" w:color="auto"/>
            </w:tcBorders>
            <w:vAlign w:val="center"/>
          </w:tcPr>
          <w:p w14:paraId="3FDC3FC0" w14:textId="77777777" w:rsidR="00831E3C" w:rsidRPr="00B50945" w:rsidRDefault="00831E3C" w:rsidP="00831E3C">
            <w:pPr>
              <w:spacing w:after="0" w:line="240" w:lineRule="auto"/>
              <w:jc w:val="right"/>
              <w:rPr>
                <w:rFonts w:cs="Times New Roman"/>
                <w:sz w:val="18"/>
                <w:szCs w:val="18"/>
              </w:rPr>
            </w:pPr>
            <w:r>
              <w:rPr>
                <w:rFonts w:cs="Times New Roman"/>
                <w:sz w:val="18"/>
                <w:szCs w:val="18"/>
              </w:rPr>
              <w:t>0</w:t>
            </w:r>
          </w:p>
        </w:tc>
        <w:tc>
          <w:tcPr>
            <w:tcW w:w="1926" w:type="dxa"/>
            <w:tcBorders>
              <w:top w:val="single" w:sz="4" w:space="0" w:color="auto"/>
              <w:bottom w:val="single" w:sz="4" w:space="0" w:color="auto"/>
            </w:tcBorders>
            <w:vAlign w:val="center"/>
          </w:tcPr>
          <w:p w14:paraId="7F868043"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65F39089"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2</w:t>
            </w:r>
          </w:p>
        </w:tc>
        <w:tc>
          <w:tcPr>
            <w:tcW w:w="1871" w:type="dxa"/>
            <w:tcBorders>
              <w:top w:val="single" w:sz="4" w:space="0" w:color="auto"/>
              <w:bottom w:val="single" w:sz="4" w:space="0" w:color="auto"/>
            </w:tcBorders>
            <w:vAlign w:val="center"/>
          </w:tcPr>
          <w:p w14:paraId="4BFCBDE5" w14:textId="77777777" w:rsidR="00831E3C" w:rsidRPr="00B50945" w:rsidRDefault="00831E3C" w:rsidP="00831E3C">
            <w:pPr>
              <w:spacing w:after="0" w:line="240" w:lineRule="auto"/>
              <w:rPr>
                <w:rFonts w:cs="Times New Roman"/>
                <w:sz w:val="18"/>
                <w:szCs w:val="18"/>
              </w:rPr>
            </w:pPr>
            <w:r>
              <w:rPr>
                <w:rFonts w:cs="Times New Roman"/>
                <w:sz w:val="18"/>
                <w:szCs w:val="18"/>
              </w:rPr>
              <w:t>0.04 (0.01 – 0.13)</w:t>
            </w:r>
          </w:p>
        </w:tc>
        <w:tc>
          <w:tcPr>
            <w:tcW w:w="618" w:type="dxa"/>
            <w:tcBorders>
              <w:top w:val="single" w:sz="4" w:space="0" w:color="auto"/>
              <w:bottom w:val="single" w:sz="4" w:space="0" w:color="auto"/>
            </w:tcBorders>
            <w:vAlign w:val="center"/>
          </w:tcPr>
          <w:p w14:paraId="2AD6167E" w14:textId="5015C7BF" w:rsidR="00831E3C" w:rsidRDefault="00831E3C" w:rsidP="00DC663B">
            <w:pPr>
              <w:spacing w:after="0" w:line="240" w:lineRule="auto"/>
              <w:jc w:val="right"/>
              <w:rPr>
                <w:rFonts w:cs="Times New Roman"/>
                <w:sz w:val="18"/>
                <w:szCs w:val="18"/>
              </w:rPr>
            </w:pPr>
            <w:r w:rsidRPr="003609FF">
              <w:rPr>
                <w:rFonts w:cs="Times New Roman"/>
                <w:color w:val="000000"/>
                <w:sz w:val="18"/>
                <w:szCs w:val="18"/>
              </w:rPr>
              <w:t>3</w:t>
            </w:r>
          </w:p>
        </w:tc>
        <w:tc>
          <w:tcPr>
            <w:tcW w:w="1871" w:type="dxa"/>
            <w:tcBorders>
              <w:top w:val="single" w:sz="4" w:space="0" w:color="auto"/>
              <w:bottom w:val="single" w:sz="4" w:space="0" w:color="auto"/>
            </w:tcBorders>
            <w:vAlign w:val="center"/>
          </w:tcPr>
          <w:p w14:paraId="138238AB" w14:textId="6E9CC26D" w:rsidR="00831E3C" w:rsidRDefault="00831E3C" w:rsidP="00831E3C">
            <w:pPr>
              <w:spacing w:after="0" w:line="240" w:lineRule="auto"/>
              <w:rPr>
                <w:rFonts w:cs="Times New Roman"/>
                <w:sz w:val="18"/>
                <w:szCs w:val="18"/>
              </w:rPr>
            </w:pPr>
            <w:r>
              <w:rPr>
                <w:sz w:val="18"/>
                <w:szCs w:val="18"/>
              </w:rPr>
              <w:t>0.04 (0.00 – 0.11)</w:t>
            </w:r>
          </w:p>
        </w:tc>
      </w:tr>
      <w:tr w:rsidR="00EA3B91" w:rsidRPr="00730356" w14:paraId="1C1F424D" w14:textId="029AE11C" w:rsidTr="003F4CA0">
        <w:tc>
          <w:tcPr>
            <w:tcW w:w="3342" w:type="dxa"/>
            <w:tcBorders>
              <w:top w:val="single" w:sz="4" w:space="0" w:color="auto"/>
              <w:bottom w:val="single" w:sz="4" w:space="0" w:color="auto"/>
            </w:tcBorders>
          </w:tcPr>
          <w:p w14:paraId="42DC026D" w14:textId="77777777" w:rsidR="00831E3C" w:rsidRPr="00730356" w:rsidRDefault="00831E3C" w:rsidP="00831E3C">
            <w:pPr>
              <w:spacing w:after="0" w:line="240" w:lineRule="auto"/>
              <w:ind w:left="170"/>
              <w:rPr>
                <w:rFonts w:cs="Times New Roman"/>
                <w:sz w:val="18"/>
                <w:szCs w:val="18"/>
              </w:rPr>
            </w:pPr>
            <w:r w:rsidRPr="00730356">
              <w:rPr>
                <w:rFonts w:cs="Times New Roman"/>
                <w:i/>
                <w:sz w:val="18"/>
                <w:szCs w:val="18"/>
              </w:rPr>
              <w:t>Haemophilus influenzae</w:t>
            </w:r>
          </w:p>
        </w:tc>
        <w:tc>
          <w:tcPr>
            <w:tcW w:w="472" w:type="dxa"/>
            <w:tcBorders>
              <w:top w:val="single" w:sz="4" w:space="0" w:color="auto"/>
              <w:bottom w:val="single" w:sz="4" w:space="0" w:color="auto"/>
            </w:tcBorders>
          </w:tcPr>
          <w:p w14:paraId="0D55F4E7" w14:textId="77777777" w:rsidR="00831E3C" w:rsidRPr="00B50945" w:rsidRDefault="00831E3C" w:rsidP="00831E3C">
            <w:pPr>
              <w:spacing w:after="0" w:line="240" w:lineRule="auto"/>
              <w:jc w:val="right"/>
              <w:rPr>
                <w:rFonts w:cs="Times New Roman"/>
                <w:sz w:val="18"/>
                <w:szCs w:val="18"/>
              </w:rPr>
            </w:pPr>
            <w:r w:rsidRPr="00B81062">
              <w:rPr>
                <w:rFonts w:cs="Times New Roman"/>
                <w:sz w:val="18"/>
                <w:szCs w:val="18"/>
              </w:rPr>
              <w:t>0</w:t>
            </w:r>
          </w:p>
        </w:tc>
        <w:tc>
          <w:tcPr>
            <w:tcW w:w="1925" w:type="dxa"/>
            <w:tcBorders>
              <w:top w:val="single" w:sz="4" w:space="0" w:color="auto"/>
              <w:bottom w:val="single" w:sz="4" w:space="0" w:color="auto"/>
            </w:tcBorders>
            <w:vAlign w:val="center"/>
          </w:tcPr>
          <w:p w14:paraId="35A10B93"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7E45CF14"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2</w:t>
            </w:r>
          </w:p>
        </w:tc>
        <w:tc>
          <w:tcPr>
            <w:tcW w:w="1870" w:type="dxa"/>
            <w:tcBorders>
              <w:top w:val="single" w:sz="4" w:space="0" w:color="auto"/>
              <w:bottom w:val="single" w:sz="4" w:space="0" w:color="auto"/>
            </w:tcBorders>
            <w:vAlign w:val="center"/>
          </w:tcPr>
          <w:p w14:paraId="572639CF" w14:textId="77777777" w:rsidR="00831E3C" w:rsidRPr="00B50945" w:rsidRDefault="00831E3C" w:rsidP="00831E3C">
            <w:pPr>
              <w:spacing w:after="0" w:line="240" w:lineRule="auto"/>
              <w:rPr>
                <w:rFonts w:cs="Times New Roman"/>
                <w:sz w:val="18"/>
                <w:szCs w:val="18"/>
              </w:rPr>
            </w:pPr>
            <w:r>
              <w:rPr>
                <w:rFonts w:cs="Times New Roman"/>
                <w:sz w:val="18"/>
                <w:szCs w:val="18"/>
              </w:rPr>
              <w:t>0.02 (0.00 – 0.07)</w:t>
            </w:r>
          </w:p>
        </w:tc>
        <w:tc>
          <w:tcPr>
            <w:tcW w:w="576" w:type="dxa"/>
            <w:tcBorders>
              <w:top w:val="single" w:sz="4" w:space="0" w:color="auto"/>
              <w:bottom w:val="single" w:sz="4" w:space="0" w:color="auto"/>
            </w:tcBorders>
            <w:vAlign w:val="center"/>
          </w:tcPr>
          <w:p w14:paraId="7084AAAA"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6</w:t>
            </w:r>
          </w:p>
        </w:tc>
        <w:tc>
          <w:tcPr>
            <w:tcW w:w="1926" w:type="dxa"/>
            <w:tcBorders>
              <w:top w:val="single" w:sz="4" w:space="0" w:color="auto"/>
              <w:bottom w:val="single" w:sz="4" w:space="0" w:color="auto"/>
            </w:tcBorders>
            <w:vAlign w:val="center"/>
          </w:tcPr>
          <w:p w14:paraId="2C942E40" w14:textId="77777777" w:rsidR="00831E3C" w:rsidRPr="00B50945" w:rsidRDefault="00831E3C" w:rsidP="00831E3C">
            <w:pPr>
              <w:spacing w:after="0" w:line="240" w:lineRule="auto"/>
              <w:rPr>
                <w:rFonts w:cs="Times New Roman"/>
                <w:sz w:val="18"/>
                <w:szCs w:val="18"/>
              </w:rPr>
            </w:pPr>
            <w:r>
              <w:rPr>
                <w:rFonts w:cs="Times New Roman"/>
                <w:sz w:val="18"/>
                <w:szCs w:val="18"/>
              </w:rPr>
              <w:t>0.00 (0.00 – 0.01)</w:t>
            </w:r>
          </w:p>
        </w:tc>
        <w:tc>
          <w:tcPr>
            <w:tcW w:w="510" w:type="dxa"/>
            <w:tcBorders>
              <w:top w:val="single" w:sz="4" w:space="0" w:color="auto"/>
              <w:bottom w:val="single" w:sz="4" w:space="0" w:color="auto"/>
            </w:tcBorders>
            <w:vAlign w:val="center"/>
          </w:tcPr>
          <w:p w14:paraId="4BBF15B5"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2</w:t>
            </w:r>
          </w:p>
        </w:tc>
        <w:tc>
          <w:tcPr>
            <w:tcW w:w="1871" w:type="dxa"/>
            <w:tcBorders>
              <w:top w:val="single" w:sz="4" w:space="0" w:color="auto"/>
              <w:bottom w:val="single" w:sz="4" w:space="0" w:color="auto"/>
            </w:tcBorders>
            <w:vAlign w:val="center"/>
          </w:tcPr>
          <w:p w14:paraId="7CB08D07" w14:textId="77777777" w:rsidR="00831E3C" w:rsidRPr="00B50945" w:rsidRDefault="00831E3C" w:rsidP="00831E3C">
            <w:pPr>
              <w:spacing w:after="0" w:line="240" w:lineRule="auto"/>
              <w:rPr>
                <w:rFonts w:cs="Times New Roman"/>
                <w:sz w:val="18"/>
                <w:szCs w:val="18"/>
              </w:rPr>
            </w:pPr>
            <w:r>
              <w:rPr>
                <w:rFonts w:cs="Times New Roman"/>
                <w:sz w:val="18"/>
                <w:szCs w:val="18"/>
              </w:rPr>
              <w:t>0.04 (0.01 – 0.13)</w:t>
            </w:r>
          </w:p>
        </w:tc>
        <w:tc>
          <w:tcPr>
            <w:tcW w:w="618" w:type="dxa"/>
            <w:tcBorders>
              <w:top w:val="single" w:sz="4" w:space="0" w:color="auto"/>
              <w:bottom w:val="single" w:sz="4" w:space="0" w:color="auto"/>
            </w:tcBorders>
            <w:vAlign w:val="center"/>
          </w:tcPr>
          <w:p w14:paraId="3021C722" w14:textId="0EDBB9D9" w:rsidR="00831E3C" w:rsidRDefault="00831E3C" w:rsidP="00DC663B">
            <w:pPr>
              <w:spacing w:after="0" w:line="240" w:lineRule="auto"/>
              <w:jc w:val="right"/>
              <w:rPr>
                <w:rFonts w:cs="Times New Roman"/>
                <w:sz w:val="18"/>
                <w:szCs w:val="18"/>
              </w:rPr>
            </w:pPr>
            <w:r w:rsidRPr="003609FF">
              <w:rPr>
                <w:rFonts w:cs="Times New Roman"/>
                <w:color w:val="000000"/>
                <w:sz w:val="18"/>
                <w:szCs w:val="18"/>
              </w:rPr>
              <w:t>10</w:t>
            </w:r>
          </w:p>
        </w:tc>
        <w:tc>
          <w:tcPr>
            <w:tcW w:w="1871" w:type="dxa"/>
            <w:tcBorders>
              <w:top w:val="single" w:sz="4" w:space="0" w:color="auto"/>
              <w:bottom w:val="single" w:sz="4" w:space="0" w:color="auto"/>
            </w:tcBorders>
            <w:vAlign w:val="center"/>
          </w:tcPr>
          <w:p w14:paraId="0ABAB36F" w14:textId="1E758330" w:rsidR="00831E3C" w:rsidRDefault="00831E3C" w:rsidP="00831E3C">
            <w:pPr>
              <w:spacing w:after="0" w:line="240" w:lineRule="auto"/>
              <w:rPr>
                <w:rFonts w:cs="Times New Roman"/>
                <w:sz w:val="18"/>
                <w:szCs w:val="18"/>
              </w:rPr>
            </w:pPr>
            <w:r>
              <w:rPr>
                <w:sz w:val="18"/>
                <w:szCs w:val="18"/>
              </w:rPr>
              <w:t>0.01 (0.00 – 0.04)</w:t>
            </w:r>
          </w:p>
        </w:tc>
      </w:tr>
      <w:tr w:rsidR="00EA3B91" w:rsidRPr="00730356" w14:paraId="280B7043" w14:textId="17EE628D" w:rsidTr="003F4CA0">
        <w:tc>
          <w:tcPr>
            <w:tcW w:w="3342" w:type="dxa"/>
            <w:tcBorders>
              <w:top w:val="single" w:sz="4" w:space="0" w:color="auto"/>
              <w:bottom w:val="single" w:sz="4" w:space="0" w:color="auto"/>
            </w:tcBorders>
          </w:tcPr>
          <w:p w14:paraId="763F4814" w14:textId="77777777" w:rsidR="00831E3C" w:rsidRPr="00730356" w:rsidRDefault="00831E3C" w:rsidP="00831E3C">
            <w:pPr>
              <w:spacing w:after="0" w:line="240" w:lineRule="auto"/>
              <w:ind w:left="170"/>
              <w:rPr>
                <w:rFonts w:cs="Times New Roman"/>
                <w:sz w:val="18"/>
                <w:szCs w:val="18"/>
              </w:rPr>
            </w:pPr>
            <w:r w:rsidRPr="00730356">
              <w:rPr>
                <w:rFonts w:cs="Times New Roman"/>
                <w:i/>
                <w:sz w:val="18"/>
                <w:szCs w:val="18"/>
              </w:rPr>
              <w:t>Neisseria meningitidis</w:t>
            </w:r>
          </w:p>
        </w:tc>
        <w:tc>
          <w:tcPr>
            <w:tcW w:w="472" w:type="dxa"/>
            <w:tcBorders>
              <w:top w:val="single" w:sz="4" w:space="0" w:color="auto"/>
              <w:bottom w:val="single" w:sz="4" w:space="0" w:color="auto"/>
            </w:tcBorders>
          </w:tcPr>
          <w:p w14:paraId="74BD2BBC" w14:textId="77777777" w:rsidR="00831E3C" w:rsidRPr="00B50945" w:rsidRDefault="00831E3C" w:rsidP="00831E3C">
            <w:pPr>
              <w:spacing w:after="0" w:line="240" w:lineRule="auto"/>
              <w:jc w:val="right"/>
              <w:rPr>
                <w:rFonts w:cs="Times New Roman"/>
                <w:sz w:val="18"/>
                <w:szCs w:val="18"/>
              </w:rPr>
            </w:pPr>
            <w:r w:rsidRPr="00B81062">
              <w:rPr>
                <w:rFonts w:cs="Times New Roman"/>
                <w:sz w:val="18"/>
                <w:szCs w:val="18"/>
              </w:rPr>
              <w:t>0</w:t>
            </w:r>
          </w:p>
        </w:tc>
        <w:tc>
          <w:tcPr>
            <w:tcW w:w="1925" w:type="dxa"/>
            <w:tcBorders>
              <w:top w:val="single" w:sz="4" w:space="0" w:color="auto"/>
              <w:bottom w:val="single" w:sz="4" w:space="0" w:color="auto"/>
            </w:tcBorders>
            <w:vAlign w:val="center"/>
          </w:tcPr>
          <w:p w14:paraId="1843D0E6"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7CB1B5EF"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7</w:t>
            </w:r>
          </w:p>
        </w:tc>
        <w:tc>
          <w:tcPr>
            <w:tcW w:w="1870" w:type="dxa"/>
            <w:tcBorders>
              <w:top w:val="single" w:sz="4" w:space="0" w:color="auto"/>
              <w:bottom w:val="single" w:sz="4" w:space="0" w:color="auto"/>
            </w:tcBorders>
            <w:vAlign w:val="center"/>
          </w:tcPr>
          <w:p w14:paraId="489D7C5F" w14:textId="77777777" w:rsidR="00831E3C" w:rsidRPr="00B50945" w:rsidRDefault="00831E3C" w:rsidP="00831E3C">
            <w:pPr>
              <w:spacing w:after="0" w:line="240" w:lineRule="auto"/>
              <w:rPr>
                <w:rFonts w:cs="Times New Roman"/>
                <w:sz w:val="18"/>
                <w:szCs w:val="18"/>
              </w:rPr>
            </w:pPr>
            <w:r>
              <w:rPr>
                <w:rFonts w:cs="Times New Roman"/>
                <w:sz w:val="18"/>
                <w:szCs w:val="18"/>
              </w:rPr>
              <w:t>0.04 (0.00 – 0.13)</w:t>
            </w:r>
          </w:p>
        </w:tc>
        <w:tc>
          <w:tcPr>
            <w:tcW w:w="576" w:type="dxa"/>
            <w:tcBorders>
              <w:top w:val="single" w:sz="4" w:space="0" w:color="auto"/>
              <w:bottom w:val="single" w:sz="4" w:space="0" w:color="auto"/>
            </w:tcBorders>
            <w:vAlign w:val="center"/>
          </w:tcPr>
          <w:p w14:paraId="5CB92DBD"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9</w:t>
            </w:r>
          </w:p>
        </w:tc>
        <w:tc>
          <w:tcPr>
            <w:tcW w:w="1926" w:type="dxa"/>
            <w:tcBorders>
              <w:top w:val="single" w:sz="4" w:space="0" w:color="auto"/>
              <w:bottom w:val="single" w:sz="4" w:space="0" w:color="auto"/>
            </w:tcBorders>
            <w:vAlign w:val="center"/>
          </w:tcPr>
          <w:p w14:paraId="471C94B6" w14:textId="77777777" w:rsidR="00831E3C" w:rsidRPr="00B50945" w:rsidRDefault="00831E3C" w:rsidP="00831E3C">
            <w:pPr>
              <w:spacing w:after="0" w:line="240" w:lineRule="auto"/>
              <w:rPr>
                <w:rFonts w:cs="Times New Roman"/>
                <w:sz w:val="18"/>
                <w:szCs w:val="18"/>
              </w:rPr>
            </w:pPr>
            <w:r>
              <w:rPr>
                <w:rFonts w:cs="Times New Roman"/>
                <w:sz w:val="18"/>
                <w:szCs w:val="18"/>
              </w:rPr>
              <w:t>0.02 (0.00 – 0.14)</w:t>
            </w:r>
          </w:p>
        </w:tc>
        <w:tc>
          <w:tcPr>
            <w:tcW w:w="510" w:type="dxa"/>
            <w:tcBorders>
              <w:top w:val="single" w:sz="4" w:space="0" w:color="auto"/>
              <w:bottom w:val="single" w:sz="4" w:space="0" w:color="auto"/>
            </w:tcBorders>
            <w:vAlign w:val="center"/>
          </w:tcPr>
          <w:p w14:paraId="2E81D6EC"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4</w:t>
            </w:r>
          </w:p>
        </w:tc>
        <w:tc>
          <w:tcPr>
            <w:tcW w:w="1871" w:type="dxa"/>
            <w:tcBorders>
              <w:top w:val="single" w:sz="4" w:space="0" w:color="auto"/>
              <w:bottom w:val="single" w:sz="4" w:space="0" w:color="auto"/>
            </w:tcBorders>
            <w:vAlign w:val="center"/>
          </w:tcPr>
          <w:p w14:paraId="461ED62E" w14:textId="77777777" w:rsidR="00831E3C" w:rsidRPr="00B50945" w:rsidRDefault="00831E3C" w:rsidP="00831E3C">
            <w:pPr>
              <w:spacing w:after="0" w:line="240" w:lineRule="auto"/>
              <w:rPr>
                <w:rFonts w:cs="Times New Roman"/>
                <w:sz w:val="18"/>
                <w:szCs w:val="18"/>
              </w:rPr>
            </w:pPr>
            <w:r>
              <w:rPr>
                <w:rFonts w:cs="Times New Roman"/>
                <w:sz w:val="18"/>
                <w:szCs w:val="18"/>
              </w:rPr>
              <w:t>0.04 (0.00 – 0.11)</w:t>
            </w:r>
          </w:p>
        </w:tc>
        <w:tc>
          <w:tcPr>
            <w:tcW w:w="618" w:type="dxa"/>
            <w:tcBorders>
              <w:top w:val="single" w:sz="4" w:space="0" w:color="auto"/>
              <w:bottom w:val="single" w:sz="4" w:space="0" w:color="auto"/>
            </w:tcBorders>
            <w:vAlign w:val="center"/>
          </w:tcPr>
          <w:p w14:paraId="23B9CF70" w14:textId="1D369B9C" w:rsidR="00831E3C" w:rsidRDefault="00831E3C" w:rsidP="00DC663B">
            <w:pPr>
              <w:spacing w:after="0" w:line="240" w:lineRule="auto"/>
              <w:jc w:val="right"/>
              <w:rPr>
                <w:rFonts w:cs="Times New Roman"/>
                <w:sz w:val="18"/>
                <w:szCs w:val="18"/>
              </w:rPr>
            </w:pPr>
            <w:r w:rsidRPr="003609FF">
              <w:rPr>
                <w:rFonts w:cs="Times New Roman"/>
                <w:color w:val="000000"/>
                <w:sz w:val="18"/>
                <w:szCs w:val="18"/>
              </w:rPr>
              <w:t>20</w:t>
            </w:r>
          </w:p>
        </w:tc>
        <w:tc>
          <w:tcPr>
            <w:tcW w:w="1871" w:type="dxa"/>
            <w:tcBorders>
              <w:top w:val="single" w:sz="4" w:space="0" w:color="auto"/>
              <w:bottom w:val="single" w:sz="4" w:space="0" w:color="auto"/>
            </w:tcBorders>
            <w:vAlign w:val="center"/>
          </w:tcPr>
          <w:p w14:paraId="2F477020" w14:textId="52FC7AF9" w:rsidR="00831E3C" w:rsidRDefault="00831E3C" w:rsidP="00831E3C">
            <w:pPr>
              <w:spacing w:after="0" w:line="240" w:lineRule="auto"/>
              <w:rPr>
                <w:rFonts w:cs="Times New Roman"/>
                <w:sz w:val="18"/>
                <w:szCs w:val="18"/>
              </w:rPr>
            </w:pPr>
            <w:r>
              <w:rPr>
                <w:sz w:val="18"/>
                <w:szCs w:val="18"/>
              </w:rPr>
              <w:t>0.04 (0.00 – 0.10)</w:t>
            </w:r>
          </w:p>
        </w:tc>
      </w:tr>
      <w:tr w:rsidR="00EA3B91" w:rsidRPr="00730356" w14:paraId="55B282DD" w14:textId="714130F2" w:rsidTr="003F4CA0">
        <w:tc>
          <w:tcPr>
            <w:tcW w:w="3342" w:type="dxa"/>
            <w:tcBorders>
              <w:top w:val="single" w:sz="4" w:space="0" w:color="auto"/>
              <w:bottom w:val="single" w:sz="4" w:space="0" w:color="auto"/>
            </w:tcBorders>
          </w:tcPr>
          <w:p w14:paraId="59DE941A" w14:textId="77777777" w:rsidR="00831E3C" w:rsidRPr="00730356" w:rsidRDefault="00831E3C" w:rsidP="00831E3C">
            <w:pPr>
              <w:spacing w:after="0" w:line="240" w:lineRule="auto"/>
              <w:ind w:left="170"/>
              <w:rPr>
                <w:rFonts w:cs="Times New Roman"/>
                <w:sz w:val="18"/>
                <w:szCs w:val="18"/>
              </w:rPr>
            </w:pPr>
            <w:r w:rsidRPr="00730356">
              <w:rPr>
                <w:rFonts w:cs="Times New Roman"/>
                <w:i/>
                <w:sz w:val="18"/>
                <w:szCs w:val="18"/>
              </w:rPr>
              <w:t>Acinetobacter</w:t>
            </w:r>
            <w:r w:rsidRPr="00730356">
              <w:rPr>
                <w:rFonts w:cs="Times New Roman"/>
                <w:sz w:val="18"/>
                <w:szCs w:val="18"/>
              </w:rPr>
              <w:t xml:space="preserve"> species</w:t>
            </w:r>
          </w:p>
        </w:tc>
        <w:tc>
          <w:tcPr>
            <w:tcW w:w="472" w:type="dxa"/>
            <w:tcBorders>
              <w:top w:val="single" w:sz="4" w:space="0" w:color="auto"/>
              <w:bottom w:val="single" w:sz="4" w:space="0" w:color="auto"/>
            </w:tcBorders>
          </w:tcPr>
          <w:p w14:paraId="4AE49A83" w14:textId="77777777" w:rsidR="00831E3C" w:rsidRPr="00B50945" w:rsidRDefault="00831E3C" w:rsidP="00831E3C">
            <w:pPr>
              <w:spacing w:after="0" w:line="240" w:lineRule="auto"/>
              <w:jc w:val="right"/>
              <w:rPr>
                <w:rFonts w:cs="Times New Roman"/>
                <w:sz w:val="18"/>
                <w:szCs w:val="18"/>
              </w:rPr>
            </w:pPr>
            <w:r w:rsidRPr="00B81062">
              <w:rPr>
                <w:rFonts w:cs="Times New Roman"/>
                <w:sz w:val="18"/>
                <w:szCs w:val="18"/>
              </w:rPr>
              <w:t>0</w:t>
            </w:r>
          </w:p>
        </w:tc>
        <w:tc>
          <w:tcPr>
            <w:tcW w:w="1925" w:type="dxa"/>
            <w:tcBorders>
              <w:top w:val="single" w:sz="4" w:space="0" w:color="auto"/>
              <w:bottom w:val="single" w:sz="4" w:space="0" w:color="auto"/>
            </w:tcBorders>
            <w:vAlign w:val="center"/>
          </w:tcPr>
          <w:p w14:paraId="3F08711A"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41E7C04C"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9</w:t>
            </w:r>
          </w:p>
        </w:tc>
        <w:tc>
          <w:tcPr>
            <w:tcW w:w="1870" w:type="dxa"/>
            <w:tcBorders>
              <w:top w:val="single" w:sz="4" w:space="0" w:color="auto"/>
              <w:bottom w:val="single" w:sz="4" w:space="0" w:color="auto"/>
            </w:tcBorders>
            <w:vAlign w:val="center"/>
          </w:tcPr>
          <w:p w14:paraId="72C8F2E1" w14:textId="77777777" w:rsidR="00831E3C" w:rsidRPr="00B50945" w:rsidRDefault="00831E3C" w:rsidP="00831E3C">
            <w:pPr>
              <w:spacing w:after="0" w:line="240" w:lineRule="auto"/>
              <w:rPr>
                <w:rFonts w:cs="Times New Roman"/>
                <w:sz w:val="18"/>
                <w:szCs w:val="18"/>
              </w:rPr>
            </w:pPr>
            <w:r>
              <w:rPr>
                <w:rFonts w:cs="Times New Roman"/>
                <w:sz w:val="18"/>
                <w:szCs w:val="18"/>
              </w:rPr>
              <w:t>0.10 (0.04 – 0.17)</w:t>
            </w:r>
          </w:p>
        </w:tc>
        <w:tc>
          <w:tcPr>
            <w:tcW w:w="576" w:type="dxa"/>
            <w:tcBorders>
              <w:top w:val="single" w:sz="4" w:space="0" w:color="auto"/>
              <w:bottom w:val="single" w:sz="4" w:space="0" w:color="auto"/>
            </w:tcBorders>
            <w:vAlign w:val="center"/>
          </w:tcPr>
          <w:p w14:paraId="221AA8B0" w14:textId="77777777" w:rsidR="00831E3C" w:rsidRPr="00B50945" w:rsidRDefault="00831E3C" w:rsidP="00831E3C">
            <w:pPr>
              <w:spacing w:after="0" w:line="240" w:lineRule="auto"/>
              <w:jc w:val="right"/>
              <w:rPr>
                <w:rFonts w:cs="Times New Roman"/>
                <w:sz w:val="18"/>
                <w:szCs w:val="18"/>
              </w:rPr>
            </w:pPr>
            <w:r>
              <w:rPr>
                <w:rFonts w:cs="Times New Roman"/>
                <w:sz w:val="18"/>
                <w:szCs w:val="18"/>
              </w:rPr>
              <w:t>0</w:t>
            </w:r>
          </w:p>
        </w:tc>
        <w:tc>
          <w:tcPr>
            <w:tcW w:w="1926" w:type="dxa"/>
            <w:tcBorders>
              <w:top w:val="single" w:sz="4" w:space="0" w:color="auto"/>
              <w:bottom w:val="single" w:sz="4" w:space="0" w:color="auto"/>
            </w:tcBorders>
            <w:vAlign w:val="center"/>
          </w:tcPr>
          <w:p w14:paraId="73C620A8"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12DFBA21" w14:textId="77777777" w:rsidR="00831E3C" w:rsidRPr="00B50945" w:rsidRDefault="00831E3C" w:rsidP="00831E3C">
            <w:pPr>
              <w:spacing w:after="0" w:line="240" w:lineRule="auto"/>
              <w:jc w:val="right"/>
              <w:rPr>
                <w:rFonts w:cs="Times New Roman"/>
                <w:sz w:val="18"/>
                <w:szCs w:val="18"/>
              </w:rPr>
            </w:pPr>
            <w:r>
              <w:rPr>
                <w:rFonts w:cs="Times New Roman"/>
                <w:sz w:val="18"/>
                <w:szCs w:val="18"/>
              </w:rPr>
              <w:t>0</w:t>
            </w:r>
          </w:p>
        </w:tc>
        <w:tc>
          <w:tcPr>
            <w:tcW w:w="1871" w:type="dxa"/>
            <w:tcBorders>
              <w:top w:val="single" w:sz="4" w:space="0" w:color="auto"/>
              <w:bottom w:val="single" w:sz="4" w:space="0" w:color="auto"/>
            </w:tcBorders>
            <w:vAlign w:val="center"/>
          </w:tcPr>
          <w:p w14:paraId="2BF44973" w14:textId="77777777" w:rsidR="00831E3C" w:rsidRPr="00B50945" w:rsidRDefault="00831E3C" w:rsidP="00831E3C">
            <w:pPr>
              <w:spacing w:after="0" w:line="240" w:lineRule="auto"/>
              <w:rPr>
                <w:rFonts w:cs="Times New Roman"/>
                <w:sz w:val="18"/>
                <w:szCs w:val="18"/>
              </w:rPr>
            </w:pPr>
          </w:p>
        </w:tc>
        <w:tc>
          <w:tcPr>
            <w:tcW w:w="618" w:type="dxa"/>
            <w:tcBorders>
              <w:top w:val="single" w:sz="4" w:space="0" w:color="auto"/>
              <w:bottom w:val="single" w:sz="4" w:space="0" w:color="auto"/>
            </w:tcBorders>
            <w:vAlign w:val="center"/>
          </w:tcPr>
          <w:p w14:paraId="624953E1" w14:textId="3B06915A" w:rsidR="00831E3C" w:rsidRPr="00B50945" w:rsidRDefault="00831E3C" w:rsidP="00DC663B">
            <w:pPr>
              <w:spacing w:after="0" w:line="240" w:lineRule="auto"/>
              <w:jc w:val="right"/>
              <w:rPr>
                <w:rFonts w:cs="Times New Roman"/>
                <w:sz w:val="18"/>
                <w:szCs w:val="18"/>
              </w:rPr>
            </w:pPr>
            <w:r w:rsidRPr="003609FF">
              <w:rPr>
                <w:rFonts w:cs="Times New Roman"/>
                <w:color w:val="000000"/>
                <w:sz w:val="18"/>
                <w:szCs w:val="18"/>
              </w:rPr>
              <w:t>9</w:t>
            </w:r>
          </w:p>
        </w:tc>
        <w:tc>
          <w:tcPr>
            <w:tcW w:w="1871" w:type="dxa"/>
            <w:tcBorders>
              <w:top w:val="single" w:sz="4" w:space="0" w:color="auto"/>
              <w:bottom w:val="single" w:sz="4" w:space="0" w:color="auto"/>
            </w:tcBorders>
            <w:vAlign w:val="center"/>
          </w:tcPr>
          <w:p w14:paraId="6CFFAFEB" w14:textId="0602FCF2" w:rsidR="00831E3C" w:rsidRPr="00B50945" w:rsidRDefault="00831E3C" w:rsidP="00831E3C">
            <w:pPr>
              <w:spacing w:after="0" w:line="240" w:lineRule="auto"/>
              <w:rPr>
                <w:rFonts w:cs="Times New Roman"/>
                <w:sz w:val="18"/>
                <w:szCs w:val="18"/>
              </w:rPr>
            </w:pPr>
            <w:r>
              <w:rPr>
                <w:sz w:val="18"/>
                <w:szCs w:val="18"/>
              </w:rPr>
              <w:t>0.10 (0.04 – 0.17)</w:t>
            </w:r>
          </w:p>
        </w:tc>
      </w:tr>
      <w:tr w:rsidR="00EA3B91" w:rsidRPr="00730356" w14:paraId="2F29E296" w14:textId="4E34EE98" w:rsidTr="003F4CA0">
        <w:tc>
          <w:tcPr>
            <w:tcW w:w="3342" w:type="dxa"/>
            <w:tcBorders>
              <w:top w:val="single" w:sz="4" w:space="0" w:color="auto"/>
              <w:bottom w:val="single" w:sz="4" w:space="0" w:color="auto"/>
            </w:tcBorders>
          </w:tcPr>
          <w:p w14:paraId="3C533A11" w14:textId="77777777" w:rsidR="00831E3C" w:rsidRPr="00730356" w:rsidRDefault="00831E3C" w:rsidP="00831E3C">
            <w:pPr>
              <w:spacing w:after="0" w:line="240" w:lineRule="auto"/>
              <w:ind w:left="170"/>
              <w:rPr>
                <w:rFonts w:cs="Times New Roman"/>
                <w:sz w:val="18"/>
                <w:szCs w:val="18"/>
              </w:rPr>
            </w:pPr>
            <w:r w:rsidRPr="00730356">
              <w:rPr>
                <w:rFonts w:cs="Times New Roman"/>
                <w:sz w:val="18"/>
                <w:szCs w:val="18"/>
              </w:rPr>
              <w:t>Other/unspecified Gram negatives</w:t>
            </w:r>
          </w:p>
        </w:tc>
        <w:tc>
          <w:tcPr>
            <w:tcW w:w="472" w:type="dxa"/>
            <w:tcBorders>
              <w:top w:val="single" w:sz="4" w:space="0" w:color="auto"/>
              <w:bottom w:val="single" w:sz="4" w:space="0" w:color="auto"/>
            </w:tcBorders>
          </w:tcPr>
          <w:p w14:paraId="5FE77996" w14:textId="77777777" w:rsidR="00831E3C" w:rsidRPr="00B50945" w:rsidRDefault="00831E3C" w:rsidP="00831E3C">
            <w:pPr>
              <w:spacing w:after="0" w:line="240" w:lineRule="auto"/>
              <w:jc w:val="right"/>
              <w:rPr>
                <w:rFonts w:cs="Times New Roman"/>
                <w:sz w:val="18"/>
                <w:szCs w:val="18"/>
              </w:rPr>
            </w:pPr>
            <w:r w:rsidRPr="00B81062">
              <w:rPr>
                <w:rFonts w:cs="Times New Roman"/>
                <w:sz w:val="18"/>
                <w:szCs w:val="18"/>
              </w:rPr>
              <w:t>0</w:t>
            </w:r>
          </w:p>
        </w:tc>
        <w:tc>
          <w:tcPr>
            <w:tcW w:w="1925" w:type="dxa"/>
            <w:tcBorders>
              <w:top w:val="single" w:sz="4" w:space="0" w:color="auto"/>
              <w:bottom w:val="single" w:sz="4" w:space="0" w:color="auto"/>
            </w:tcBorders>
            <w:vAlign w:val="center"/>
          </w:tcPr>
          <w:p w14:paraId="4E306069"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30EF6BB8"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15</w:t>
            </w:r>
          </w:p>
        </w:tc>
        <w:tc>
          <w:tcPr>
            <w:tcW w:w="1870" w:type="dxa"/>
            <w:tcBorders>
              <w:top w:val="single" w:sz="4" w:space="0" w:color="auto"/>
              <w:bottom w:val="single" w:sz="4" w:space="0" w:color="auto"/>
            </w:tcBorders>
            <w:vAlign w:val="center"/>
          </w:tcPr>
          <w:p w14:paraId="6C0447EF" w14:textId="77777777" w:rsidR="00831E3C" w:rsidRPr="00B50945" w:rsidRDefault="00831E3C" w:rsidP="00831E3C">
            <w:pPr>
              <w:spacing w:after="0" w:line="240" w:lineRule="auto"/>
              <w:rPr>
                <w:rFonts w:cs="Times New Roman"/>
                <w:sz w:val="18"/>
                <w:szCs w:val="18"/>
              </w:rPr>
            </w:pPr>
            <w:r>
              <w:rPr>
                <w:rFonts w:cs="Times New Roman"/>
                <w:sz w:val="18"/>
                <w:szCs w:val="18"/>
              </w:rPr>
              <w:t>0.06 (0.00 – 0.20)</w:t>
            </w:r>
          </w:p>
        </w:tc>
        <w:tc>
          <w:tcPr>
            <w:tcW w:w="576" w:type="dxa"/>
            <w:tcBorders>
              <w:top w:val="single" w:sz="4" w:space="0" w:color="auto"/>
              <w:bottom w:val="single" w:sz="4" w:space="0" w:color="auto"/>
            </w:tcBorders>
            <w:vAlign w:val="center"/>
          </w:tcPr>
          <w:p w14:paraId="7B4890B6"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375</w:t>
            </w:r>
          </w:p>
        </w:tc>
        <w:tc>
          <w:tcPr>
            <w:tcW w:w="1926" w:type="dxa"/>
            <w:tcBorders>
              <w:top w:val="single" w:sz="4" w:space="0" w:color="auto"/>
              <w:bottom w:val="single" w:sz="4" w:space="0" w:color="auto"/>
            </w:tcBorders>
            <w:vAlign w:val="center"/>
          </w:tcPr>
          <w:p w14:paraId="29E47DBF" w14:textId="77777777" w:rsidR="00831E3C" w:rsidRPr="00B50945" w:rsidRDefault="00831E3C" w:rsidP="00831E3C">
            <w:pPr>
              <w:spacing w:after="0" w:line="240" w:lineRule="auto"/>
              <w:rPr>
                <w:rFonts w:cs="Times New Roman"/>
                <w:sz w:val="18"/>
                <w:szCs w:val="18"/>
              </w:rPr>
            </w:pPr>
            <w:r>
              <w:rPr>
                <w:rFonts w:cs="Times New Roman"/>
                <w:sz w:val="18"/>
                <w:szCs w:val="18"/>
              </w:rPr>
              <w:t>0.31 (0.28 – 0.33)</w:t>
            </w:r>
          </w:p>
        </w:tc>
        <w:tc>
          <w:tcPr>
            <w:tcW w:w="510" w:type="dxa"/>
            <w:tcBorders>
              <w:top w:val="single" w:sz="4" w:space="0" w:color="auto"/>
              <w:bottom w:val="single" w:sz="4" w:space="0" w:color="auto"/>
            </w:tcBorders>
            <w:vAlign w:val="center"/>
          </w:tcPr>
          <w:p w14:paraId="3DB8C3F5"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4</w:t>
            </w:r>
          </w:p>
        </w:tc>
        <w:tc>
          <w:tcPr>
            <w:tcW w:w="1871" w:type="dxa"/>
            <w:tcBorders>
              <w:top w:val="single" w:sz="4" w:space="0" w:color="auto"/>
              <w:bottom w:val="single" w:sz="4" w:space="0" w:color="auto"/>
            </w:tcBorders>
            <w:vAlign w:val="center"/>
          </w:tcPr>
          <w:p w14:paraId="744250FD" w14:textId="77777777" w:rsidR="00831E3C" w:rsidRPr="00B50945" w:rsidRDefault="00831E3C" w:rsidP="00831E3C">
            <w:pPr>
              <w:spacing w:after="0" w:line="240" w:lineRule="auto"/>
              <w:rPr>
                <w:rFonts w:cs="Times New Roman"/>
                <w:sz w:val="18"/>
                <w:szCs w:val="18"/>
              </w:rPr>
            </w:pPr>
            <w:r>
              <w:rPr>
                <w:rFonts w:cs="Times New Roman"/>
                <w:sz w:val="18"/>
                <w:szCs w:val="18"/>
              </w:rPr>
              <w:t>0.06 (0.01 – 0.13)</w:t>
            </w:r>
          </w:p>
        </w:tc>
        <w:tc>
          <w:tcPr>
            <w:tcW w:w="618" w:type="dxa"/>
            <w:tcBorders>
              <w:top w:val="single" w:sz="4" w:space="0" w:color="auto"/>
              <w:bottom w:val="single" w:sz="4" w:space="0" w:color="auto"/>
            </w:tcBorders>
            <w:vAlign w:val="center"/>
          </w:tcPr>
          <w:p w14:paraId="651B86C9" w14:textId="3BAE7BD3" w:rsidR="00831E3C" w:rsidRDefault="00831E3C" w:rsidP="00DC663B">
            <w:pPr>
              <w:spacing w:after="0" w:line="240" w:lineRule="auto"/>
              <w:jc w:val="right"/>
              <w:rPr>
                <w:rFonts w:cs="Times New Roman"/>
                <w:sz w:val="18"/>
                <w:szCs w:val="18"/>
              </w:rPr>
            </w:pPr>
            <w:r w:rsidRPr="003609FF">
              <w:rPr>
                <w:rFonts w:cs="Times New Roman"/>
                <w:color w:val="000000"/>
                <w:sz w:val="18"/>
                <w:szCs w:val="18"/>
              </w:rPr>
              <w:t>394</w:t>
            </w:r>
          </w:p>
        </w:tc>
        <w:tc>
          <w:tcPr>
            <w:tcW w:w="1871" w:type="dxa"/>
            <w:tcBorders>
              <w:top w:val="single" w:sz="4" w:space="0" w:color="auto"/>
              <w:bottom w:val="single" w:sz="4" w:space="0" w:color="auto"/>
            </w:tcBorders>
            <w:vAlign w:val="center"/>
          </w:tcPr>
          <w:p w14:paraId="5FB20A9E" w14:textId="2FD11210" w:rsidR="00831E3C" w:rsidRDefault="00831E3C" w:rsidP="00831E3C">
            <w:pPr>
              <w:spacing w:after="0" w:line="240" w:lineRule="auto"/>
              <w:rPr>
                <w:rFonts w:cs="Times New Roman"/>
                <w:sz w:val="18"/>
                <w:szCs w:val="18"/>
              </w:rPr>
            </w:pPr>
            <w:r>
              <w:rPr>
                <w:sz w:val="18"/>
                <w:szCs w:val="18"/>
              </w:rPr>
              <w:t>0.12 (0.02 – 0.25)</w:t>
            </w:r>
          </w:p>
        </w:tc>
      </w:tr>
      <w:tr w:rsidR="00EA3B91" w:rsidRPr="00730356" w14:paraId="7316B5A9" w14:textId="688C653B" w:rsidTr="003F4CA0">
        <w:tc>
          <w:tcPr>
            <w:tcW w:w="3342" w:type="dxa"/>
            <w:tcBorders>
              <w:top w:val="single" w:sz="4" w:space="0" w:color="auto"/>
              <w:bottom w:val="single" w:sz="4" w:space="0" w:color="auto"/>
            </w:tcBorders>
            <w:vAlign w:val="center"/>
          </w:tcPr>
          <w:p w14:paraId="74E664E3" w14:textId="77777777" w:rsidR="00831E3C" w:rsidRPr="00730356" w:rsidRDefault="00831E3C" w:rsidP="00831E3C">
            <w:pPr>
              <w:spacing w:after="0" w:line="240" w:lineRule="auto"/>
              <w:rPr>
                <w:rFonts w:cs="Times New Roman"/>
                <w:sz w:val="18"/>
                <w:szCs w:val="18"/>
              </w:rPr>
            </w:pPr>
            <w:r w:rsidRPr="00730356">
              <w:rPr>
                <w:rFonts w:cs="Times New Roman"/>
                <w:sz w:val="18"/>
                <w:szCs w:val="18"/>
              </w:rPr>
              <w:t>Other pathogens</w:t>
            </w:r>
          </w:p>
        </w:tc>
        <w:tc>
          <w:tcPr>
            <w:tcW w:w="472" w:type="dxa"/>
            <w:tcBorders>
              <w:top w:val="single" w:sz="4" w:space="0" w:color="auto"/>
              <w:bottom w:val="single" w:sz="4" w:space="0" w:color="auto"/>
            </w:tcBorders>
          </w:tcPr>
          <w:p w14:paraId="45B954D9" w14:textId="77777777" w:rsidR="00831E3C" w:rsidRPr="00B50945" w:rsidRDefault="00831E3C" w:rsidP="00831E3C">
            <w:pPr>
              <w:spacing w:after="0" w:line="240" w:lineRule="auto"/>
              <w:jc w:val="right"/>
              <w:rPr>
                <w:rFonts w:cs="Times New Roman"/>
                <w:sz w:val="18"/>
                <w:szCs w:val="18"/>
              </w:rPr>
            </w:pPr>
            <w:r w:rsidRPr="00B81062">
              <w:rPr>
                <w:rFonts w:cs="Times New Roman"/>
                <w:sz w:val="18"/>
                <w:szCs w:val="18"/>
              </w:rPr>
              <w:t>0</w:t>
            </w:r>
          </w:p>
        </w:tc>
        <w:tc>
          <w:tcPr>
            <w:tcW w:w="1925" w:type="dxa"/>
            <w:tcBorders>
              <w:top w:val="single" w:sz="4" w:space="0" w:color="auto"/>
              <w:bottom w:val="single" w:sz="4" w:space="0" w:color="auto"/>
            </w:tcBorders>
            <w:vAlign w:val="center"/>
          </w:tcPr>
          <w:p w14:paraId="71F8D063"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715F51B6" w14:textId="77777777" w:rsidR="00831E3C" w:rsidRPr="00B50945" w:rsidRDefault="00831E3C" w:rsidP="00831E3C">
            <w:pPr>
              <w:spacing w:after="0" w:line="240" w:lineRule="auto"/>
              <w:jc w:val="right"/>
              <w:rPr>
                <w:rFonts w:cs="Times New Roman"/>
                <w:sz w:val="18"/>
                <w:szCs w:val="18"/>
              </w:rPr>
            </w:pPr>
            <w:r>
              <w:rPr>
                <w:rFonts w:cs="Times New Roman"/>
                <w:sz w:val="18"/>
                <w:szCs w:val="18"/>
              </w:rPr>
              <w:t>0</w:t>
            </w:r>
          </w:p>
        </w:tc>
        <w:tc>
          <w:tcPr>
            <w:tcW w:w="1870" w:type="dxa"/>
            <w:tcBorders>
              <w:top w:val="single" w:sz="4" w:space="0" w:color="auto"/>
              <w:bottom w:val="single" w:sz="4" w:space="0" w:color="auto"/>
            </w:tcBorders>
            <w:vAlign w:val="center"/>
          </w:tcPr>
          <w:p w14:paraId="70CE94BF" w14:textId="77777777" w:rsidR="00831E3C" w:rsidRPr="00B50945" w:rsidRDefault="00831E3C" w:rsidP="00831E3C">
            <w:pPr>
              <w:spacing w:after="0" w:line="240" w:lineRule="auto"/>
              <w:rPr>
                <w:rFonts w:cs="Times New Roman"/>
                <w:sz w:val="18"/>
                <w:szCs w:val="18"/>
              </w:rPr>
            </w:pPr>
          </w:p>
        </w:tc>
        <w:tc>
          <w:tcPr>
            <w:tcW w:w="576" w:type="dxa"/>
            <w:tcBorders>
              <w:top w:val="single" w:sz="4" w:space="0" w:color="auto"/>
              <w:bottom w:val="single" w:sz="4" w:space="0" w:color="auto"/>
            </w:tcBorders>
            <w:vAlign w:val="center"/>
          </w:tcPr>
          <w:p w14:paraId="402D574D" w14:textId="77777777" w:rsidR="00831E3C" w:rsidRPr="00B50945" w:rsidRDefault="00831E3C" w:rsidP="00831E3C">
            <w:pPr>
              <w:spacing w:after="0" w:line="240" w:lineRule="auto"/>
              <w:jc w:val="right"/>
              <w:rPr>
                <w:rFonts w:cs="Times New Roman"/>
                <w:sz w:val="18"/>
                <w:szCs w:val="18"/>
              </w:rPr>
            </w:pPr>
            <w:r w:rsidRPr="00B50945">
              <w:rPr>
                <w:rFonts w:cs="Times New Roman"/>
                <w:sz w:val="18"/>
                <w:szCs w:val="18"/>
              </w:rPr>
              <w:t>11</w:t>
            </w:r>
          </w:p>
        </w:tc>
        <w:tc>
          <w:tcPr>
            <w:tcW w:w="1926" w:type="dxa"/>
            <w:tcBorders>
              <w:top w:val="single" w:sz="4" w:space="0" w:color="auto"/>
              <w:bottom w:val="single" w:sz="4" w:space="0" w:color="auto"/>
            </w:tcBorders>
            <w:vAlign w:val="center"/>
          </w:tcPr>
          <w:p w14:paraId="267AFED0" w14:textId="77777777" w:rsidR="00831E3C" w:rsidRPr="00B50945" w:rsidRDefault="00831E3C" w:rsidP="00831E3C">
            <w:pPr>
              <w:spacing w:after="0" w:line="240" w:lineRule="auto"/>
              <w:rPr>
                <w:rFonts w:cs="Times New Roman"/>
                <w:sz w:val="18"/>
                <w:szCs w:val="18"/>
              </w:rPr>
            </w:pPr>
          </w:p>
        </w:tc>
        <w:tc>
          <w:tcPr>
            <w:tcW w:w="510" w:type="dxa"/>
            <w:tcBorders>
              <w:top w:val="single" w:sz="4" w:space="0" w:color="auto"/>
              <w:bottom w:val="single" w:sz="4" w:space="0" w:color="auto"/>
            </w:tcBorders>
            <w:vAlign w:val="center"/>
          </w:tcPr>
          <w:p w14:paraId="578E433C" w14:textId="77777777" w:rsidR="00831E3C" w:rsidRPr="00B50945" w:rsidRDefault="00831E3C" w:rsidP="00831E3C">
            <w:pPr>
              <w:spacing w:after="0" w:line="240" w:lineRule="auto"/>
              <w:jc w:val="right"/>
              <w:rPr>
                <w:rFonts w:cs="Times New Roman"/>
                <w:sz w:val="18"/>
                <w:szCs w:val="18"/>
              </w:rPr>
            </w:pPr>
            <w:r>
              <w:rPr>
                <w:rFonts w:cs="Times New Roman"/>
                <w:sz w:val="18"/>
                <w:szCs w:val="18"/>
              </w:rPr>
              <w:t>0</w:t>
            </w:r>
          </w:p>
        </w:tc>
        <w:tc>
          <w:tcPr>
            <w:tcW w:w="1871" w:type="dxa"/>
            <w:tcBorders>
              <w:top w:val="single" w:sz="4" w:space="0" w:color="auto"/>
              <w:bottom w:val="single" w:sz="4" w:space="0" w:color="auto"/>
            </w:tcBorders>
            <w:vAlign w:val="center"/>
          </w:tcPr>
          <w:p w14:paraId="07B62E31" w14:textId="77777777" w:rsidR="00831E3C" w:rsidRPr="00B50945" w:rsidRDefault="00831E3C" w:rsidP="00831E3C">
            <w:pPr>
              <w:spacing w:after="0" w:line="240" w:lineRule="auto"/>
              <w:rPr>
                <w:rFonts w:cs="Times New Roman"/>
                <w:sz w:val="18"/>
                <w:szCs w:val="18"/>
              </w:rPr>
            </w:pPr>
          </w:p>
        </w:tc>
        <w:tc>
          <w:tcPr>
            <w:tcW w:w="618" w:type="dxa"/>
            <w:tcBorders>
              <w:top w:val="single" w:sz="4" w:space="0" w:color="auto"/>
              <w:bottom w:val="single" w:sz="4" w:space="0" w:color="auto"/>
            </w:tcBorders>
            <w:vAlign w:val="center"/>
          </w:tcPr>
          <w:p w14:paraId="17193AD7" w14:textId="02AEC370" w:rsidR="00831E3C" w:rsidRPr="00B50945" w:rsidRDefault="00831E3C" w:rsidP="00DC663B">
            <w:pPr>
              <w:spacing w:after="0" w:line="240" w:lineRule="auto"/>
              <w:jc w:val="right"/>
              <w:rPr>
                <w:rFonts w:cs="Times New Roman"/>
                <w:sz w:val="18"/>
                <w:szCs w:val="18"/>
              </w:rPr>
            </w:pPr>
            <w:r w:rsidRPr="003609FF">
              <w:rPr>
                <w:rFonts w:cs="Times New Roman"/>
                <w:b/>
                <w:color w:val="2E74B5" w:themeColor="accent1" w:themeShade="BF"/>
                <w:sz w:val="18"/>
                <w:szCs w:val="18"/>
              </w:rPr>
              <w:t>11</w:t>
            </w:r>
          </w:p>
        </w:tc>
        <w:tc>
          <w:tcPr>
            <w:tcW w:w="1871" w:type="dxa"/>
            <w:tcBorders>
              <w:top w:val="single" w:sz="4" w:space="0" w:color="auto"/>
              <w:bottom w:val="single" w:sz="4" w:space="0" w:color="auto"/>
            </w:tcBorders>
            <w:vAlign w:val="center"/>
          </w:tcPr>
          <w:p w14:paraId="6D1483D7" w14:textId="058C4814" w:rsidR="00831E3C" w:rsidRPr="00B50945" w:rsidRDefault="00831E3C" w:rsidP="00831E3C">
            <w:pPr>
              <w:spacing w:after="0" w:line="240" w:lineRule="auto"/>
              <w:rPr>
                <w:rFonts w:cs="Times New Roman"/>
                <w:sz w:val="18"/>
                <w:szCs w:val="18"/>
              </w:rPr>
            </w:pPr>
            <w:r>
              <w:rPr>
                <w:b/>
                <w:color w:val="2E74B5" w:themeColor="accent1" w:themeShade="BF"/>
                <w:sz w:val="18"/>
                <w:szCs w:val="18"/>
              </w:rPr>
              <w:t>0.01 (0.00 – 0.02)</w:t>
            </w:r>
          </w:p>
        </w:tc>
      </w:tr>
      <w:tr w:rsidR="00EA3B91" w:rsidRPr="00730356" w14:paraId="52433AB6" w14:textId="719DF18C" w:rsidTr="003F4CA0">
        <w:tc>
          <w:tcPr>
            <w:tcW w:w="3342" w:type="dxa"/>
            <w:tcBorders>
              <w:top w:val="single" w:sz="4" w:space="0" w:color="auto"/>
              <w:bottom w:val="single" w:sz="4" w:space="0" w:color="auto"/>
            </w:tcBorders>
            <w:vAlign w:val="center"/>
          </w:tcPr>
          <w:p w14:paraId="49440683" w14:textId="77777777" w:rsidR="00831E3C" w:rsidRPr="00730356" w:rsidRDefault="00831E3C" w:rsidP="00831E3C">
            <w:pPr>
              <w:spacing w:after="0" w:line="240" w:lineRule="auto"/>
              <w:rPr>
                <w:rFonts w:cs="Times New Roman"/>
                <w:b/>
                <w:color w:val="000000" w:themeColor="text1"/>
                <w:sz w:val="18"/>
                <w:szCs w:val="18"/>
              </w:rPr>
            </w:pPr>
            <w:r w:rsidRPr="00730356">
              <w:rPr>
                <w:rFonts w:cs="Times New Roman"/>
                <w:b/>
                <w:color w:val="000000" w:themeColor="text1"/>
                <w:sz w:val="18"/>
                <w:szCs w:val="18"/>
              </w:rPr>
              <w:t>Total</w:t>
            </w:r>
          </w:p>
        </w:tc>
        <w:tc>
          <w:tcPr>
            <w:tcW w:w="472" w:type="dxa"/>
            <w:tcBorders>
              <w:top w:val="single" w:sz="4" w:space="0" w:color="auto"/>
              <w:bottom w:val="single" w:sz="4" w:space="0" w:color="auto"/>
            </w:tcBorders>
            <w:vAlign w:val="center"/>
          </w:tcPr>
          <w:p w14:paraId="51BA9BA4" w14:textId="77777777" w:rsidR="00831E3C" w:rsidRPr="00B50945" w:rsidRDefault="00831E3C" w:rsidP="00831E3C">
            <w:pPr>
              <w:spacing w:after="0" w:line="240" w:lineRule="auto"/>
              <w:jc w:val="right"/>
              <w:rPr>
                <w:rFonts w:cs="Times New Roman"/>
                <w:b/>
                <w:color w:val="000000" w:themeColor="text1"/>
                <w:sz w:val="18"/>
                <w:szCs w:val="18"/>
              </w:rPr>
            </w:pPr>
            <w:r w:rsidRPr="00B50945">
              <w:rPr>
                <w:rFonts w:cs="Times New Roman"/>
                <w:b/>
                <w:sz w:val="18"/>
                <w:szCs w:val="18"/>
              </w:rPr>
              <w:t>4</w:t>
            </w:r>
          </w:p>
        </w:tc>
        <w:tc>
          <w:tcPr>
            <w:tcW w:w="1925" w:type="dxa"/>
            <w:tcBorders>
              <w:top w:val="single" w:sz="4" w:space="0" w:color="auto"/>
              <w:bottom w:val="single" w:sz="4" w:space="0" w:color="auto"/>
            </w:tcBorders>
            <w:vAlign w:val="center"/>
          </w:tcPr>
          <w:p w14:paraId="7EF1CA6D" w14:textId="77777777" w:rsidR="00831E3C" w:rsidRPr="00B50945" w:rsidRDefault="00831E3C" w:rsidP="00831E3C">
            <w:pPr>
              <w:spacing w:after="0" w:line="240" w:lineRule="auto"/>
              <w:rPr>
                <w:rFonts w:cs="Times New Roman"/>
                <w:b/>
                <w:color w:val="000000" w:themeColor="text1"/>
                <w:sz w:val="18"/>
                <w:szCs w:val="18"/>
              </w:rPr>
            </w:pPr>
          </w:p>
        </w:tc>
        <w:tc>
          <w:tcPr>
            <w:tcW w:w="510" w:type="dxa"/>
            <w:tcBorders>
              <w:top w:val="single" w:sz="4" w:space="0" w:color="auto"/>
              <w:bottom w:val="single" w:sz="4" w:space="0" w:color="auto"/>
            </w:tcBorders>
            <w:vAlign w:val="center"/>
          </w:tcPr>
          <w:p w14:paraId="1CEFAE5D" w14:textId="77777777" w:rsidR="00831E3C" w:rsidRPr="00B50945" w:rsidRDefault="00831E3C" w:rsidP="00831E3C">
            <w:pPr>
              <w:spacing w:after="0" w:line="240" w:lineRule="auto"/>
              <w:jc w:val="right"/>
              <w:rPr>
                <w:rFonts w:cs="Times New Roman"/>
                <w:b/>
                <w:color w:val="000000" w:themeColor="text1"/>
                <w:sz w:val="18"/>
                <w:szCs w:val="18"/>
              </w:rPr>
            </w:pPr>
            <w:r w:rsidRPr="00B50945">
              <w:rPr>
                <w:rFonts w:cs="Times New Roman"/>
                <w:b/>
                <w:sz w:val="18"/>
                <w:szCs w:val="18"/>
              </w:rPr>
              <w:t>150</w:t>
            </w:r>
          </w:p>
        </w:tc>
        <w:tc>
          <w:tcPr>
            <w:tcW w:w="1870" w:type="dxa"/>
            <w:tcBorders>
              <w:top w:val="single" w:sz="4" w:space="0" w:color="auto"/>
              <w:bottom w:val="single" w:sz="4" w:space="0" w:color="auto"/>
            </w:tcBorders>
            <w:vAlign w:val="center"/>
          </w:tcPr>
          <w:p w14:paraId="3200D584" w14:textId="77777777" w:rsidR="00831E3C" w:rsidRPr="00B50945" w:rsidRDefault="00831E3C" w:rsidP="00831E3C">
            <w:pPr>
              <w:spacing w:after="0" w:line="240" w:lineRule="auto"/>
              <w:rPr>
                <w:rFonts w:cs="Times New Roman"/>
                <w:b/>
                <w:color w:val="000000" w:themeColor="text1"/>
                <w:sz w:val="18"/>
                <w:szCs w:val="18"/>
              </w:rPr>
            </w:pPr>
          </w:p>
        </w:tc>
        <w:tc>
          <w:tcPr>
            <w:tcW w:w="576" w:type="dxa"/>
            <w:tcBorders>
              <w:top w:val="single" w:sz="4" w:space="0" w:color="auto"/>
              <w:bottom w:val="single" w:sz="4" w:space="0" w:color="auto"/>
            </w:tcBorders>
            <w:vAlign w:val="center"/>
          </w:tcPr>
          <w:p w14:paraId="650BF77A" w14:textId="77777777" w:rsidR="00831E3C" w:rsidRPr="00B50945" w:rsidRDefault="00831E3C" w:rsidP="00831E3C">
            <w:pPr>
              <w:spacing w:after="0" w:line="240" w:lineRule="auto"/>
              <w:jc w:val="right"/>
              <w:rPr>
                <w:rFonts w:cs="Times New Roman"/>
                <w:b/>
                <w:color w:val="000000" w:themeColor="text1"/>
                <w:sz w:val="18"/>
                <w:szCs w:val="18"/>
              </w:rPr>
            </w:pPr>
            <w:r w:rsidRPr="00B50945">
              <w:rPr>
                <w:rFonts w:cs="Times New Roman"/>
                <w:b/>
                <w:sz w:val="18"/>
                <w:szCs w:val="18"/>
              </w:rPr>
              <w:t>1139</w:t>
            </w:r>
          </w:p>
        </w:tc>
        <w:tc>
          <w:tcPr>
            <w:tcW w:w="1926" w:type="dxa"/>
            <w:tcBorders>
              <w:top w:val="single" w:sz="4" w:space="0" w:color="auto"/>
              <w:bottom w:val="single" w:sz="4" w:space="0" w:color="auto"/>
            </w:tcBorders>
            <w:vAlign w:val="center"/>
          </w:tcPr>
          <w:p w14:paraId="1721EAF3" w14:textId="77777777" w:rsidR="00831E3C" w:rsidRPr="00B50945" w:rsidRDefault="00831E3C" w:rsidP="00831E3C">
            <w:pPr>
              <w:spacing w:after="0" w:line="240" w:lineRule="auto"/>
              <w:rPr>
                <w:rFonts w:cs="Times New Roman"/>
                <w:b/>
                <w:color w:val="000000" w:themeColor="text1"/>
                <w:sz w:val="18"/>
                <w:szCs w:val="18"/>
              </w:rPr>
            </w:pPr>
          </w:p>
        </w:tc>
        <w:tc>
          <w:tcPr>
            <w:tcW w:w="510" w:type="dxa"/>
            <w:tcBorders>
              <w:top w:val="single" w:sz="4" w:space="0" w:color="auto"/>
              <w:bottom w:val="single" w:sz="4" w:space="0" w:color="auto"/>
            </w:tcBorders>
            <w:vAlign w:val="center"/>
          </w:tcPr>
          <w:p w14:paraId="0B3F27C6" w14:textId="77777777" w:rsidR="00831E3C" w:rsidRPr="00B50945" w:rsidRDefault="00831E3C" w:rsidP="00831E3C">
            <w:pPr>
              <w:spacing w:after="0" w:line="240" w:lineRule="auto"/>
              <w:jc w:val="right"/>
              <w:rPr>
                <w:rFonts w:cs="Times New Roman"/>
                <w:b/>
                <w:color w:val="000000" w:themeColor="text1"/>
                <w:sz w:val="18"/>
                <w:szCs w:val="18"/>
              </w:rPr>
            </w:pPr>
            <w:r w:rsidRPr="00B50945">
              <w:rPr>
                <w:rFonts w:cs="Times New Roman"/>
                <w:b/>
                <w:sz w:val="18"/>
                <w:szCs w:val="18"/>
              </w:rPr>
              <w:t>88</w:t>
            </w:r>
          </w:p>
        </w:tc>
        <w:tc>
          <w:tcPr>
            <w:tcW w:w="1871" w:type="dxa"/>
            <w:tcBorders>
              <w:top w:val="single" w:sz="4" w:space="0" w:color="auto"/>
              <w:bottom w:val="single" w:sz="4" w:space="0" w:color="auto"/>
            </w:tcBorders>
            <w:vAlign w:val="center"/>
          </w:tcPr>
          <w:p w14:paraId="10E592F3" w14:textId="77777777" w:rsidR="00831E3C" w:rsidRPr="00B50945" w:rsidRDefault="00831E3C" w:rsidP="00831E3C">
            <w:pPr>
              <w:spacing w:after="0" w:line="240" w:lineRule="auto"/>
              <w:rPr>
                <w:rFonts w:cs="Times New Roman"/>
                <w:b/>
                <w:color w:val="000000" w:themeColor="text1"/>
                <w:sz w:val="18"/>
                <w:szCs w:val="18"/>
              </w:rPr>
            </w:pPr>
          </w:p>
        </w:tc>
        <w:tc>
          <w:tcPr>
            <w:tcW w:w="618" w:type="dxa"/>
            <w:tcBorders>
              <w:top w:val="single" w:sz="4" w:space="0" w:color="auto"/>
              <w:bottom w:val="single" w:sz="4" w:space="0" w:color="auto"/>
            </w:tcBorders>
            <w:vAlign w:val="center"/>
          </w:tcPr>
          <w:p w14:paraId="303F8C32" w14:textId="71B5D712" w:rsidR="00831E3C" w:rsidRPr="00B50945" w:rsidRDefault="00831E3C" w:rsidP="00DC663B">
            <w:pPr>
              <w:spacing w:after="0" w:line="240" w:lineRule="auto"/>
              <w:jc w:val="right"/>
              <w:rPr>
                <w:rFonts w:cs="Times New Roman"/>
                <w:b/>
                <w:color w:val="000000" w:themeColor="text1"/>
                <w:sz w:val="18"/>
                <w:szCs w:val="18"/>
              </w:rPr>
            </w:pPr>
            <w:r w:rsidRPr="003609FF">
              <w:rPr>
                <w:rFonts w:cs="Times New Roman"/>
                <w:b/>
                <w:sz w:val="18"/>
                <w:szCs w:val="18"/>
              </w:rPr>
              <w:t>1</w:t>
            </w:r>
            <w:r>
              <w:rPr>
                <w:rFonts w:cs="Times New Roman"/>
                <w:b/>
                <w:sz w:val="18"/>
                <w:szCs w:val="18"/>
              </w:rPr>
              <w:t>381</w:t>
            </w:r>
          </w:p>
        </w:tc>
        <w:tc>
          <w:tcPr>
            <w:tcW w:w="1871" w:type="dxa"/>
            <w:tcBorders>
              <w:top w:val="single" w:sz="4" w:space="0" w:color="auto"/>
              <w:bottom w:val="single" w:sz="4" w:space="0" w:color="auto"/>
            </w:tcBorders>
            <w:vAlign w:val="center"/>
          </w:tcPr>
          <w:p w14:paraId="53486CF0" w14:textId="77777777" w:rsidR="00831E3C" w:rsidRPr="00B50945" w:rsidRDefault="00831E3C" w:rsidP="00831E3C">
            <w:pPr>
              <w:spacing w:after="0" w:line="240" w:lineRule="auto"/>
              <w:rPr>
                <w:rFonts w:cs="Times New Roman"/>
                <w:b/>
                <w:color w:val="000000" w:themeColor="text1"/>
                <w:sz w:val="18"/>
                <w:szCs w:val="18"/>
              </w:rPr>
            </w:pPr>
          </w:p>
        </w:tc>
      </w:tr>
    </w:tbl>
    <w:p w14:paraId="78302810" w14:textId="77777777" w:rsidR="00A61B4F" w:rsidRDefault="00A61B4F" w:rsidP="00A61B4F">
      <w:pPr>
        <w:spacing w:line="240" w:lineRule="auto"/>
        <w:jc w:val="both"/>
      </w:pPr>
    </w:p>
    <w:p w14:paraId="6A7DE6BF" w14:textId="761B57F0" w:rsidR="00A61B4F" w:rsidRDefault="00C47D64" w:rsidP="00C47D64">
      <w:pPr>
        <w:spacing w:line="240" w:lineRule="auto"/>
        <w:jc w:val="both"/>
      </w:pPr>
      <w:r>
        <w:t xml:space="preserve">*The extracted culture data were baseline data expect for </w:t>
      </w:r>
      <w:r w:rsidR="004A1CB7">
        <w:t xml:space="preserve">an intervention study </w:t>
      </w:r>
      <w:r w:rsidR="00E043E5">
        <w:t>from Senegal</w:t>
      </w:r>
      <w:r>
        <w:t>,</w:t>
      </w:r>
      <w:r w:rsidR="002220C3" w:rsidRPr="002220C3">
        <w:rPr>
          <w:noProof/>
          <w:vertAlign w:val="superscript"/>
        </w:rPr>
        <w:t>81</w:t>
      </w:r>
      <w:r>
        <w:t xml:space="preserve"> where </w:t>
      </w:r>
      <w:r w:rsidR="00306E7F">
        <w:t xml:space="preserve">blood culture </w:t>
      </w:r>
      <w:r>
        <w:t>data were extracted before and after the intervention</w:t>
      </w:r>
    </w:p>
    <w:p w14:paraId="7B0A0DD1" w14:textId="77777777" w:rsidR="00A61B4F" w:rsidRDefault="00A61B4F" w:rsidP="00A61B4F">
      <w:pPr>
        <w:spacing w:line="240" w:lineRule="auto"/>
        <w:jc w:val="both"/>
      </w:pPr>
    </w:p>
    <w:p w14:paraId="4BC1025C" w14:textId="77777777" w:rsidR="00A61B4F" w:rsidRDefault="00A61B4F" w:rsidP="00A61B4F">
      <w:pPr>
        <w:spacing w:line="240" w:lineRule="auto"/>
        <w:jc w:val="both"/>
        <w:sectPr w:rsidR="00A61B4F" w:rsidSect="006A7D67">
          <w:pgSz w:w="16838" w:h="11906" w:orient="landscape"/>
          <w:pgMar w:top="1440" w:right="1440" w:bottom="1440" w:left="1135" w:header="708" w:footer="708" w:gutter="0"/>
          <w:cols w:space="708"/>
          <w:docGrid w:linePitch="360"/>
        </w:sectPr>
      </w:pPr>
    </w:p>
    <w:p w14:paraId="468471F1" w14:textId="2890F40D" w:rsidR="00A61B4F" w:rsidRPr="008223BC" w:rsidRDefault="00A61B4F" w:rsidP="0081729A">
      <w:pPr>
        <w:pStyle w:val="Header"/>
        <w:spacing w:after="120"/>
        <w:rPr>
          <w:rFonts w:cs="Times New Roman"/>
          <w:b/>
        </w:rPr>
      </w:pPr>
      <w:r w:rsidRPr="008223BC">
        <w:rPr>
          <w:rFonts w:cs="Times New Roman"/>
          <w:b/>
          <w:sz w:val="21"/>
        </w:rPr>
        <w:lastRenderedPageBreak/>
        <w:t xml:space="preserve">Table </w:t>
      </w:r>
      <w:r w:rsidR="00555A75">
        <w:rPr>
          <w:rFonts w:cs="Times New Roman"/>
          <w:b/>
          <w:sz w:val="21"/>
        </w:rPr>
        <w:t>3</w:t>
      </w:r>
      <w:r w:rsidRPr="008223BC">
        <w:rPr>
          <w:rFonts w:cs="Times New Roman"/>
          <w:b/>
          <w:sz w:val="21"/>
        </w:rPr>
        <w:t xml:space="preserve">. Antimicrobial </w:t>
      </w:r>
      <w:r>
        <w:rPr>
          <w:rFonts w:cs="Times New Roman"/>
          <w:b/>
          <w:sz w:val="21"/>
        </w:rPr>
        <w:t>r</w:t>
      </w:r>
      <w:r w:rsidRPr="008223BC">
        <w:rPr>
          <w:rFonts w:cs="Times New Roman"/>
          <w:b/>
          <w:sz w:val="21"/>
        </w:rPr>
        <w:t xml:space="preserve">esistance </w:t>
      </w:r>
      <w:r w:rsidR="00E949F6">
        <w:rPr>
          <w:rFonts w:cs="Times New Roman"/>
          <w:b/>
          <w:sz w:val="21"/>
        </w:rPr>
        <w:t xml:space="preserve">in organisms causing </w:t>
      </w:r>
      <w:r w:rsidR="008F71B6">
        <w:rPr>
          <w:rFonts w:cs="Times New Roman"/>
          <w:b/>
          <w:sz w:val="21"/>
        </w:rPr>
        <w:t>serious bacterial neonatal infections</w:t>
      </w:r>
      <w:r w:rsidRPr="008223BC">
        <w:rPr>
          <w:rFonts w:cs="Times New Roman"/>
          <w:b/>
          <w:sz w:val="21"/>
        </w:rPr>
        <w:t xml:space="preserve"> </w:t>
      </w:r>
      <w:r w:rsidR="005F2349">
        <w:rPr>
          <w:rFonts w:cs="Times New Roman"/>
          <w:b/>
          <w:sz w:val="21"/>
        </w:rPr>
        <w:t>across</w:t>
      </w:r>
      <w:r>
        <w:rPr>
          <w:rFonts w:cs="Times New Roman"/>
          <w:b/>
          <w:sz w:val="21"/>
        </w:rPr>
        <w:t>29 studies from sub-Saharan Africa, 2008 - 2018</w:t>
      </w:r>
    </w:p>
    <w:tbl>
      <w:tblPr>
        <w:tblStyle w:val="TableGrid"/>
        <w:tblW w:w="15282" w:type="dxa"/>
        <w:jc w:val="center"/>
        <w:tblLayout w:type="fixed"/>
        <w:tblLook w:val="04A0" w:firstRow="1" w:lastRow="0" w:firstColumn="1" w:lastColumn="0" w:noHBand="0" w:noVBand="1"/>
      </w:tblPr>
      <w:tblGrid>
        <w:gridCol w:w="3479"/>
        <w:gridCol w:w="903"/>
        <w:gridCol w:w="1476"/>
        <w:gridCol w:w="17"/>
        <w:gridCol w:w="890"/>
        <w:gridCol w:w="17"/>
        <w:gridCol w:w="1457"/>
        <w:gridCol w:w="17"/>
        <w:gridCol w:w="6"/>
        <w:gridCol w:w="884"/>
        <w:gridCol w:w="17"/>
        <w:gridCol w:w="6"/>
        <w:gridCol w:w="1436"/>
        <w:gridCol w:w="15"/>
        <w:gridCol w:w="892"/>
        <w:gridCol w:w="15"/>
        <w:gridCol w:w="1402"/>
        <w:gridCol w:w="16"/>
        <w:gridCol w:w="891"/>
        <w:gridCol w:w="16"/>
        <w:gridCol w:w="1430"/>
      </w:tblGrid>
      <w:tr w:rsidR="00A60793" w:rsidRPr="0028098E" w14:paraId="44F9EFAE" w14:textId="77777777" w:rsidTr="0000512F">
        <w:trPr>
          <w:trHeight w:val="340"/>
          <w:jc w:val="center"/>
        </w:trPr>
        <w:tc>
          <w:tcPr>
            <w:tcW w:w="3479" w:type="dxa"/>
            <w:tcBorders>
              <w:left w:val="nil"/>
              <w:bottom w:val="nil"/>
              <w:right w:val="nil"/>
            </w:tcBorders>
            <w:vAlign w:val="center"/>
          </w:tcPr>
          <w:p w14:paraId="62140151" w14:textId="77777777" w:rsidR="00A61B4F" w:rsidRPr="0028098E" w:rsidRDefault="00A61B4F" w:rsidP="00E042F0">
            <w:pPr>
              <w:spacing w:after="0" w:line="240" w:lineRule="auto"/>
              <w:jc w:val="center"/>
              <w:rPr>
                <w:rFonts w:cs="Times New Roman"/>
                <w:b/>
                <w:sz w:val="16"/>
                <w:szCs w:val="16"/>
              </w:rPr>
            </w:pPr>
          </w:p>
        </w:tc>
        <w:tc>
          <w:tcPr>
            <w:tcW w:w="2379" w:type="dxa"/>
            <w:gridSpan w:val="2"/>
            <w:tcBorders>
              <w:left w:val="nil"/>
              <w:right w:val="nil"/>
            </w:tcBorders>
            <w:vAlign w:val="center"/>
          </w:tcPr>
          <w:p w14:paraId="3483674E" w14:textId="77777777" w:rsidR="00A61B4F" w:rsidRPr="00826FDE" w:rsidRDefault="00A61B4F" w:rsidP="00F24CB2">
            <w:pPr>
              <w:spacing w:after="0" w:line="240" w:lineRule="auto"/>
              <w:jc w:val="center"/>
              <w:rPr>
                <w:rFonts w:cs="Times New Roman"/>
                <w:b/>
                <w:sz w:val="18"/>
                <w:szCs w:val="16"/>
              </w:rPr>
            </w:pPr>
            <w:r w:rsidRPr="00826FDE">
              <w:rPr>
                <w:rFonts w:cs="Times New Roman"/>
                <w:b/>
                <w:sz w:val="18"/>
                <w:szCs w:val="16"/>
              </w:rPr>
              <w:t>Central Africa</w:t>
            </w:r>
          </w:p>
        </w:tc>
        <w:tc>
          <w:tcPr>
            <w:tcW w:w="2381" w:type="dxa"/>
            <w:gridSpan w:val="4"/>
            <w:tcBorders>
              <w:left w:val="nil"/>
              <w:right w:val="nil"/>
            </w:tcBorders>
            <w:vAlign w:val="center"/>
          </w:tcPr>
          <w:p w14:paraId="301EDDE0" w14:textId="77777777" w:rsidR="00A61B4F" w:rsidRPr="00826FDE" w:rsidRDefault="00A61B4F" w:rsidP="00F24CB2">
            <w:pPr>
              <w:spacing w:after="0" w:line="240" w:lineRule="auto"/>
              <w:jc w:val="center"/>
              <w:rPr>
                <w:rFonts w:cs="Times New Roman"/>
                <w:b/>
                <w:sz w:val="18"/>
                <w:szCs w:val="16"/>
              </w:rPr>
            </w:pPr>
            <w:r w:rsidRPr="00826FDE">
              <w:rPr>
                <w:rFonts w:cs="Times New Roman"/>
                <w:b/>
                <w:sz w:val="18"/>
                <w:szCs w:val="16"/>
              </w:rPr>
              <w:t>East Africa</w:t>
            </w:r>
          </w:p>
        </w:tc>
        <w:tc>
          <w:tcPr>
            <w:tcW w:w="2381" w:type="dxa"/>
            <w:gridSpan w:val="7"/>
            <w:tcBorders>
              <w:left w:val="nil"/>
              <w:right w:val="nil"/>
            </w:tcBorders>
            <w:vAlign w:val="center"/>
          </w:tcPr>
          <w:p w14:paraId="2B32993E" w14:textId="77777777" w:rsidR="00A61B4F" w:rsidRPr="00826FDE" w:rsidRDefault="00A61B4F" w:rsidP="00F24CB2">
            <w:pPr>
              <w:spacing w:after="0" w:line="240" w:lineRule="auto"/>
              <w:jc w:val="center"/>
              <w:rPr>
                <w:rFonts w:cs="Times New Roman"/>
                <w:b/>
                <w:sz w:val="18"/>
                <w:szCs w:val="16"/>
              </w:rPr>
            </w:pPr>
            <w:r w:rsidRPr="00826FDE">
              <w:rPr>
                <w:rFonts w:cs="Times New Roman"/>
                <w:b/>
                <w:sz w:val="18"/>
                <w:szCs w:val="16"/>
              </w:rPr>
              <w:t>Southern Africa</w:t>
            </w:r>
          </w:p>
        </w:tc>
        <w:tc>
          <w:tcPr>
            <w:tcW w:w="2325" w:type="dxa"/>
            <w:gridSpan w:val="4"/>
            <w:tcBorders>
              <w:left w:val="nil"/>
              <w:right w:val="nil"/>
            </w:tcBorders>
            <w:vAlign w:val="center"/>
          </w:tcPr>
          <w:p w14:paraId="4F2DA236" w14:textId="77777777" w:rsidR="00A61B4F" w:rsidRPr="00826FDE" w:rsidRDefault="00A61B4F" w:rsidP="00F24CB2">
            <w:pPr>
              <w:spacing w:after="0" w:line="240" w:lineRule="auto"/>
              <w:jc w:val="center"/>
              <w:rPr>
                <w:rFonts w:cs="Times New Roman"/>
                <w:b/>
                <w:sz w:val="18"/>
                <w:szCs w:val="16"/>
              </w:rPr>
            </w:pPr>
            <w:r w:rsidRPr="00826FDE">
              <w:rPr>
                <w:rFonts w:cs="Times New Roman"/>
                <w:b/>
                <w:sz w:val="18"/>
                <w:szCs w:val="16"/>
              </w:rPr>
              <w:t>West Africa</w:t>
            </w:r>
          </w:p>
        </w:tc>
        <w:tc>
          <w:tcPr>
            <w:tcW w:w="2337" w:type="dxa"/>
            <w:gridSpan w:val="3"/>
            <w:tcBorders>
              <w:left w:val="nil"/>
              <w:right w:val="nil"/>
            </w:tcBorders>
            <w:vAlign w:val="center"/>
          </w:tcPr>
          <w:p w14:paraId="24B4BE6C" w14:textId="0B7324C5" w:rsidR="00A61B4F" w:rsidRPr="00826FDE" w:rsidRDefault="00A61B4F" w:rsidP="00F24CB2">
            <w:pPr>
              <w:spacing w:after="0" w:line="240" w:lineRule="auto"/>
              <w:jc w:val="center"/>
              <w:rPr>
                <w:rFonts w:cs="Times New Roman"/>
                <w:b/>
                <w:sz w:val="18"/>
                <w:szCs w:val="16"/>
              </w:rPr>
            </w:pPr>
            <w:r w:rsidRPr="00826FDE">
              <w:rPr>
                <w:rFonts w:cs="Times New Roman"/>
                <w:b/>
                <w:sz w:val="18"/>
                <w:szCs w:val="16"/>
              </w:rPr>
              <w:t xml:space="preserve">All </w:t>
            </w:r>
            <w:r w:rsidR="00D4486B">
              <w:rPr>
                <w:rFonts w:cs="Times New Roman"/>
                <w:b/>
                <w:sz w:val="18"/>
                <w:szCs w:val="16"/>
              </w:rPr>
              <w:t>sub-r</w:t>
            </w:r>
            <w:r w:rsidRPr="00826FDE">
              <w:rPr>
                <w:rFonts w:cs="Times New Roman"/>
                <w:b/>
                <w:sz w:val="18"/>
                <w:szCs w:val="16"/>
              </w:rPr>
              <w:t>egions</w:t>
            </w:r>
          </w:p>
        </w:tc>
      </w:tr>
      <w:tr w:rsidR="00D10711" w:rsidRPr="0028098E" w14:paraId="3EBAB5B2" w14:textId="77777777" w:rsidTr="0000512F">
        <w:trPr>
          <w:trHeight w:val="737"/>
          <w:jc w:val="center"/>
        </w:trPr>
        <w:tc>
          <w:tcPr>
            <w:tcW w:w="3479" w:type="dxa"/>
            <w:tcBorders>
              <w:top w:val="nil"/>
              <w:left w:val="nil"/>
              <w:right w:val="nil"/>
            </w:tcBorders>
          </w:tcPr>
          <w:p w14:paraId="436CB3C3" w14:textId="77777777" w:rsidR="00A61B4F" w:rsidRPr="00CD2BA3" w:rsidRDefault="00A61B4F" w:rsidP="00E042F0">
            <w:pPr>
              <w:spacing w:after="0" w:line="240" w:lineRule="auto"/>
              <w:rPr>
                <w:rFonts w:cs="Times New Roman"/>
                <w:b/>
                <w:sz w:val="16"/>
                <w:szCs w:val="18"/>
              </w:rPr>
            </w:pPr>
            <w:r w:rsidRPr="00673363">
              <w:rPr>
                <w:rFonts w:cs="Times New Roman"/>
                <w:b/>
                <w:sz w:val="18"/>
                <w:szCs w:val="18"/>
              </w:rPr>
              <w:t>Antimicrobial</w:t>
            </w:r>
          </w:p>
        </w:tc>
        <w:tc>
          <w:tcPr>
            <w:tcW w:w="903" w:type="dxa"/>
            <w:tcBorders>
              <w:left w:val="nil"/>
              <w:right w:val="nil"/>
            </w:tcBorders>
            <w:vAlign w:val="center"/>
          </w:tcPr>
          <w:p w14:paraId="3C39199B" w14:textId="77777777" w:rsidR="00A61B4F" w:rsidRPr="00673363" w:rsidRDefault="00A61B4F" w:rsidP="00236393">
            <w:pPr>
              <w:spacing w:after="0" w:line="240" w:lineRule="auto"/>
              <w:rPr>
                <w:rFonts w:cs="Times New Roman"/>
                <w:b/>
                <w:sz w:val="18"/>
                <w:szCs w:val="18"/>
              </w:rPr>
            </w:pPr>
            <w:r w:rsidRPr="00673363">
              <w:rPr>
                <w:rFonts w:cs="Times New Roman"/>
                <w:b/>
                <w:sz w:val="18"/>
                <w:szCs w:val="18"/>
              </w:rPr>
              <w:t>Number of isolates*</w:t>
            </w:r>
          </w:p>
        </w:tc>
        <w:tc>
          <w:tcPr>
            <w:tcW w:w="1476" w:type="dxa"/>
            <w:tcBorders>
              <w:left w:val="nil"/>
              <w:right w:val="nil"/>
            </w:tcBorders>
            <w:vAlign w:val="center"/>
          </w:tcPr>
          <w:p w14:paraId="75981A02" w14:textId="7AE3A94B" w:rsidR="00A61B4F" w:rsidRPr="00673363" w:rsidRDefault="00A61B4F" w:rsidP="00236393">
            <w:pPr>
              <w:spacing w:after="0" w:line="240" w:lineRule="auto"/>
              <w:rPr>
                <w:rFonts w:cs="Times New Roman"/>
                <w:b/>
                <w:sz w:val="18"/>
                <w:szCs w:val="18"/>
              </w:rPr>
            </w:pPr>
            <w:r w:rsidRPr="00673363">
              <w:rPr>
                <w:rFonts w:cs="Times New Roman"/>
                <w:b/>
                <w:sz w:val="18"/>
                <w:szCs w:val="18"/>
              </w:rPr>
              <w:t>% Resistance</w:t>
            </w:r>
          </w:p>
          <w:p w14:paraId="672AC299" w14:textId="77777777" w:rsidR="00A61B4F" w:rsidRPr="00673363" w:rsidRDefault="00A61B4F" w:rsidP="00236393">
            <w:pPr>
              <w:spacing w:after="0" w:line="240" w:lineRule="auto"/>
              <w:rPr>
                <w:rFonts w:cs="Times New Roman"/>
                <w:b/>
                <w:sz w:val="18"/>
                <w:szCs w:val="18"/>
              </w:rPr>
            </w:pPr>
            <w:r w:rsidRPr="00673363">
              <w:rPr>
                <w:rFonts w:cs="Times New Roman"/>
                <w:b/>
                <w:sz w:val="18"/>
                <w:szCs w:val="18"/>
              </w:rPr>
              <w:t>(95% CI)</w:t>
            </w:r>
          </w:p>
        </w:tc>
        <w:tc>
          <w:tcPr>
            <w:tcW w:w="907" w:type="dxa"/>
            <w:gridSpan w:val="2"/>
            <w:tcBorders>
              <w:left w:val="nil"/>
              <w:right w:val="nil"/>
            </w:tcBorders>
            <w:vAlign w:val="center"/>
          </w:tcPr>
          <w:p w14:paraId="6E785BCB" w14:textId="77777777" w:rsidR="00A61B4F" w:rsidRPr="00673363" w:rsidRDefault="00A61B4F" w:rsidP="00236393">
            <w:pPr>
              <w:spacing w:after="0" w:line="240" w:lineRule="auto"/>
              <w:rPr>
                <w:rFonts w:cs="Times New Roman"/>
                <w:b/>
                <w:sz w:val="18"/>
                <w:szCs w:val="18"/>
              </w:rPr>
            </w:pPr>
            <w:r w:rsidRPr="00673363">
              <w:rPr>
                <w:rFonts w:cs="Times New Roman"/>
                <w:b/>
                <w:sz w:val="18"/>
                <w:szCs w:val="18"/>
              </w:rPr>
              <w:t>Number of isolates*</w:t>
            </w:r>
          </w:p>
        </w:tc>
        <w:tc>
          <w:tcPr>
            <w:tcW w:w="1474" w:type="dxa"/>
            <w:gridSpan w:val="2"/>
            <w:tcBorders>
              <w:left w:val="nil"/>
              <w:right w:val="nil"/>
            </w:tcBorders>
            <w:vAlign w:val="center"/>
          </w:tcPr>
          <w:p w14:paraId="1A667063" w14:textId="02D3799C" w:rsidR="00A61B4F" w:rsidRPr="00673363" w:rsidRDefault="00A61B4F" w:rsidP="00236393">
            <w:pPr>
              <w:spacing w:after="0" w:line="240" w:lineRule="auto"/>
              <w:rPr>
                <w:rFonts w:cs="Times New Roman"/>
                <w:b/>
                <w:sz w:val="18"/>
                <w:szCs w:val="18"/>
              </w:rPr>
            </w:pPr>
            <w:r w:rsidRPr="00673363">
              <w:rPr>
                <w:rFonts w:cs="Times New Roman"/>
                <w:b/>
                <w:sz w:val="18"/>
                <w:szCs w:val="18"/>
              </w:rPr>
              <w:t>% Resistance</w:t>
            </w:r>
          </w:p>
          <w:p w14:paraId="66F24055" w14:textId="77777777" w:rsidR="00A61B4F" w:rsidRPr="00673363" w:rsidRDefault="00A61B4F" w:rsidP="00236393">
            <w:pPr>
              <w:spacing w:after="0" w:line="240" w:lineRule="auto"/>
              <w:rPr>
                <w:rFonts w:cs="Times New Roman"/>
                <w:b/>
                <w:sz w:val="18"/>
                <w:szCs w:val="18"/>
              </w:rPr>
            </w:pPr>
            <w:r w:rsidRPr="00673363">
              <w:rPr>
                <w:rFonts w:cs="Times New Roman"/>
                <w:b/>
                <w:sz w:val="18"/>
                <w:szCs w:val="18"/>
              </w:rPr>
              <w:t>(95% CI)</w:t>
            </w:r>
          </w:p>
        </w:tc>
        <w:tc>
          <w:tcPr>
            <w:tcW w:w="907" w:type="dxa"/>
            <w:gridSpan w:val="3"/>
            <w:tcBorders>
              <w:left w:val="nil"/>
              <w:right w:val="nil"/>
            </w:tcBorders>
            <w:vAlign w:val="center"/>
          </w:tcPr>
          <w:p w14:paraId="769AE9D2" w14:textId="77777777" w:rsidR="00A61B4F" w:rsidRPr="00673363" w:rsidRDefault="00A61B4F" w:rsidP="00236393">
            <w:pPr>
              <w:spacing w:after="0" w:line="240" w:lineRule="auto"/>
              <w:rPr>
                <w:rFonts w:cs="Times New Roman"/>
                <w:b/>
                <w:sz w:val="18"/>
                <w:szCs w:val="18"/>
              </w:rPr>
            </w:pPr>
            <w:r w:rsidRPr="00673363">
              <w:rPr>
                <w:rFonts w:cs="Times New Roman"/>
                <w:b/>
                <w:sz w:val="18"/>
                <w:szCs w:val="18"/>
              </w:rPr>
              <w:t>Number of isolates*</w:t>
            </w:r>
          </w:p>
        </w:tc>
        <w:tc>
          <w:tcPr>
            <w:tcW w:w="1474" w:type="dxa"/>
            <w:gridSpan w:val="4"/>
            <w:tcBorders>
              <w:left w:val="nil"/>
              <w:right w:val="nil"/>
            </w:tcBorders>
            <w:vAlign w:val="center"/>
          </w:tcPr>
          <w:p w14:paraId="3009218A" w14:textId="58FE3B7B" w:rsidR="00A61B4F" w:rsidRPr="00673363" w:rsidRDefault="00A61B4F" w:rsidP="00236393">
            <w:pPr>
              <w:spacing w:after="0" w:line="240" w:lineRule="auto"/>
              <w:rPr>
                <w:rFonts w:cs="Times New Roman"/>
                <w:b/>
                <w:sz w:val="18"/>
                <w:szCs w:val="18"/>
              </w:rPr>
            </w:pPr>
            <w:r w:rsidRPr="00673363">
              <w:rPr>
                <w:rFonts w:cs="Times New Roman"/>
                <w:b/>
                <w:sz w:val="18"/>
                <w:szCs w:val="18"/>
              </w:rPr>
              <w:t>% Resistance</w:t>
            </w:r>
          </w:p>
          <w:p w14:paraId="69587589" w14:textId="77777777" w:rsidR="00A61B4F" w:rsidRPr="00673363" w:rsidRDefault="00A61B4F" w:rsidP="00236393">
            <w:pPr>
              <w:spacing w:after="0" w:line="240" w:lineRule="auto"/>
              <w:rPr>
                <w:rFonts w:cs="Times New Roman"/>
                <w:b/>
                <w:sz w:val="18"/>
                <w:szCs w:val="18"/>
              </w:rPr>
            </w:pPr>
            <w:r w:rsidRPr="00673363">
              <w:rPr>
                <w:rFonts w:cs="Times New Roman"/>
                <w:b/>
                <w:sz w:val="18"/>
                <w:szCs w:val="18"/>
              </w:rPr>
              <w:t>(95% CI)</w:t>
            </w:r>
          </w:p>
        </w:tc>
        <w:tc>
          <w:tcPr>
            <w:tcW w:w="907" w:type="dxa"/>
            <w:gridSpan w:val="2"/>
            <w:tcBorders>
              <w:left w:val="nil"/>
              <w:right w:val="nil"/>
            </w:tcBorders>
            <w:vAlign w:val="center"/>
          </w:tcPr>
          <w:p w14:paraId="01A1F0C6" w14:textId="77777777" w:rsidR="00A61B4F" w:rsidRPr="00673363" w:rsidRDefault="00A61B4F" w:rsidP="00236393">
            <w:pPr>
              <w:spacing w:after="0" w:line="240" w:lineRule="auto"/>
              <w:rPr>
                <w:rFonts w:cs="Times New Roman"/>
                <w:b/>
                <w:sz w:val="18"/>
                <w:szCs w:val="18"/>
              </w:rPr>
            </w:pPr>
            <w:r w:rsidRPr="00673363">
              <w:rPr>
                <w:rFonts w:cs="Times New Roman"/>
                <w:b/>
                <w:sz w:val="18"/>
                <w:szCs w:val="18"/>
              </w:rPr>
              <w:t>Number of isolates*</w:t>
            </w:r>
          </w:p>
        </w:tc>
        <w:tc>
          <w:tcPr>
            <w:tcW w:w="1418" w:type="dxa"/>
            <w:gridSpan w:val="2"/>
            <w:tcBorders>
              <w:left w:val="nil"/>
              <w:right w:val="nil"/>
            </w:tcBorders>
            <w:vAlign w:val="center"/>
          </w:tcPr>
          <w:p w14:paraId="3C9E93E7" w14:textId="18E23149" w:rsidR="00A61B4F" w:rsidRPr="00673363" w:rsidRDefault="00A61B4F" w:rsidP="00236393">
            <w:pPr>
              <w:spacing w:after="0" w:line="240" w:lineRule="auto"/>
              <w:rPr>
                <w:rFonts w:cs="Times New Roman"/>
                <w:b/>
                <w:sz w:val="18"/>
                <w:szCs w:val="18"/>
              </w:rPr>
            </w:pPr>
            <w:r w:rsidRPr="00673363">
              <w:rPr>
                <w:rFonts w:cs="Times New Roman"/>
                <w:b/>
                <w:sz w:val="18"/>
                <w:szCs w:val="18"/>
              </w:rPr>
              <w:t>% Resistance</w:t>
            </w:r>
          </w:p>
          <w:p w14:paraId="2A9CD2B2" w14:textId="77777777" w:rsidR="00A61B4F" w:rsidRPr="00673363" w:rsidRDefault="00A61B4F" w:rsidP="00236393">
            <w:pPr>
              <w:spacing w:after="0" w:line="240" w:lineRule="auto"/>
              <w:rPr>
                <w:rFonts w:cs="Times New Roman"/>
                <w:b/>
                <w:sz w:val="18"/>
                <w:szCs w:val="18"/>
              </w:rPr>
            </w:pPr>
            <w:r w:rsidRPr="00673363">
              <w:rPr>
                <w:rFonts w:cs="Times New Roman"/>
                <w:b/>
                <w:sz w:val="18"/>
                <w:szCs w:val="18"/>
              </w:rPr>
              <w:t>(95% CI)</w:t>
            </w:r>
          </w:p>
        </w:tc>
        <w:tc>
          <w:tcPr>
            <w:tcW w:w="907" w:type="dxa"/>
            <w:gridSpan w:val="2"/>
            <w:tcBorders>
              <w:left w:val="nil"/>
              <w:right w:val="nil"/>
            </w:tcBorders>
            <w:vAlign w:val="center"/>
          </w:tcPr>
          <w:p w14:paraId="5D4BCA6F" w14:textId="77777777" w:rsidR="00A61B4F" w:rsidRPr="00673363" w:rsidRDefault="00A61B4F" w:rsidP="00236393">
            <w:pPr>
              <w:spacing w:after="0" w:line="240" w:lineRule="auto"/>
              <w:rPr>
                <w:rFonts w:cs="Times New Roman"/>
                <w:b/>
                <w:sz w:val="18"/>
                <w:szCs w:val="18"/>
              </w:rPr>
            </w:pPr>
            <w:r w:rsidRPr="00673363">
              <w:rPr>
                <w:rFonts w:cs="Times New Roman"/>
                <w:b/>
                <w:sz w:val="18"/>
                <w:szCs w:val="18"/>
              </w:rPr>
              <w:t>Number of isolates*</w:t>
            </w:r>
          </w:p>
        </w:tc>
        <w:tc>
          <w:tcPr>
            <w:tcW w:w="1430" w:type="dxa"/>
            <w:tcBorders>
              <w:left w:val="nil"/>
              <w:right w:val="nil"/>
            </w:tcBorders>
            <w:vAlign w:val="center"/>
          </w:tcPr>
          <w:p w14:paraId="3FA1E103" w14:textId="69B1F1FA" w:rsidR="00A61B4F" w:rsidRPr="00673363" w:rsidRDefault="00A61B4F" w:rsidP="00236393">
            <w:pPr>
              <w:spacing w:after="0" w:line="240" w:lineRule="auto"/>
              <w:rPr>
                <w:rFonts w:cs="Times New Roman"/>
                <w:b/>
                <w:sz w:val="18"/>
                <w:szCs w:val="18"/>
              </w:rPr>
            </w:pPr>
            <w:r w:rsidRPr="00673363">
              <w:rPr>
                <w:rFonts w:cs="Times New Roman"/>
                <w:b/>
                <w:sz w:val="18"/>
                <w:szCs w:val="18"/>
              </w:rPr>
              <w:t>% Resistance</w:t>
            </w:r>
          </w:p>
          <w:p w14:paraId="4041FE04" w14:textId="77777777" w:rsidR="00A61B4F" w:rsidRPr="00673363" w:rsidRDefault="00A61B4F" w:rsidP="00236393">
            <w:pPr>
              <w:spacing w:after="0" w:line="240" w:lineRule="auto"/>
              <w:rPr>
                <w:rFonts w:cs="Times New Roman"/>
                <w:b/>
                <w:sz w:val="18"/>
                <w:szCs w:val="18"/>
              </w:rPr>
            </w:pPr>
            <w:r w:rsidRPr="00673363">
              <w:rPr>
                <w:rFonts w:cs="Times New Roman"/>
                <w:b/>
                <w:sz w:val="18"/>
                <w:szCs w:val="18"/>
              </w:rPr>
              <w:t>(95% CI)</w:t>
            </w:r>
          </w:p>
        </w:tc>
      </w:tr>
      <w:tr w:rsidR="00A61B4F" w:rsidRPr="0028098E" w14:paraId="79FD8D01" w14:textId="77777777" w:rsidTr="0000512F">
        <w:trPr>
          <w:trHeight w:val="340"/>
          <w:jc w:val="center"/>
        </w:trPr>
        <w:tc>
          <w:tcPr>
            <w:tcW w:w="15282" w:type="dxa"/>
            <w:gridSpan w:val="21"/>
            <w:tcBorders>
              <w:left w:val="nil"/>
              <w:right w:val="nil"/>
            </w:tcBorders>
            <w:vAlign w:val="bottom"/>
          </w:tcPr>
          <w:p w14:paraId="1BD94A21" w14:textId="7096B0A1" w:rsidR="00A61B4F" w:rsidRPr="00E90358" w:rsidRDefault="00A61B4F" w:rsidP="00E042F0">
            <w:pPr>
              <w:spacing w:before="40" w:after="0" w:line="240" w:lineRule="auto"/>
              <w:rPr>
                <w:rFonts w:cs="Times New Roman"/>
                <w:b/>
                <w:sz w:val="16"/>
                <w:szCs w:val="16"/>
              </w:rPr>
            </w:pPr>
            <w:r w:rsidRPr="00E90358">
              <w:rPr>
                <w:rFonts w:cs="Times New Roman"/>
                <w:b/>
                <w:i/>
                <w:sz w:val="18"/>
                <w:szCs w:val="16"/>
              </w:rPr>
              <w:t>Staphylococcus aureus</w:t>
            </w:r>
          </w:p>
        </w:tc>
      </w:tr>
      <w:tr w:rsidR="001C7DE7" w:rsidRPr="0028098E" w14:paraId="23C153FC" w14:textId="77777777" w:rsidTr="0000512F">
        <w:trPr>
          <w:trHeight w:val="227"/>
          <w:jc w:val="center"/>
        </w:trPr>
        <w:tc>
          <w:tcPr>
            <w:tcW w:w="3479" w:type="dxa"/>
            <w:tcBorders>
              <w:left w:val="nil"/>
              <w:right w:val="nil"/>
            </w:tcBorders>
            <w:vAlign w:val="center"/>
          </w:tcPr>
          <w:p w14:paraId="09787C92" w14:textId="20295CDB" w:rsidR="001C7DE7" w:rsidRPr="0028098E" w:rsidRDefault="001C7DE7" w:rsidP="001C7DE7">
            <w:pPr>
              <w:spacing w:after="0" w:line="240" w:lineRule="auto"/>
              <w:rPr>
                <w:rFonts w:cs="Times New Roman"/>
                <w:sz w:val="16"/>
                <w:szCs w:val="16"/>
              </w:rPr>
            </w:pPr>
            <w:r w:rsidRPr="0028098E">
              <w:rPr>
                <w:rFonts w:cs="Times New Roman"/>
                <w:sz w:val="16"/>
                <w:szCs w:val="16"/>
              </w:rPr>
              <w:t>Cloxacillin</w:t>
            </w:r>
            <w:r w:rsidR="002220C3" w:rsidRPr="002220C3">
              <w:rPr>
                <w:rFonts w:cs="Times New Roman"/>
                <w:noProof/>
                <w:sz w:val="16"/>
                <w:szCs w:val="16"/>
                <w:vertAlign w:val="superscript"/>
              </w:rPr>
              <w:t>36,79,84,93,97,98,110,130,131</w:t>
            </w:r>
          </w:p>
        </w:tc>
        <w:tc>
          <w:tcPr>
            <w:tcW w:w="903" w:type="dxa"/>
            <w:tcBorders>
              <w:left w:val="nil"/>
              <w:right w:val="nil"/>
            </w:tcBorders>
            <w:vAlign w:val="center"/>
          </w:tcPr>
          <w:p w14:paraId="6E4F93ED" w14:textId="77777777" w:rsidR="001C7DE7" w:rsidRDefault="001C7DE7" w:rsidP="001C7DE7">
            <w:pPr>
              <w:spacing w:after="0" w:line="240" w:lineRule="auto"/>
              <w:rPr>
                <w:rFonts w:cs="Times New Roman"/>
                <w:sz w:val="16"/>
                <w:szCs w:val="16"/>
              </w:rPr>
            </w:pPr>
            <w:r w:rsidRPr="00240E8A">
              <w:rPr>
                <w:rFonts w:cs="Times New Roman"/>
                <w:sz w:val="16"/>
                <w:szCs w:val="16"/>
              </w:rPr>
              <w:t>ND</w:t>
            </w:r>
          </w:p>
        </w:tc>
        <w:tc>
          <w:tcPr>
            <w:tcW w:w="1493" w:type="dxa"/>
            <w:gridSpan w:val="2"/>
            <w:tcBorders>
              <w:left w:val="nil"/>
              <w:right w:val="nil"/>
            </w:tcBorders>
            <w:vAlign w:val="center"/>
          </w:tcPr>
          <w:p w14:paraId="7DEACF59" w14:textId="77777777" w:rsidR="001C7DE7" w:rsidRPr="0028098E" w:rsidRDefault="001C7DE7" w:rsidP="001C7DE7">
            <w:pPr>
              <w:spacing w:after="0" w:line="240" w:lineRule="auto"/>
              <w:rPr>
                <w:rFonts w:cs="Times New Roman"/>
                <w:sz w:val="16"/>
                <w:szCs w:val="16"/>
              </w:rPr>
            </w:pPr>
          </w:p>
        </w:tc>
        <w:tc>
          <w:tcPr>
            <w:tcW w:w="907" w:type="dxa"/>
            <w:gridSpan w:val="2"/>
            <w:tcBorders>
              <w:left w:val="nil"/>
              <w:right w:val="nil"/>
            </w:tcBorders>
            <w:vAlign w:val="center"/>
          </w:tcPr>
          <w:p w14:paraId="34218B09" w14:textId="77777777" w:rsidR="001C7DE7" w:rsidRDefault="001C7DE7" w:rsidP="001C7DE7">
            <w:pPr>
              <w:spacing w:after="0" w:line="240" w:lineRule="auto"/>
              <w:rPr>
                <w:rFonts w:cs="Times New Roman"/>
                <w:sz w:val="16"/>
                <w:szCs w:val="16"/>
              </w:rPr>
            </w:pPr>
            <w:r>
              <w:rPr>
                <w:rFonts w:cs="Times New Roman"/>
                <w:sz w:val="16"/>
                <w:szCs w:val="16"/>
              </w:rPr>
              <w:t>39</w:t>
            </w:r>
          </w:p>
        </w:tc>
        <w:tc>
          <w:tcPr>
            <w:tcW w:w="1474" w:type="dxa"/>
            <w:gridSpan w:val="2"/>
            <w:tcBorders>
              <w:left w:val="nil"/>
              <w:right w:val="nil"/>
            </w:tcBorders>
            <w:vAlign w:val="center"/>
          </w:tcPr>
          <w:p w14:paraId="05DF9BEF" w14:textId="77777777" w:rsidR="001C7DE7" w:rsidRDefault="001C7DE7" w:rsidP="001C7DE7">
            <w:pPr>
              <w:spacing w:after="0" w:line="240" w:lineRule="auto"/>
              <w:rPr>
                <w:rFonts w:cs="Times New Roman"/>
                <w:sz w:val="16"/>
                <w:szCs w:val="16"/>
              </w:rPr>
            </w:pPr>
            <w:r>
              <w:rPr>
                <w:rFonts w:cs="Times New Roman"/>
                <w:sz w:val="16"/>
                <w:szCs w:val="16"/>
              </w:rPr>
              <w:t>52% (36 – 68%)</w:t>
            </w:r>
          </w:p>
        </w:tc>
        <w:tc>
          <w:tcPr>
            <w:tcW w:w="907" w:type="dxa"/>
            <w:gridSpan w:val="3"/>
            <w:tcBorders>
              <w:left w:val="nil"/>
              <w:right w:val="nil"/>
            </w:tcBorders>
            <w:vAlign w:val="center"/>
          </w:tcPr>
          <w:p w14:paraId="6E6DD41F" w14:textId="77777777" w:rsidR="001C7DE7" w:rsidRDefault="001C7DE7" w:rsidP="001C7DE7">
            <w:pPr>
              <w:spacing w:after="0" w:line="240" w:lineRule="auto"/>
              <w:rPr>
                <w:rFonts w:cs="Times New Roman"/>
                <w:sz w:val="16"/>
                <w:szCs w:val="16"/>
              </w:rPr>
            </w:pPr>
            <w:r>
              <w:rPr>
                <w:rFonts w:cs="Times New Roman"/>
                <w:sz w:val="16"/>
                <w:szCs w:val="16"/>
              </w:rPr>
              <w:t>ND</w:t>
            </w:r>
          </w:p>
        </w:tc>
        <w:tc>
          <w:tcPr>
            <w:tcW w:w="1442" w:type="dxa"/>
            <w:gridSpan w:val="2"/>
            <w:tcBorders>
              <w:left w:val="nil"/>
              <w:right w:val="nil"/>
            </w:tcBorders>
            <w:vAlign w:val="center"/>
          </w:tcPr>
          <w:p w14:paraId="066FA13A" w14:textId="77777777" w:rsidR="001C7DE7" w:rsidRDefault="001C7DE7" w:rsidP="001C7DE7">
            <w:pPr>
              <w:spacing w:after="0" w:line="240" w:lineRule="auto"/>
              <w:rPr>
                <w:rFonts w:cs="Times New Roman"/>
                <w:sz w:val="16"/>
                <w:szCs w:val="16"/>
              </w:rPr>
            </w:pPr>
          </w:p>
        </w:tc>
        <w:tc>
          <w:tcPr>
            <w:tcW w:w="907" w:type="dxa"/>
            <w:gridSpan w:val="2"/>
            <w:tcBorders>
              <w:left w:val="nil"/>
              <w:right w:val="nil"/>
            </w:tcBorders>
            <w:vAlign w:val="center"/>
          </w:tcPr>
          <w:p w14:paraId="0388DA35" w14:textId="77777777" w:rsidR="001C7DE7" w:rsidRDefault="001C7DE7" w:rsidP="001C7DE7">
            <w:pPr>
              <w:spacing w:after="0" w:line="240" w:lineRule="auto"/>
              <w:rPr>
                <w:rFonts w:cs="Times New Roman"/>
                <w:sz w:val="16"/>
                <w:szCs w:val="16"/>
              </w:rPr>
            </w:pPr>
            <w:r>
              <w:rPr>
                <w:rFonts w:cs="Times New Roman"/>
                <w:sz w:val="16"/>
                <w:szCs w:val="16"/>
              </w:rPr>
              <w:t>227</w:t>
            </w:r>
          </w:p>
        </w:tc>
        <w:tc>
          <w:tcPr>
            <w:tcW w:w="1417" w:type="dxa"/>
            <w:gridSpan w:val="2"/>
            <w:tcBorders>
              <w:left w:val="nil"/>
              <w:right w:val="nil"/>
            </w:tcBorders>
            <w:vAlign w:val="center"/>
          </w:tcPr>
          <w:p w14:paraId="3427D635" w14:textId="77777777" w:rsidR="001C7DE7" w:rsidRDefault="001C7DE7" w:rsidP="001C7DE7">
            <w:pPr>
              <w:spacing w:after="0" w:line="240" w:lineRule="auto"/>
              <w:rPr>
                <w:rFonts w:cs="Times New Roman"/>
                <w:sz w:val="16"/>
                <w:szCs w:val="16"/>
              </w:rPr>
            </w:pPr>
            <w:r>
              <w:rPr>
                <w:rFonts w:cs="Times New Roman"/>
                <w:sz w:val="16"/>
                <w:szCs w:val="16"/>
              </w:rPr>
              <w:t>41% (8 – 79%)</w:t>
            </w:r>
          </w:p>
        </w:tc>
        <w:tc>
          <w:tcPr>
            <w:tcW w:w="907" w:type="dxa"/>
            <w:gridSpan w:val="2"/>
            <w:tcBorders>
              <w:left w:val="nil"/>
              <w:right w:val="nil"/>
            </w:tcBorders>
            <w:vAlign w:val="center"/>
          </w:tcPr>
          <w:p w14:paraId="77517682" w14:textId="77777777" w:rsidR="001C7DE7" w:rsidRDefault="001C7DE7" w:rsidP="001C7DE7">
            <w:pPr>
              <w:spacing w:after="0" w:line="240" w:lineRule="auto"/>
              <w:rPr>
                <w:rFonts w:cs="Times New Roman"/>
                <w:sz w:val="16"/>
                <w:szCs w:val="16"/>
              </w:rPr>
            </w:pPr>
            <w:r>
              <w:rPr>
                <w:rFonts w:cs="Times New Roman"/>
                <w:sz w:val="16"/>
                <w:szCs w:val="16"/>
              </w:rPr>
              <w:t>266</w:t>
            </w:r>
          </w:p>
        </w:tc>
        <w:tc>
          <w:tcPr>
            <w:tcW w:w="1446" w:type="dxa"/>
            <w:gridSpan w:val="2"/>
            <w:tcBorders>
              <w:left w:val="nil"/>
              <w:right w:val="nil"/>
            </w:tcBorders>
            <w:vAlign w:val="center"/>
          </w:tcPr>
          <w:p w14:paraId="0B3C4F78" w14:textId="77777777" w:rsidR="001C7DE7" w:rsidRDefault="001C7DE7" w:rsidP="001C7DE7">
            <w:pPr>
              <w:spacing w:after="0" w:line="240" w:lineRule="auto"/>
              <w:rPr>
                <w:rFonts w:cs="Times New Roman"/>
                <w:sz w:val="16"/>
                <w:szCs w:val="16"/>
              </w:rPr>
            </w:pPr>
            <w:r>
              <w:rPr>
                <w:rFonts w:cs="Times New Roman"/>
                <w:sz w:val="16"/>
                <w:szCs w:val="16"/>
              </w:rPr>
              <w:t>40% (8 – 79%)</w:t>
            </w:r>
          </w:p>
        </w:tc>
      </w:tr>
      <w:tr w:rsidR="001C7DE7" w:rsidRPr="0028098E" w14:paraId="186C34C5" w14:textId="77777777" w:rsidTr="0000512F">
        <w:trPr>
          <w:trHeight w:val="227"/>
          <w:jc w:val="center"/>
        </w:trPr>
        <w:tc>
          <w:tcPr>
            <w:tcW w:w="3479" w:type="dxa"/>
            <w:tcBorders>
              <w:left w:val="nil"/>
              <w:right w:val="nil"/>
            </w:tcBorders>
            <w:vAlign w:val="center"/>
          </w:tcPr>
          <w:p w14:paraId="31347719" w14:textId="77236F98" w:rsidR="001C7DE7" w:rsidRPr="0028098E" w:rsidRDefault="001C7DE7" w:rsidP="001C7DE7">
            <w:pPr>
              <w:spacing w:after="0" w:line="240" w:lineRule="auto"/>
              <w:rPr>
                <w:rFonts w:cs="Times New Roman"/>
                <w:sz w:val="16"/>
                <w:szCs w:val="16"/>
              </w:rPr>
            </w:pPr>
            <w:r>
              <w:rPr>
                <w:rFonts w:cs="Times New Roman"/>
                <w:sz w:val="16"/>
                <w:szCs w:val="16"/>
              </w:rPr>
              <w:t>Oxacillin</w:t>
            </w:r>
            <w:r w:rsidR="002220C3" w:rsidRPr="002220C3">
              <w:rPr>
                <w:rFonts w:cs="Times New Roman"/>
                <w:noProof/>
                <w:sz w:val="16"/>
                <w:szCs w:val="16"/>
                <w:vertAlign w:val="superscript"/>
              </w:rPr>
              <w:t>63,86,88,106,113,128</w:t>
            </w:r>
          </w:p>
        </w:tc>
        <w:tc>
          <w:tcPr>
            <w:tcW w:w="903" w:type="dxa"/>
            <w:tcBorders>
              <w:left w:val="nil"/>
              <w:right w:val="nil"/>
            </w:tcBorders>
            <w:vAlign w:val="center"/>
          </w:tcPr>
          <w:p w14:paraId="44C9C95B" w14:textId="136CD530" w:rsidR="001C7DE7" w:rsidRPr="00240E8A" w:rsidRDefault="001C7DE7" w:rsidP="001C7DE7">
            <w:pPr>
              <w:spacing w:after="0" w:line="240" w:lineRule="auto"/>
              <w:rPr>
                <w:rFonts w:cs="Times New Roman"/>
                <w:sz w:val="16"/>
                <w:szCs w:val="16"/>
              </w:rPr>
            </w:pPr>
            <w:r>
              <w:rPr>
                <w:rFonts w:cs="Times New Roman"/>
                <w:sz w:val="16"/>
                <w:szCs w:val="16"/>
              </w:rPr>
              <w:t>ND</w:t>
            </w:r>
          </w:p>
        </w:tc>
        <w:tc>
          <w:tcPr>
            <w:tcW w:w="1493" w:type="dxa"/>
            <w:gridSpan w:val="2"/>
            <w:tcBorders>
              <w:left w:val="nil"/>
              <w:right w:val="nil"/>
            </w:tcBorders>
            <w:vAlign w:val="center"/>
          </w:tcPr>
          <w:p w14:paraId="0C3E88A5" w14:textId="77777777" w:rsidR="001C7DE7" w:rsidRPr="0028098E" w:rsidRDefault="001C7DE7" w:rsidP="001C7DE7">
            <w:pPr>
              <w:spacing w:after="0" w:line="240" w:lineRule="auto"/>
              <w:rPr>
                <w:rFonts w:cs="Times New Roman"/>
                <w:sz w:val="16"/>
                <w:szCs w:val="16"/>
              </w:rPr>
            </w:pPr>
          </w:p>
        </w:tc>
        <w:tc>
          <w:tcPr>
            <w:tcW w:w="907" w:type="dxa"/>
            <w:gridSpan w:val="2"/>
            <w:tcBorders>
              <w:left w:val="nil"/>
              <w:right w:val="nil"/>
            </w:tcBorders>
            <w:vAlign w:val="center"/>
          </w:tcPr>
          <w:p w14:paraId="560CDA96" w14:textId="42BF2EF8" w:rsidR="001C7DE7" w:rsidRDefault="001C7DE7" w:rsidP="001C7DE7">
            <w:pPr>
              <w:spacing w:after="0" w:line="240" w:lineRule="auto"/>
              <w:rPr>
                <w:rFonts w:cs="Times New Roman"/>
                <w:sz w:val="16"/>
                <w:szCs w:val="16"/>
              </w:rPr>
            </w:pPr>
            <w:r>
              <w:rPr>
                <w:rFonts w:cs="Times New Roman"/>
                <w:sz w:val="16"/>
                <w:szCs w:val="16"/>
              </w:rPr>
              <w:t>82</w:t>
            </w:r>
          </w:p>
        </w:tc>
        <w:tc>
          <w:tcPr>
            <w:tcW w:w="1474" w:type="dxa"/>
            <w:gridSpan w:val="2"/>
            <w:tcBorders>
              <w:left w:val="nil"/>
              <w:right w:val="nil"/>
            </w:tcBorders>
            <w:vAlign w:val="center"/>
          </w:tcPr>
          <w:p w14:paraId="462A929F" w14:textId="77777777" w:rsidR="001C7DE7" w:rsidRDefault="001C7DE7" w:rsidP="001C7DE7">
            <w:pPr>
              <w:spacing w:after="0" w:line="240" w:lineRule="auto"/>
              <w:rPr>
                <w:rFonts w:cs="Times New Roman"/>
                <w:sz w:val="16"/>
                <w:szCs w:val="16"/>
              </w:rPr>
            </w:pPr>
          </w:p>
        </w:tc>
        <w:tc>
          <w:tcPr>
            <w:tcW w:w="907" w:type="dxa"/>
            <w:gridSpan w:val="3"/>
            <w:tcBorders>
              <w:left w:val="nil"/>
              <w:right w:val="nil"/>
            </w:tcBorders>
            <w:vAlign w:val="center"/>
          </w:tcPr>
          <w:p w14:paraId="6A47A757" w14:textId="6049D33D" w:rsidR="001C7DE7" w:rsidRDefault="001C7DE7" w:rsidP="001C7DE7">
            <w:pPr>
              <w:spacing w:after="0" w:line="240" w:lineRule="auto"/>
              <w:rPr>
                <w:rFonts w:cs="Times New Roman"/>
                <w:sz w:val="16"/>
                <w:szCs w:val="16"/>
              </w:rPr>
            </w:pPr>
            <w:r>
              <w:rPr>
                <w:rFonts w:cs="Times New Roman"/>
                <w:sz w:val="16"/>
                <w:szCs w:val="16"/>
              </w:rPr>
              <w:t>11</w:t>
            </w:r>
          </w:p>
        </w:tc>
        <w:tc>
          <w:tcPr>
            <w:tcW w:w="1442" w:type="dxa"/>
            <w:gridSpan w:val="2"/>
            <w:tcBorders>
              <w:left w:val="nil"/>
              <w:right w:val="nil"/>
            </w:tcBorders>
            <w:vAlign w:val="center"/>
          </w:tcPr>
          <w:p w14:paraId="59EB9CAE" w14:textId="77777777" w:rsidR="001C7DE7" w:rsidRDefault="001C7DE7" w:rsidP="001C7DE7">
            <w:pPr>
              <w:spacing w:after="0" w:line="240" w:lineRule="auto"/>
              <w:rPr>
                <w:rFonts w:cs="Times New Roman"/>
                <w:sz w:val="16"/>
                <w:szCs w:val="16"/>
              </w:rPr>
            </w:pPr>
          </w:p>
        </w:tc>
        <w:tc>
          <w:tcPr>
            <w:tcW w:w="907" w:type="dxa"/>
            <w:gridSpan w:val="2"/>
            <w:tcBorders>
              <w:left w:val="nil"/>
              <w:right w:val="nil"/>
            </w:tcBorders>
            <w:vAlign w:val="center"/>
          </w:tcPr>
          <w:p w14:paraId="3EE6A484" w14:textId="23D2739D" w:rsidR="001C7DE7" w:rsidRDefault="001C7DE7" w:rsidP="001C7DE7">
            <w:pPr>
              <w:spacing w:after="0" w:line="240" w:lineRule="auto"/>
              <w:rPr>
                <w:rFonts w:cs="Times New Roman"/>
                <w:sz w:val="16"/>
                <w:szCs w:val="16"/>
              </w:rPr>
            </w:pPr>
            <w:r>
              <w:rPr>
                <w:rFonts w:cs="Times New Roman"/>
                <w:sz w:val="16"/>
                <w:szCs w:val="16"/>
              </w:rPr>
              <w:t>23</w:t>
            </w:r>
          </w:p>
        </w:tc>
        <w:tc>
          <w:tcPr>
            <w:tcW w:w="1417" w:type="dxa"/>
            <w:gridSpan w:val="2"/>
            <w:tcBorders>
              <w:left w:val="nil"/>
              <w:right w:val="nil"/>
            </w:tcBorders>
            <w:vAlign w:val="center"/>
          </w:tcPr>
          <w:p w14:paraId="3142259C" w14:textId="77777777" w:rsidR="001C7DE7" w:rsidRDefault="001C7DE7" w:rsidP="001C7DE7">
            <w:pPr>
              <w:spacing w:after="0" w:line="240" w:lineRule="auto"/>
              <w:rPr>
                <w:rFonts w:cs="Times New Roman"/>
                <w:sz w:val="16"/>
                <w:szCs w:val="16"/>
              </w:rPr>
            </w:pPr>
          </w:p>
        </w:tc>
        <w:tc>
          <w:tcPr>
            <w:tcW w:w="907" w:type="dxa"/>
            <w:gridSpan w:val="2"/>
            <w:tcBorders>
              <w:left w:val="nil"/>
              <w:right w:val="nil"/>
            </w:tcBorders>
            <w:vAlign w:val="center"/>
          </w:tcPr>
          <w:p w14:paraId="51A99A5A" w14:textId="29D5D7B7" w:rsidR="001C7DE7" w:rsidRDefault="001C7DE7" w:rsidP="001C7DE7">
            <w:pPr>
              <w:spacing w:after="0" w:line="240" w:lineRule="auto"/>
              <w:rPr>
                <w:rFonts w:cs="Times New Roman"/>
                <w:sz w:val="16"/>
                <w:szCs w:val="16"/>
              </w:rPr>
            </w:pPr>
            <w:r>
              <w:rPr>
                <w:rFonts w:cs="Times New Roman"/>
                <w:sz w:val="16"/>
                <w:szCs w:val="16"/>
              </w:rPr>
              <w:t>116</w:t>
            </w:r>
          </w:p>
        </w:tc>
        <w:tc>
          <w:tcPr>
            <w:tcW w:w="1446" w:type="dxa"/>
            <w:gridSpan w:val="2"/>
            <w:tcBorders>
              <w:left w:val="nil"/>
              <w:right w:val="nil"/>
            </w:tcBorders>
            <w:vAlign w:val="center"/>
          </w:tcPr>
          <w:p w14:paraId="72934FE0" w14:textId="77777777" w:rsidR="001C7DE7" w:rsidRDefault="001C7DE7" w:rsidP="001C7DE7">
            <w:pPr>
              <w:spacing w:after="0" w:line="240" w:lineRule="auto"/>
              <w:rPr>
                <w:rFonts w:cs="Times New Roman"/>
                <w:sz w:val="16"/>
                <w:szCs w:val="16"/>
              </w:rPr>
            </w:pPr>
          </w:p>
        </w:tc>
      </w:tr>
      <w:tr w:rsidR="0073478D" w:rsidRPr="0028098E" w14:paraId="05E3A985" w14:textId="77777777" w:rsidTr="0000512F">
        <w:trPr>
          <w:trHeight w:val="227"/>
          <w:jc w:val="center"/>
        </w:trPr>
        <w:tc>
          <w:tcPr>
            <w:tcW w:w="3479" w:type="dxa"/>
            <w:tcBorders>
              <w:left w:val="nil"/>
              <w:right w:val="nil"/>
            </w:tcBorders>
            <w:vAlign w:val="center"/>
          </w:tcPr>
          <w:p w14:paraId="70E21B91" w14:textId="3F123EDD" w:rsidR="0073478D" w:rsidRDefault="0073478D" w:rsidP="0073478D">
            <w:pPr>
              <w:spacing w:after="0" w:line="240" w:lineRule="auto"/>
              <w:rPr>
                <w:rFonts w:cs="Times New Roman"/>
                <w:sz w:val="16"/>
                <w:szCs w:val="16"/>
              </w:rPr>
            </w:pPr>
            <w:r w:rsidRPr="00912D8B">
              <w:rPr>
                <w:rFonts w:cs="Times New Roman"/>
                <w:sz w:val="16"/>
                <w:szCs w:val="16"/>
              </w:rPr>
              <w:t>Gentamicin</w:t>
            </w:r>
            <w:r w:rsidR="002220C3" w:rsidRPr="002220C3">
              <w:rPr>
                <w:rFonts w:cs="Times New Roman"/>
                <w:noProof/>
                <w:sz w:val="16"/>
                <w:szCs w:val="16"/>
                <w:vertAlign w:val="superscript"/>
              </w:rPr>
              <w:t>36,63,79,84,88,93,97,98,106,110,111,113,118,128,130,131</w:t>
            </w:r>
          </w:p>
        </w:tc>
        <w:tc>
          <w:tcPr>
            <w:tcW w:w="903" w:type="dxa"/>
            <w:tcBorders>
              <w:left w:val="nil"/>
              <w:right w:val="nil"/>
            </w:tcBorders>
            <w:vAlign w:val="center"/>
          </w:tcPr>
          <w:p w14:paraId="2D488F47" w14:textId="3668F4FC" w:rsidR="0073478D" w:rsidRDefault="0073478D" w:rsidP="0073478D">
            <w:pPr>
              <w:spacing w:after="0" w:line="240" w:lineRule="auto"/>
              <w:rPr>
                <w:rFonts w:cs="Times New Roman"/>
                <w:sz w:val="16"/>
                <w:szCs w:val="16"/>
              </w:rPr>
            </w:pPr>
            <w:r w:rsidRPr="00912D8B">
              <w:rPr>
                <w:rFonts w:cs="Times New Roman"/>
                <w:sz w:val="16"/>
                <w:szCs w:val="16"/>
              </w:rPr>
              <w:t>ND</w:t>
            </w:r>
          </w:p>
        </w:tc>
        <w:tc>
          <w:tcPr>
            <w:tcW w:w="1493" w:type="dxa"/>
            <w:gridSpan w:val="2"/>
            <w:tcBorders>
              <w:left w:val="nil"/>
              <w:right w:val="nil"/>
            </w:tcBorders>
            <w:vAlign w:val="center"/>
          </w:tcPr>
          <w:p w14:paraId="53AD5C1A" w14:textId="77777777" w:rsidR="0073478D" w:rsidRPr="0028098E" w:rsidRDefault="0073478D" w:rsidP="0073478D">
            <w:pPr>
              <w:spacing w:after="0" w:line="240" w:lineRule="auto"/>
              <w:rPr>
                <w:rFonts w:cs="Times New Roman"/>
                <w:sz w:val="16"/>
                <w:szCs w:val="16"/>
              </w:rPr>
            </w:pPr>
          </w:p>
        </w:tc>
        <w:tc>
          <w:tcPr>
            <w:tcW w:w="907" w:type="dxa"/>
            <w:gridSpan w:val="2"/>
            <w:tcBorders>
              <w:left w:val="nil"/>
              <w:right w:val="nil"/>
            </w:tcBorders>
            <w:vAlign w:val="center"/>
          </w:tcPr>
          <w:p w14:paraId="3CB32BF6" w14:textId="738B29C8" w:rsidR="0073478D" w:rsidRDefault="0073478D" w:rsidP="0073478D">
            <w:pPr>
              <w:spacing w:after="0" w:line="240" w:lineRule="auto"/>
              <w:rPr>
                <w:rFonts w:cs="Times New Roman"/>
                <w:sz w:val="16"/>
                <w:szCs w:val="16"/>
              </w:rPr>
            </w:pPr>
            <w:r w:rsidRPr="00912D8B">
              <w:rPr>
                <w:rFonts w:cs="Times New Roman"/>
                <w:sz w:val="16"/>
                <w:szCs w:val="16"/>
              </w:rPr>
              <w:t>119</w:t>
            </w:r>
          </w:p>
        </w:tc>
        <w:tc>
          <w:tcPr>
            <w:tcW w:w="1474" w:type="dxa"/>
            <w:gridSpan w:val="2"/>
            <w:tcBorders>
              <w:left w:val="nil"/>
              <w:right w:val="nil"/>
            </w:tcBorders>
            <w:vAlign w:val="center"/>
          </w:tcPr>
          <w:p w14:paraId="40AA4007" w14:textId="3CCECD60" w:rsidR="0073478D" w:rsidRDefault="0073478D" w:rsidP="0073478D">
            <w:pPr>
              <w:spacing w:after="0" w:line="240" w:lineRule="auto"/>
              <w:rPr>
                <w:rFonts w:cs="Times New Roman"/>
                <w:sz w:val="16"/>
                <w:szCs w:val="16"/>
              </w:rPr>
            </w:pPr>
            <w:r w:rsidRPr="00912D8B">
              <w:rPr>
                <w:rFonts w:cs="Times New Roman"/>
                <w:sz w:val="16"/>
                <w:szCs w:val="16"/>
              </w:rPr>
              <w:t>21% (2 – 47%)</w:t>
            </w:r>
          </w:p>
        </w:tc>
        <w:tc>
          <w:tcPr>
            <w:tcW w:w="907" w:type="dxa"/>
            <w:gridSpan w:val="3"/>
            <w:tcBorders>
              <w:left w:val="nil"/>
              <w:right w:val="nil"/>
            </w:tcBorders>
            <w:vAlign w:val="center"/>
          </w:tcPr>
          <w:p w14:paraId="5E672734" w14:textId="64A9AF1E" w:rsidR="0073478D" w:rsidRDefault="0073478D" w:rsidP="0073478D">
            <w:pPr>
              <w:spacing w:after="0" w:line="240" w:lineRule="auto"/>
              <w:rPr>
                <w:rFonts w:cs="Times New Roman"/>
                <w:sz w:val="16"/>
                <w:szCs w:val="16"/>
              </w:rPr>
            </w:pPr>
            <w:r w:rsidRPr="00912D8B">
              <w:rPr>
                <w:rFonts w:cs="Times New Roman"/>
                <w:sz w:val="16"/>
                <w:szCs w:val="16"/>
              </w:rPr>
              <w:t>8</w:t>
            </w:r>
          </w:p>
        </w:tc>
        <w:tc>
          <w:tcPr>
            <w:tcW w:w="1442" w:type="dxa"/>
            <w:gridSpan w:val="2"/>
            <w:tcBorders>
              <w:left w:val="nil"/>
              <w:right w:val="nil"/>
            </w:tcBorders>
            <w:vAlign w:val="center"/>
          </w:tcPr>
          <w:p w14:paraId="3657EDDA" w14:textId="5CB00A88" w:rsidR="0073478D" w:rsidRDefault="0073478D" w:rsidP="0073478D">
            <w:pPr>
              <w:spacing w:after="0" w:line="240" w:lineRule="auto"/>
              <w:rPr>
                <w:rFonts w:cs="Times New Roman"/>
                <w:sz w:val="16"/>
                <w:szCs w:val="16"/>
              </w:rPr>
            </w:pPr>
            <w:r w:rsidRPr="00912D8B">
              <w:rPr>
                <w:rFonts w:cs="Times New Roman"/>
                <w:sz w:val="16"/>
                <w:szCs w:val="16"/>
              </w:rPr>
              <w:t>63% (24 – 95%)</w:t>
            </w:r>
          </w:p>
        </w:tc>
        <w:tc>
          <w:tcPr>
            <w:tcW w:w="907" w:type="dxa"/>
            <w:gridSpan w:val="2"/>
            <w:tcBorders>
              <w:left w:val="nil"/>
              <w:right w:val="nil"/>
            </w:tcBorders>
            <w:vAlign w:val="center"/>
          </w:tcPr>
          <w:p w14:paraId="664C969D" w14:textId="6890EE2D" w:rsidR="0073478D" w:rsidRDefault="0073478D" w:rsidP="0073478D">
            <w:pPr>
              <w:spacing w:after="0" w:line="240" w:lineRule="auto"/>
              <w:rPr>
                <w:rFonts w:cs="Times New Roman"/>
                <w:sz w:val="16"/>
                <w:szCs w:val="16"/>
              </w:rPr>
            </w:pPr>
            <w:r w:rsidRPr="00912D8B">
              <w:rPr>
                <w:rFonts w:cs="Times New Roman"/>
                <w:sz w:val="16"/>
                <w:szCs w:val="16"/>
              </w:rPr>
              <w:t>279</w:t>
            </w:r>
          </w:p>
        </w:tc>
        <w:tc>
          <w:tcPr>
            <w:tcW w:w="1417" w:type="dxa"/>
            <w:gridSpan w:val="2"/>
            <w:tcBorders>
              <w:left w:val="nil"/>
              <w:right w:val="nil"/>
            </w:tcBorders>
            <w:vAlign w:val="center"/>
          </w:tcPr>
          <w:p w14:paraId="233AFDBF" w14:textId="1B0E2E55" w:rsidR="0073478D" w:rsidRDefault="0073478D" w:rsidP="0073478D">
            <w:pPr>
              <w:spacing w:after="0" w:line="240" w:lineRule="auto"/>
              <w:rPr>
                <w:rFonts w:cs="Times New Roman"/>
                <w:sz w:val="16"/>
                <w:szCs w:val="16"/>
              </w:rPr>
            </w:pPr>
            <w:r w:rsidRPr="00912D8B">
              <w:rPr>
                <w:rFonts w:cs="Times New Roman"/>
                <w:sz w:val="16"/>
                <w:szCs w:val="16"/>
              </w:rPr>
              <w:t>26% (11 – 44%)</w:t>
            </w:r>
          </w:p>
        </w:tc>
        <w:tc>
          <w:tcPr>
            <w:tcW w:w="907" w:type="dxa"/>
            <w:gridSpan w:val="2"/>
            <w:tcBorders>
              <w:left w:val="nil"/>
              <w:right w:val="nil"/>
            </w:tcBorders>
            <w:vAlign w:val="center"/>
          </w:tcPr>
          <w:p w14:paraId="292553C4" w14:textId="0A1441A2" w:rsidR="0073478D" w:rsidRDefault="0073478D" w:rsidP="0073478D">
            <w:pPr>
              <w:spacing w:after="0" w:line="240" w:lineRule="auto"/>
              <w:rPr>
                <w:rFonts w:cs="Times New Roman"/>
                <w:sz w:val="16"/>
                <w:szCs w:val="16"/>
              </w:rPr>
            </w:pPr>
            <w:r w:rsidRPr="00912D8B">
              <w:rPr>
                <w:rFonts w:cs="Times New Roman"/>
                <w:sz w:val="16"/>
                <w:szCs w:val="16"/>
              </w:rPr>
              <w:t>406</w:t>
            </w:r>
          </w:p>
        </w:tc>
        <w:tc>
          <w:tcPr>
            <w:tcW w:w="1446" w:type="dxa"/>
            <w:gridSpan w:val="2"/>
            <w:tcBorders>
              <w:left w:val="nil"/>
              <w:right w:val="nil"/>
            </w:tcBorders>
            <w:vAlign w:val="center"/>
          </w:tcPr>
          <w:p w14:paraId="180B55B4" w14:textId="462693A8" w:rsidR="0073478D" w:rsidRDefault="0073478D" w:rsidP="0073478D">
            <w:pPr>
              <w:spacing w:after="0" w:line="240" w:lineRule="auto"/>
              <w:rPr>
                <w:rFonts w:cs="Times New Roman"/>
                <w:sz w:val="16"/>
                <w:szCs w:val="16"/>
              </w:rPr>
            </w:pPr>
            <w:r w:rsidRPr="00912D8B">
              <w:rPr>
                <w:rFonts w:cs="Times New Roman"/>
                <w:sz w:val="16"/>
                <w:szCs w:val="16"/>
              </w:rPr>
              <w:t>27% (14 – 41%)</w:t>
            </w:r>
          </w:p>
        </w:tc>
      </w:tr>
      <w:tr w:rsidR="0073478D" w:rsidRPr="0028098E" w14:paraId="4BC42EBF" w14:textId="77777777" w:rsidTr="0000512F">
        <w:trPr>
          <w:trHeight w:val="227"/>
          <w:jc w:val="center"/>
        </w:trPr>
        <w:tc>
          <w:tcPr>
            <w:tcW w:w="3479" w:type="dxa"/>
            <w:tcBorders>
              <w:left w:val="nil"/>
              <w:right w:val="nil"/>
            </w:tcBorders>
            <w:vAlign w:val="center"/>
          </w:tcPr>
          <w:p w14:paraId="4ABFB686" w14:textId="3D5C3775" w:rsidR="0073478D" w:rsidRPr="0028098E" w:rsidRDefault="0073478D" w:rsidP="0073478D">
            <w:pPr>
              <w:spacing w:after="0" w:line="240" w:lineRule="auto"/>
              <w:rPr>
                <w:rFonts w:cs="Times New Roman"/>
                <w:sz w:val="16"/>
                <w:szCs w:val="16"/>
              </w:rPr>
            </w:pPr>
            <w:r w:rsidRPr="0028098E">
              <w:rPr>
                <w:rFonts w:cs="Times New Roman"/>
                <w:sz w:val="16"/>
                <w:szCs w:val="16"/>
              </w:rPr>
              <w:t>Methicillin</w:t>
            </w:r>
            <w:r w:rsidR="002220C3" w:rsidRPr="002220C3">
              <w:rPr>
                <w:rFonts w:cs="Times New Roman"/>
                <w:noProof/>
                <w:sz w:val="16"/>
                <w:szCs w:val="16"/>
                <w:vertAlign w:val="superscript"/>
              </w:rPr>
              <w:t>24,86,108,112,118,122,125,133</w:t>
            </w:r>
          </w:p>
        </w:tc>
        <w:tc>
          <w:tcPr>
            <w:tcW w:w="903" w:type="dxa"/>
            <w:tcBorders>
              <w:left w:val="nil"/>
              <w:right w:val="nil"/>
            </w:tcBorders>
            <w:vAlign w:val="center"/>
          </w:tcPr>
          <w:p w14:paraId="37CA1390" w14:textId="77777777" w:rsidR="0073478D" w:rsidRPr="00240E8A" w:rsidRDefault="0073478D" w:rsidP="0073478D">
            <w:pPr>
              <w:spacing w:after="0" w:line="240" w:lineRule="auto"/>
              <w:rPr>
                <w:rFonts w:cs="Times New Roman"/>
                <w:sz w:val="16"/>
                <w:szCs w:val="16"/>
              </w:rPr>
            </w:pPr>
            <w:r w:rsidRPr="00240E8A">
              <w:rPr>
                <w:rFonts w:cs="Times New Roman"/>
                <w:sz w:val="16"/>
                <w:szCs w:val="16"/>
              </w:rPr>
              <w:t>ND</w:t>
            </w:r>
          </w:p>
        </w:tc>
        <w:tc>
          <w:tcPr>
            <w:tcW w:w="1493" w:type="dxa"/>
            <w:gridSpan w:val="2"/>
            <w:tcBorders>
              <w:left w:val="nil"/>
              <w:right w:val="nil"/>
            </w:tcBorders>
            <w:vAlign w:val="center"/>
          </w:tcPr>
          <w:p w14:paraId="5E5D4FD5" w14:textId="77777777" w:rsidR="0073478D" w:rsidRPr="0028098E" w:rsidRDefault="0073478D" w:rsidP="0073478D">
            <w:pPr>
              <w:spacing w:after="0" w:line="240" w:lineRule="auto"/>
              <w:rPr>
                <w:rFonts w:cs="Times New Roman"/>
                <w:sz w:val="16"/>
                <w:szCs w:val="16"/>
              </w:rPr>
            </w:pPr>
          </w:p>
        </w:tc>
        <w:tc>
          <w:tcPr>
            <w:tcW w:w="907" w:type="dxa"/>
            <w:gridSpan w:val="2"/>
            <w:tcBorders>
              <w:left w:val="nil"/>
              <w:right w:val="nil"/>
            </w:tcBorders>
            <w:vAlign w:val="center"/>
          </w:tcPr>
          <w:p w14:paraId="3CCC7406" w14:textId="77777777" w:rsidR="0073478D" w:rsidRDefault="0073478D" w:rsidP="0073478D">
            <w:pPr>
              <w:spacing w:after="0" w:line="240" w:lineRule="auto"/>
              <w:rPr>
                <w:rFonts w:cs="Times New Roman"/>
                <w:sz w:val="16"/>
                <w:szCs w:val="16"/>
              </w:rPr>
            </w:pPr>
            <w:r>
              <w:rPr>
                <w:rFonts w:cs="Times New Roman"/>
                <w:sz w:val="16"/>
                <w:szCs w:val="16"/>
              </w:rPr>
              <w:t>120</w:t>
            </w:r>
          </w:p>
        </w:tc>
        <w:tc>
          <w:tcPr>
            <w:tcW w:w="1474" w:type="dxa"/>
            <w:gridSpan w:val="2"/>
            <w:tcBorders>
              <w:left w:val="nil"/>
              <w:right w:val="nil"/>
            </w:tcBorders>
            <w:vAlign w:val="center"/>
          </w:tcPr>
          <w:p w14:paraId="0A8BD543" w14:textId="77777777" w:rsidR="0073478D" w:rsidRDefault="0073478D" w:rsidP="0073478D">
            <w:pPr>
              <w:spacing w:after="0" w:line="240" w:lineRule="auto"/>
              <w:rPr>
                <w:rFonts w:cs="Times New Roman"/>
                <w:sz w:val="16"/>
                <w:szCs w:val="16"/>
              </w:rPr>
            </w:pPr>
            <w:r>
              <w:rPr>
                <w:rFonts w:cs="Times New Roman"/>
                <w:sz w:val="16"/>
                <w:szCs w:val="16"/>
              </w:rPr>
              <w:t>35% (13 – 62%)</w:t>
            </w:r>
          </w:p>
        </w:tc>
        <w:tc>
          <w:tcPr>
            <w:tcW w:w="907" w:type="dxa"/>
            <w:gridSpan w:val="3"/>
            <w:tcBorders>
              <w:left w:val="nil"/>
              <w:right w:val="nil"/>
            </w:tcBorders>
            <w:vAlign w:val="center"/>
          </w:tcPr>
          <w:p w14:paraId="31811EF7" w14:textId="77777777" w:rsidR="0073478D" w:rsidRDefault="0073478D" w:rsidP="0073478D">
            <w:pPr>
              <w:spacing w:after="0" w:line="240" w:lineRule="auto"/>
              <w:rPr>
                <w:rFonts w:cs="Times New Roman"/>
                <w:sz w:val="16"/>
                <w:szCs w:val="16"/>
              </w:rPr>
            </w:pPr>
            <w:r>
              <w:rPr>
                <w:rFonts w:cs="Times New Roman"/>
                <w:sz w:val="16"/>
                <w:szCs w:val="16"/>
              </w:rPr>
              <w:t>140</w:t>
            </w:r>
          </w:p>
        </w:tc>
        <w:tc>
          <w:tcPr>
            <w:tcW w:w="1442" w:type="dxa"/>
            <w:gridSpan w:val="2"/>
            <w:tcBorders>
              <w:left w:val="nil"/>
              <w:right w:val="nil"/>
            </w:tcBorders>
            <w:vAlign w:val="center"/>
          </w:tcPr>
          <w:p w14:paraId="418DC957" w14:textId="77777777" w:rsidR="0073478D" w:rsidRDefault="0073478D" w:rsidP="0073478D">
            <w:pPr>
              <w:spacing w:after="0" w:line="240" w:lineRule="auto"/>
              <w:rPr>
                <w:rFonts w:cs="Times New Roman"/>
                <w:sz w:val="16"/>
                <w:szCs w:val="16"/>
              </w:rPr>
            </w:pPr>
            <w:r>
              <w:rPr>
                <w:rFonts w:cs="Times New Roman"/>
                <w:sz w:val="16"/>
                <w:szCs w:val="16"/>
              </w:rPr>
              <w:t>73% (57% - 86%)</w:t>
            </w:r>
          </w:p>
        </w:tc>
        <w:tc>
          <w:tcPr>
            <w:tcW w:w="907" w:type="dxa"/>
            <w:gridSpan w:val="2"/>
            <w:tcBorders>
              <w:left w:val="nil"/>
              <w:right w:val="nil"/>
            </w:tcBorders>
            <w:vAlign w:val="center"/>
          </w:tcPr>
          <w:p w14:paraId="7771DFC0" w14:textId="77777777" w:rsidR="0073478D" w:rsidRDefault="0073478D" w:rsidP="0073478D">
            <w:pPr>
              <w:spacing w:after="0" w:line="240" w:lineRule="auto"/>
              <w:rPr>
                <w:rFonts w:cs="Times New Roman"/>
                <w:sz w:val="16"/>
                <w:szCs w:val="16"/>
              </w:rPr>
            </w:pPr>
            <w:r>
              <w:rPr>
                <w:rFonts w:cs="Times New Roman"/>
                <w:sz w:val="16"/>
                <w:szCs w:val="16"/>
              </w:rPr>
              <w:t>13</w:t>
            </w:r>
          </w:p>
        </w:tc>
        <w:tc>
          <w:tcPr>
            <w:tcW w:w="1417" w:type="dxa"/>
            <w:gridSpan w:val="2"/>
            <w:tcBorders>
              <w:left w:val="nil"/>
              <w:right w:val="nil"/>
            </w:tcBorders>
            <w:vAlign w:val="center"/>
          </w:tcPr>
          <w:p w14:paraId="66A1BE16" w14:textId="77777777" w:rsidR="0073478D" w:rsidRDefault="0073478D" w:rsidP="0073478D">
            <w:pPr>
              <w:spacing w:after="0" w:line="240" w:lineRule="auto"/>
              <w:rPr>
                <w:rFonts w:cs="Times New Roman"/>
                <w:sz w:val="16"/>
                <w:szCs w:val="16"/>
              </w:rPr>
            </w:pPr>
            <w:r>
              <w:rPr>
                <w:rFonts w:cs="Times New Roman"/>
                <w:sz w:val="16"/>
                <w:szCs w:val="16"/>
              </w:rPr>
              <w:t>31% (13 – 58%)</w:t>
            </w:r>
          </w:p>
        </w:tc>
        <w:tc>
          <w:tcPr>
            <w:tcW w:w="907" w:type="dxa"/>
            <w:gridSpan w:val="2"/>
            <w:tcBorders>
              <w:left w:val="nil"/>
              <w:right w:val="nil"/>
            </w:tcBorders>
            <w:vAlign w:val="center"/>
          </w:tcPr>
          <w:p w14:paraId="66063D36" w14:textId="77777777" w:rsidR="0073478D" w:rsidRDefault="0073478D" w:rsidP="0073478D">
            <w:pPr>
              <w:spacing w:after="0" w:line="240" w:lineRule="auto"/>
              <w:rPr>
                <w:rFonts w:cs="Times New Roman"/>
                <w:sz w:val="16"/>
                <w:szCs w:val="16"/>
              </w:rPr>
            </w:pPr>
            <w:r>
              <w:rPr>
                <w:rFonts w:cs="Times New Roman"/>
                <w:sz w:val="16"/>
                <w:szCs w:val="16"/>
              </w:rPr>
              <w:t>273</w:t>
            </w:r>
          </w:p>
        </w:tc>
        <w:tc>
          <w:tcPr>
            <w:tcW w:w="1446" w:type="dxa"/>
            <w:gridSpan w:val="2"/>
            <w:tcBorders>
              <w:left w:val="nil"/>
              <w:right w:val="nil"/>
            </w:tcBorders>
            <w:vAlign w:val="center"/>
          </w:tcPr>
          <w:p w14:paraId="18673E0D" w14:textId="77777777" w:rsidR="0073478D" w:rsidRDefault="0073478D" w:rsidP="0073478D">
            <w:pPr>
              <w:spacing w:after="0" w:line="240" w:lineRule="auto"/>
              <w:rPr>
                <w:rFonts w:cs="Times New Roman"/>
                <w:sz w:val="16"/>
                <w:szCs w:val="16"/>
              </w:rPr>
            </w:pPr>
            <w:r>
              <w:rPr>
                <w:rFonts w:cs="Times New Roman"/>
                <w:sz w:val="16"/>
                <w:szCs w:val="16"/>
              </w:rPr>
              <w:t>50% (30 – 70%)</w:t>
            </w:r>
          </w:p>
        </w:tc>
      </w:tr>
      <w:tr w:rsidR="0073478D" w:rsidRPr="0028098E" w14:paraId="61CDB6FE" w14:textId="77777777" w:rsidTr="0000512F">
        <w:trPr>
          <w:trHeight w:val="227"/>
          <w:jc w:val="center"/>
        </w:trPr>
        <w:tc>
          <w:tcPr>
            <w:tcW w:w="3479" w:type="dxa"/>
            <w:tcBorders>
              <w:left w:val="nil"/>
              <w:right w:val="nil"/>
            </w:tcBorders>
            <w:vAlign w:val="center"/>
          </w:tcPr>
          <w:p w14:paraId="40211C89" w14:textId="5D2AFB2F" w:rsidR="0073478D" w:rsidRPr="00912D8B" w:rsidRDefault="0073478D" w:rsidP="0073478D">
            <w:pPr>
              <w:spacing w:after="0" w:line="240" w:lineRule="auto"/>
              <w:rPr>
                <w:rFonts w:cs="Times New Roman"/>
                <w:sz w:val="16"/>
                <w:szCs w:val="16"/>
              </w:rPr>
            </w:pPr>
            <w:r w:rsidRPr="00912D8B">
              <w:rPr>
                <w:rFonts w:cs="Times New Roman"/>
                <w:sz w:val="16"/>
                <w:szCs w:val="16"/>
              </w:rPr>
              <w:t>Cefoxitin</w:t>
            </w:r>
            <w:r w:rsidR="002220C3" w:rsidRPr="002220C3">
              <w:rPr>
                <w:rFonts w:cs="Times New Roman"/>
                <w:noProof/>
                <w:sz w:val="16"/>
                <w:szCs w:val="16"/>
                <w:vertAlign w:val="superscript"/>
              </w:rPr>
              <w:t>36,88,113</w:t>
            </w:r>
          </w:p>
        </w:tc>
        <w:tc>
          <w:tcPr>
            <w:tcW w:w="903" w:type="dxa"/>
            <w:tcBorders>
              <w:left w:val="nil"/>
              <w:right w:val="nil"/>
            </w:tcBorders>
            <w:vAlign w:val="center"/>
          </w:tcPr>
          <w:p w14:paraId="51508DAF"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ND</w:t>
            </w:r>
          </w:p>
        </w:tc>
        <w:tc>
          <w:tcPr>
            <w:tcW w:w="1493" w:type="dxa"/>
            <w:gridSpan w:val="2"/>
            <w:tcBorders>
              <w:left w:val="nil"/>
              <w:right w:val="nil"/>
            </w:tcBorders>
            <w:vAlign w:val="center"/>
          </w:tcPr>
          <w:p w14:paraId="1A584B38" w14:textId="77777777" w:rsidR="0073478D" w:rsidRPr="00912D8B" w:rsidRDefault="0073478D" w:rsidP="0073478D">
            <w:pPr>
              <w:spacing w:after="0" w:line="240" w:lineRule="auto"/>
              <w:rPr>
                <w:rFonts w:cs="Times New Roman"/>
                <w:sz w:val="16"/>
                <w:szCs w:val="16"/>
              </w:rPr>
            </w:pPr>
          </w:p>
        </w:tc>
        <w:tc>
          <w:tcPr>
            <w:tcW w:w="907" w:type="dxa"/>
            <w:gridSpan w:val="2"/>
            <w:tcBorders>
              <w:left w:val="nil"/>
              <w:right w:val="nil"/>
            </w:tcBorders>
            <w:vAlign w:val="center"/>
          </w:tcPr>
          <w:p w14:paraId="484A5240"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49</w:t>
            </w:r>
          </w:p>
        </w:tc>
        <w:tc>
          <w:tcPr>
            <w:tcW w:w="1474" w:type="dxa"/>
            <w:gridSpan w:val="2"/>
            <w:tcBorders>
              <w:left w:val="nil"/>
              <w:right w:val="nil"/>
            </w:tcBorders>
            <w:vAlign w:val="center"/>
          </w:tcPr>
          <w:p w14:paraId="66422FD9"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27% (16 – 40%)</w:t>
            </w:r>
          </w:p>
        </w:tc>
        <w:tc>
          <w:tcPr>
            <w:tcW w:w="907" w:type="dxa"/>
            <w:gridSpan w:val="3"/>
            <w:tcBorders>
              <w:left w:val="nil"/>
              <w:right w:val="nil"/>
            </w:tcBorders>
            <w:vAlign w:val="center"/>
          </w:tcPr>
          <w:p w14:paraId="1432866E"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ND</w:t>
            </w:r>
          </w:p>
        </w:tc>
        <w:tc>
          <w:tcPr>
            <w:tcW w:w="1442" w:type="dxa"/>
            <w:gridSpan w:val="2"/>
            <w:tcBorders>
              <w:left w:val="nil"/>
              <w:right w:val="nil"/>
            </w:tcBorders>
            <w:vAlign w:val="center"/>
          </w:tcPr>
          <w:p w14:paraId="715BE155" w14:textId="77777777" w:rsidR="0073478D" w:rsidRPr="00912D8B" w:rsidRDefault="0073478D" w:rsidP="0073478D">
            <w:pPr>
              <w:spacing w:after="0" w:line="240" w:lineRule="auto"/>
              <w:rPr>
                <w:rFonts w:cs="Times New Roman"/>
                <w:sz w:val="16"/>
                <w:szCs w:val="16"/>
              </w:rPr>
            </w:pPr>
          </w:p>
        </w:tc>
        <w:tc>
          <w:tcPr>
            <w:tcW w:w="907" w:type="dxa"/>
            <w:gridSpan w:val="2"/>
            <w:tcBorders>
              <w:left w:val="nil"/>
              <w:right w:val="nil"/>
            </w:tcBorders>
            <w:vAlign w:val="center"/>
          </w:tcPr>
          <w:p w14:paraId="6CE05CA2"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35</w:t>
            </w:r>
          </w:p>
        </w:tc>
        <w:tc>
          <w:tcPr>
            <w:tcW w:w="1417" w:type="dxa"/>
            <w:gridSpan w:val="2"/>
            <w:tcBorders>
              <w:left w:val="nil"/>
              <w:right w:val="nil"/>
            </w:tcBorders>
            <w:vAlign w:val="center"/>
          </w:tcPr>
          <w:p w14:paraId="764E9C46"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14% (3 – 28%)</w:t>
            </w:r>
          </w:p>
        </w:tc>
        <w:tc>
          <w:tcPr>
            <w:tcW w:w="907" w:type="dxa"/>
            <w:gridSpan w:val="2"/>
            <w:tcBorders>
              <w:left w:val="nil"/>
              <w:right w:val="nil"/>
            </w:tcBorders>
            <w:vAlign w:val="center"/>
          </w:tcPr>
          <w:p w14:paraId="40CE1926"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84</w:t>
            </w:r>
          </w:p>
        </w:tc>
        <w:tc>
          <w:tcPr>
            <w:tcW w:w="1446" w:type="dxa"/>
            <w:gridSpan w:val="2"/>
            <w:tcBorders>
              <w:left w:val="nil"/>
              <w:right w:val="nil"/>
            </w:tcBorders>
            <w:vAlign w:val="center"/>
          </w:tcPr>
          <w:p w14:paraId="3DA79A0D"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16% (3 – 37%)</w:t>
            </w:r>
          </w:p>
        </w:tc>
      </w:tr>
      <w:tr w:rsidR="0073478D" w:rsidRPr="0028098E" w14:paraId="2C2EACA3" w14:textId="77777777" w:rsidTr="0000512F">
        <w:trPr>
          <w:trHeight w:val="227"/>
          <w:jc w:val="center"/>
        </w:trPr>
        <w:tc>
          <w:tcPr>
            <w:tcW w:w="3479" w:type="dxa"/>
            <w:tcBorders>
              <w:left w:val="nil"/>
              <w:right w:val="nil"/>
            </w:tcBorders>
            <w:vAlign w:val="center"/>
          </w:tcPr>
          <w:p w14:paraId="2BF2190C" w14:textId="656A79A9" w:rsidR="0073478D" w:rsidRPr="00912D8B" w:rsidRDefault="0073478D" w:rsidP="0073478D">
            <w:pPr>
              <w:spacing w:after="0" w:line="240" w:lineRule="auto"/>
              <w:rPr>
                <w:rFonts w:cs="Times New Roman"/>
                <w:sz w:val="16"/>
                <w:szCs w:val="16"/>
              </w:rPr>
            </w:pPr>
            <w:r w:rsidRPr="00912D8B">
              <w:rPr>
                <w:rFonts w:cs="Times New Roman"/>
                <w:sz w:val="16"/>
                <w:szCs w:val="16"/>
              </w:rPr>
              <w:t>Ciprofloxacin</w:t>
            </w:r>
            <w:r w:rsidR="002220C3" w:rsidRPr="002220C3">
              <w:rPr>
                <w:rFonts w:cs="Times New Roman"/>
                <w:noProof/>
                <w:sz w:val="16"/>
                <w:szCs w:val="16"/>
                <w:vertAlign w:val="superscript"/>
              </w:rPr>
              <w:t>36,79,86,88,97,106,112,113,130</w:t>
            </w:r>
          </w:p>
        </w:tc>
        <w:tc>
          <w:tcPr>
            <w:tcW w:w="903" w:type="dxa"/>
            <w:tcBorders>
              <w:left w:val="nil"/>
              <w:right w:val="nil"/>
            </w:tcBorders>
            <w:vAlign w:val="center"/>
          </w:tcPr>
          <w:p w14:paraId="01B7B4FC"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ND</w:t>
            </w:r>
          </w:p>
        </w:tc>
        <w:tc>
          <w:tcPr>
            <w:tcW w:w="1493" w:type="dxa"/>
            <w:gridSpan w:val="2"/>
            <w:tcBorders>
              <w:left w:val="nil"/>
              <w:right w:val="nil"/>
            </w:tcBorders>
            <w:vAlign w:val="center"/>
          </w:tcPr>
          <w:p w14:paraId="7FA6CFEE" w14:textId="77777777" w:rsidR="0073478D" w:rsidRPr="00912D8B" w:rsidRDefault="0073478D" w:rsidP="0073478D">
            <w:pPr>
              <w:spacing w:after="0" w:line="240" w:lineRule="auto"/>
              <w:rPr>
                <w:rFonts w:cs="Times New Roman"/>
                <w:sz w:val="16"/>
                <w:szCs w:val="16"/>
              </w:rPr>
            </w:pPr>
          </w:p>
        </w:tc>
        <w:tc>
          <w:tcPr>
            <w:tcW w:w="907" w:type="dxa"/>
            <w:gridSpan w:val="2"/>
            <w:tcBorders>
              <w:left w:val="nil"/>
              <w:right w:val="nil"/>
            </w:tcBorders>
            <w:vAlign w:val="center"/>
          </w:tcPr>
          <w:p w14:paraId="3D83D9FF"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98</w:t>
            </w:r>
          </w:p>
        </w:tc>
        <w:tc>
          <w:tcPr>
            <w:tcW w:w="1474" w:type="dxa"/>
            <w:gridSpan w:val="2"/>
            <w:tcBorders>
              <w:left w:val="nil"/>
              <w:right w:val="nil"/>
            </w:tcBorders>
            <w:vAlign w:val="center"/>
          </w:tcPr>
          <w:p w14:paraId="064ED1D9"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26% (9 – 47%)</w:t>
            </w:r>
          </w:p>
        </w:tc>
        <w:tc>
          <w:tcPr>
            <w:tcW w:w="907" w:type="dxa"/>
            <w:gridSpan w:val="3"/>
            <w:tcBorders>
              <w:left w:val="nil"/>
              <w:right w:val="nil"/>
            </w:tcBorders>
            <w:vAlign w:val="center"/>
          </w:tcPr>
          <w:p w14:paraId="18D52CE1"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3</w:t>
            </w:r>
          </w:p>
        </w:tc>
        <w:tc>
          <w:tcPr>
            <w:tcW w:w="1442" w:type="dxa"/>
            <w:gridSpan w:val="2"/>
            <w:tcBorders>
              <w:left w:val="nil"/>
              <w:right w:val="nil"/>
            </w:tcBorders>
            <w:vAlign w:val="center"/>
          </w:tcPr>
          <w:p w14:paraId="45276C4F"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0 (0 – 56%)</w:t>
            </w:r>
          </w:p>
        </w:tc>
        <w:tc>
          <w:tcPr>
            <w:tcW w:w="907" w:type="dxa"/>
            <w:gridSpan w:val="2"/>
            <w:tcBorders>
              <w:left w:val="nil"/>
              <w:right w:val="nil"/>
            </w:tcBorders>
            <w:vAlign w:val="center"/>
          </w:tcPr>
          <w:p w14:paraId="1472F1DC"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172</w:t>
            </w:r>
          </w:p>
        </w:tc>
        <w:tc>
          <w:tcPr>
            <w:tcW w:w="1417" w:type="dxa"/>
            <w:gridSpan w:val="2"/>
            <w:tcBorders>
              <w:left w:val="nil"/>
              <w:right w:val="nil"/>
            </w:tcBorders>
            <w:vAlign w:val="center"/>
          </w:tcPr>
          <w:p w14:paraId="18B552A0"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13% (3 – 27%)</w:t>
            </w:r>
          </w:p>
        </w:tc>
        <w:tc>
          <w:tcPr>
            <w:tcW w:w="907" w:type="dxa"/>
            <w:gridSpan w:val="2"/>
            <w:tcBorders>
              <w:left w:val="nil"/>
              <w:right w:val="nil"/>
            </w:tcBorders>
            <w:vAlign w:val="center"/>
          </w:tcPr>
          <w:p w14:paraId="7F2F8575"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273</w:t>
            </w:r>
          </w:p>
        </w:tc>
        <w:tc>
          <w:tcPr>
            <w:tcW w:w="1446" w:type="dxa"/>
            <w:gridSpan w:val="2"/>
            <w:tcBorders>
              <w:left w:val="nil"/>
              <w:right w:val="nil"/>
            </w:tcBorders>
            <w:vAlign w:val="center"/>
          </w:tcPr>
          <w:p w14:paraId="5D1FE8B1" w14:textId="77777777" w:rsidR="0073478D" w:rsidRPr="00912D8B" w:rsidRDefault="0073478D" w:rsidP="0073478D">
            <w:pPr>
              <w:spacing w:after="0" w:line="240" w:lineRule="auto"/>
              <w:rPr>
                <w:rFonts w:cs="Times New Roman"/>
                <w:sz w:val="16"/>
                <w:szCs w:val="16"/>
              </w:rPr>
            </w:pPr>
            <w:r w:rsidRPr="00912D8B">
              <w:rPr>
                <w:rFonts w:cs="Times New Roman"/>
                <w:sz w:val="16"/>
                <w:szCs w:val="16"/>
              </w:rPr>
              <w:t>16% (6 – 27%)</w:t>
            </w:r>
          </w:p>
        </w:tc>
      </w:tr>
      <w:tr w:rsidR="0073478D" w:rsidRPr="0028098E" w14:paraId="5C5E8F9E" w14:textId="77777777" w:rsidTr="0000512F">
        <w:trPr>
          <w:trHeight w:val="227"/>
          <w:jc w:val="center"/>
        </w:trPr>
        <w:tc>
          <w:tcPr>
            <w:tcW w:w="3479" w:type="dxa"/>
            <w:tcBorders>
              <w:left w:val="nil"/>
              <w:right w:val="nil"/>
            </w:tcBorders>
            <w:vAlign w:val="center"/>
          </w:tcPr>
          <w:p w14:paraId="1C45EC82" w14:textId="1AADED2D" w:rsidR="0073478D" w:rsidRPr="0028098E" w:rsidRDefault="0073478D" w:rsidP="0073478D">
            <w:pPr>
              <w:spacing w:after="0" w:line="240" w:lineRule="auto"/>
              <w:rPr>
                <w:rFonts w:cs="Times New Roman"/>
                <w:sz w:val="16"/>
                <w:szCs w:val="16"/>
              </w:rPr>
            </w:pPr>
            <w:r w:rsidRPr="0028098E">
              <w:rPr>
                <w:rFonts w:cs="Times New Roman"/>
                <w:sz w:val="16"/>
                <w:szCs w:val="16"/>
              </w:rPr>
              <w:t>Vancomycin</w:t>
            </w:r>
            <w:r w:rsidR="002220C3" w:rsidRPr="002220C3">
              <w:rPr>
                <w:rFonts w:cs="Times New Roman"/>
                <w:noProof/>
                <w:sz w:val="16"/>
                <w:szCs w:val="16"/>
                <w:vertAlign w:val="superscript"/>
              </w:rPr>
              <w:t>63,86,88,108,112</w:t>
            </w:r>
          </w:p>
        </w:tc>
        <w:tc>
          <w:tcPr>
            <w:tcW w:w="903" w:type="dxa"/>
            <w:tcBorders>
              <w:left w:val="nil"/>
              <w:right w:val="nil"/>
            </w:tcBorders>
            <w:vAlign w:val="center"/>
          </w:tcPr>
          <w:p w14:paraId="418EF2CB" w14:textId="77777777" w:rsidR="0073478D" w:rsidRPr="0028098E" w:rsidRDefault="0073478D" w:rsidP="0073478D">
            <w:pPr>
              <w:spacing w:after="0" w:line="240" w:lineRule="auto"/>
              <w:rPr>
                <w:rFonts w:cs="Times New Roman"/>
                <w:sz w:val="16"/>
                <w:szCs w:val="16"/>
              </w:rPr>
            </w:pPr>
            <w:r w:rsidRPr="00240E8A">
              <w:rPr>
                <w:rFonts w:cs="Times New Roman"/>
                <w:sz w:val="16"/>
                <w:szCs w:val="16"/>
              </w:rPr>
              <w:t>ND</w:t>
            </w:r>
          </w:p>
        </w:tc>
        <w:tc>
          <w:tcPr>
            <w:tcW w:w="1493" w:type="dxa"/>
            <w:gridSpan w:val="2"/>
            <w:tcBorders>
              <w:left w:val="nil"/>
              <w:right w:val="nil"/>
            </w:tcBorders>
            <w:vAlign w:val="center"/>
          </w:tcPr>
          <w:p w14:paraId="24053F19" w14:textId="77777777" w:rsidR="0073478D" w:rsidRPr="0028098E" w:rsidRDefault="0073478D" w:rsidP="0073478D">
            <w:pPr>
              <w:spacing w:after="0" w:line="240" w:lineRule="auto"/>
              <w:rPr>
                <w:rFonts w:cs="Times New Roman"/>
                <w:sz w:val="16"/>
                <w:szCs w:val="16"/>
              </w:rPr>
            </w:pPr>
          </w:p>
        </w:tc>
        <w:tc>
          <w:tcPr>
            <w:tcW w:w="907" w:type="dxa"/>
            <w:gridSpan w:val="2"/>
            <w:tcBorders>
              <w:left w:val="nil"/>
              <w:right w:val="nil"/>
            </w:tcBorders>
            <w:vAlign w:val="center"/>
          </w:tcPr>
          <w:p w14:paraId="78526464" w14:textId="77777777" w:rsidR="0073478D" w:rsidRPr="0028098E" w:rsidRDefault="0073478D" w:rsidP="0073478D">
            <w:pPr>
              <w:spacing w:after="0" w:line="240" w:lineRule="auto"/>
              <w:rPr>
                <w:rFonts w:cs="Times New Roman"/>
                <w:sz w:val="16"/>
                <w:szCs w:val="16"/>
              </w:rPr>
            </w:pPr>
            <w:r>
              <w:rPr>
                <w:rFonts w:cs="Times New Roman"/>
                <w:sz w:val="16"/>
                <w:szCs w:val="16"/>
              </w:rPr>
              <w:t>50</w:t>
            </w:r>
          </w:p>
        </w:tc>
        <w:tc>
          <w:tcPr>
            <w:tcW w:w="1474" w:type="dxa"/>
            <w:gridSpan w:val="2"/>
            <w:tcBorders>
              <w:left w:val="nil"/>
              <w:right w:val="nil"/>
            </w:tcBorders>
            <w:vAlign w:val="center"/>
          </w:tcPr>
          <w:p w14:paraId="0BE24705" w14:textId="77777777" w:rsidR="0073478D" w:rsidRPr="0028098E" w:rsidRDefault="0073478D" w:rsidP="0073478D">
            <w:pPr>
              <w:spacing w:after="0" w:line="240" w:lineRule="auto"/>
              <w:rPr>
                <w:rFonts w:cs="Times New Roman"/>
                <w:sz w:val="16"/>
                <w:szCs w:val="16"/>
              </w:rPr>
            </w:pPr>
            <w:r>
              <w:rPr>
                <w:rFonts w:cs="Times New Roman"/>
                <w:sz w:val="16"/>
                <w:szCs w:val="16"/>
              </w:rPr>
              <w:t>0 (0 – 12%)</w:t>
            </w:r>
          </w:p>
        </w:tc>
        <w:tc>
          <w:tcPr>
            <w:tcW w:w="907" w:type="dxa"/>
            <w:gridSpan w:val="3"/>
            <w:tcBorders>
              <w:left w:val="nil"/>
              <w:right w:val="nil"/>
            </w:tcBorders>
            <w:vAlign w:val="center"/>
          </w:tcPr>
          <w:p w14:paraId="02CB3382" w14:textId="77777777" w:rsidR="0073478D" w:rsidRPr="0028098E" w:rsidRDefault="0073478D" w:rsidP="0073478D">
            <w:pPr>
              <w:spacing w:after="0" w:line="240" w:lineRule="auto"/>
              <w:rPr>
                <w:rFonts w:cs="Times New Roman"/>
                <w:sz w:val="16"/>
                <w:szCs w:val="16"/>
              </w:rPr>
            </w:pPr>
            <w:r>
              <w:rPr>
                <w:rFonts w:cs="Times New Roman"/>
                <w:sz w:val="16"/>
                <w:szCs w:val="16"/>
              </w:rPr>
              <w:t>5</w:t>
            </w:r>
          </w:p>
        </w:tc>
        <w:tc>
          <w:tcPr>
            <w:tcW w:w="1442" w:type="dxa"/>
            <w:gridSpan w:val="2"/>
            <w:tcBorders>
              <w:left w:val="nil"/>
              <w:right w:val="nil"/>
            </w:tcBorders>
            <w:vAlign w:val="center"/>
          </w:tcPr>
          <w:p w14:paraId="4883A78A" w14:textId="77777777" w:rsidR="0073478D" w:rsidRPr="0028098E" w:rsidRDefault="0073478D" w:rsidP="0073478D">
            <w:pPr>
              <w:spacing w:after="0" w:line="240" w:lineRule="auto"/>
              <w:rPr>
                <w:rFonts w:cs="Times New Roman"/>
                <w:sz w:val="16"/>
                <w:szCs w:val="16"/>
              </w:rPr>
            </w:pPr>
            <w:r>
              <w:rPr>
                <w:rFonts w:cs="Times New Roman"/>
                <w:sz w:val="16"/>
                <w:szCs w:val="16"/>
              </w:rPr>
              <w:t>0 (0 – 43%)</w:t>
            </w:r>
          </w:p>
        </w:tc>
        <w:tc>
          <w:tcPr>
            <w:tcW w:w="907" w:type="dxa"/>
            <w:gridSpan w:val="2"/>
            <w:tcBorders>
              <w:left w:val="nil"/>
              <w:right w:val="nil"/>
            </w:tcBorders>
            <w:vAlign w:val="center"/>
          </w:tcPr>
          <w:p w14:paraId="7DBF4481" w14:textId="77777777" w:rsidR="0073478D" w:rsidRPr="0028098E" w:rsidRDefault="0073478D" w:rsidP="0073478D">
            <w:pPr>
              <w:spacing w:after="0" w:line="240" w:lineRule="auto"/>
              <w:rPr>
                <w:rFonts w:cs="Times New Roman"/>
                <w:sz w:val="16"/>
                <w:szCs w:val="16"/>
              </w:rPr>
            </w:pPr>
            <w:r>
              <w:rPr>
                <w:rFonts w:cs="Times New Roman"/>
                <w:sz w:val="16"/>
                <w:szCs w:val="16"/>
              </w:rPr>
              <w:t>23</w:t>
            </w:r>
          </w:p>
        </w:tc>
        <w:tc>
          <w:tcPr>
            <w:tcW w:w="1417" w:type="dxa"/>
            <w:gridSpan w:val="2"/>
            <w:tcBorders>
              <w:left w:val="nil"/>
              <w:right w:val="nil"/>
            </w:tcBorders>
            <w:vAlign w:val="center"/>
          </w:tcPr>
          <w:p w14:paraId="2DB404DF" w14:textId="77777777" w:rsidR="0073478D" w:rsidRPr="0028098E" w:rsidRDefault="0073478D" w:rsidP="0073478D">
            <w:pPr>
              <w:spacing w:after="0" w:line="240" w:lineRule="auto"/>
              <w:rPr>
                <w:rFonts w:cs="Times New Roman"/>
                <w:sz w:val="16"/>
                <w:szCs w:val="16"/>
              </w:rPr>
            </w:pPr>
            <w:r>
              <w:rPr>
                <w:rFonts w:cs="Times New Roman"/>
                <w:sz w:val="16"/>
                <w:szCs w:val="16"/>
              </w:rPr>
              <w:t>35% (19 – 55%)</w:t>
            </w:r>
          </w:p>
        </w:tc>
        <w:tc>
          <w:tcPr>
            <w:tcW w:w="907" w:type="dxa"/>
            <w:gridSpan w:val="2"/>
            <w:tcBorders>
              <w:left w:val="nil"/>
              <w:right w:val="nil"/>
            </w:tcBorders>
            <w:vAlign w:val="center"/>
          </w:tcPr>
          <w:p w14:paraId="6E2BAA2A" w14:textId="77777777" w:rsidR="0073478D" w:rsidRPr="0028098E" w:rsidRDefault="0073478D" w:rsidP="0073478D">
            <w:pPr>
              <w:spacing w:after="0" w:line="240" w:lineRule="auto"/>
              <w:rPr>
                <w:rFonts w:cs="Times New Roman"/>
                <w:sz w:val="16"/>
                <w:szCs w:val="16"/>
              </w:rPr>
            </w:pPr>
            <w:r>
              <w:rPr>
                <w:rFonts w:cs="Times New Roman"/>
                <w:sz w:val="16"/>
                <w:szCs w:val="16"/>
              </w:rPr>
              <w:t>78</w:t>
            </w:r>
          </w:p>
        </w:tc>
        <w:tc>
          <w:tcPr>
            <w:tcW w:w="1446" w:type="dxa"/>
            <w:gridSpan w:val="2"/>
            <w:tcBorders>
              <w:left w:val="nil"/>
              <w:right w:val="nil"/>
            </w:tcBorders>
            <w:vAlign w:val="center"/>
          </w:tcPr>
          <w:p w14:paraId="1C2BEE38" w14:textId="77777777" w:rsidR="0073478D" w:rsidRPr="0028098E" w:rsidRDefault="0073478D" w:rsidP="0073478D">
            <w:pPr>
              <w:spacing w:after="0" w:line="240" w:lineRule="auto"/>
              <w:rPr>
                <w:rFonts w:cs="Times New Roman"/>
                <w:sz w:val="16"/>
                <w:szCs w:val="16"/>
              </w:rPr>
            </w:pPr>
            <w:r>
              <w:rPr>
                <w:rFonts w:cs="Times New Roman"/>
                <w:sz w:val="16"/>
                <w:szCs w:val="16"/>
              </w:rPr>
              <w:t>5% (0 – 24%)</w:t>
            </w:r>
          </w:p>
        </w:tc>
      </w:tr>
      <w:tr w:rsidR="0073478D" w:rsidRPr="0028098E" w14:paraId="6B0DDE21" w14:textId="77777777" w:rsidTr="0000512F">
        <w:trPr>
          <w:trHeight w:val="340"/>
          <w:jc w:val="center"/>
        </w:trPr>
        <w:tc>
          <w:tcPr>
            <w:tcW w:w="15282" w:type="dxa"/>
            <w:gridSpan w:val="21"/>
            <w:tcBorders>
              <w:left w:val="nil"/>
              <w:right w:val="nil"/>
            </w:tcBorders>
            <w:vAlign w:val="bottom"/>
          </w:tcPr>
          <w:p w14:paraId="32B87FDC" w14:textId="55ECECD7" w:rsidR="0073478D" w:rsidRPr="004B20BC" w:rsidRDefault="0073478D" w:rsidP="0073478D">
            <w:pPr>
              <w:spacing w:before="40" w:after="0" w:line="240" w:lineRule="auto"/>
              <w:rPr>
                <w:rFonts w:cs="Times New Roman"/>
                <w:b/>
                <w:sz w:val="18"/>
                <w:szCs w:val="16"/>
              </w:rPr>
            </w:pPr>
            <w:r>
              <w:rPr>
                <w:rFonts w:cs="Times New Roman"/>
                <w:b/>
                <w:i/>
                <w:sz w:val="18"/>
                <w:szCs w:val="16"/>
              </w:rPr>
              <w:t>Klebsiella spp</w:t>
            </w:r>
          </w:p>
        </w:tc>
      </w:tr>
      <w:tr w:rsidR="0073478D" w:rsidRPr="0028098E" w14:paraId="6333291E" w14:textId="77777777" w:rsidTr="0000512F">
        <w:trPr>
          <w:trHeight w:val="227"/>
          <w:jc w:val="center"/>
        </w:trPr>
        <w:tc>
          <w:tcPr>
            <w:tcW w:w="3479" w:type="dxa"/>
            <w:tcBorders>
              <w:left w:val="nil"/>
              <w:right w:val="nil"/>
            </w:tcBorders>
            <w:vAlign w:val="center"/>
          </w:tcPr>
          <w:p w14:paraId="7CA0A259" w14:textId="7C1E26E6" w:rsidR="0073478D" w:rsidRPr="0028098E" w:rsidRDefault="0073478D" w:rsidP="0073478D">
            <w:pPr>
              <w:spacing w:after="0" w:line="240" w:lineRule="auto"/>
              <w:rPr>
                <w:rFonts w:cs="Times New Roman"/>
                <w:sz w:val="16"/>
                <w:szCs w:val="16"/>
              </w:rPr>
            </w:pPr>
            <w:r w:rsidRPr="0028098E">
              <w:rPr>
                <w:rFonts w:cs="Times New Roman"/>
                <w:sz w:val="16"/>
                <w:szCs w:val="16"/>
              </w:rPr>
              <w:t>Gentamicin</w:t>
            </w:r>
            <w:r w:rsidR="002220C3" w:rsidRPr="002220C3">
              <w:rPr>
                <w:rFonts w:cs="Times New Roman"/>
                <w:noProof/>
                <w:sz w:val="16"/>
                <w:szCs w:val="16"/>
                <w:vertAlign w:val="superscript"/>
              </w:rPr>
              <w:t>63,74,79,84,86,88,91,97,98,106,108,110,113,118,123,128,130-132</w:t>
            </w:r>
          </w:p>
        </w:tc>
        <w:tc>
          <w:tcPr>
            <w:tcW w:w="903" w:type="dxa"/>
            <w:tcBorders>
              <w:left w:val="nil"/>
              <w:right w:val="nil"/>
            </w:tcBorders>
            <w:vAlign w:val="center"/>
          </w:tcPr>
          <w:p w14:paraId="3981346E" w14:textId="1AE74EC6" w:rsidR="0073478D" w:rsidRDefault="0073478D" w:rsidP="0073478D">
            <w:pPr>
              <w:spacing w:after="0" w:line="240" w:lineRule="auto"/>
              <w:rPr>
                <w:rFonts w:cs="Times New Roman"/>
                <w:sz w:val="16"/>
                <w:szCs w:val="16"/>
              </w:rPr>
            </w:pPr>
            <w:r>
              <w:rPr>
                <w:rFonts w:cs="Times New Roman"/>
                <w:sz w:val="16"/>
                <w:szCs w:val="16"/>
              </w:rPr>
              <w:t>28</w:t>
            </w:r>
          </w:p>
        </w:tc>
        <w:tc>
          <w:tcPr>
            <w:tcW w:w="1493" w:type="dxa"/>
            <w:gridSpan w:val="2"/>
            <w:tcBorders>
              <w:left w:val="nil"/>
              <w:right w:val="nil"/>
            </w:tcBorders>
            <w:vAlign w:val="center"/>
          </w:tcPr>
          <w:p w14:paraId="2CC542CB" w14:textId="36C5BC73" w:rsidR="0073478D" w:rsidRDefault="0073478D" w:rsidP="0073478D">
            <w:pPr>
              <w:spacing w:after="0" w:line="240" w:lineRule="auto"/>
              <w:rPr>
                <w:rFonts w:cs="Times New Roman"/>
                <w:sz w:val="16"/>
                <w:szCs w:val="16"/>
              </w:rPr>
            </w:pPr>
            <w:r>
              <w:rPr>
                <w:rFonts w:cs="Times New Roman"/>
                <w:sz w:val="16"/>
                <w:szCs w:val="16"/>
              </w:rPr>
              <w:t>86% (70 – 97%)</w:t>
            </w:r>
          </w:p>
        </w:tc>
        <w:tc>
          <w:tcPr>
            <w:tcW w:w="907" w:type="dxa"/>
            <w:gridSpan w:val="2"/>
            <w:tcBorders>
              <w:left w:val="nil"/>
              <w:right w:val="nil"/>
            </w:tcBorders>
            <w:vAlign w:val="center"/>
          </w:tcPr>
          <w:p w14:paraId="26A02FA1" w14:textId="5ADB5C4C" w:rsidR="0073478D" w:rsidRDefault="0073478D" w:rsidP="0073478D">
            <w:pPr>
              <w:spacing w:after="0" w:line="240" w:lineRule="auto"/>
              <w:rPr>
                <w:rFonts w:cs="Times New Roman"/>
                <w:sz w:val="16"/>
                <w:szCs w:val="16"/>
              </w:rPr>
            </w:pPr>
            <w:r>
              <w:rPr>
                <w:rFonts w:cs="Times New Roman"/>
                <w:sz w:val="16"/>
                <w:szCs w:val="16"/>
              </w:rPr>
              <w:t>150</w:t>
            </w:r>
          </w:p>
        </w:tc>
        <w:tc>
          <w:tcPr>
            <w:tcW w:w="1480" w:type="dxa"/>
            <w:gridSpan w:val="3"/>
            <w:tcBorders>
              <w:left w:val="nil"/>
              <w:right w:val="nil"/>
            </w:tcBorders>
            <w:vAlign w:val="center"/>
          </w:tcPr>
          <w:p w14:paraId="6A4FEAB5" w14:textId="2C70A541" w:rsidR="0073478D" w:rsidRDefault="0073478D" w:rsidP="0073478D">
            <w:pPr>
              <w:spacing w:after="0" w:line="240" w:lineRule="auto"/>
              <w:rPr>
                <w:rFonts w:cs="Times New Roman"/>
                <w:sz w:val="16"/>
                <w:szCs w:val="16"/>
              </w:rPr>
            </w:pPr>
            <w:r>
              <w:rPr>
                <w:rFonts w:cs="Times New Roman"/>
                <w:sz w:val="16"/>
                <w:szCs w:val="16"/>
              </w:rPr>
              <w:t>71% (33 – 97%)</w:t>
            </w:r>
          </w:p>
        </w:tc>
        <w:tc>
          <w:tcPr>
            <w:tcW w:w="907" w:type="dxa"/>
            <w:gridSpan w:val="3"/>
            <w:tcBorders>
              <w:left w:val="nil"/>
              <w:right w:val="nil"/>
            </w:tcBorders>
            <w:vAlign w:val="center"/>
          </w:tcPr>
          <w:p w14:paraId="16EC1CF0" w14:textId="788079B0" w:rsidR="0073478D" w:rsidRDefault="0073478D" w:rsidP="0073478D">
            <w:pPr>
              <w:spacing w:after="0" w:line="240" w:lineRule="auto"/>
              <w:rPr>
                <w:rFonts w:cs="Times New Roman"/>
                <w:sz w:val="16"/>
                <w:szCs w:val="16"/>
              </w:rPr>
            </w:pPr>
            <w:r>
              <w:rPr>
                <w:rFonts w:cs="Times New Roman"/>
                <w:sz w:val="16"/>
                <w:szCs w:val="16"/>
              </w:rPr>
              <w:t>188</w:t>
            </w:r>
          </w:p>
        </w:tc>
        <w:tc>
          <w:tcPr>
            <w:tcW w:w="1451" w:type="dxa"/>
            <w:gridSpan w:val="2"/>
            <w:tcBorders>
              <w:left w:val="nil"/>
              <w:right w:val="nil"/>
            </w:tcBorders>
            <w:vAlign w:val="center"/>
          </w:tcPr>
          <w:p w14:paraId="7B1EEE56" w14:textId="73C95549" w:rsidR="0073478D" w:rsidRDefault="0073478D" w:rsidP="0073478D">
            <w:pPr>
              <w:spacing w:after="0" w:line="240" w:lineRule="auto"/>
              <w:rPr>
                <w:rFonts w:cs="Times New Roman"/>
                <w:sz w:val="16"/>
                <w:szCs w:val="16"/>
              </w:rPr>
            </w:pPr>
            <w:r>
              <w:rPr>
                <w:rFonts w:cs="Times New Roman"/>
                <w:sz w:val="16"/>
                <w:szCs w:val="16"/>
              </w:rPr>
              <w:t>83% (57 – 99%)</w:t>
            </w:r>
          </w:p>
        </w:tc>
        <w:tc>
          <w:tcPr>
            <w:tcW w:w="907" w:type="dxa"/>
            <w:gridSpan w:val="2"/>
            <w:tcBorders>
              <w:left w:val="nil"/>
              <w:right w:val="nil"/>
            </w:tcBorders>
            <w:vAlign w:val="center"/>
          </w:tcPr>
          <w:p w14:paraId="6CAA608F" w14:textId="0DD9D792" w:rsidR="0073478D" w:rsidRDefault="0073478D" w:rsidP="0073478D">
            <w:pPr>
              <w:spacing w:after="0" w:line="240" w:lineRule="auto"/>
              <w:rPr>
                <w:rFonts w:cs="Times New Roman"/>
                <w:sz w:val="16"/>
                <w:szCs w:val="16"/>
              </w:rPr>
            </w:pPr>
            <w:r>
              <w:rPr>
                <w:rFonts w:cs="Times New Roman"/>
                <w:sz w:val="16"/>
                <w:szCs w:val="16"/>
              </w:rPr>
              <w:t>211</w:t>
            </w:r>
          </w:p>
        </w:tc>
        <w:tc>
          <w:tcPr>
            <w:tcW w:w="1418" w:type="dxa"/>
            <w:gridSpan w:val="2"/>
            <w:tcBorders>
              <w:left w:val="nil"/>
              <w:right w:val="nil"/>
            </w:tcBorders>
            <w:vAlign w:val="center"/>
          </w:tcPr>
          <w:p w14:paraId="5F474FF3" w14:textId="792FADDD" w:rsidR="0073478D" w:rsidRDefault="0073478D" w:rsidP="0073478D">
            <w:pPr>
              <w:spacing w:after="0" w:line="240" w:lineRule="auto"/>
              <w:rPr>
                <w:rFonts w:cs="Times New Roman"/>
                <w:sz w:val="16"/>
                <w:szCs w:val="16"/>
              </w:rPr>
            </w:pPr>
            <w:r>
              <w:rPr>
                <w:rFonts w:cs="Times New Roman"/>
                <w:sz w:val="16"/>
                <w:szCs w:val="16"/>
              </w:rPr>
              <w:t>47% (26 – 69%)</w:t>
            </w:r>
          </w:p>
        </w:tc>
        <w:tc>
          <w:tcPr>
            <w:tcW w:w="907" w:type="dxa"/>
            <w:gridSpan w:val="2"/>
            <w:tcBorders>
              <w:left w:val="nil"/>
              <w:right w:val="nil"/>
            </w:tcBorders>
            <w:vAlign w:val="center"/>
          </w:tcPr>
          <w:p w14:paraId="4DD2FCCF" w14:textId="352DEF79" w:rsidR="0073478D" w:rsidRDefault="0073478D" w:rsidP="0073478D">
            <w:pPr>
              <w:spacing w:after="0" w:line="240" w:lineRule="auto"/>
              <w:rPr>
                <w:rFonts w:cs="Times New Roman"/>
                <w:sz w:val="16"/>
                <w:szCs w:val="16"/>
              </w:rPr>
            </w:pPr>
            <w:r>
              <w:rPr>
                <w:rFonts w:cs="Times New Roman"/>
                <w:sz w:val="16"/>
                <w:szCs w:val="16"/>
              </w:rPr>
              <w:t>577</w:t>
            </w:r>
          </w:p>
        </w:tc>
        <w:tc>
          <w:tcPr>
            <w:tcW w:w="1430" w:type="dxa"/>
            <w:tcBorders>
              <w:left w:val="nil"/>
              <w:right w:val="nil"/>
            </w:tcBorders>
            <w:vAlign w:val="center"/>
          </w:tcPr>
          <w:p w14:paraId="323981BE" w14:textId="3E48B5EC" w:rsidR="0073478D" w:rsidRDefault="0073478D" w:rsidP="0073478D">
            <w:pPr>
              <w:spacing w:after="0" w:line="240" w:lineRule="auto"/>
              <w:rPr>
                <w:rFonts w:cs="Times New Roman"/>
                <w:sz w:val="16"/>
                <w:szCs w:val="16"/>
              </w:rPr>
            </w:pPr>
            <w:r>
              <w:rPr>
                <w:rFonts w:cs="Times New Roman"/>
                <w:sz w:val="16"/>
                <w:szCs w:val="16"/>
              </w:rPr>
              <w:t>66% (47 – 83%)</w:t>
            </w:r>
          </w:p>
        </w:tc>
      </w:tr>
      <w:tr w:rsidR="0073478D" w:rsidRPr="0028098E" w14:paraId="2C337AE6" w14:textId="77777777" w:rsidTr="0000512F">
        <w:trPr>
          <w:trHeight w:val="227"/>
          <w:jc w:val="center"/>
        </w:trPr>
        <w:tc>
          <w:tcPr>
            <w:tcW w:w="3479" w:type="dxa"/>
            <w:tcBorders>
              <w:left w:val="nil"/>
              <w:right w:val="nil"/>
            </w:tcBorders>
            <w:vAlign w:val="center"/>
          </w:tcPr>
          <w:p w14:paraId="613178F9" w14:textId="3EF3AD32" w:rsidR="0073478D" w:rsidRPr="0028098E" w:rsidRDefault="0073478D" w:rsidP="0073478D">
            <w:pPr>
              <w:spacing w:after="0" w:line="240" w:lineRule="auto"/>
              <w:rPr>
                <w:rFonts w:cs="Times New Roman"/>
                <w:sz w:val="16"/>
                <w:szCs w:val="16"/>
              </w:rPr>
            </w:pPr>
            <w:r w:rsidRPr="0028098E">
              <w:rPr>
                <w:rFonts w:cs="Times New Roman"/>
                <w:sz w:val="16"/>
                <w:szCs w:val="16"/>
              </w:rPr>
              <w:t>Cefotaxime</w:t>
            </w:r>
            <w:r w:rsidR="002220C3" w:rsidRPr="002220C3">
              <w:rPr>
                <w:rFonts w:cs="Times New Roman"/>
                <w:noProof/>
                <w:sz w:val="16"/>
                <w:szCs w:val="16"/>
                <w:vertAlign w:val="superscript"/>
              </w:rPr>
              <w:t>36,63,86,88,91,98,106,123,128,132</w:t>
            </w:r>
          </w:p>
        </w:tc>
        <w:tc>
          <w:tcPr>
            <w:tcW w:w="903" w:type="dxa"/>
            <w:tcBorders>
              <w:left w:val="nil"/>
              <w:right w:val="nil"/>
            </w:tcBorders>
            <w:vAlign w:val="center"/>
          </w:tcPr>
          <w:p w14:paraId="41FACC1D" w14:textId="77777777" w:rsidR="0073478D" w:rsidRPr="0028098E" w:rsidRDefault="0073478D" w:rsidP="0073478D">
            <w:pPr>
              <w:spacing w:after="0" w:line="240" w:lineRule="auto"/>
              <w:rPr>
                <w:rFonts w:cs="Times New Roman"/>
                <w:sz w:val="16"/>
                <w:szCs w:val="16"/>
              </w:rPr>
            </w:pPr>
            <w:r>
              <w:rPr>
                <w:rFonts w:cs="Times New Roman"/>
                <w:sz w:val="16"/>
                <w:szCs w:val="16"/>
              </w:rPr>
              <w:t>28</w:t>
            </w:r>
          </w:p>
        </w:tc>
        <w:tc>
          <w:tcPr>
            <w:tcW w:w="1493" w:type="dxa"/>
            <w:gridSpan w:val="2"/>
            <w:tcBorders>
              <w:left w:val="nil"/>
              <w:right w:val="nil"/>
            </w:tcBorders>
            <w:vAlign w:val="center"/>
          </w:tcPr>
          <w:p w14:paraId="4D753E57" w14:textId="77777777" w:rsidR="0073478D" w:rsidRPr="0028098E" w:rsidRDefault="0073478D" w:rsidP="0073478D">
            <w:pPr>
              <w:spacing w:after="0" w:line="240" w:lineRule="auto"/>
              <w:rPr>
                <w:rFonts w:cs="Times New Roman"/>
                <w:sz w:val="16"/>
                <w:szCs w:val="16"/>
              </w:rPr>
            </w:pPr>
            <w:r>
              <w:rPr>
                <w:rFonts w:cs="Times New Roman"/>
                <w:sz w:val="16"/>
                <w:szCs w:val="16"/>
              </w:rPr>
              <w:t>98% (87 – 100%)</w:t>
            </w:r>
          </w:p>
        </w:tc>
        <w:tc>
          <w:tcPr>
            <w:tcW w:w="907" w:type="dxa"/>
            <w:gridSpan w:val="2"/>
            <w:tcBorders>
              <w:left w:val="nil"/>
              <w:right w:val="nil"/>
            </w:tcBorders>
            <w:vAlign w:val="center"/>
          </w:tcPr>
          <w:p w14:paraId="25E56639" w14:textId="77777777" w:rsidR="0073478D" w:rsidRPr="0028098E" w:rsidRDefault="0073478D" w:rsidP="0073478D">
            <w:pPr>
              <w:spacing w:after="0" w:line="240" w:lineRule="auto"/>
              <w:rPr>
                <w:rFonts w:cs="Times New Roman"/>
                <w:sz w:val="16"/>
                <w:szCs w:val="16"/>
              </w:rPr>
            </w:pPr>
            <w:r>
              <w:rPr>
                <w:rFonts w:cs="Times New Roman"/>
                <w:sz w:val="16"/>
                <w:szCs w:val="16"/>
              </w:rPr>
              <w:t>56</w:t>
            </w:r>
          </w:p>
        </w:tc>
        <w:tc>
          <w:tcPr>
            <w:tcW w:w="1480" w:type="dxa"/>
            <w:gridSpan w:val="3"/>
            <w:tcBorders>
              <w:left w:val="nil"/>
              <w:right w:val="nil"/>
            </w:tcBorders>
            <w:vAlign w:val="center"/>
          </w:tcPr>
          <w:p w14:paraId="6C8F71A5" w14:textId="77777777" w:rsidR="0073478D" w:rsidRPr="0028098E" w:rsidRDefault="0073478D" w:rsidP="0073478D">
            <w:pPr>
              <w:spacing w:after="0" w:line="240" w:lineRule="auto"/>
              <w:rPr>
                <w:rFonts w:cs="Times New Roman"/>
                <w:sz w:val="16"/>
                <w:szCs w:val="16"/>
              </w:rPr>
            </w:pPr>
            <w:r>
              <w:rPr>
                <w:rFonts w:cs="Times New Roman"/>
                <w:sz w:val="16"/>
                <w:szCs w:val="16"/>
              </w:rPr>
              <w:t>52% (38 – 66%)</w:t>
            </w:r>
          </w:p>
        </w:tc>
        <w:tc>
          <w:tcPr>
            <w:tcW w:w="907" w:type="dxa"/>
            <w:gridSpan w:val="3"/>
            <w:tcBorders>
              <w:left w:val="nil"/>
              <w:right w:val="nil"/>
            </w:tcBorders>
            <w:vAlign w:val="center"/>
          </w:tcPr>
          <w:p w14:paraId="5607B815" w14:textId="77777777" w:rsidR="0073478D" w:rsidRPr="0028098E" w:rsidRDefault="0073478D" w:rsidP="0073478D">
            <w:pPr>
              <w:spacing w:after="0" w:line="240" w:lineRule="auto"/>
              <w:rPr>
                <w:rFonts w:cs="Times New Roman"/>
                <w:sz w:val="16"/>
                <w:szCs w:val="16"/>
              </w:rPr>
            </w:pPr>
            <w:r>
              <w:rPr>
                <w:rFonts w:cs="Times New Roman"/>
                <w:sz w:val="16"/>
                <w:szCs w:val="16"/>
              </w:rPr>
              <w:t>176</w:t>
            </w:r>
          </w:p>
        </w:tc>
        <w:tc>
          <w:tcPr>
            <w:tcW w:w="1451" w:type="dxa"/>
            <w:gridSpan w:val="2"/>
            <w:tcBorders>
              <w:left w:val="nil"/>
              <w:right w:val="nil"/>
            </w:tcBorders>
            <w:vAlign w:val="center"/>
          </w:tcPr>
          <w:p w14:paraId="012DE243" w14:textId="77777777" w:rsidR="0073478D" w:rsidRPr="0028098E" w:rsidRDefault="0073478D" w:rsidP="0073478D">
            <w:pPr>
              <w:spacing w:after="0" w:line="240" w:lineRule="auto"/>
              <w:rPr>
                <w:rFonts w:cs="Times New Roman"/>
                <w:sz w:val="16"/>
                <w:szCs w:val="16"/>
              </w:rPr>
            </w:pPr>
            <w:r>
              <w:rPr>
                <w:rFonts w:cs="Times New Roman"/>
                <w:sz w:val="16"/>
                <w:szCs w:val="16"/>
              </w:rPr>
              <w:t>89% (57 – 100%)</w:t>
            </w:r>
          </w:p>
        </w:tc>
        <w:tc>
          <w:tcPr>
            <w:tcW w:w="907" w:type="dxa"/>
            <w:gridSpan w:val="2"/>
            <w:tcBorders>
              <w:left w:val="nil"/>
              <w:right w:val="nil"/>
            </w:tcBorders>
            <w:vAlign w:val="center"/>
          </w:tcPr>
          <w:p w14:paraId="584DD5A4" w14:textId="77777777" w:rsidR="0073478D" w:rsidRPr="0028098E" w:rsidRDefault="0073478D" w:rsidP="0073478D">
            <w:pPr>
              <w:spacing w:after="0" w:line="240" w:lineRule="auto"/>
              <w:rPr>
                <w:rFonts w:cs="Times New Roman"/>
                <w:sz w:val="16"/>
                <w:szCs w:val="16"/>
              </w:rPr>
            </w:pPr>
            <w:r>
              <w:rPr>
                <w:rFonts w:cs="Times New Roman"/>
                <w:sz w:val="16"/>
                <w:szCs w:val="16"/>
              </w:rPr>
              <w:t>49</w:t>
            </w:r>
          </w:p>
        </w:tc>
        <w:tc>
          <w:tcPr>
            <w:tcW w:w="1418" w:type="dxa"/>
            <w:gridSpan w:val="2"/>
            <w:tcBorders>
              <w:left w:val="nil"/>
              <w:right w:val="nil"/>
            </w:tcBorders>
            <w:vAlign w:val="center"/>
          </w:tcPr>
          <w:p w14:paraId="3D09E25A" w14:textId="77777777" w:rsidR="0073478D" w:rsidRPr="0028098E" w:rsidRDefault="0073478D" w:rsidP="0073478D">
            <w:pPr>
              <w:spacing w:after="0" w:line="240" w:lineRule="auto"/>
              <w:rPr>
                <w:rFonts w:cs="Times New Roman"/>
                <w:sz w:val="16"/>
                <w:szCs w:val="16"/>
              </w:rPr>
            </w:pPr>
            <w:r>
              <w:rPr>
                <w:rFonts w:cs="Times New Roman"/>
                <w:sz w:val="16"/>
                <w:szCs w:val="16"/>
              </w:rPr>
              <w:t>54% (11 – 93%)</w:t>
            </w:r>
          </w:p>
        </w:tc>
        <w:tc>
          <w:tcPr>
            <w:tcW w:w="907" w:type="dxa"/>
            <w:gridSpan w:val="2"/>
            <w:tcBorders>
              <w:left w:val="nil"/>
              <w:right w:val="nil"/>
            </w:tcBorders>
            <w:vAlign w:val="center"/>
          </w:tcPr>
          <w:p w14:paraId="3F3D599B" w14:textId="77777777" w:rsidR="0073478D" w:rsidRPr="0028098E" w:rsidRDefault="0073478D" w:rsidP="0073478D">
            <w:pPr>
              <w:spacing w:after="0" w:line="240" w:lineRule="auto"/>
              <w:rPr>
                <w:rFonts w:cs="Times New Roman"/>
                <w:sz w:val="16"/>
                <w:szCs w:val="16"/>
              </w:rPr>
            </w:pPr>
            <w:r>
              <w:rPr>
                <w:rFonts w:cs="Times New Roman"/>
                <w:sz w:val="16"/>
                <w:szCs w:val="16"/>
              </w:rPr>
              <w:t>309</w:t>
            </w:r>
          </w:p>
        </w:tc>
        <w:tc>
          <w:tcPr>
            <w:tcW w:w="1430" w:type="dxa"/>
            <w:tcBorders>
              <w:left w:val="nil"/>
              <w:right w:val="nil"/>
            </w:tcBorders>
            <w:vAlign w:val="center"/>
          </w:tcPr>
          <w:p w14:paraId="2FA37104" w14:textId="77777777" w:rsidR="0073478D" w:rsidRPr="0028098E" w:rsidRDefault="0073478D" w:rsidP="0073478D">
            <w:pPr>
              <w:spacing w:after="0" w:line="240" w:lineRule="auto"/>
              <w:rPr>
                <w:rFonts w:cs="Times New Roman"/>
                <w:sz w:val="16"/>
                <w:szCs w:val="16"/>
              </w:rPr>
            </w:pPr>
            <w:r>
              <w:rPr>
                <w:rFonts w:cs="Times New Roman"/>
                <w:sz w:val="16"/>
                <w:szCs w:val="16"/>
              </w:rPr>
              <w:t>78% (55 – 95%)</w:t>
            </w:r>
          </w:p>
        </w:tc>
      </w:tr>
      <w:tr w:rsidR="0073478D" w:rsidRPr="0028098E" w14:paraId="56DD4E95" w14:textId="77777777" w:rsidTr="0000512F">
        <w:trPr>
          <w:trHeight w:val="227"/>
          <w:jc w:val="center"/>
        </w:trPr>
        <w:tc>
          <w:tcPr>
            <w:tcW w:w="3479" w:type="dxa"/>
            <w:tcBorders>
              <w:left w:val="nil"/>
              <w:right w:val="nil"/>
            </w:tcBorders>
            <w:vAlign w:val="center"/>
          </w:tcPr>
          <w:p w14:paraId="4DFE983B" w14:textId="64E26440" w:rsidR="0073478D" w:rsidRPr="0028098E" w:rsidRDefault="0073478D" w:rsidP="0073478D">
            <w:pPr>
              <w:spacing w:after="0" w:line="240" w:lineRule="auto"/>
              <w:rPr>
                <w:rFonts w:cs="Times New Roman"/>
                <w:sz w:val="16"/>
                <w:szCs w:val="16"/>
              </w:rPr>
            </w:pPr>
            <w:r w:rsidRPr="0028098E">
              <w:rPr>
                <w:rFonts w:cs="Times New Roman"/>
                <w:sz w:val="16"/>
                <w:szCs w:val="16"/>
              </w:rPr>
              <w:t>Ceftazidime</w:t>
            </w:r>
            <w:r w:rsidR="002220C3" w:rsidRPr="002220C3">
              <w:rPr>
                <w:rFonts w:cs="Times New Roman"/>
                <w:noProof/>
                <w:sz w:val="16"/>
                <w:szCs w:val="16"/>
                <w:vertAlign w:val="superscript"/>
              </w:rPr>
              <w:t>36,74,86,88,91,97,98,106,110,113,123</w:t>
            </w:r>
          </w:p>
        </w:tc>
        <w:tc>
          <w:tcPr>
            <w:tcW w:w="903" w:type="dxa"/>
            <w:tcBorders>
              <w:left w:val="nil"/>
              <w:right w:val="nil"/>
            </w:tcBorders>
            <w:vAlign w:val="center"/>
          </w:tcPr>
          <w:p w14:paraId="3B22DEA2" w14:textId="77777777" w:rsidR="0073478D" w:rsidRPr="0028098E" w:rsidRDefault="0073478D" w:rsidP="0073478D">
            <w:pPr>
              <w:spacing w:after="0" w:line="240" w:lineRule="auto"/>
              <w:rPr>
                <w:rFonts w:cs="Times New Roman"/>
                <w:sz w:val="16"/>
                <w:szCs w:val="16"/>
              </w:rPr>
            </w:pPr>
            <w:r>
              <w:rPr>
                <w:rFonts w:cs="Times New Roman"/>
                <w:sz w:val="16"/>
                <w:szCs w:val="16"/>
              </w:rPr>
              <w:t>12</w:t>
            </w:r>
          </w:p>
        </w:tc>
        <w:tc>
          <w:tcPr>
            <w:tcW w:w="1493" w:type="dxa"/>
            <w:gridSpan w:val="2"/>
            <w:tcBorders>
              <w:left w:val="nil"/>
              <w:right w:val="nil"/>
            </w:tcBorders>
            <w:vAlign w:val="center"/>
          </w:tcPr>
          <w:p w14:paraId="43C3C677" w14:textId="77777777" w:rsidR="0073478D" w:rsidRPr="0028098E" w:rsidRDefault="0073478D" w:rsidP="0073478D">
            <w:pPr>
              <w:spacing w:after="0" w:line="240" w:lineRule="auto"/>
              <w:rPr>
                <w:rFonts w:cs="Times New Roman"/>
                <w:sz w:val="16"/>
                <w:szCs w:val="16"/>
              </w:rPr>
            </w:pPr>
            <w:r>
              <w:rPr>
                <w:rFonts w:cs="Times New Roman"/>
                <w:sz w:val="16"/>
                <w:szCs w:val="16"/>
              </w:rPr>
              <w:t>92% (65 – 99%)</w:t>
            </w:r>
          </w:p>
        </w:tc>
        <w:tc>
          <w:tcPr>
            <w:tcW w:w="907" w:type="dxa"/>
            <w:gridSpan w:val="2"/>
            <w:tcBorders>
              <w:left w:val="nil"/>
              <w:right w:val="nil"/>
            </w:tcBorders>
            <w:vAlign w:val="center"/>
          </w:tcPr>
          <w:p w14:paraId="48A1A65C" w14:textId="77777777" w:rsidR="0073478D" w:rsidRPr="0028098E" w:rsidRDefault="0073478D" w:rsidP="0073478D">
            <w:pPr>
              <w:spacing w:after="0" w:line="240" w:lineRule="auto"/>
              <w:rPr>
                <w:rFonts w:cs="Times New Roman"/>
                <w:sz w:val="16"/>
                <w:szCs w:val="16"/>
              </w:rPr>
            </w:pPr>
            <w:r>
              <w:rPr>
                <w:rFonts w:cs="Times New Roman"/>
                <w:sz w:val="16"/>
                <w:szCs w:val="16"/>
              </w:rPr>
              <w:t>69</w:t>
            </w:r>
          </w:p>
        </w:tc>
        <w:tc>
          <w:tcPr>
            <w:tcW w:w="1480" w:type="dxa"/>
            <w:gridSpan w:val="3"/>
            <w:tcBorders>
              <w:left w:val="nil"/>
              <w:right w:val="nil"/>
            </w:tcBorders>
            <w:vAlign w:val="center"/>
          </w:tcPr>
          <w:p w14:paraId="7C77FD2C" w14:textId="77777777" w:rsidR="0073478D" w:rsidRPr="0028098E" w:rsidRDefault="0073478D" w:rsidP="0073478D">
            <w:pPr>
              <w:spacing w:after="0" w:line="240" w:lineRule="auto"/>
              <w:rPr>
                <w:rFonts w:cs="Times New Roman"/>
                <w:sz w:val="16"/>
                <w:szCs w:val="16"/>
              </w:rPr>
            </w:pPr>
            <w:r>
              <w:rPr>
                <w:rFonts w:cs="Times New Roman"/>
                <w:sz w:val="16"/>
                <w:szCs w:val="16"/>
              </w:rPr>
              <w:t>36% (25 – 48%)</w:t>
            </w:r>
          </w:p>
        </w:tc>
        <w:tc>
          <w:tcPr>
            <w:tcW w:w="907" w:type="dxa"/>
            <w:gridSpan w:val="3"/>
            <w:tcBorders>
              <w:left w:val="nil"/>
              <w:right w:val="nil"/>
            </w:tcBorders>
            <w:vAlign w:val="center"/>
          </w:tcPr>
          <w:p w14:paraId="22387473" w14:textId="77777777" w:rsidR="0073478D" w:rsidRPr="0028098E" w:rsidRDefault="0073478D" w:rsidP="0073478D">
            <w:pPr>
              <w:spacing w:after="0" w:line="240" w:lineRule="auto"/>
              <w:rPr>
                <w:rFonts w:cs="Times New Roman"/>
                <w:sz w:val="16"/>
                <w:szCs w:val="16"/>
              </w:rPr>
            </w:pPr>
            <w:r>
              <w:rPr>
                <w:rFonts w:cs="Times New Roman"/>
                <w:sz w:val="16"/>
                <w:szCs w:val="16"/>
              </w:rPr>
              <w:t>130</w:t>
            </w:r>
          </w:p>
        </w:tc>
        <w:tc>
          <w:tcPr>
            <w:tcW w:w="1451" w:type="dxa"/>
            <w:gridSpan w:val="2"/>
            <w:tcBorders>
              <w:left w:val="nil"/>
              <w:right w:val="nil"/>
            </w:tcBorders>
            <w:vAlign w:val="center"/>
          </w:tcPr>
          <w:p w14:paraId="6AD8362B" w14:textId="77777777" w:rsidR="0073478D" w:rsidRPr="0028098E" w:rsidRDefault="0073478D" w:rsidP="0073478D">
            <w:pPr>
              <w:spacing w:after="0" w:line="240" w:lineRule="auto"/>
              <w:rPr>
                <w:rFonts w:cs="Times New Roman"/>
                <w:sz w:val="16"/>
                <w:szCs w:val="16"/>
              </w:rPr>
            </w:pPr>
            <w:r>
              <w:rPr>
                <w:rFonts w:cs="Times New Roman"/>
                <w:sz w:val="16"/>
                <w:szCs w:val="16"/>
              </w:rPr>
              <w:t>96% (92 – 99%)</w:t>
            </w:r>
          </w:p>
        </w:tc>
        <w:tc>
          <w:tcPr>
            <w:tcW w:w="907" w:type="dxa"/>
            <w:gridSpan w:val="2"/>
            <w:tcBorders>
              <w:left w:val="nil"/>
              <w:right w:val="nil"/>
            </w:tcBorders>
            <w:vAlign w:val="center"/>
          </w:tcPr>
          <w:p w14:paraId="03A2FA06" w14:textId="77777777" w:rsidR="0073478D" w:rsidRPr="0028098E" w:rsidRDefault="0073478D" w:rsidP="0073478D">
            <w:pPr>
              <w:spacing w:after="0" w:line="240" w:lineRule="auto"/>
              <w:rPr>
                <w:rFonts w:cs="Times New Roman"/>
                <w:sz w:val="16"/>
                <w:szCs w:val="16"/>
              </w:rPr>
            </w:pPr>
            <w:r>
              <w:rPr>
                <w:rFonts w:cs="Times New Roman"/>
                <w:sz w:val="16"/>
                <w:szCs w:val="16"/>
              </w:rPr>
              <w:t>139</w:t>
            </w:r>
          </w:p>
        </w:tc>
        <w:tc>
          <w:tcPr>
            <w:tcW w:w="1418" w:type="dxa"/>
            <w:gridSpan w:val="2"/>
            <w:tcBorders>
              <w:left w:val="nil"/>
              <w:right w:val="nil"/>
            </w:tcBorders>
            <w:vAlign w:val="center"/>
          </w:tcPr>
          <w:p w14:paraId="1E5E68F6" w14:textId="77777777" w:rsidR="0073478D" w:rsidRPr="0028098E" w:rsidRDefault="0073478D" w:rsidP="0073478D">
            <w:pPr>
              <w:spacing w:after="0" w:line="240" w:lineRule="auto"/>
              <w:rPr>
                <w:rFonts w:cs="Times New Roman"/>
                <w:sz w:val="16"/>
                <w:szCs w:val="16"/>
              </w:rPr>
            </w:pPr>
            <w:r>
              <w:rPr>
                <w:rFonts w:cs="Times New Roman"/>
                <w:sz w:val="16"/>
                <w:szCs w:val="16"/>
              </w:rPr>
              <w:t>44% (11 – 80%)</w:t>
            </w:r>
          </w:p>
        </w:tc>
        <w:tc>
          <w:tcPr>
            <w:tcW w:w="907" w:type="dxa"/>
            <w:gridSpan w:val="2"/>
            <w:tcBorders>
              <w:left w:val="nil"/>
              <w:right w:val="nil"/>
            </w:tcBorders>
            <w:vAlign w:val="center"/>
          </w:tcPr>
          <w:p w14:paraId="26ED625C" w14:textId="77777777" w:rsidR="0073478D" w:rsidRPr="0028098E" w:rsidRDefault="0073478D" w:rsidP="0073478D">
            <w:pPr>
              <w:spacing w:after="0" w:line="240" w:lineRule="auto"/>
              <w:rPr>
                <w:rFonts w:cs="Times New Roman"/>
                <w:sz w:val="16"/>
                <w:szCs w:val="16"/>
              </w:rPr>
            </w:pPr>
            <w:r>
              <w:rPr>
                <w:rFonts w:cs="Times New Roman"/>
                <w:sz w:val="16"/>
                <w:szCs w:val="16"/>
              </w:rPr>
              <w:t>350</w:t>
            </w:r>
          </w:p>
        </w:tc>
        <w:tc>
          <w:tcPr>
            <w:tcW w:w="1430" w:type="dxa"/>
            <w:tcBorders>
              <w:left w:val="nil"/>
              <w:right w:val="nil"/>
            </w:tcBorders>
            <w:vAlign w:val="center"/>
          </w:tcPr>
          <w:p w14:paraId="7BE337B6" w14:textId="77777777" w:rsidR="0073478D" w:rsidRPr="0028098E" w:rsidRDefault="0073478D" w:rsidP="0073478D">
            <w:pPr>
              <w:spacing w:after="0" w:line="240" w:lineRule="auto"/>
              <w:rPr>
                <w:rFonts w:cs="Times New Roman"/>
                <w:sz w:val="16"/>
                <w:szCs w:val="16"/>
              </w:rPr>
            </w:pPr>
            <w:r>
              <w:rPr>
                <w:rFonts w:cs="Times New Roman"/>
                <w:sz w:val="16"/>
                <w:szCs w:val="16"/>
              </w:rPr>
              <w:t>58% (28 – 86%)</w:t>
            </w:r>
          </w:p>
        </w:tc>
      </w:tr>
      <w:tr w:rsidR="0073478D" w:rsidRPr="0028098E" w14:paraId="764B37F9" w14:textId="77777777" w:rsidTr="0000512F">
        <w:trPr>
          <w:trHeight w:val="227"/>
          <w:jc w:val="center"/>
        </w:trPr>
        <w:tc>
          <w:tcPr>
            <w:tcW w:w="3479" w:type="dxa"/>
            <w:tcBorders>
              <w:left w:val="nil"/>
              <w:right w:val="nil"/>
            </w:tcBorders>
            <w:vAlign w:val="center"/>
          </w:tcPr>
          <w:p w14:paraId="031C8193" w14:textId="07CE1ADC" w:rsidR="0073478D" w:rsidRPr="0028098E" w:rsidRDefault="0073478D" w:rsidP="0073478D">
            <w:pPr>
              <w:spacing w:after="0" w:line="240" w:lineRule="auto"/>
              <w:rPr>
                <w:rFonts w:cs="Times New Roman"/>
                <w:sz w:val="16"/>
                <w:szCs w:val="16"/>
              </w:rPr>
            </w:pPr>
            <w:r w:rsidRPr="0028098E">
              <w:rPr>
                <w:rFonts w:cs="Times New Roman"/>
                <w:sz w:val="16"/>
                <w:szCs w:val="16"/>
              </w:rPr>
              <w:t>Ceftriaxone</w:t>
            </w:r>
            <w:r w:rsidR="002220C3" w:rsidRPr="002220C3">
              <w:rPr>
                <w:rFonts w:cs="Times New Roman"/>
                <w:noProof/>
                <w:sz w:val="16"/>
                <w:szCs w:val="16"/>
                <w:vertAlign w:val="superscript"/>
              </w:rPr>
              <w:t>36,74,79,84,86,88,97,98,106,110,112,113,118,131</w:t>
            </w:r>
          </w:p>
        </w:tc>
        <w:tc>
          <w:tcPr>
            <w:tcW w:w="903" w:type="dxa"/>
            <w:tcBorders>
              <w:left w:val="nil"/>
              <w:right w:val="nil"/>
            </w:tcBorders>
            <w:vAlign w:val="center"/>
          </w:tcPr>
          <w:p w14:paraId="77A396E7" w14:textId="77777777" w:rsidR="0073478D" w:rsidRPr="0028098E" w:rsidRDefault="0073478D" w:rsidP="0073478D">
            <w:pPr>
              <w:spacing w:after="0" w:line="240" w:lineRule="auto"/>
              <w:rPr>
                <w:rFonts w:cs="Times New Roman"/>
                <w:sz w:val="16"/>
                <w:szCs w:val="16"/>
              </w:rPr>
            </w:pPr>
            <w:r>
              <w:rPr>
                <w:rFonts w:cs="Times New Roman"/>
                <w:sz w:val="16"/>
                <w:szCs w:val="16"/>
              </w:rPr>
              <w:t>ND</w:t>
            </w:r>
          </w:p>
        </w:tc>
        <w:tc>
          <w:tcPr>
            <w:tcW w:w="1493" w:type="dxa"/>
            <w:gridSpan w:val="2"/>
            <w:tcBorders>
              <w:left w:val="nil"/>
              <w:right w:val="nil"/>
            </w:tcBorders>
            <w:vAlign w:val="center"/>
          </w:tcPr>
          <w:p w14:paraId="59E10618" w14:textId="77777777" w:rsidR="0073478D" w:rsidRPr="0028098E" w:rsidRDefault="0073478D" w:rsidP="0073478D">
            <w:pPr>
              <w:spacing w:after="0" w:line="240" w:lineRule="auto"/>
              <w:rPr>
                <w:rFonts w:cs="Times New Roman"/>
                <w:sz w:val="16"/>
                <w:szCs w:val="16"/>
              </w:rPr>
            </w:pPr>
          </w:p>
        </w:tc>
        <w:tc>
          <w:tcPr>
            <w:tcW w:w="907" w:type="dxa"/>
            <w:gridSpan w:val="2"/>
            <w:tcBorders>
              <w:left w:val="nil"/>
              <w:right w:val="nil"/>
            </w:tcBorders>
            <w:vAlign w:val="center"/>
          </w:tcPr>
          <w:p w14:paraId="28B39FF6" w14:textId="77777777" w:rsidR="0073478D" w:rsidRPr="0028098E" w:rsidRDefault="0073478D" w:rsidP="0073478D">
            <w:pPr>
              <w:spacing w:after="0" w:line="240" w:lineRule="auto"/>
              <w:rPr>
                <w:rFonts w:cs="Times New Roman"/>
                <w:sz w:val="16"/>
                <w:szCs w:val="16"/>
              </w:rPr>
            </w:pPr>
            <w:r>
              <w:rPr>
                <w:rFonts w:cs="Times New Roman"/>
                <w:sz w:val="16"/>
                <w:szCs w:val="16"/>
              </w:rPr>
              <w:t>160</w:t>
            </w:r>
          </w:p>
        </w:tc>
        <w:tc>
          <w:tcPr>
            <w:tcW w:w="1480" w:type="dxa"/>
            <w:gridSpan w:val="3"/>
            <w:tcBorders>
              <w:left w:val="nil"/>
              <w:right w:val="nil"/>
            </w:tcBorders>
            <w:vAlign w:val="center"/>
          </w:tcPr>
          <w:p w14:paraId="0E0C60A9" w14:textId="77777777" w:rsidR="0073478D" w:rsidRPr="0028098E" w:rsidRDefault="0073478D" w:rsidP="0073478D">
            <w:pPr>
              <w:spacing w:after="0" w:line="240" w:lineRule="auto"/>
              <w:rPr>
                <w:rFonts w:cs="Times New Roman"/>
                <w:sz w:val="16"/>
                <w:szCs w:val="16"/>
              </w:rPr>
            </w:pPr>
            <w:r>
              <w:rPr>
                <w:rFonts w:cs="Times New Roman"/>
                <w:sz w:val="16"/>
                <w:szCs w:val="16"/>
              </w:rPr>
              <w:t>53% (34 – 71%)</w:t>
            </w:r>
          </w:p>
        </w:tc>
        <w:tc>
          <w:tcPr>
            <w:tcW w:w="907" w:type="dxa"/>
            <w:gridSpan w:val="3"/>
            <w:tcBorders>
              <w:left w:val="nil"/>
              <w:right w:val="nil"/>
            </w:tcBorders>
            <w:vAlign w:val="center"/>
          </w:tcPr>
          <w:p w14:paraId="0BE4E108" w14:textId="77777777" w:rsidR="0073478D" w:rsidRPr="0028098E" w:rsidRDefault="0073478D" w:rsidP="0073478D">
            <w:pPr>
              <w:spacing w:after="0" w:line="240" w:lineRule="auto"/>
              <w:rPr>
                <w:rFonts w:cs="Times New Roman"/>
                <w:sz w:val="16"/>
                <w:szCs w:val="16"/>
              </w:rPr>
            </w:pPr>
            <w:r>
              <w:rPr>
                <w:rFonts w:cs="Times New Roman"/>
                <w:sz w:val="16"/>
                <w:szCs w:val="16"/>
              </w:rPr>
              <w:t>51</w:t>
            </w:r>
          </w:p>
        </w:tc>
        <w:tc>
          <w:tcPr>
            <w:tcW w:w="1451" w:type="dxa"/>
            <w:gridSpan w:val="2"/>
            <w:tcBorders>
              <w:left w:val="nil"/>
              <w:right w:val="nil"/>
            </w:tcBorders>
            <w:vAlign w:val="center"/>
          </w:tcPr>
          <w:p w14:paraId="669994C5" w14:textId="77777777" w:rsidR="0073478D" w:rsidRPr="0028098E" w:rsidRDefault="0073478D" w:rsidP="0073478D">
            <w:pPr>
              <w:spacing w:after="0" w:line="240" w:lineRule="auto"/>
              <w:rPr>
                <w:rFonts w:cs="Times New Roman"/>
                <w:sz w:val="16"/>
                <w:szCs w:val="16"/>
              </w:rPr>
            </w:pPr>
            <w:r>
              <w:rPr>
                <w:rFonts w:cs="Times New Roman"/>
                <w:sz w:val="16"/>
                <w:szCs w:val="16"/>
              </w:rPr>
              <w:t>94% (84 – 98%)</w:t>
            </w:r>
          </w:p>
        </w:tc>
        <w:tc>
          <w:tcPr>
            <w:tcW w:w="907" w:type="dxa"/>
            <w:gridSpan w:val="2"/>
            <w:tcBorders>
              <w:left w:val="nil"/>
              <w:right w:val="nil"/>
            </w:tcBorders>
            <w:vAlign w:val="center"/>
          </w:tcPr>
          <w:p w14:paraId="2CED317E" w14:textId="77777777" w:rsidR="0073478D" w:rsidRPr="0028098E" w:rsidRDefault="0073478D" w:rsidP="0073478D">
            <w:pPr>
              <w:spacing w:after="0" w:line="240" w:lineRule="auto"/>
              <w:rPr>
                <w:rFonts w:cs="Times New Roman"/>
                <w:sz w:val="16"/>
                <w:szCs w:val="16"/>
              </w:rPr>
            </w:pPr>
            <w:r>
              <w:rPr>
                <w:rFonts w:cs="Times New Roman"/>
                <w:sz w:val="16"/>
                <w:szCs w:val="16"/>
              </w:rPr>
              <w:t>186</w:t>
            </w:r>
          </w:p>
        </w:tc>
        <w:tc>
          <w:tcPr>
            <w:tcW w:w="1418" w:type="dxa"/>
            <w:gridSpan w:val="2"/>
            <w:tcBorders>
              <w:left w:val="nil"/>
              <w:right w:val="nil"/>
            </w:tcBorders>
            <w:vAlign w:val="center"/>
          </w:tcPr>
          <w:p w14:paraId="22908624" w14:textId="77777777" w:rsidR="0073478D" w:rsidRPr="0028098E" w:rsidRDefault="0073478D" w:rsidP="0073478D">
            <w:pPr>
              <w:spacing w:after="0" w:line="240" w:lineRule="auto"/>
              <w:rPr>
                <w:rFonts w:cs="Times New Roman"/>
                <w:sz w:val="16"/>
                <w:szCs w:val="16"/>
              </w:rPr>
            </w:pPr>
            <w:r>
              <w:rPr>
                <w:rFonts w:cs="Times New Roman"/>
                <w:sz w:val="16"/>
                <w:szCs w:val="16"/>
              </w:rPr>
              <w:t>38% (13 – 66%)</w:t>
            </w:r>
          </w:p>
        </w:tc>
        <w:tc>
          <w:tcPr>
            <w:tcW w:w="907" w:type="dxa"/>
            <w:gridSpan w:val="2"/>
            <w:tcBorders>
              <w:left w:val="nil"/>
              <w:right w:val="nil"/>
            </w:tcBorders>
            <w:vAlign w:val="center"/>
          </w:tcPr>
          <w:p w14:paraId="1D76E4FA" w14:textId="77777777" w:rsidR="0073478D" w:rsidRPr="0028098E" w:rsidRDefault="0073478D" w:rsidP="0073478D">
            <w:pPr>
              <w:spacing w:after="0" w:line="240" w:lineRule="auto"/>
              <w:rPr>
                <w:rFonts w:cs="Times New Roman"/>
                <w:sz w:val="16"/>
                <w:szCs w:val="16"/>
              </w:rPr>
            </w:pPr>
            <w:r>
              <w:rPr>
                <w:rFonts w:cs="Times New Roman"/>
                <w:sz w:val="16"/>
                <w:szCs w:val="16"/>
              </w:rPr>
              <w:t>397</w:t>
            </w:r>
          </w:p>
        </w:tc>
        <w:tc>
          <w:tcPr>
            <w:tcW w:w="1430" w:type="dxa"/>
            <w:tcBorders>
              <w:left w:val="nil"/>
              <w:right w:val="nil"/>
            </w:tcBorders>
            <w:vAlign w:val="center"/>
          </w:tcPr>
          <w:p w14:paraId="753B12C0" w14:textId="77777777" w:rsidR="0073478D" w:rsidRPr="0028098E" w:rsidRDefault="0073478D" w:rsidP="0073478D">
            <w:pPr>
              <w:spacing w:after="0" w:line="240" w:lineRule="auto"/>
              <w:rPr>
                <w:rFonts w:cs="Times New Roman"/>
                <w:sz w:val="16"/>
                <w:szCs w:val="16"/>
              </w:rPr>
            </w:pPr>
            <w:r>
              <w:rPr>
                <w:rFonts w:cs="Times New Roman"/>
                <w:sz w:val="16"/>
                <w:szCs w:val="16"/>
              </w:rPr>
              <w:t>49% (28 – 71%)</w:t>
            </w:r>
          </w:p>
        </w:tc>
      </w:tr>
      <w:tr w:rsidR="0073478D" w:rsidRPr="0028098E" w14:paraId="57A49770" w14:textId="77777777" w:rsidTr="0000512F">
        <w:trPr>
          <w:trHeight w:val="227"/>
          <w:jc w:val="center"/>
        </w:trPr>
        <w:tc>
          <w:tcPr>
            <w:tcW w:w="3479" w:type="dxa"/>
            <w:tcBorders>
              <w:left w:val="nil"/>
              <w:right w:val="nil"/>
            </w:tcBorders>
            <w:vAlign w:val="center"/>
          </w:tcPr>
          <w:p w14:paraId="3EAF3EC6" w14:textId="72324E32" w:rsidR="0073478D" w:rsidRPr="0028098E" w:rsidRDefault="0073478D" w:rsidP="0073478D">
            <w:pPr>
              <w:spacing w:after="0" w:line="240" w:lineRule="auto"/>
              <w:rPr>
                <w:rFonts w:cs="Times New Roman"/>
                <w:sz w:val="16"/>
                <w:szCs w:val="16"/>
              </w:rPr>
            </w:pPr>
            <w:r w:rsidRPr="0028098E">
              <w:rPr>
                <w:rFonts w:cs="Times New Roman"/>
                <w:sz w:val="16"/>
                <w:szCs w:val="16"/>
              </w:rPr>
              <w:t>Ciprofloxacin</w:t>
            </w:r>
            <w:r w:rsidR="002220C3" w:rsidRPr="002220C3">
              <w:rPr>
                <w:rFonts w:cs="Times New Roman"/>
                <w:noProof/>
                <w:sz w:val="16"/>
                <w:szCs w:val="16"/>
                <w:vertAlign w:val="superscript"/>
              </w:rPr>
              <w:t>36,63,79,86,91,97,106,112,113,118,128,130</w:t>
            </w:r>
          </w:p>
        </w:tc>
        <w:tc>
          <w:tcPr>
            <w:tcW w:w="903" w:type="dxa"/>
            <w:tcBorders>
              <w:left w:val="nil"/>
              <w:right w:val="nil"/>
            </w:tcBorders>
            <w:vAlign w:val="center"/>
          </w:tcPr>
          <w:p w14:paraId="6407FA62" w14:textId="77777777" w:rsidR="0073478D" w:rsidRPr="0028098E" w:rsidRDefault="0073478D" w:rsidP="0073478D">
            <w:pPr>
              <w:spacing w:after="0" w:line="240" w:lineRule="auto"/>
              <w:rPr>
                <w:rFonts w:cs="Times New Roman"/>
                <w:sz w:val="16"/>
                <w:szCs w:val="16"/>
              </w:rPr>
            </w:pPr>
            <w:r>
              <w:rPr>
                <w:rFonts w:cs="Times New Roman"/>
                <w:sz w:val="16"/>
                <w:szCs w:val="16"/>
              </w:rPr>
              <w:t>12</w:t>
            </w:r>
          </w:p>
        </w:tc>
        <w:tc>
          <w:tcPr>
            <w:tcW w:w="1493" w:type="dxa"/>
            <w:gridSpan w:val="2"/>
            <w:tcBorders>
              <w:left w:val="nil"/>
              <w:right w:val="nil"/>
            </w:tcBorders>
            <w:vAlign w:val="center"/>
          </w:tcPr>
          <w:p w14:paraId="211D743E" w14:textId="77777777" w:rsidR="0073478D" w:rsidRPr="0028098E" w:rsidRDefault="0073478D" w:rsidP="0073478D">
            <w:pPr>
              <w:spacing w:after="0" w:line="240" w:lineRule="auto"/>
              <w:rPr>
                <w:rFonts w:cs="Times New Roman"/>
                <w:sz w:val="16"/>
                <w:szCs w:val="16"/>
              </w:rPr>
            </w:pPr>
            <w:r>
              <w:rPr>
                <w:rFonts w:cs="Times New Roman"/>
                <w:sz w:val="16"/>
                <w:szCs w:val="16"/>
              </w:rPr>
              <w:t>92% (65 – 99%)</w:t>
            </w:r>
          </w:p>
        </w:tc>
        <w:tc>
          <w:tcPr>
            <w:tcW w:w="907" w:type="dxa"/>
            <w:gridSpan w:val="2"/>
            <w:tcBorders>
              <w:left w:val="nil"/>
              <w:right w:val="nil"/>
            </w:tcBorders>
            <w:vAlign w:val="center"/>
          </w:tcPr>
          <w:p w14:paraId="020144EB" w14:textId="77777777" w:rsidR="0073478D" w:rsidRPr="0028098E" w:rsidRDefault="0073478D" w:rsidP="0073478D">
            <w:pPr>
              <w:spacing w:after="0" w:line="240" w:lineRule="auto"/>
              <w:rPr>
                <w:rFonts w:cs="Times New Roman"/>
                <w:sz w:val="16"/>
                <w:szCs w:val="16"/>
              </w:rPr>
            </w:pPr>
            <w:r>
              <w:rPr>
                <w:rFonts w:cs="Times New Roman"/>
                <w:sz w:val="16"/>
                <w:szCs w:val="16"/>
              </w:rPr>
              <w:t>144</w:t>
            </w:r>
          </w:p>
        </w:tc>
        <w:tc>
          <w:tcPr>
            <w:tcW w:w="1480" w:type="dxa"/>
            <w:gridSpan w:val="3"/>
            <w:tcBorders>
              <w:left w:val="nil"/>
              <w:right w:val="nil"/>
            </w:tcBorders>
            <w:vAlign w:val="center"/>
          </w:tcPr>
          <w:p w14:paraId="05BDAF69" w14:textId="77777777" w:rsidR="0073478D" w:rsidRPr="0028098E" w:rsidRDefault="0073478D" w:rsidP="0073478D">
            <w:pPr>
              <w:spacing w:after="0" w:line="240" w:lineRule="auto"/>
              <w:rPr>
                <w:rFonts w:cs="Times New Roman"/>
                <w:sz w:val="16"/>
                <w:szCs w:val="16"/>
              </w:rPr>
            </w:pPr>
            <w:r>
              <w:rPr>
                <w:rFonts w:cs="Times New Roman"/>
                <w:sz w:val="16"/>
                <w:szCs w:val="16"/>
              </w:rPr>
              <w:t>14% (3 – 30%)</w:t>
            </w:r>
          </w:p>
        </w:tc>
        <w:tc>
          <w:tcPr>
            <w:tcW w:w="907" w:type="dxa"/>
            <w:gridSpan w:val="3"/>
            <w:tcBorders>
              <w:left w:val="nil"/>
              <w:right w:val="nil"/>
            </w:tcBorders>
            <w:vAlign w:val="center"/>
          </w:tcPr>
          <w:p w14:paraId="58FEFFED" w14:textId="77777777" w:rsidR="0073478D" w:rsidRPr="0028098E" w:rsidRDefault="0073478D" w:rsidP="0073478D">
            <w:pPr>
              <w:spacing w:after="0" w:line="240" w:lineRule="auto"/>
              <w:rPr>
                <w:rFonts w:cs="Times New Roman"/>
                <w:sz w:val="16"/>
                <w:szCs w:val="16"/>
              </w:rPr>
            </w:pPr>
            <w:r>
              <w:rPr>
                <w:rFonts w:cs="Times New Roman"/>
                <w:sz w:val="16"/>
                <w:szCs w:val="16"/>
              </w:rPr>
              <w:t>98</w:t>
            </w:r>
          </w:p>
        </w:tc>
        <w:tc>
          <w:tcPr>
            <w:tcW w:w="1451" w:type="dxa"/>
            <w:gridSpan w:val="2"/>
            <w:tcBorders>
              <w:left w:val="nil"/>
              <w:right w:val="nil"/>
            </w:tcBorders>
            <w:vAlign w:val="center"/>
          </w:tcPr>
          <w:p w14:paraId="49ACFB15" w14:textId="77777777" w:rsidR="0073478D" w:rsidRPr="0028098E" w:rsidRDefault="0073478D" w:rsidP="0073478D">
            <w:pPr>
              <w:spacing w:after="0" w:line="240" w:lineRule="auto"/>
              <w:rPr>
                <w:rFonts w:cs="Times New Roman"/>
                <w:sz w:val="16"/>
                <w:szCs w:val="16"/>
              </w:rPr>
            </w:pPr>
            <w:r>
              <w:rPr>
                <w:rFonts w:cs="Times New Roman"/>
                <w:sz w:val="16"/>
                <w:szCs w:val="16"/>
              </w:rPr>
              <w:t>58% (48 – 68%)</w:t>
            </w:r>
          </w:p>
        </w:tc>
        <w:tc>
          <w:tcPr>
            <w:tcW w:w="907" w:type="dxa"/>
            <w:gridSpan w:val="2"/>
            <w:tcBorders>
              <w:left w:val="nil"/>
              <w:right w:val="nil"/>
            </w:tcBorders>
            <w:vAlign w:val="center"/>
          </w:tcPr>
          <w:p w14:paraId="0C2936F0" w14:textId="77777777" w:rsidR="0073478D" w:rsidRPr="0028098E" w:rsidRDefault="0073478D" w:rsidP="0073478D">
            <w:pPr>
              <w:spacing w:after="0" w:line="240" w:lineRule="auto"/>
              <w:rPr>
                <w:rFonts w:cs="Times New Roman"/>
                <w:sz w:val="16"/>
                <w:szCs w:val="16"/>
              </w:rPr>
            </w:pPr>
            <w:r>
              <w:rPr>
                <w:rFonts w:cs="Times New Roman"/>
                <w:sz w:val="16"/>
                <w:szCs w:val="16"/>
              </w:rPr>
              <w:t>135</w:t>
            </w:r>
          </w:p>
        </w:tc>
        <w:tc>
          <w:tcPr>
            <w:tcW w:w="1418" w:type="dxa"/>
            <w:gridSpan w:val="2"/>
            <w:tcBorders>
              <w:left w:val="nil"/>
              <w:right w:val="nil"/>
            </w:tcBorders>
            <w:vAlign w:val="center"/>
          </w:tcPr>
          <w:p w14:paraId="242D54A7" w14:textId="77777777" w:rsidR="0073478D" w:rsidRPr="0028098E" w:rsidRDefault="0073478D" w:rsidP="0073478D">
            <w:pPr>
              <w:spacing w:after="0" w:line="240" w:lineRule="auto"/>
              <w:rPr>
                <w:rFonts w:cs="Times New Roman"/>
                <w:sz w:val="16"/>
                <w:szCs w:val="16"/>
              </w:rPr>
            </w:pPr>
            <w:r>
              <w:rPr>
                <w:rFonts w:cs="Times New Roman"/>
                <w:sz w:val="16"/>
                <w:szCs w:val="16"/>
              </w:rPr>
              <w:t>26% (1 – 66%)</w:t>
            </w:r>
          </w:p>
        </w:tc>
        <w:tc>
          <w:tcPr>
            <w:tcW w:w="907" w:type="dxa"/>
            <w:gridSpan w:val="2"/>
            <w:tcBorders>
              <w:left w:val="nil"/>
              <w:right w:val="nil"/>
            </w:tcBorders>
            <w:vAlign w:val="center"/>
          </w:tcPr>
          <w:p w14:paraId="7A155EBC" w14:textId="77777777" w:rsidR="0073478D" w:rsidRPr="0028098E" w:rsidRDefault="0073478D" w:rsidP="0073478D">
            <w:pPr>
              <w:spacing w:after="0" w:line="240" w:lineRule="auto"/>
              <w:rPr>
                <w:rFonts w:cs="Times New Roman"/>
                <w:sz w:val="16"/>
                <w:szCs w:val="16"/>
              </w:rPr>
            </w:pPr>
            <w:r>
              <w:rPr>
                <w:rFonts w:cs="Times New Roman"/>
                <w:sz w:val="16"/>
                <w:szCs w:val="16"/>
              </w:rPr>
              <w:t>389</w:t>
            </w:r>
          </w:p>
        </w:tc>
        <w:tc>
          <w:tcPr>
            <w:tcW w:w="1430" w:type="dxa"/>
            <w:tcBorders>
              <w:left w:val="nil"/>
              <w:right w:val="nil"/>
            </w:tcBorders>
            <w:vAlign w:val="center"/>
          </w:tcPr>
          <w:p w14:paraId="20E04ADC" w14:textId="77777777" w:rsidR="0073478D" w:rsidRPr="0028098E" w:rsidRDefault="0073478D" w:rsidP="0073478D">
            <w:pPr>
              <w:spacing w:after="0" w:line="240" w:lineRule="auto"/>
              <w:rPr>
                <w:rFonts w:cs="Times New Roman"/>
                <w:sz w:val="16"/>
                <w:szCs w:val="16"/>
              </w:rPr>
            </w:pPr>
            <w:r>
              <w:rPr>
                <w:rFonts w:cs="Times New Roman"/>
                <w:sz w:val="16"/>
                <w:szCs w:val="16"/>
              </w:rPr>
              <w:t>30% (12 – 53%)</w:t>
            </w:r>
          </w:p>
        </w:tc>
      </w:tr>
      <w:tr w:rsidR="0073478D" w:rsidRPr="0028098E" w14:paraId="0A89F9CF" w14:textId="77777777" w:rsidTr="0000512F">
        <w:trPr>
          <w:trHeight w:val="227"/>
          <w:jc w:val="center"/>
        </w:trPr>
        <w:tc>
          <w:tcPr>
            <w:tcW w:w="3479" w:type="dxa"/>
            <w:tcBorders>
              <w:left w:val="nil"/>
              <w:right w:val="nil"/>
            </w:tcBorders>
            <w:vAlign w:val="center"/>
          </w:tcPr>
          <w:p w14:paraId="4AD7DD75" w14:textId="447682AA" w:rsidR="0073478D" w:rsidRPr="0028098E" w:rsidRDefault="0073478D" w:rsidP="0073478D">
            <w:pPr>
              <w:spacing w:after="0" w:line="240" w:lineRule="auto"/>
              <w:rPr>
                <w:rFonts w:cs="Times New Roman"/>
                <w:sz w:val="16"/>
                <w:szCs w:val="16"/>
              </w:rPr>
            </w:pPr>
            <w:r w:rsidRPr="0028098E">
              <w:rPr>
                <w:rFonts w:cs="Times New Roman"/>
                <w:sz w:val="16"/>
                <w:szCs w:val="16"/>
              </w:rPr>
              <w:t>Amikacin</w:t>
            </w:r>
            <w:r w:rsidR="002220C3" w:rsidRPr="002220C3">
              <w:rPr>
                <w:rFonts w:cs="Times New Roman"/>
                <w:noProof/>
                <w:sz w:val="16"/>
                <w:szCs w:val="16"/>
                <w:vertAlign w:val="superscript"/>
              </w:rPr>
              <w:t>63,108,113,123,128,131,132</w:t>
            </w:r>
          </w:p>
        </w:tc>
        <w:tc>
          <w:tcPr>
            <w:tcW w:w="903" w:type="dxa"/>
            <w:tcBorders>
              <w:left w:val="nil"/>
              <w:right w:val="nil"/>
            </w:tcBorders>
            <w:vAlign w:val="center"/>
          </w:tcPr>
          <w:p w14:paraId="5657A63F" w14:textId="77777777" w:rsidR="0073478D" w:rsidRDefault="0073478D" w:rsidP="0073478D">
            <w:pPr>
              <w:spacing w:after="0" w:line="240" w:lineRule="auto"/>
              <w:rPr>
                <w:rFonts w:cs="Times New Roman"/>
                <w:sz w:val="16"/>
                <w:szCs w:val="16"/>
              </w:rPr>
            </w:pPr>
            <w:r>
              <w:rPr>
                <w:rFonts w:cs="Times New Roman"/>
                <w:sz w:val="16"/>
                <w:szCs w:val="16"/>
              </w:rPr>
              <w:t>16</w:t>
            </w:r>
          </w:p>
        </w:tc>
        <w:tc>
          <w:tcPr>
            <w:tcW w:w="1493" w:type="dxa"/>
            <w:gridSpan w:val="2"/>
            <w:tcBorders>
              <w:left w:val="nil"/>
              <w:right w:val="nil"/>
            </w:tcBorders>
            <w:vAlign w:val="center"/>
          </w:tcPr>
          <w:p w14:paraId="7B91A96E" w14:textId="77777777" w:rsidR="0073478D" w:rsidRDefault="0073478D" w:rsidP="0073478D">
            <w:pPr>
              <w:spacing w:after="0" w:line="240" w:lineRule="auto"/>
              <w:rPr>
                <w:rFonts w:cs="Times New Roman"/>
                <w:sz w:val="16"/>
                <w:szCs w:val="16"/>
              </w:rPr>
            </w:pPr>
            <w:r>
              <w:rPr>
                <w:rFonts w:cs="Times New Roman"/>
                <w:sz w:val="16"/>
                <w:szCs w:val="16"/>
              </w:rPr>
              <w:t>19% (7 – 43%)</w:t>
            </w:r>
          </w:p>
        </w:tc>
        <w:tc>
          <w:tcPr>
            <w:tcW w:w="907" w:type="dxa"/>
            <w:gridSpan w:val="2"/>
            <w:tcBorders>
              <w:left w:val="nil"/>
              <w:right w:val="nil"/>
            </w:tcBorders>
            <w:vAlign w:val="center"/>
          </w:tcPr>
          <w:p w14:paraId="1E1DEC68" w14:textId="77777777" w:rsidR="0073478D" w:rsidRDefault="0073478D" w:rsidP="0073478D">
            <w:pPr>
              <w:spacing w:after="0" w:line="240" w:lineRule="auto"/>
              <w:rPr>
                <w:rFonts w:cs="Times New Roman"/>
                <w:sz w:val="16"/>
                <w:szCs w:val="16"/>
              </w:rPr>
            </w:pPr>
            <w:r>
              <w:rPr>
                <w:rFonts w:cs="Times New Roman"/>
                <w:sz w:val="16"/>
                <w:szCs w:val="16"/>
              </w:rPr>
              <w:t>47</w:t>
            </w:r>
          </w:p>
        </w:tc>
        <w:tc>
          <w:tcPr>
            <w:tcW w:w="1480" w:type="dxa"/>
            <w:gridSpan w:val="3"/>
            <w:tcBorders>
              <w:left w:val="nil"/>
              <w:right w:val="nil"/>
            </w:tcBorders>
            <w:vAlign w:val="center"/>
          </w:tcPr>
          <w:p w14:paraId="7D03069A" w14:textId="77777777" w:rsidR="0073478D" w:rsidRDefault="0073478D" w:rsidP="0073478D">
            <w:pPr>
              <w:spacing w:after="0" w:line="240" w:lineRule="auto"/>
              <w:rPr>
                <w:rFonts w:cs="Times New Roman"/>
                <w:sz w:val="16"/>
                <w:szCs w:val="16"/>
              </w:rPr>
            </w:pPr>
            <w:r>
              <w:rPr>
                <w:rFonts w:cs="Times New Roman"/>
                <w:sz w:val="16"/>
                <w:szCs w:val="16"/>
              </w:rPr>
              <w:t>5% (0 – 15%)</w:t>
            </w:r>
          </w:p>
        </w:tc>
        <w:tc>
          <w:tcPr>
            <w:tcW w:w="907" w:type="dxa"/>
            <w:gridSpan w:val="3"/>
            <w:tcBorders>
              <w:left w:val="nil"/>
              <w:right w:val="nil"/>
            </w:tcBorders>
            <w:vAlign w:val="center"/>
          </w:tcPr>
          <w:p w14:paraId="78214451" w14:textId="77777777" w:rsidR="0073478D" w:rsidRDefault="0073478D" w:rsidP="0073478D">
            <w:pPr>
              <w:spacing w:after="0" w:line="240" w:lineRule="auto"/>
              <w:rPr>
                <w:rFonts w:cs="Times New Roman"/>
                <w:sz w:val="16"/>
                <w:szCs w:val="16"/>
              </w:rPr>
            </w:pPr>
            <w:r>
              <w:rPr>
                <w:rFonts w:cs="Times New Roman"/>
                <w:sz w:val="16"/>
                <w:szCs w:val="16"/>
              </w:rPr>
              <w:t>110</w:t>
            </w:r>
          </w:p>
        </w:tc>
        <w:tc>
          <w:tcPr>
            <w:tcW w:w="1451" w:type="dxa"/>
            <w:gridSpan w:val="2"/>
            <w:tcBorders>
              <w:left w:val="nil"/>
              <w:right w:val="nil"/>
            </w:tcBorders>
            <w:vAlign w:val="center"/>
          </w:tcPr>
          <w:p w14:paraId="2F46D9BA" w14:textId="77777777" w:rsidR="0073478D" w:rsidRDefault="0073478D" w:rsidP="0073478D">
            <w:pPr>
              <w:spacing w:after="0" w:line="240" w:lineRule="auto"/>
              <w:rPr>
                <w:rFonts w:cs="Times New Roman"/>
                <w:sz w:val="16"/>
                <w:szCs w:val="16"/>
              </w:rPr>
            </w:pPr>
            <w:r>
              <w:rPr>
                <w:rFonts w:cs="Times New Roman"/>
                <w:sz w:val="16"/>
                <w:szCs w:val="16"/>
              </w:rPr>
              <w:t>21% (8 – 38%)</w:t>
            </w:r>
          </w:p>
        </w:tc>
        <w:tc>
          <w:tcPr>
            <w:tcW w:w="907" w:type="dxa"/>
            <w:gridSpan w:val="2"/>
            <w:tcBorders>
              <w:left w:val="nil"/>
              <w:right w:val="nil"/>
            </w:tcBorders>
            <w:vAlign w:val="center"/>
          </w:tcPr>
          <w:p w14:paraId="4C1B899D" w14:textId="77777777" w:rsidR="0073478D" w:rsidRDefault="0073478D" w:rsidP="0073478D">
            <w:pPr>
              <w:spacing w:after="0" w:line="240" w:lineRule="auto"/>
              <w:rPr>
                <w:rFonts w:cs="Times New Roman"/>
                <w:sz w:val="16"/>
                <w:szCs w:val="16"/>
              </w:rPr>
            </w:pPr>
            <w:r>
              <w:rPr>
                <w:rFonts w:cs="Times New Roman"/>
                <w:sz w:val="16"/>
                <w:szCs w:val="16"/>
              </w:rPr>
              <w:t>ND</w:t>
            </w:r>
          </w:p>
        </w:tc>
        <w:tc>
          <w:tcPr>
            <w:tcW w:w="1418" w:type="dxa"/>
            <w:gridSpan w:val="2"/>
            <w:tcBorders>
              <w:left w:val="nil"/>
              <w:right w:val="nil"/>
            </w:tcBorders>
            <w:vAlign w:val="center"/>
          </w:tcPr>
          <w:p w14:paraId="577B2C18" w14:textId="77777777" w:rsidR="0073478D" w:rsidRDefault="0073478D" w:rsidP="0073478D">
            <w:pPr>
              <w:spacing w:after="0" w:line="240" w:lineRule="auto"/>
              <w:rPr>
                <w:rFonts w:cs="Times New Roman"/>
                <w:sz w:val="16"/>
                <w:szCs w:val="16"/>
              </w:rPr>
            </w:pPr>
          </w:p>
        </w:tc>
        <w:tc>
          <w:tcPr>
            <w:tcW w:w="907" w:type="dxa"/>
            <w:gridSpan w:val="2"/>
            <w:tcBorders>
              <w:left w:val="nil"/>
              <w:right w:val="nil"/>
            </w:tcBorders>
            <w:vAlign w:val="center"/>
          </w:tcPr>
          <w:p w14:paraId="2B576950" w14:textId="77777777" w:rsidR="0073478D" w:rsidRDefault="0073478D" w:rsidP="0073478D">
            <w:pPr>
              <w:spacing w:after="0" w:line="240" w:lineRule="auto"/>
              <w:rPr>
                <w:rFonts w:cs="Times New Roman"/>
                <w:sz w:val="16"/>
                <w:szCs w:val="16"/>
              </w:rPr>
            </w:pPr>
            <w:r>
              <w:rPr>
                <w:rFonts w:cs="Times New Roman"/>
                <w:sz w:val="16"/>
                <w:szCs w:val="16"/>
              </w:rPr>
              <w:t>173</w:t>
            </w:r>
          </w:p>
        </w:tc>
        <w:tc>
          <w:tcPr>
            <w:tcW w:w="1430" w:type="dxa"/>
            <w:tcBorders>
              <w:left w:val="nil"/>
              <w:right w:val="nil"/>
            </w:tcBorders>
            <w:vAlign w:val="center"/>
          </w:tcPr>
          <w:p w14:paraId="536FFEAC" w14:textId="77777777" w:rsidR="0073478D" w:rsidRDefault="0073478D" w:rsidP="0073478D">
            <w:pPr>
              <w:spacing w:after="0" w:line="240" w:lineRule="auto"/>
              <w:rPr>
                <w:rFonts w:cs="Times New Roman"/>
                <w:sz w:val="16"/>
                <w:szCs w:val="16"/>
              </w:rPr>
            </w:pPr>
            <w:r>
              <w:rPr>
                <w:rFonts w:cs="Times New Roman"/>
                <w:sz w:val="16"/>
                <w:szCs w:val="16"/>
              </w:rPr>
              <w:t>14% (7 – 23%)</w:t>
            </w:r>
          </w:p>
        </w:tc>
      </w:tr>
      <w:tr w:rsidR="0073478D" w:rsidRPr="0028098E" w14:paraId="5C14BDDA" w14:textId="77777777" w:rsidTr="0000512F">
        <w:trPr>
          <w:trHeight w:val="227"/>
          <w:jc w:val="center"/>
        </w:trPr>
        <w:tc>
          <w:tcPr>
            <w:tcW w:w="3479" w:type="dxa"/>
            <w:tcBorders>
              <w:left w:val="nil"/>
              <w:right w:val="nil"/>
            </w:tcBorders>
            <w:vAlign w:val="center"/>
          </w:tcPr>
          <w:p w14:paraId="6A412E32" w14:textId="70DBB85E" w:rsidR="0073478D" w:rsidRPr="0028098E" w:rsidRDefault="0073478D" w:rsidP="0073478D">
            <w:pPr>
              <w:spacing w:after="0" w:line="240" w:lineRule="auto"/>
              <w:rPr>
                <w:rFonts w:cs="Times New Roman"/>
                <w:sz w:val="16"/>
                <w:szCs w:val="16"/>
              </w:rPr>
            </w:pPr>
            <w:r>
              <w:rPr>
                <w:rFonts w:cs="Times New Roman"/>
                <w:sz w:val="16"/>
                <w:szCs w:val="16"/>
              </w:rPr>
              <w:t>Carbapenem†</w:t>
            </w:r>
            <w:r w:rsidR="002220C3" w:rsidRPr="002220C3">
              <w:rPr>
                <w:rFonts w:cs="Times New Roman"/>
                <w:noProof/>
                <w:sz w:val="16"/>
                <w:szCs w:val="16"/>
                <w:vertAlign w:val="superscript"/>
              </w:rPr>
              <w:t>63,86,88,91,106,108,123,132</w:t>
            </w:r>
          </w:p>
        </w:tc>
        <w:tc>
          <w:tcPr>
            <w:tcW w:w="903" w:type="dxa"/>
            <w:tcBorders>
              <w:left w:val="nil"/>
              <w:right w:val="nil"/>
            </w:tcBorders>
            <w:vAlign w:val="center"/>
          </w:tcPr>
          <w:p w14:paraId="6196369D" w14:textId="77777777" w:rsidR="0073478D" w:rsidRPr="0028098E" w:rsidRDefault="0073478D" w:rsidP="0073478D">
            <w:pPr>
              <w:spacing w:after="0" w:line="240" w:lineRule="auto"/>
              <w:rPr>
                <w:rFonts w:cs="Times New Roman"/>
                <w:sz w:val="16"/>
                <w:szCs w:val="16"/>
              </w:rPr>
            </w:pPr>
            <w:r>
              <w:rPr>
                <w:rFonts w:cs="Times New Roman"/>
                <w:sz w:val="16"/>
                <w:szCs w:val="16"/>
              </w:rPr>
              <w:t>28</w:t>
            </w:r>
          </w:p>
        </w:tc>
        <w:tc>
          <w:tcPr>
            <w:tcW w:w="1493" w:type="dxa"/>
            <w:gridSpan w:val="2"/>
            <w:tcBorders>
              <w:left w:val="nil"/>
              <w:right w:val="nil"/>
            </w:tcBorders>
            <w:vAlign w:val="center"/>
          </w:tcPr>
          <w:p w14:paraId="5ABA07F0" w14:textId="77777777" w:rsidR="0073478D" w:rsidRPr="0028098E" w:rsidRDefault="0073478D" w:rsidP="0073478D">
            <w:pPr>
              <w:spacing w:after="0" w:line="240" w:lineRule="auto"/>
              <w:rPr>
                <w:rFonts w:cs="Times New Roman"/>
                <w:sz w:val="16"/>
                <w:szCs w:val="16"/>
              </w:rPr>
            </w:pPr>
            <w:r>
              <w:rPr>
                <w:rFonts w:cs="Times New Roman"/>
                <w:sz w:val="16"/>
                <w:szCs w:val="16"/>
              </w:rPr>
              <w:t>11% (1 – 26%)</w:t>
            </w:r>
          </w:p>
        </w:tc>
        <w:tc>
          <w:tcPr>
            <w:tcW w:w="907" w:type="dxa"/>
            <w:gridSpan w:val="2"/>
            <w:tcBorders>
              <w:left w:val="nil"/>
              <w:right w:val="nil"/>
            </w:tcBorders>
            <w:vAlign w:val="center"/>
          </w:tcPr>
          <w:p w14:paraId="2DCF7966" w14:textId="77777777" w:rsidR="0073478D" w:rsidRPr="0028098E" w:rsidRDefault="0073478D" w:rsidP="0073478D">
            <w:pPr>
              <w:spacing w:after="0" w:line="240" w:lineRule="auto"/>
              <w:rPr>
                <w:rFonts w:cs="Times New Roman"/>
                <w:sz w:val="16"/>
                <w:szCs w:val="16"/>
              </w:rPr>
            </w:pPr>
            <w:r>
              <w:rPr>
                <w:rFonts w:cs="Times New Roman"/>
                <w:sz w:val="16"/>
                <w:szCs w:val="16"/>
              </w:rPr>
              <w:t>56</w:t>
            </w:r>
          </w:p>
        </w:tc>
        <w:tc>
          <w:tcPr>
            <w:tcW w:w="1480" w:type="dxa"/>
            <w:gridSpan w:val="3"/>
            <w:tcBorders>
              <w:left w:val="nil"/>
              <w:right w:val="nil"/>
            </w:tcBorders>
            <w:vAlign w:val="center"/>
          </w:tcPr>
          <w:p w14:paraId="0B711786" w14:textId="77777777" w:rsidR="0073478D" w:rsidRPr="0028098E" w:rsidRDefault="0073478D" w:rsidP="0073478D">
            <w:pPr>
              <w:spacing w:after="0" w:line="240" w:lineRule="auto"/>
              <w:rPr>
                <w:rFonts w:cs="Times New Roman"/>
                <w:sz w:val="16"/>
                <w:szCs w:val="16"/>
              </w:rPr>
            </w:pPr>
            <w:r>
              <w:rPr>
                <w:rFonts w:cs="Times New Roman"/>
                <w:sz w:val="16"/>
                <w:szCs w:val="16"/>
              </w:rPr>
              <w:t>0 (0 – 6%)</w:t>
            </w:r>
          </w:p>
        </w:tc>
        <w:tc>
          <w:tcPr>
            <w:tcW w:w="907" w:type="dxa"/>
            <w:gridSpan w:val="3"/>
            <w:tcBorders>
              <w:left w:val="nil"/>
              <w:right w:val="nil"/>
            </w:tcBorders>
            <w:vAlign w:val="center"/>
          </w:tcPr>
          <w:p w14:paraId="0CA01E83" w14:textId="77777777" w:rsidR="0073478D" w:rsidRPr="0028098E" w:rsidRDefault="0073478D" w:rsidP="0073478D">
            <w:pPr>
              <w:spacing w:after="0" w:line="240" w:lineRule="auto"/>
              <w:rPr>
                <w:rFonts w:cs="Times New Roman"/>
                <w:sz w:val="16"/>
                <w:szCs w:val="16"/>
              </w:rPr>
            </w:pPr>
            <w:r>
              <w:rPr>
                <w:rFonts w:cs="Times New Roman"/>
                <w:sz w:val="16"/>
                <w:szCs w:val="16"/>
              </w:rPr>
              <w:t>154</w:t>
            </w:r>
          </w:p>
        </w:tc>
        <w:tc>
          <w:tcPr>
            <w:tcW w:w="1451" w:type="dxa"/>
            <w:gridSpan w:val="2"/>
            <w:tcBorders>
              <w:left w:val="nil"/>
              <w:right w:val="nil"/>
            </w:tcBorders>
            <w:vAlign w:val="center"/>
          </w:tcPr>
          <w:p w14:paraId="75BF4F38" w14:textId="77777777" w:rsidR="0073478D" w:rsidRPr="0028098E" w:rsidRDefault="0073478D" w:rsidP="0073478D">
            <w:pPr>
              <w:spacing w:after="0" w:line="240" w:lineRule="auto"/>
              <w:rPr>
                <w:rFonts w:cs="Times New Roman"/>
                <w:sz w:val="16"/>
                <w:szCs w:val="16"/>
              </w:rPr>
            </w:pPr>
            <w:r>
              <w:rPr>
                <w:rFonts w:cs="Times New Roman"/>
                <w:sz w:val="16"/>
                <w:szCs w:val="16"/>
              </w:rPr>
              <w:t>3% (0 – 11%)</w:t>
            </w:r>
          </w:p>
        </w:tc>
        <w:tc>
          <w:tcPr>
            <w:tcW w:w="907" w:type="dxa"/>
            <w:gridSpan w:val="2"/>
            <w:tcBorders>
              <w:left w:val="nil"/>
              <w:right w:val="nil"/>
            </w:tcBorders>
            <w:vAlign w:val="center"/>
          </w:tcPr>
          <w:p w14:paraId="474F0A0F" w14:textId="77777777" w:rsidR="0073478D" w:rsidRPr="0028098E" w:rsidRDefault="0073478D" w:rsidP="0073478D">
            <w:pPr>
              <w:spacing w:after="0" w:line="240" w:lineRule="auto"/>
              <w:rPr>
                <w:rFonts w:cs="Times New Roman"/>
                <w:sz w:val="16"/>
                <w:szCs w:val="16"/>
              </w:rPr>
            </w:pPr>
            <w:r>
              <w:rPr>
                <w:rFonts w:cs="Times New Roman"/>
                <w:sz w:val="16"/>
                <w:szCs w:val="16"/>
              </w:rPr>
              <w:t>24</w:t>
            </w:r>
          </w:p>
        </w:tc>
        <w:tc>
          <w:tcPr>
            <w:tcW w:w="1418" w:type="dxa"/>
            <w:gridSpan w:val="2"/>
            <w:tcBorders>
              <w:left w:val="nil"/>
              <w:right w:val="nil"/>
            </w:tcBorders>
            <w:vAlign w:val="center"/>
          </w:tcPr>
          <w:p w14:paraId="3E41BEE3" w14:textId="77777777" w:rsidR="0073478D" w:rsidRPr="0028098E" w:rsidRDefault="0073478D" w:rsidP="0073478D">
            <w:pPr>
              <w:spacing w:after="0" w:line="240" w:lineRule="auto"/>
              <w:rPr>
                <w:rFonts w:cs="Times New Roman"/>
                <w:sz w:val="16"/>
                <w:szCs w:val="16"/>
              </w:rPr>
            </w:pPr>
            <w:r>
              <w:rPr>
                <w:rFonts w:cs="Times New Roman"/>
                <w:sz w:val="16"/>
                <w:szCs w:val="16"/>
              </w:rPr>
              <w:t>17% (1 – 10%)</w:t>
            </w:r>
          </w:p>
        </w:tc>
        <w:tc>
          <w:tcPr>
            <w:tcW w:w="907" w:type="dxa"/>
            <w:gridSpan w:val="2"/>
            <w:tcBorders>
              <w:left w:val="nil"/>
              <w:right w:val="nil"/>
            </w:tcBorders>
            <w:vAlign w:val="center"/>
          </w:tcPr>
          <w:p w14:paraId="7B44D158" w14:textId="77777777" w:rsidR="0073478D" w:rsidRPr="0028098E" w:rsidRDefault="0073478D" w:rsidP="0073478D">
            <w:pPr>
              <w:spacing w:after="0" w:line="240" w:lineRule="auto"/>
              <w:rPr>
                <w:rFonts w:cs="Times New Roman"/>
                <w:sz w:val="16"/>
                <w:szCs w:val="16"/>
              </w:rPr>
            </w:pPr>
            <w:r>
              <w:rPr>
                <w:rFonts w:cs="Times New Roman"/>
                <w:sz w:val="16"/>
                <w:szCs w:val="16"/>
              </w:rPr>
              <w:t>238</w:t>
            </w:r>
          </w:p>
        </w:tc>
        <w:tc>
          <w:tcPr>
            <w:tcW w:w="1430" w:type="dxa"/>
            <w:tcBorders>
              <w:left w:val="nil"/>
              <w:right w:val="nil"/>
            </w:tcBorders>
            <w:vAlign w:val="center"/>
          </w:tcPr>
          <w:p w14:paraId="1A2016BB" w14:textId="77777777" w:rsidR="0073478D" w:rsidRPr="0028098E" w:rsidRDefault="0073478D" w:rsidP="0073478D">
            <w:pPr>
              <w:spacing w:after="0" w:line="240" w:lineRule="auto"/>
              <w:rPr>
                <w:rFonts w:cs="Times New Roman"/>
                <w:sz w:val="16"/>
                <w:szCs w:val="16"/>
              </w:rPr>
            </w:pPr>
            <w:r>
              <w:rPr>
                <w:rFonts w:cs="Times New Roman"/>
                <w:sz w:val="16"/>
                <w:szCs w:val="16"/>
              </w:rPr>
              <w:t>4% (1 – 10%)</w:t>
            </w:r>
          </w:p>
        </w:tc>
      </w:tr>
      <w:tr w:rsidR="0073478D" w:rsidRPr="0028098E" w14:paraId="7231E5C1" w14:textId="77777777" w:rsidTr="0000512F">
        <w:trPr>
          <w:trHeight w:val="227"/>
          <w:jc w:val="center"/>
        </w:trPr>
        <w:tc>
          <w:tcPr>
            <w:tcW w:w="3479" w:type="dxa"/>
            <w:tcBorders>
              <w:left w:val="nil"/>
              <w:right w:val="nil"/>
            </w:tcBorders>
            <w:vAlign w:val="center"/>
          </w:tcPr>
          <w:p w14:paraId="22C43DB2" w14:textId="36BFC55B" w:rsidR="0073478D" w:rsidRPr="0028098E" w:rsidRDefault="0073478D" w:rsidP="0073478D">
            <w:pPr>
              <w:spacing w:after="0" w:line="240" w:lineRule="auto"/>
              <w:rPr>
                <w:rFonts w:cs="Times New Roman"/>
                <w:sz w:val="16"/>
                <w:szCs w:val="16"/>
              </w:rPr>
            </w:pPr>
            <w:r w:rsidRPr="0028098E">
              <w:rPr>
                <w:rFonts w:cs="Times New Roman"/>
                <w:sz w:val="16"/>
                <w:szCs w:val="16"/>
              </w:rPr>
              <w:t>Piperacillin tazobactam</w:t>
            </w:r>
            <w:r w:rsidR="002220C3" w:rsidRPr="002220C3">
              <w:rPr>
                <w:rFonts w:cs="Times New Roman"/>
                <w:noProof/>
                <w:sz w:val="16"/>
                <w:szCs w:val="16"/>
                <w:vertAlign w:val="superscript"/>
              </w:rPr>
              <w:t>63,108,123,128,132</w:t>
            </w:r>
          </w:p>
        </w:tc>
        <w:tc>
          <w:tcPr>
            <w:tcW w:w="903" w:type="dxa"/>
            <w:tcBorders>
              <w:left w:val="nil"/>
              <w:right w:val="nil"/>
            </w:tcBorders>
            <w:vAlign w:val="center"/>
          </w:tcPr>
          <w:p w14:paraId="5D7FA5E9" w14:textId="77777777" w:rsidR="0073478D" w:rsidRPr="0028098E" w:rsidRDefault="0073478D" w:rsidP="0073478D">
            <w:pPr>
              <w:spacing w:after="0" w:line="240" w:lineRule="auto"/>
              <w:rPr>
                <w:rFonts w:cs="Times New Roman"/>
                <w:sz w:val="16"/>
                <w:szCs w:val="16"/>
              </w:rPr>
            </w:pPr>
            <w:r>
              <w:rPr>
                <w:rFonts w:cs="Times New Roman"/>
                <w:sz w:val="16"/>
                <w:szCs w:val="16"/>
              </w:rPr>
              <w:t>16</w:t>
            </w:r>
          </w:p>
        </w:tc>
        <w:tc>
          <w:tcPr>
            <w:tcW w:w="1493" w:type="dxa"/>
            <w:gridSpan w:val="2"/>
            <w:tcBorders>
              <w:left w:val="nil"/>
              <w:right w:val="nil"/>
            </w:tcBorders>
            <w:vAlign w:val="center"/>
          </w:tcPr>
          <w:p w14:paraId="050CCA18" w14:textId="77777777" w:rsidR="0073478D" w:rsidRPr="0028098E" w:rsidRDefault="0073478D" w:rsidP="0073478D">
            <w:pPr>
              <w:spacing w:after="0" w:line="240" w:lineRule="auto"/>
              <w:rPr>
                <w:rFonts w:cs="Times New Roman"/>
                <w:sz w:val="16"/>
                <w:szCs w:val="16"/>
              </w:rPr>
            </w:pPr>
            <w:r>
              <w:rPr>
                <w:rFonts w:cs="Times New Roman"/>
                <w:sz w:val="16"/>
                <w:szCs w:val="16"/>
              </w:rPr>
              <w:t>44% (23 – 67%)</w:t>
            </w:r>
          </w:p>
        </w:tc>
        <w:tc>
          <w:tcPr>
            <w:tcW w:w="907" w:type="dxa"/>
            <w:gridSpan w:val="2"/>
            <w:tcBorders>
              <w:left w:val="nil"/>
              <w:right w:val="nil"/>
            </w:tcBorders>
            <w:vAlign w:val="center"/>
          </w:tcPr>
          <w:p w14:paraId="56B1A427" w14:textId="77777777" w:rsidR="0073478D" w:rsidRPr="0028098E" w:rsidRDefault="0073478D" w:rsidP="0073478D">
            <w:pPr>
              <w:spacing w:after="0" w:line="240" w:lineRule="auto"/>
              <w:rPr>
                <w:rFonts w:cs="Times New Roman"/>
                <w:sz w:val="16"/>
                <w:szCs w:val="16"/>
              </w:rPr>
            </w:pPr>
            <w:r>
              <w:rPr>
                <w:rFonts w:cs="Times New Roman"/>
                <w:sz w:val="16"/>
                <w:szCs w:val="16"/>
              </w:rPr>
              <w:t>5</w:t>
            </w:r>
          </w:p>
        </w:tc>
        <w:tc>
          <w:tcPr>
            <w:tcW w:w="1480" w:type="dxa"/>
            <w:gridSpan w:val="3"/>
            <w:tcBorders>
              <w:left w:val="nil"/>
              <w:right w:val="nil"/>
            </w:tcBorders>
            <w:vAlign w:val="center"/>
          </w:tcPr>
          <w:p w14:paraId="77F3572A" w14:textId="77777777" w:rsidR="0073478D" w:rsidRPr="0028098E" w:rsidRDefault="0073478D" w:rsidP="0073478D">
            <w:pPr>
              <w:spacing w:after="0" w:line="240" w:lineRule="auto"/>
              <w:rPr>
                <w:rFonts w:cs="Times New Roman"/>
                <w:sz w:val="16"/>
                <w:szCs w:val="16"/>
              </w:rPr>
            </w:pPr>
            <w:r>
              <w:rPr>
                <w:rFonts w:cs="Times New Roman"/>
                <w:sz w:val="16"/>
                <w:szCs w:val="16"/>
              </w:rPr>
              <w:t>0 (0 – 43%)</w:t>
            </w:r>
          </w:p>
        </w:tc>
        <w:tc>
          <w:tcPr>
            <w:tcW w:w="907" w:type="dxa"/>
            <w:gridSpan w:val="3"/>
            <w:tcBorders>
              <w:left w:val="nil"/>
              <w:right w:val="nil"/>
            </w:tcBorders>
            <w:vAlign w:val="center"/>
          </w:tcPr>
          <w:p w14:paraId="4D63CEC8" w14:textId="77777777" w:rsidR="0073478D" w:rsidRPr="0028098E" w:rsidRDefault="0073478D" w:rsidP="0073478D">
            <w:pPr>
              <w:spacing w:after="0" w:line="240" w:lineRule="auto"/>
              <w:rPr>
                <w:rFonts w:cs="Times New Roman"/>
                <w:sz w:val="16"/>
                <w:szCs w:val="16"/>
              </w:rPr>
            </w:pPr>
            <w:r>
              <w:rPr>
                <w:rFonts w:cs="Times New Roman"/>
                <w:sz w:val="16"/>
                <w:szCs w:val="16"/>
              </w:rPr>
              <w:t>103</w:t>
            </w:r>
          </w:p>
        </w:tc>
        <w:tc>
          <w:tcPr>
            <w:tcW w:w="1451" w:type="dxa"/>
            <w:gridSpan w:val="2"/>
            <w:tcBorders>
              <w:left w:val="nil"/>
              <w:right w:val="nil"/>
            </w:tcBorders>
            <w:vAlign w:val="center"/>
          </w:tcPr>
          <w:p w14:paraId="0900B77C" w14:textId="77777777" w:rsidR="0073478D" w:rsidRPr="0028098E" w:rsidRDefault="0073478D" w:rsidP="0073478D">
            <w:pPr>
              <w:spacing w:after="0" w:line="240" w:lineRule="auto"/>
              <w:rPr>
                <w:rFonts w:cs="Times New Roman"/>
                <w:sz w:val="16"/>
                <w:szCs w:val="16"/>
              </w:rPr>
            </w:pPr>
            <w:r>
              <w:rPr>
                <w:rFonts w:cs="Times New Roman"/>
                <w:sz w:val="16"/>
                <w:szCs w:val="16"/>
              </w:rPr>
              <w:t>44% (22 – 67%)</w:t>
            </w:r>
          </w:p>
        </w:tc>
        <w:tc>
          <w:tcPr>
            <w:tcW w:w="907" w:type="dxa"/>
            <w:gridSpan w:val="2"/>
            <w:tcBorders>
              <w:left w:val="nil"/>
              <w:right w:val="nil"/>
            </w:tcBorders>
            <w:vAlign w:val="center"/>
          </w:tcPr>
          <w:p w14:paraId="7B8BC7F1" w14:textId="77777777" w:rsidR="0073478D" w:rsidRPr="0028098E" w:rsidRDefault="0073478D" w:rsidP="0073478D">
            <w:pPr>
              <w:spacing w:after="0" w:line="240" w:lineRule="auto"/>
              <w:rPr>
                <w:rFonts w:cs="Times New Roman"/>
                <w:sz w:val="16"/>
                <w:szCs w:val="16"/>
              </w:rPr>
            </w:pPr>
            <w:r>
              <w:rPr>
                <w:rFonts w:cs="Times New Roman"/>
                <w:sz w:val="16"/>
                <w:szCs w:val="16"/>
              </w:rPr>
              <w:t>ND</w:t>
            </w:r>
          </w:p>
        </w:tc>
        <w:tc>
          <w:tcPr>
            <w:tcW w:w="1418" w:type="dxa"/>
            <w:gridSpan w:val="2"/>
            <w:tcBorders>
              <w:left w:val="nil"/>
              <w:right w:val="nil"/>
            </w:tcBorders>
            <w:vAlign w:val="center"/>
          </w:tcPr>
          <w:p w14:paraId="3C8255B9" w14:textId="77777777" w:rsidR="0073478D" w:rsidRPr="0028098E" w:rsidRDefault="0073478D" w:rsidP="0073478D">
            <w:pPr>
              <w:spacing w:after="0" w:line="240" w:lineRule="auto"/>
              <w:rPr>
                <w:rFonts w:cs="Times New Roman"/>
                <w:sz w:val="16"/>
                <w:szCs w:val="16"/>
              </w:rPr>
            </w:pPr>
          </w:p>
        </w:tc>
        <w:tc>
          <w:tcPr>
            <w:tcW w:w="907" w:type="dxa"/>
            <w:gridSpan w:val="2"/>
            <w:tcBorders>
              <w:left w:val="nil"/>
              <w:right w:val="nil"/>
            </w:tcBorders>
            <w:vAlign w:val="center"/>
          </w:tcPr>
          <w:p w14:paraId="6F1F66B5" w14:textId="77777777" w:rsidR="0073478D" w:rsidRPr="0028098E" w:rsidRDefault="0073478D" w:rsidP="0073478D">
            <w:pPr>
              <w:spacing w:after="0" w:line="240" w:lineRule="auto"/>
              <w:rPr>
                <w:rFonts w:cs="Times New Roman"/>
                <w:sz w:val="16"/>
                <w:szCs w:val="16"/>
              </w:rPr>
            </w:pPr>
            <w:r>
              <w:rPr>
                <w:rFonts w:cs="Times New Roman"/>
                <w:sz w:val="16"/>
                <w:szCs w:val="16"/>
              </w:rPr>
              <w:t>124</w:t>
            </w:r>
          </w:p>
        </w:tc>
        <w:tc>
          <w:tcPr>
            <w:tcW w:w="1430" w:type="dxa"/>
            <w:tcBorders>
              <w:left w:val="nil"/>
              <w:right w:val="nil"/>
            </w:tcBorders>
            <w:vAlign w:val="center"/>
          </w:tcPr>
          <w:p w14:paraId="22B4190E" w14:textId="77777777" w:rsidR="0073478D" w:rsidRPr="0028098E" w:rsidRDefault="0073478D" w:rsidP="0073478D">
            <w:pPr>
              <w:spacing w:after="0" w:line="240" w:lineRule="auto"/>
              <w:rPr>
                <w:rFonts w:cs="Times New Roman"/>
                <w:sz w:val="16"/>
                <w:szCs w:val="16"/>
              </w:rPr>
            </w:pPr>
            <w:r>
              <w:rPr>
                <w:rFonts w:cs="Times New Roman"/>
                <w:sz w:val="16"/>
                <w:szCs w:val="16"/>
              </w:rPr>
              <w:t>37% (19 – 57%)</w:t>
            </w:r>
          </w:p>
        </w:tc>
      </w:tr>
      <w:tr w:rsidR="0073478D" w:rsidRPr="0028098E" w14:paraId="0C5D20F8" w14:textId="77777777" w:rsidTr="0000512F">
        <w:trPr>
          <w:trHeight w:val="340"/>
          <w:jc w:val="center"/>
        </w:trPr>
        <w:tc>
          <w:tcPr>
            <w:tcW w:w="15282" w:type="dxa"/>
            <w:gridSpan w:val="21"/>
            <w:tcBorders>
              <w:left w:val="nil"/>
              <w:right w:val="nil"/>
            </w:tcBorders>
            <w:vAlign w:val="bottom"/>
          </w:tcPr>
          <w:p w14:paraId="7F481BBD" w14:textId="4F9B0229" w:rsidR="0073478D" w:rsidRPr="00815CF7" w:rsidRDefault="0073478D" w:rsidP="0073478D">
            <w:pPr>
              <w:spacing w:before="40" w:after="0" w:line="240" w:lineRule="auto"/>
              <w:rPr>
                <w:rFonts w:cs="Times New Roman"/>
                <w:b/>
                <w:sz w:val="18"/>
                <w:szCs w:val="16"/>
              </w:rPr>
            </w:pPr>
            <w:r w:rsidRPr="00815CF7">
              <w:rPr>
                <w:rFonts w:cs="Times New Roman"/>
                <w:b/>
                <w:i/>
                <w:sz w:val="18"/>
                <w:szCs w:val="16"/>
              </w:rPr>
              <w:t>Escherichia</w:t>
            </w:r>
            <w:r w:rsidRPr="00815CF7">
              <w:rPr>
                <w:rFonts w:cs="Times New Roman"/>
                <w:b/>
                <w:sz w:val="18"/>
                <w:szCs w:val="16"/>
              </w:rPr>
              <w:t xml:space="preserve"> </w:t>
            </w:r>
            <w:r w:rsidRPr="00815CF7">
              <w:rPr>
                <w:rFonts w:cs="Times New Roman"/>
                <w:b/>
                <w:i/>
                <w:sz w:val="18"/>
                <w:szCs w:val="16"/>
              </w:rPr>
              <w:t>coli</w:t>
            </w:r>
            <w:r w:rsidRPr="00815CF7">
              <w:rPr>
                <w:rFonts w:cs="Times New Roman"/>
                <w:b/>
                <w:sz w:val="18"/>
                <w:szCs w:val="16"/>
              </w:rPr>
              <w:t xml:space="preserve"> </w:t>
            </w:r>
            <w:r w:rsidR="002220C3" w:rsidRPr="002220C3">
              <w:rPr>
                <w:rFonts w:cs="Times New Roman"/>
                <w:b/>
                <w:noProof/>
                <w:sz w:val="18"/>
                <w:szCs w:val="16"/>
                <w:vertAlign w:val="superscript"/>
              </w:rPr>
              <w:t>36,63,74,79,84,86,88,91,93,97,98,106,108,110,112,113,118,123,128,130-132</w:t>
            </w:r>
          </w:p>
        </w:tc>
      </w:tr>
      <w:tr w:rsidR="0073478D" w:rsidRPr="0028098E" w14:paraId="55F3CA16" w14:textId="77777777" w:rsidTr="0000512F">
        <w:trPr>
          <w:trHeight w:val="227"/>
          <w:jc w:val="center"/>
        </w:trPr>
        <w:tc>
          <w:tcPr>
            <w:tcW w:w="3479" w:type="dxa"/>
            <w:tcBorders>
              <w:left w:val="nil"/>
              <w:right w:val="nil"/>
            </w:tcBorders>
            <w:vAlign w:val="center"/>
          </w:tcPr>
          <w:p w14:paraId="53568849" w14:textId="77777777" w:rsidR="0073478D" w:rsidRPr="0028098E" w:rsidRDefault="0073478D" w:rsidP="0073478D">
            <w:pPr>
              <w:spacing w:after="0" w:line="240" w:lineRule="auto"/>
              <w:rPr>
                <w:rFonts w:cs="Times New Roman"/>
                <w:sz w:val="16"/>
                <w:szCs w:val="16"/>
              </w:rPr>
            </w:pPr>
            <w:r w:rsidRPr="0028098E">
              <w:rPr>
                <w:rFonts w:cs="Times New Roman"/>
                <w:sz w:val="16"/>
                <w:szCs w:val="16"/>
              </w:rPr>
              <w:t>Ampicillin</w:t>
            </w:r>
          </w:p>
        </w:tc>
        <w:tc>
          <w:tcPr>
            <w:tcW w:w="903" w:type="dxa"/>
            <w:tcBorders>
              <w:left w:val="nil"/>
              <w:right w:val="nil"/>
            </w:tcBorders>
            <w:vAlign w:val="center"/>
          </w:tcPr>
          <w:p w14:paraId="39B727F2" w14:textId="77777777" w:rsidR="0073478D" w:rsidRPr="0028098E" w:rsidRDefault="0073478D" w:rsidP="0073478D">
            <w:pPr>
              <w:spacing w:after="0" w:line="240" w:lineRule="auto"/>
              <w:rPr>
                <w:rFonts w:cs="Times New Roman"/>
                <w:sz w:val="16"/>
                <w:szCs w:val="16"/>
              </w:rPr>
            </w:pPr>
            <w:r>
              <w:rPr>
                <w:rFonts w:cs="Times New Roman"/>
                <w:sz w:val="16"/>
                <w:szCs w:val="16"/>
              </w:rPr>
              <w:t>4</w:t>
            </w:r>
          </w:p>
        </w:tc>
        <w:tc>
          <w:tcPr>
            <w:tcW w:w="1493" w:type="dxa"/>
            <w:gridSpan w:val="2"/>
            <w:tcBorders>
              <w:left w:val="nil"/>
              <w:right w:val="nil"/>
            </w:tcBorders>
            <w:vAlign w:val="center"/>
          </w:tcPr>
          <w:p w14:paraId="42843712" w14:textId="77777777" w:rsidR="0073478D" w:rsidRPr="0028098E" w:rsidRDefault="0073478D" w:rsidP="0073478D">
            <w:pPr>
              <w:spacing w:after="0" w:line="240" w:lineRule="auto"/>
              <w:rPr>
                <w:rFonts w:cs="Times New Roman"/>
                <w:sz w:val="16"/>
                <w:szCs w:val="16"/>
              </w:rPr>
            </w:pPr>
            <w:r>
              <w:rPr>
                <w:rFonts w:cs="Times New Roman"/>
                <w:sz w:val="16"/>
                <w:szCs w:val="16"/>
              </w:rPr>
              <w:t>100% (51 – 100%)</w:t>
            </w:r>
          </w:p>
        </w:tc>
        <w:tc>
          <w:tcPr>
            <w:tcW w:w="907" w:type="dxa"/>
            <w:gridSpan w:val="2"/>
            <w:tcBorders>
              <w:left w:val="nil"/>
              <w:right w:val="nil"/>
            </w:tcBorders>
            <w:vAlign w:val="center"/>
          </w:tcPr>
          <w:p w14:paraId="6541844E" w14:textId="77777777" w:rsidR="0073478D" w:rsidRPr="0028098E" w:rsidRDefault="0073478D" w:rsidP="0073478D">
            <w:pPr>
              <w:spacing w:after="0" w:line="240" w:lineRule="auto"/>
              <w:rPr>
                <w:rFonts w:cs="Times New Roman"/>
                <w:sz w:val="16"/>
                <w:szCs w:val="16"/>
              </w:rPr>
            </w:pPr>
            <w:r>
              <w:rPr>
                <w:rFonts w:cs="Times New Roman"/>
                <w:sz w:val="16"/>
                <w:szCs w:val="16"/>
              </w:rPr>
              <w:t>66</w:t>
            </w:r>
          </w:p>
        </w:tc>
        <w:tc>
          <w:tcPr>
            <w:tcW w:w="1480" w:type="dxa"/>
            <w:gridSpan w:val="3"/>
            <w:tcBorders>
              <w:left w:val="nil"/>
              <w:right w:val="nil"/>
            </w:tcBorders>
            <w:vAlign w:val="center"/>
          </w:tcPr>
          <w:p w14:paraId="1D7D8B37" w14:textId="77777777" w:rsidR="0073478D" w:rsidRPr="0028098E" w:rsidRDefault="0073478D" w:rsidP="0073478D">
            <w:pPr>
              <w:spacing w:after="0" w:line="240" w:lineRule="auto"/>
              <w:rPr>
                <w:rFonts w:cs="Times New Roman"/>
                <w:sz w:val="16"/>
                <w:szCs w:val="16"/>
              </w:rPr>
            </w:pPr>
            <w:r>
              <w:rPr>
                <w:rFonts w:cs="Times New Roman"/>
                <w:sz w:val="16"/>
                <w:szCs w:val="16"/>
              </w:rPr>
              <w:t>93% (75 – 100%)</w:t>
            </w:r>
          </w:p>
        </w:tc>
        <w:tc>
          <w:tcPr>
            <w:tcW w:w="907" w:type="dxa"/>
            <w:gridSpan w:val="3"/>
            <w:tcBorders>
              <w:left w:val="nil"/>
              <w:right w:val="nil"/>
            </w:tcBorders>
            <w:vAlign w:val="center"/>
          </w:tcPr>
          <w:p w14:paraId="74527F84" w14:textId="77777777" w:rsidR="0073478D" w:rsidRPr="0028098E" w:rsidRDefault="0073478D" w:rsidP="0073478D">
            <w:pPr>
              <w:spacing w:after="0" w:line="240" w:lineRule="auto"/>
              <w:rPr>
                <w:rFonts w:cs="Times New Roman"/>
                <w:sz w:val="16"/>
                <w:szCs w:val="16"/>
              </w:rPr>
            </w:pPr>
            <w:r>
              <w:rPr>
                <w:rFonts w:cs="Times New Roman"/>
                <w:sz w:val="16"/>
                <w:szCs w:val="16"/>
              </w:rPr>
              <w:t>28</w:t>
            </w:r>
          </w:p>
        </w:tc>
        <w:tc>
          <w:tcPr>
            <w:tcW w:w="1451" w:type="dxa"/>
            <w:gridSpan w:val="2"/>
            <w:tcBorders>
              <w:left w:val="nil"/>
              <w:right w:val="nil"/>
            </w:tcBorders>
            <w:vAlign w:val="center"/>
          </w:tcPr>
          <w:p w14:paraId="1BF2D02F" w14:textId="77777777" w:rsidR="0073478D" w:rsidRPr="0028098E" w:rsidRDefault="0073478D" w:rsidP="0073478D">
            <w:pPr>
              <w:spacing w:after="0" w:line="240" w:lineRule="auto"/>
              <w:rPr>
                <w:rFonts w:cs="Times New Roman"/>
                <w:sz w:val="16"/>
                <w:szCs w:val="16"/>
              </w:rPr>
            </w:pPr>
            <w:r>
              <w:rPr>
                <w:rFonts w:cs="Times New Roman"/>
                <w:sz w:val="16"/>
                <w:szCs w:val="16"/>
              </w:rPr>
              <w:t>84% (67 – 97%)</w:t>
            </w:r>
          </w:p>
        </w:tc>
        <w:tc>
          <w:tcPr>
            <w:tcW w:w="907" w:type="dxa"/>
            <w:gridSpan w:val="2"/>
            <w:tcBorders>
              <w:left w:val="nil"/>
              <w:right w:val="nil"/>
            </w:tcBorders>
            <w:vAlign w:val="center"/>
          </w:tcPr>
          <w:p w14:paraId="4D295DD6" w14:textId="77777777" w:rsidR="0073478D" w:rsidRPr="0028098E" w:rsidRDefault="0073478D" w:rsidP="0073478D">
            <w:pPr>
              <w:spacing w:after="0" w:line="240" w:lineRule="auto"/>
              <w:rPr>
                <w:rFonts w:cs="Times New Roman"/>
                <w:sz w:val="16"/>
                <w:szCs w:val="16"/>
              </w:rPr>
            </w:pPr>
            <w:r>
              <w:rPr>
                <w:rFonts w:cs="Times New Roman"/>
                <w:sz w:val="16"/>
                <w:szCs w:val="16"/>
              </w:rPr>
              <w:t>51</w:t>
            </w:r>
          </w:p>
        </w:tc>
        <w:tc>
          <w:tcPr>
            <w:tcW w:w="1418" w:type="dxa"/>
            <w:gridSpan w:val="2"/>
            <w:tcBorders>
              <w:left w:val="nil"/>
              <w:right w:val="nil"/>
            </w:tcBorders>
            <w:vAlign w:val="center"/>
          </w:tcPr>
          <w:p w14:paraId="4701AE83" w14:textId="77777777" w:rsidR="0073478D" w:rsidRPr="0028098E" w:rsidRDefault="0073478D" w:rsidP="0073478D">
            <w:pPr>
              <w:spacing w:after="0" w:line="240" w:lineRule="auto"/>
              <w:rPr>
                <w:rFonts w:cs="Times New Roman"/>
                <w:sz w:val="16"/>
                <w:szCs w:val="16"/>
              </w:rPr>
            </w:pPr>
            <w:r>
              <w:rPr>
                <w:rFonts w:cs="Times New Roman"/>
                <w:sz w:val="16"/>
                <w:szCs w:val="16"/>
              </w:rPr>
              <w:t>78% (55 – 96%)</w:t>
            </w:r>
          </w:p>
        </w:tc>
        <w:tc>
          <w:tcPr>
            <w:tcW w:w="907" w:type="dxa"/>
            <w:gridSpan w:val="2"/>
            <w:tcBorders>
              <w:left w:val="nil"/>
              <w:right w:val="nil"/>
            </w:tcBorders>
            <w:vAlign w:val="center"/>
          </w:tcPr>
          <w:p w14:paraId="2690B447" w14:textId="77777777" w:rsidR="0073478D" w:rsidRPr="0028098E" w:rsidRDefault="0073478D" w:rsidP="0073478D">
            <w:pPr>
              <w:spacing w:after="0" w:line="240" w:lineRule="auto"/>
              <w:rPr>
                <w:rFonts w:cs="Times New Roman"/>
                <w:sz w:val="16"/>
                <w:szCs w:val="16"/>
              </w:rPr>
            </w:pPr>
            <w:r>
              <w:rPr>
                <w:rFonts w:cs="Times New Roman"/>
                <w:sz w:val="16"/>
                <w:szCs w:val="16"/>
              </w:rPr>
              <w:t>149</w:t>
            </w:r>
          </w:p>
        </w:tc>
        <w:tc>
          <w:tcPr>
            <w:tcW w:w="1430" w:type="dxa"/>
            <w:tcBorders>
              <w:left w:val="nil"/>
              <w:right w:val="nil"/>
            </w:tcBorders>
            <w:vAlign w:val="center"/>
          </w:tcPr>
          <w:p w14:paraId="1860D5B9" w14:textId="77777777" w:rsidR="0073478D" w:rsidRPr="0028098E" w:rsidRDefault="0073478D" w:rsidP="0073478D">
            <w:pPr>
              <w:spacing w:after="0" w:line="240" w:lineRule="auto"/>
              <w:rPr>
                <w:rFonts w:cs="Times New Roman"/>
                <w:sz w:val="16"/>
                <w:szCs w:val="16"/>
              </w:rPr>
            </w:pPr>
            <w:r>
              <w:rPr>
                <w:rFonts w:cs="Times New Roman"/>
                <w:sz w:val="16"/>
                <w:szCs w:val="16"/>
              </w:rPr>
              <w:t>89% (77 – 97%)</w:t>
            </w:r>
          </w:p>
        </w:tc>
      </w:tr>
      <w:tr w:rsidR="0073478D" w:rsidRPr="0028098E" w14:paraId="4C35584F" w14:textId="77777777" w:rsidTr="0000512F">
        <w:trPr>
          <w:trHeight w:val="227"/>
          <w:jc w:val="center"/>
        </w:trPr>
        <w:tc>
          <w:tcPr>
            <w:tcW w:w="3479" w:type="dxa"/>
            <w:tcBorders>
              <w:left w:val="nil"/>
              <w:right w:val="nil"/>
            </w:tcBorders>
            <w:vAlign w:val="center"/>
          </w:tcPr>
          <w:p w14:paraId="0AF967E6" w14:textId="7B25F4E8" w:rsidR="0073478D" w:rsidRPr="0028098E" w:rsidRDefault="0073478D" w:rsidP="0073478D">
            <w:pPr>
              <w:spacing w:after="0" w:line="240" w:lineRule="auto"/>
              <w:rPr>
                <w:rFonts w:cs="Times New Roman"/>
                <w:sz w:val="16"/>
                <w:szCs w:val="16"/>
              </w:rPr>
            </w:pPr>
            <w:r w:rsidRPr="0028098E">
              <w:rPr>
                <w:rFonts w:cs="Times New Roman"/>
                <w:sz w:val="16"/>
                <w:szCs w:val="16"/>
              </w:rPr>
              <w:t>Amoxycillin</w:t>
            </w:r>
          </w:p>
        </w:tc>
        <w:tc>
          <w:tcPr>
            <w:tcW w:w="903" w:type="dxa"/>
            <w:tcBorders>
              <w:left w:val="nil"/>
              <w:right w:val="nil"/>
            </w:tcBorders>
            <w:vAlign w:val="center"/>
          </w:tcPr>
          <w:p w14:paraId="1D1387F2" w14:textId="7A3161A9" w:rsidR="0073478D" w:rsidRDefault="0073478D" w:rsidP="0073478D">
            <w:pPr>
              <w:spacing w:after="0" w:line="240" w:lineRule="auto"/>
              <w:rPr>
                <w:rFonts w:cs="Times New Roman"/>
                <w:sz w:val="16"/>
                <w:szCs w:val="16"/>
              </w:rPr>
            </w:pPr>
            <w:r>
              <w:rPr>
                <w:rFonts w:cs="Times New Roman"/>
                <w:sz w:val="16"/>
                <w:szCs w:val="16"/>
              </w:rPr>
              <w:t>6</w:t>
            </w:r>
          </w:p>
        </w:tc>
        <w:tc>
          <w:tcPr>
            <w:tcW w:w="1493" w:type="dxa"/>
            <w:gridSpan w:val="2"/>
            <w:tcBorders>
              <w:left w:val="nil"/>
              <w:right w:val="nil"/>
            </w:tcBorders>
            <w:vAlign w:val="center"/>
          </w:tcPr>
          <w:p w14:paraId="11531AE5" w14:textId="537C9A7D" w:rsidR="0073478D" w:rsidRDefault="0073478D" w:rsidP="0073478D">
            <w:pPr>
              <w:spacing w:after="0" w:line="240" w:lineRule="auto"/>
              <w:rPr>
                <w:rFonts w:cs="Times New Roman"/>
                <w:sz w:val="16"/>
                <w:szCs w:val="16"/>
              </w:rPr>
            </w:pPr>
            <w:r>
              <w:rPr>
                <w:rFonts w:cs="Times New Roman"/>
                <w:sz w:val="16"/>
                <w:szCs w:val="16"/>
              </w:rPr>
              <w:t>72% (24 – 100%)</w:t>
            </w:r>
          </w:p>
        </w:tc>
        <w:tc>
          <w:tcPr>
            <w:tcW w:w="907" w:type="dxa"/>
            <w:gridSpan w:val="2"/>
            <w:tcBorders>
              <w:left w:val="nil"/>
              <w:right w:val="nil"/>
            </w:tcBorders>
            <w:vAlign w:val="center"/>
          </w:tcPr>
          <w:p w14:paraId="3C3B7DB6" w14:textId="6E3F7E41" w:rsidR="0073478D" w:rsidRDefault="0073478D" w:rsidP="0073478D">
            <w:pPr>
              <w:spacing w:after="0" w:line="240" w:lineRule="auto"/>
              <w:rPr>
                <w:rFonts w:cs="Times New Roman"/>
                <w:sz w:val="16"/>
                <w:szCs w:val="16"/>
              </w:rPr>
            </w:pPr>
            <w:r>
              <w:rPr>
                <w:rFonts w:cs="Times New Roman"/>
                <w:sz w:val="16"/>
                <w:szCs w:val="16"/>
              </w:rPr>
              <w:t>46</w:t>
            </w:r>
          </w:p>
        </w:tc>
        <w:tc>
          <w:tcPr>
            <w:tcW w:w="1480" w:type="dxa"/>
            <w:gridSpan w:val="3"/>
            <w:tcBorders>
              <w:left w:val="nil"/>
              <w:right w:val="nil"/>
            </w:tcBorders>
            <w:vAlign w:val="center"/>
          </w:tcPr>
          <w:p w14:paraId="515283A3" w14:textId="14DB8372" w:rsidR="0073478D" w:rsidRDefault="0073478D" w:rsidP="0073478D">
            <w:pPr>
              <w:spacing w:after="0" w:line="240" w:lineRule="auto"/>
              <w:rPr>
                <w:rFonts w:cs="Times New Roman"/>
                <w:sz w:val="16"/>
                <w:szCs w:val="16"/>
              </w:rPr>
            </w:pPr>
            <w:r>
              <w:rPr>
                <w:rFonts w:cs="Times New Roman"/>
                <w:sz w:val="16"/>
                <w:szCs w:val="16"/>
              </w:rPr>
              <w:t>52% (13 – 90%)</w:t>
            </w:r>
          </w:p>
        </w:tc>
        <w:tc>
          <w:tcPr>
            <w:tcW w:w="907" w:type="dxa"/>
            <w:gridSpan w:val="3"/>
            <w:tcBorders>
              <w:left w:val="nil"/>
              <w:right w:val="nil"/>
            </w:tcBorders>
            <w:vAlign w:val="center"/>
          </w:tcPr>
          <w:p w14:paraId="6590D9DB" w14:textId="444E5B65" w:rsidR="0073478D" w:rsidRDefault="0073478D" w:rsidP="0073478D">
            <w:pPr>
              <w:spacing w:after="0" w:line="240" w:lineRule="auto"/>
              <w:rPr>
                <w:rFonts w:cs="Times New Roman"/>
                <w:sz w:val="16"/>
                <w:szCs w:val="16"/>
              </w:rPr>
            </w:pPr>
            <w:r>
              <w:rPr>
                <w:rFonts w:cs="Times New Roman"/>
                <w:sz w:val="16"/>
                <w:szCs w:val="16"/>
              </w:rPr>
              <w:t>9</w:t>
            </w:r>
          </w:p>
        </w:tc>
        <w:tc>
          <w:tcPr>
            <w:tcW w:w="1451" w:type="dxa"/>
            <w:gridSpan w:val="2"/>
            <w:tcBorders>
              <w:left w:val="nil"/>
              <w:right w:val="nil"/>
            </w:tcBorders>
            <w:vAlign w:val="center"/>
          </w:tcPr>
          <w:p w14:paraId="01029801" w14:textId="0D150743" w:rsidR="0073478D" w:rsidRDefault="0073478D" w:rsidP="0073478D">
            <w:pPr>
              <w:spacing w:after="0" w:line="240" w:lineRule="auto"/>
              <w:rPr>
                <w:rFonts w:cs="Times New Roman"/>
                <w:sz w:val="16"/>
                <w:szCs w:val="16"/>
              </w:rPr>
            </w:pPr>
            <w:r>
              <w:rPr>
                <w:rFonts w:cs="Times New Roman"/>
                <w:sz w:val="16"/>
                <w:szCs w:val="16"/>
              </w:rPr>
              <w:t>19% (0 – 57%)</w:t>
            </w:r>
          </w:p>
        </w:tc>
        <w:tc>
          <w:tcPr>
            <w:tcW w:w="907" w:type="dxa"/>
            <w:gridSpan w:val="2"/>
            <w:tcBorders>
              <w:left w:val="nil"/>
              <w:right w:val="nil"/>
            </w:tcBorders>
            <w:vAlign w:val="center"/>
          </w:tcPr>
          <w:p w14:paraId="5B8E11FD" w14:textId="7AC45972" w:rsidR="0073478D" w:rsidRDefault="0073478D" w:rsidP="0073478D">
            <w:pPr>
              <w:spacing w:after="0" w:line="240" w:lineRule="auto"/>
              <w:rPr>
                <w:rFonts w:cs="Times New Roman"/>
                <w:sz w:val="16"/>
                <w:szCs w:val="16"/>
              </w:rPr>
            </w:pPr>
            <w:r>
              <w:rPr>
                <w:rFonts w:cs="Times New Roman"/>
                <w:sz w:val="16"/>
                <w:szCs w:val="16"/>
              </w:rPr>
              <w:t>94</w:t>
            </w:r>
          </w:p>
        </w:tc>
        <w:tc>
          <w:tcPr>
            <w:tcW w:w="1418" w:type="dxa"/>
            <w:gridSpan w:val="2"/>
            <w:tcBorders>
              <w:left w:val="nil"/>
              <w:right w:val="nil"/>
            </w:tcBorders>
            <w:vAlign w:val="center"/>
          </w:tcPr>
          <w:p w14:paraId="7454F684" w14:textId="59A86EE3" w:rsidR="0073478D" w:rsidRDefault="0073478D" w:rsidP="0073478D">
            <w:pPr>
              <w:spacing w:after="0" w:line="240" w:lineRule="auto"/>
              <w:rPr>
                <w:rFonts w:cs="Times New Roman"/>
                <w:sz w:val="16"/>
                <w:szCs w:val="16"/>
              </w:rPr>
            </w:pPr>
            <w:r>
              <w:rPr>
                <w:rFonts w:cs="Times New Roman"/>
                <w:sz w:val="16"/>
                <w:szCs w:val="16"/>
              </w:rPr>
              <w:t>39% (11 – 71%)</w:t>
            </w:r>
          </w:p>
        </w:tc>
        <w:tc>
          <w:tcPr>
            <w:tcW w:w="907" w:type="dxa"/>
            <w:gridSpan w:val="2"/>
            <w:tcBorders>
              <w:left w:val="nil"/>
              <w:right w:val="nil"/>
            </w:tcBorders>
            <w:vAlign w:val="center"/>
          </w:tcPr>
          <w:p w14:paraId="7A8228ED" w14:textId="2DB2D9B3" w:rsidR="0073478D" w:rsidRDefault="0073478D" w:rsidP="0073478D">
            <w:pPr>
              <w:spacing w:after="0" w:line="240" w:lineRule="auto"/>
              <w:rPr>
                <w:rFonts w:cs="Times New Roman"/>
                <w:sz w:val="16"/>
                <w:szCs w:val="16"/>
              </w:rPr>
            </w:pPr>
            <w:r>
              <w:rPr>
                <w:rFonts w:cs="Times New Roman"/>
                <w:sz w:val="16"/>
                <w:szCs w:val="16"/>
              </w:rPr>
              <w:t>155</w:t>
            </w:r>
          </w:p>
        </w:tc>
        <w:tc>
          <w:tcPr>
            <w:tcW w:w="1430" w:type="dxa"/>
            <w:tcBorders>
              <w:left w:val="nil"/>
              <w:right w:val="nil"/>
            </w:tcBorders>
            <w:vAlign w:val="center"/>
          </w:tcPr>
          <w:p w14:paraId="6E68F96A" w14:textId="41567CB2" w:rsidR="0073478D" w:rsidRDefault="0073478D" w:rsidP="0073478D">
            <w:pPr>
              <w:spacing w:after="0" w:line="240" w:lineRule="auto"/>
              <w:rPr>
                <w:rFonts w:cs="Times New Roman"/>
                <w:sz w:val="16"/>
                <w:szCs w:val="16"/>
              </w:rPr>
            </w:pPr>
            <w:r>
              <w:rPr>
                <w:rFonts w:cs="Times New Roman"/>
                <w:sz w:val="16"/>
                <w:szCs w:val="16"/>
              </w:rPr>
              <w:t>45% (24 – 66%)</w:t>
            </w:r>
          </w:p>
        </w:tc>
      </w:tr>
      <w:tr w:rsidR="0073478D" w:rsidRPr="0028098E" w14:paraId="05632272" w14:textId="77777777" w:rsidTr="0000512F">
        <w:trPr>
          <w:trHeight w:val="227"/>
          <w:jc w:val="center"/>
        </w:trPr>
        <w:tc>
          <w:tcPr>
            <w:tcW w:w="3479" w:type="dxa"/>
            <w:tcBorders>
              <w:left w:val="nil"/>
              <w:right w:val="nil"/>
            </w:tcBorders>
            <w:vAlign w:val="center"/>
          </w:tcPr>
          <w:p w14:paraId="049C8A75" w14:textId="77777777" w:rsidR="0073478D" w:rsidRPr="0028098E" w:rsidRDefault="0073478D" w:rsidP="0073478D">
            <w:pPr>
              <w:spacing w:after="0" w:line="240" w:lineRule="auto"/>
              <w:rPr>
                <w:rFonts w:cs="Times New Roman"/>
                <w:sz w:val="16"/>
                <w:szCs w:val="16"/>
              </w:rPr>
            </w:pPr>
            <w:r w:rsidRPr="0028098E">
              <w:rPr>
                <w:rFonts w:cs="Times New Roman"/>
                <w:sz w:val="16"/>
                <w:szCs w:val="16"/>
              </w:rPr>
              <w:t>Cefotaxime</w:t>
            </w:r>
          </w:p>
        </w:tc>
        <w:tc>
          <w:tcPr>
            <w:tcW w:w="903" w:type="dxa"/>
            <w:tcBorders>
              <w:left w:val="nil"/>
              <w:right w:val="nil"/>
            </w:tcBorders>
            <w:vAlign w:val="center"/>
          </w:tcPr>
          <w:p w14:paraId="04786387" w14:textId="77777777" w:rsidR="0073478D" w:rsidRDefault="0073478D" w:rsidP="0073478D">
            <w:pPr>
              <w:spacing w:after="0" w:line="240" w:lineRule="auto"/>
              <w:rPr>
                <w:rFonts w:cs="Times New Roman"/>
                <w:sz w:val="16"/>
                <w:szCs w:val="16"/>
              </w:rPr>
            </w:pPr>
            <w:r>
              <w:rPr>
                <w:rFonts w:cs="Times New Roman"/>
                <w:sz w:val="16"/>
                <w:szCs w:val="16"/>
              </w:rPr>
              <w:t>6</w:t>
            </w:r>
          </w:p>
        </w:tc>
        <w:tc>
          <w:tcPr>
            <w:tcW w:w="1493" w:type="dxa"/>
            <w:gridSpan w:val="2"/>
            <w:tcBorders>
              <w:left w:val="nil"/>
              <w:right w:val="nil"/>
            </w:tcBorders>
            <w:vAlign w:val="center"/>
          </w:tcPr>
          <w:p w14:paraId="198EEE4A" w14:textId="77777777" w:rsidR="0073478D" w:rsidRDefault="0073478D" w:rsidP="0073478D">
            <w:pPr>
              <w:spacing w:after="0" w:line="240" w:lineRule="auto"/>
              <w:rPr>
                <w:rFonts w:cs="Times New Roman"/>
                <w:sz w:val="16"/>
                <w:szCs w:val="16"/>
              </w:rPr>
            </w:pPr>
            <w:r>
              <w:rPr>
                <w:rFonts w:cs="Times New Roman"/>
                <w:sz w:val="16"/>
                <w:szCs w:val="16"/>
              </w:rPr>
              <w:t>55% (10 – 96%)</w:t>
            </w:r>
          </w:p>
        </w:tc>
        <w:tc>
          <w:tcPr>
            <w:tcW w:w="907" w:type="dxa"/>
            <w:gridSpan w:val="2"/>
            <w:tcBorders>
              <w:left w:val="nil"/>
              <w:right w:val="nil"/>
            </w:tcBorders>
            <w:vAlign w:val="center"/>
          </w:tcPr>
          <w:p w14:paraId="1B5841DC" w14:textId="77777777" w:rsidR="0073478D" w:rsidRDefault="0073478D" w:rsidP="0073478D">
            <w:pPr>
              <w:spacing w:after="0" w:line="240" w:lineRule="auto"/>
              <w:rPr>
                <w:rFonts w:cs="Times New Roman"/>
                <w:sz w:val="16"/>
                <w:szCs w:val="16"/>
              </w:rPr>
            </w:pPr>
            <w:r>
              <w:rPr>
                <w:rFonts w:cs="Times New Roman"/>
                <w:sz w:val="16"/>
                <w:szCs w:val="16"/>
              </w:rPr>
              <w:t>24</w:t>
            </w:r>
          </w:p>
        </w:tc>
        <w:tc>
          <w:tcPr>
            <w:tcW w:w="1480" w:type="dxa"/>
            <w:gridSpan w:val="3"/>
            <w:tcBorders>
              <w:left w:val="nil"/>
              <w:right w:val="nil"/>
            </w:tcBorders>
            <w:vAlign w:val="center"/>
          </w:tcPr>
          <w:p w14:paraId="23E35882" w14:textId="77777777" w:rsidR="0073478D" w:rsidRDefault="0073478D" w:rsidP="0073478D">
            <w:pPr>
              <w:spacing w:after="0" w:line="240" w:lineRule="auto"/>
              <w:rPr>
                <w:rFonts w:cs="Times New Roman"/>
                <w:sz w:val="16"/>
                <w:szCs w:val="16"/>
              </w:rPr>
            </w:pPr>
            <w:r>
              <w:rPr>
                <w:rFonts w:cs="Times New Roman"/>
                <w:sz w:val="16"/>
                <w:szCs w:val="16"/>
              </w:rPr>
              <w:t>44% (21 – 68%)</w:t>
            </w:r>
          </w:p>
        </w:tc>
        <w:tc>
          <w:tcPr>
            <w:tcW w:w="907" w:type="dxa"/>
            <w:gridSpan w:val="3"/>
            <w:tcBorders>
              <w:left w:val="nil"/>
              <w:right w:val="nil"/>
            </w:tcBorders>
            <w:vAlign w:val="center"/>
          </w:tcPr>
          <w:p w14:paraId="63C746EB" w14:textId="77777777" w:rsidR="0073478D" w:rsidRDefault="0073478D" w:rsidP="0073478D">
            <w:pPr>
              <w:spacing w:after="0" w:line="240" w:lineRule="auto"/>
              <w:rPr>
                <w:rFonts w:cs="Times New Roman"/>
                <w:sz w:val="16"/>
                <w:szCs w:val="16"/>
              </w:rPr>
            </w:pPr>
            <w:r>
              <w:rPr>
                <w:rFonts w:cs="Times New Roman"/>
                <w:sz w:val="16"/>
                <w:szCs w:val="16"/>
              </w:rPr>
              <w:t>29</w:t>
            </w:r>
          </w:p>
        </w:tc>
        <w:tc>
          <w:tcPr>
            <w:tcW w:w="1451" w:type="dxa"/>
            <w:gridSpan w:val="2"/>
            <w:tcBorders>
              <w:left w:val="nil"/>
              <w:right w:val="nil"/>
            </w:tcBorders>
            <w:vAlign w:val="center"/>
          </w:tcPr>
          <w:p w14:paraId="6EF8A173" w14:textId="77777777" w:rsidR="0073478D" w:rsidRDefault="0073478D" w:rsidP="0073478D">
            <w:pPr>
              <w:spacing w:after="0" w:line="240" w:lineRule="auto"/>
              <w:rPr>
                <w:rFonts w:cs="Times New Roman"/>
                <w:sz w:val="16"/>
                <w:szCs w:val="16"/>
              </w:rPr>
            </w:pPr>
            <w:r>
              <w:rPr>
                <w:rFonts w:cs="Times New Roman"/>
                <w:sz w:val="16"/>
                <w:szCs w:val="16"/>
              </w:rPr>
              <w:t>34% (12 – 69%)</w:t>
            </w:r>
          </w:p>
        </w:tc>
        <w:tc>
          <w:tcPr>
            <w:tcW w:w="907" w:type="dxa"/>
            <w:gridSpan w:val="2"/>
            <w:tcBorders>
              <w:left w:val="nil"/>
              <w:right w:val="nil"/>
            </w:tcBorders>
            <w:vAlign w:val="center"/>
          </w:tcPr>
          <w:p w14:paraId="5356B130" w14:textId="77777777" w:rsidR="0073478D" w:rsidRDefault="0073478D" w:rsidP="0073478D">
            <w:pPr>
              <w:spacing w:after="0" w:line="240" w:lineRule="auto"/>
              <w:rPr>
                <w:rFonts w:cs="Times New Roman"/>
                <w:sz w:val="16"/>
                <w:szCs w:val="16"/>
              </w:rPr>
            </w:pPr>
            <w:r>
              <w:rPr>
                <w:rFonts w:cs="Times New Roman"/>
                <w:sz w:val="16"/>
                <w:szCs w:val="16"/>
              </w:rPr>
              <w:t>15</w:t>
            </w:r>
          </w:p>
        </w:tc>
        <w:tc>
          <w:tcPr>
            <w:tcW w:w="1418" w:type="dxa"/>
            <w:gridSpan w:val="2"/>
            <w:tcBorders>
              <w:left w:val="nil"/>
              <w:right w:val="nil"/>
            </w:tcBorders>
            <w:vAlign w:val="center"/>
          </w:tcPr>
          <w:p w14:paraId="3FD85461" w14:textId="77777777" w:rsidR="0073478D" w:rsidRDefault="0073478D" w:rsidP="0073478D">
            <w:pPr>
              <w:spacing w:after="0" w:line="240" w:lineRule="auto"/>
              <w:rPr>
                <w:rFonts w:cs="Times New Roman"/>
                <w:sz w:val="16"/>
                <w:szCs w:val="16"/>
              </w:rPr>
            </w:pPr>
            <w:r>
              <w:rPr>
                <w:rFonts w:cs="Times New Roman"/>
                <w:sz w:val="16"/>
                <w:szCs w:val="16"/>
              </w:rPr>
              <w:t>39% (12 – 69%)</w:t>
            </w:r>
          </w:p>
        </w:tc>
        <w:tc>
          <w:tcPr>
            <w:tcW w:w="907" w:type="dxa"/>
            <w:gridSpan w:val="2"/>
            <w:tcBorders>
              <w:left w:val="nil"/>
              <w:right w:val="nil"/>
            </w:tcBorders>
            <w:vAlign w:val="center"/>
          </w:tcPr>
          <w:p w14:paraId="6929F430" w14:textId="77777777" w:rsidR="0073478D" w:rsidRDefault="0073478D" w:rsidP="0073478D">
            <w:pPr>
              <w:spacing w:after="0" w:line="240" w:lineRule="auto"/>
              <w:rPr>
                <w:rFonts w:cs="Times New Roman"/>
                <w:sz w:val="16"/>
                <w:szCs w:val="16"/>
              </w:rPr>
            </w:pPr>
            <w:r>
              <w:rPr>
                <w:rFonts w:cs="Times New Roman"/>
                <w:sz w:val="16"/>
                <w:szCs w:val="16"/>
              </w:rPr>
              <w:t>74</w:t>
            </w:r>
          </w:p>
        </w:tc>
        <w:tc>
          <w:tcPr>
            <w:tcW w:w="1430" w:type="dxa"/>
            <w:tcBorders>
              <w:left w:val="nil"/>
              <w:right w:val="nil"/>
            </w:tcBorders>
            <w:vAlign w:val="center"/>
          </w:tcPr>
          <w:p w14:paraId="0989C54F" w14:textId="77777777" w:rsidR="0073478D" w:rsidRDefault="0073478D" w:rsidP="0073478D">
            <w:pPr>
              <w:spacing w:after="0" w:line="240" w:lineRule="auto"/>
              <w:rPr>
                <w:rFonts w:cs="Times New Roman"/>
                <w:sz w:val="16"/>
                <w:szCs w:val="16"/>
              </w:rPr>
            </w:pPr>
            <w:r>
              <w:rPr>
                <w:rFonts w:cs="Times New Roman"/>
                <w:sz w:val="16"/>
                <w:szCs w:val="16"/>
              </w:rPr>
              <w:t>37% (12 – 66%)</w:t>
            </w:r>
          </w:p>
        </w:tc>
      </w:tr>
      <w:tr w:rsidR="0073478D" w:rsidRPr="0028098E" w14:paraId="6FC4221B" w14:textId="77777777" w:rsidTr="0000512F">
        <w:trPr>
          <w:trHeight w:val="227"/>
          <w:jc w:val="center"/>
        </w:trPr>
        <w:tc>
          <w:tcPr>
            <w:tcW w:w="3479" w:type="dxa"/>
            <w:tcBorders>
              <w:left w:val="nil"/>
              <w:right w:val="nil"/>
            </w:tcBorders>
            <w:vAlign w:val="center"/>
          </w:tcPr>
          <w:p w14:paraId="472D327A" w14:textId="77777777" w:rsidR="0073478D" w:rsidRPr="0028098E" w:rsidRDefault="0073478D" w:rsidP="0073478D">
            <w:pPr>
              <w:spacing w:after="0" w:line="240" w:lineRule="auto"/>
              <w:rPr>
                <w:rFonts w:cs="Times New Roman"/>
                <w:sz w:val="16"/>
                <w:szCs w:val="16"/>
              </w:rPr>
            </w:pPr>
            <w:r w:rsidRPr="0028098E">
              <w:rPr>
                <w:rFonts w:cs="Times New Roman"/>
                <w:sz w:val="16"/>
                <w:szCs w:val="16"/>
              </w:rPr>
              <w:t>Ceftazidime</w:t>
            </w:r>
          </w:p>
        </w:tc>
        <w:tc>
          <w:tcPr>
            <w:tcW w:w="903" w:type="dxa"/>
            <w:tcBorders>
              <w:left w:val="nil"/>
              <w:right w:val="nil"/>
            </w:tcBorders>
            <w:vAlign w:val="center"/>
          </w:tcPr>
          <w:p w14:paraId="2BF63B9A" w14:textId="77777777" w:rsidR="0073478D" w:rsidRPr="0028098E" w:rsidRDefault="0073478D" w:rsidP="0073478D">
            <w:pPr>
              <w:spacing w:after="0" w:line="240" w:lineRule="auto"/>
              <w:rPr>
                <w:rFonts w:cs="Times New Roman"/>
                <w:sz w:val="16"/>
                <w:szCs w:val="16"/>
              </w:rPr>
            </w:pPr>
            <w:r>
              <w:rPr>
                <w:rFonts w:cs="Times New Roman"/>
                <w:sz w:val="16"/>
                <w:szCs w:val="16"/>
              </w:rPr>
              <w:t>2</w:t>
            </w:r>
          </w:p>
        </w:tc>
        <w:tc>
          <w:tcPr>
            <w:tcW w:w="1493" w:type="dxa"/>
            <w:gridSpan w:val="2"/>
            <w:tcBorders>
              <w:left w:val="nil"/>
              <w:right w:val="nil"/>
            </w:tcBorders>
            <w:vAlign w:val="center"/>
          </w:tcPr>
          <w:p w14:paraId="20594F26" w14:textId="77777777" w:rsidR="0073478D" w:rsidRPr="0028098E" w:rsidRDefault="0073478D" w:rsidP="0073478D">
            <w:pPr>
              <w:spacing w:after="0" w:line="240" w:lineRule="auto"/>
              <w:rPr>
                <w:rFonts w:cs="Times New Roman"/>
                <w:sz w:val="16"/>
                <w:szCs w:val="16"/>
              </w:rPr>
            </w:pPr>
            <w:r>
              <w:rPr>
                <w:rFonts w:cs="Times New Roman"/>
                <w:sz w:val="16"/>
                <w:szCs w:val="16"/>
              </w:rPr>
              <w:t>100% (34 – 100%)</w:t>
            </w:r>
          </w:p>
        </w:tc>
        <w:tc>
          <w:tcPr>
            <w:tcW w:w="907" w:type="dxa"/>
            <w:gridSpan w:val="2"/>
            <w:tcBorders>
              <w:left w:val="nil"/>
              <w:right w:val="nil"/>
            </w:tcBorders>
            <w:vAlign w:val="center"/>
          </w:tcPr>
          <w:p w14:paraId="1D3E343B" w14:textId="77777777" w:rsidR="0073478D" w:rsidRPr="0028098E" w:rsidRDefault="0073478D" w:rsidP="0073478D">
            <w:pPr>
              <w:spacing w:after="0" w:line="240" w:lineRule="auto"/>
              <w:rPr>
                <w:rFonts w:cs="Times New Roman"/>
                <w:sz w:val="16"/>
                <w:szCs w:val="16"/>
              </w:rPr>
            </w:pPr>
            <w:r>
              <w:rPr>
                <w:rFonts w:cs="Times New Roman"/>
                <w:sz w:val="16"/>
                <w:szCs w:val="16"/>
              </w:rPr>
              <w:t>34</w:t>
            </w:r>
          </w:p>
        </w:tc>
        <w:tc>
          <w:tcPr>
            <w:tcW w:w="1480" w:type="dxa"/>
            <w:gridSpan w:val="3"/>
            <w:tcBorders>
              <w:left w:val="nil"/>
              <w:right w:val="nil"/>
            </w:tcBorders>
            <w:vAlign w:val="center"/>
          </w:tcPr>
          <w:p w14:paraId="76668396" w14:textId="77777777" w:rsidR="0073478D" w:rsidRPr="0028098E" w:rsidRDefault="0073478D" w:rsidP="0073478D">
            <w:pPr>
              <w:spacing w:after="0" w:line="240" w:lineRule="auto"/>
              <w:rPr>
                <w:rFonts w:cs="Times New Roman"/>
                <w:sz w:val="16"/>
                <w:szCs w:val="16"/>
              </w:rPr>
            </w:pPr>
            <w:r>
              <w:rPr>
                <w:rFonts w:cs="Times New Roman"/>
                <w:sz w:val="16"/>
                <w:szCs w:val="16"/>
              </w:rPr>
              <w:t>33% (18 – 51%)</w:t>
            </w:r>
          </w:p>
        </w:tc>
        <w:tc>
          <w:tcPr>
            <w:tcW w:w="907" w:type="dxa"/>
            <w:gridSpan w:val="3"/>
            <w:tcBorders>
              <w:left w:val="nil"/>
              <w:right w:val="nil"/>
            </w:tcBorders>
            <w:vAlign w:val="center"/>
          </w:tcPr>
          <w:p w14:paraId="55D30E9F" w14:textId="77777777" w:rsidR="0073478D" w:rsidRPr="0028098E" w:rsidRDefault="0073478D" w:rsidP="0073478D">
            <w:pPr>
              <w:spacing w:after="0" w:line="240" w:lineRule="auto"/>
              <w:rPr>
                <w:rFonts w:cs="Times New Roman"/>
                <w:sz w:val="16"/>
                <w:szCs w:val="16"/>
              </w:rPr>
            </w:pPr>
            <w:r>
              <w:rPr>
                <w:rFonts w:cs="Times New Roman"/>
                <w:sz w:val="16"/>
                <w:szCs w:val="16"/>
              </w:rPr>
              <w:t>19</w:t>
            </w:r>
          </w:p>
        </w:tc>
        <w:tc>
          <w:tcPr>
            <w:tcW w:w="1451" w:type="dxa"/>
            <w:gridSpan w:val="2"/>
            <w:tcBorders>
              <w:left w:val="nil"/>
              <w:right w:val="nil"/>
            </w:tcBorders>
            <w:vAlign w:val="center"/>
          </w:tcPr>
          <w:p w14:paraId="1CE4D0CA" w14:textId="77777777" w:rsidR="0073478D" w:rsidRPr="0028098E" w:rsidRDefault="0073478D" w:rsidP="0073478D">
            <w:pPr>
              <w:spacing w:after="0" w:line="240" w:lineRule="auto"/>
              <w:rPr>
                <w:rFonts w:cs="Times New Roman"/>
                <w:sz w:val="16"/>
                <w:szCs w:val="16"/>
              </w:rPr>
            </w:pPr>
            <w:r>
              <w:rPr>
                <w:rFonts w:cs="Times New Roman"/>
                <w:sz w:val="16"/>
                <w:szCs w:val="16"/>
              </w:rPr>
              <w:t>68% (43 – 88%)</w:t>
            </w:r>
          </w:p>
        </w:tc>
        <w:tc>
          <w:tcPr>
            <w:tcW w:w="907" w:type="dxa"/>
            <w:gridSpan w:val="2"/>
            <w:tcBorders>
              <w:left w:val="nil"/>
              <w:right w:val="nil"/>
            </w:tcBorders>
            <w:vAlign w:val="center"/>
          </w:tcPr>
          <w:p w14:paraId="112AA5DC" w14:textId="77777777" w:rsidR="0073478D" w:rsidRPr="0028098E" w:rsidRDefault="0073478D" w:rsidP="0073478D">
            <w:pPr>
              <w:spacing w:after="0" w:line="240" w:lineRule="auto"/>
              <w:rPr>
                <w:rFonts w:cs="Times New Roman"/>
                <w:sz w:val="16"/>
                <w:szCs w:val="16"/>
              </w:rPr>
            </w:pPr>
            <w:r>
              <w:rPr>
                <w:rFonts w:cs="Times New Roman"/>
                <w:sz w:val="16"/>
                <w:szCs w:val="16"/>
              </w:rPr>
              <w:t>63</w:t>
            </w:r>
          </w:p>
        </w:tc>
        <w:tc>
          <w:tcPr>
            <w:tcW w:w="1418" w:type="dxa"/>
            <w:gridSpan w:val="2"/>
            <w:tcBorders>
              <w:left w:val="nil"/>
              <w:right w:val="nil"/>
            </w:tcBorders>
            <w:vAlign w:val="center"/>
          </w:tcPr>
          <w:p w14:paraId="2C299F8C" w14:textId="77777777" w:rsidR="0073478D" w:rsidRPr="0028098E" w:rsidRDefault="0073478D" w:rsidP="0073478D">
            <w:pPr>
              <w:spacing w:after="0" w:line="240" w:lineRule="auto"/>
              <w:rPr>
                <w:rFonts w:cs="Times New Roman"/>
                <w:sz w:val="16"/>
                <w:szCs w:val="16"/>
              </w:rPr>
            </w:pPr>
            <w:r>
              <w:rPr>
                <w:rFonts w:cs="Times New Roman"/>
                <w:sz w:val="16"/>
                <w:szCs w:val="16"/>
              </w:rPr>
              <w:t>41% (10 – 76%)</w:t>
            </w:r>
          </w:p>
        </w:tc>
        <w:tc>
          <w:tcPr>
            <w:tcW w:w="907" w:type="dxa"/>
            <w:gridSpan w:val="2"/>
            <w:tcBorders>
              <w:left w:val="nil"/>
              <w:right w:val="nil"/>
            </w:tcBorders>
            <w:vAlign w:val="center"/>
          </w:tcPr>
          <w:p w14:paraId="53DA814B" w14:textId="77777777" w:rsidR="0073478D" w:rsidRPr="0028098E" w:rsidRDefault="0073478D" w:rsidP="0073478D">
            <w:pPr>
              <w:spacing w:after="0" w:line="240" w:lineRule="auto"/>
              <w:rPr>
                <w:rFonts w:cs="Times New Roman"/>
                <w:sz w:val="16"/>
                <w:szCs w:val="16"/>
              </w:rPr>
            </w:pPr>
            <w:r>
              <w:rPr>
                <w:rFonts w:cs="Times New Roman"/>
                <w:sz w:val="16"/>
                <w:szCs w:val="16"/>
              </w:rPr>
              <w:t>118</w:t>
            </w:r>
          </w:p>
        </w:tc>
        <w:tc>
          <w:tcPr>
            <w:tcW w:w="1430" w:type="dxa"/>
            <w:tcBorders>
              <w:left w:val="nil"/>
              <w:right w:val="nil"/>
            </w:tcBorders>
            <w:vAlign w:val="center"/>
          </w:tcPr>
          <w:p w14:paraId="009F065F" w14:textId="77777777" w:rsidR="0073478D" w:rsidRPr="0028098E" w:rsidRDefault="0073478D" w:rsidP="0073478D">
            <w:pPr>
              <w:spacing w:after="0" w:line="240" w:lineRule="auto"/>
              <w:rPr>
                <w:rFonts w:cs="Times New Roman"/>
                <w:sz w:val="16"/>
                <w:szCs w:val="16"/>
              </w:rPr>
            </w:pPr>
            <w:r>
              <w:rPr>
                <w:rFonts w:cs="Times New Roman"/>
                <w:sz w:val="16"/>
                <w:szCs w:val="16"/>
              </w:rPr>
              <w:t>48% (26 – 72%)</w:t>
            </w:r>
          </w:p>
        </w:tc>
      </w:tr>
      <w:tr w:rsidR="0073478D" w:rsidRPr="0028098E" w14:paraId="042140DE" w14:textId="77777777" w:rsidTr="0000512F">
        <w:trPr>
          <w:trHeight w:val="227"/>
          <w:jc w:val="center"/>
        </w:trPr>
        <w:tc>
          <w:tcPr>
            <w:tcW w:w="3479" w:type="dxa"/>
            <w:tcBorders>
              <w:left w:val="nil"/>
              <w:right w:val="nil"/>
            </w:tcBorders>
            <w:vAlign w:val="center"/>
          </w:tcPr>
          <w:p w14:paraId="525D5D78" w14:textId="77777777" w:rsidR="0073478D" w:rsidRPr="0028098E" w:rsidRDefault="0073478D" w:rsidP="0073478D">
            <w:pPr>
              <w:spacing w:after="0" w:line="240" w:lineRule="auto"/>
              <w:rPr>
                <w:rFonts w:cs="Times New Roman"/>
                <w:sz w:val="16"/>
                <w:szCs w:val="16"/>
              </w:rPr>
            </w:pPr>
            <w:r w:rsidRPr="0028098E">
              <w:rPr>
                <w:rFonts w:cs="Times New Roman"/>
                <w:sz w:val="16"/>
                <w:szCs w:val="16"/>
              </w:rPr>
              <w:t>Ceftriaxone</w:t>
            </w:r>
          </w:p>
        </w:tc>
        <w:tc>
          <w:tcPr>
            <w:tcW w:w="903" w:type="dxa"/>
            <w:tcBorders>
              <w:left w:val="nil"/>
              <w:right w:val="nil"/>
            </w:tcBorders>
            <w:vAlign w:val="center"/>
          </w:tcPr>
          <w:p w14:paraId="62D7AD1E" w14:textId="77777777" w:rsidR="0073478D" w:rsidRPr="0028098E" w:rsidRDefault="0073478D" w:rsidP="0073478D">
            <w:pPr>
              <w:spacing w:after="0" w:line="240" w:lineRule="auto"/>
              <w:rPr>
                <w:rFonts w:cs="Times New Roman"/>
                <w:sz w:val="16"/>
                <w:szCs w:val="16"/>
              </w:rPr>
            </w:pPr>
            <w:r w:rsidRPr="001A4BD6">
              <w:rPr>
                <w:rFonts w:cs="Times New Roman"/>
                <w:sz w:val="16"/>
                <w:szCs w:val="16"/>
              </w:rPr>
              <w:t>ND</w:t>
            </w:r>
          </w:p>
        </w:tc>
        <w:tc>
          <w:tcPr>
            <w:tcW w:w="1493" w:type="dxa"/>
            <w:gridSpan w:val="2"/>
            <w:tcBorders>
              <w:left w:val="nil"/>
              <w:right w:val="nil"/>
            </w:tcBorders>
            <w:vAlign w:val="center"/>
          </w:tcPr>
          <w:p w14:paraId="071940A7" w14:textId="77777777" w:rsidR="0073478D" w:rsidRPr="0028098E" w:rsidRDefault="0073478D" w:rsidP="0073478D">
            <w:pPr>
              <w:spacing w:after="0" w:line="240" w:lineRule="auto"/>
              <w:rPr>
                <w:rFonts w:cs="Times New Roman"/>
                <w:sz w:val="16"/>
                <w:szCs w:val="16"/>
              </w:rPr>
            </w:pPr>
          </w:p>
        </w:tc>
        <w:tc>
          <w:tcPr>
            <w:tcW w:w="907" w:type="dxa"/>
            <w:gridSpan w:val="2"/>
            <w:tcBorders>
              <w:left w:val="nil"/>
              <w:right w:val="nil"/>
            </w:tcBorders>
            <w:vAlign w:val="center"/>
          </w:tcPr>
          <w:p w14:paraId="6ED1F798" w14:textId="77777777" w:rsidR="0073478D" w:rsidRPr="0028098E" w:rsidRDefault="0073478D" w:rsidP="0073478D">
            <w:pPr>
              <w:spacing w:after="0" w:line="240" w:lineRule="auto"/>
              <w:rPr>
                <w:rFonts w:cs="Times New Roman"/>
                <w:sz w:val="16"/>
                <w:szCs w:val="16"/>
              </w:rPr>
            </w:pPr>
            <w:r>
              <w:rPr>
                <w:rFonts w:cs="Times New Roman"/>
                <w:sz w:val="16"/>
                <w:szCs w:val="16"/>
              </w:rPr>
              <w:t>64</w:t>
            </w:r>
          </w:p>
        </w:tc>
        <w:tc>
          <w:tcPr>
            <w:tcW w:w="1480" w:type="dxa"/>
            <w:gridSpan w:val="3"/>
            <w:tcBorders>
              <w:left w:val="nil"/>
              <w:right w:val="nil"/>
            </w:tcBorders>
            <w:vAlign w:val="center"/>
          </w:tcPr>
          <w:p w14:paraId="08147384" w14:textId="77777777" w:rsidR="0073478D" w:rsidRPr="0028098E" w:rsidRDefault="0073478D" w:rsidP="0073478D">
            <w:pPr>
              <w:spacing w:after="0" w:line="240" w:lineRule="auto"/>
              <w:rPr>
                <w:rFonts w:cs="Times New Roman"/>
                <w:sz w:val="16"/>
                <w:szCs w:val="16"/>
              </w:rPr>
            </w:pPr>
            <w:r>
              <w:rPr>
                <w:rFonts w:cs="Times New Roman"/>
                <w:sz w:val="16"/>
                <w:szCs w:val="16"/>
              </w:rPr>
              <w:t>40% (18 – 63%)</w:t>
            </w:r>
          </w:p>
        </w:tc>
        <w:tc>
          <w:tcPr>
            <w:tcW w:w="907" w:type="dxa"/>
            <w:gridSpan w:val="3"/>
            <w:tcBorders>
              <w:left w:val="nil"/>
              <w:right w:val="nil"/>
            </w:tcBorders>
            <w:vAlign w:val="center"/>
          </w:tcPr>
          <w:p w14:paraId="13A034A5" w14:textId="77777777" w:rsidR="0073478D" w:rsidRPr="0028098E" w:rsidRDefault="0073478D" w:rsidP="0073478D">
            <w:pPr>
              <w:spacing w:after="0" w:line="240" w:lineRule="auto"/>
              <w:rPr>
                <w:rFonts w:cs="Times New Roman"/>
                <w:sz w:val="16"/>
                <w:szCs w:val="16"/>
              </w:rPr>
            </w:pPr>
            <w:r>
              <w:rPr>
                <w:rFonts w:cs="Times New Roman"/>
                <w:sz w:val="16"/>
                <w:szCs w:val="16"/>
              </w:rPr>
              <w:t>5</w:t>
            </w:r>
          </w:p>
        </w:tc>
        <w:tc>
          <w:tcPr>
            <w:tcW w:w="1451" w:type="dxa"/>
            <w:gridSpan w:val="2"/>
            <w:tcBorders>
              <w:left w:val="nil"/>
              <w:right w:val="nil"/>
            </w:tcBorders>
            <w:vAlign w:val="center"/>
          </w:tcPr>
          <w:p w14:paraId="04105F6F" w14:textId="77777777" w:rsidR="0073478D" w:rsidRPr="0028098E" w:rsidRDefault="0073478D" w:rsidP="0073478D">
            <w:pPr>
              <w:spacing w:after="0" w:line="240" w:lineRule="auto"/>
              <w:rPr>
                <w:rFonts w:cs="Times New Roman"/>
                <w:sz w:val="16"/>
                <w:szCs w:val="16"/>
              </w:rPr>
            </w:pPr>
            <w:r>
              <w:rPr>
                <w:rFonts w:cs="Times New Roman"/>
                <w:sz w:val="16"/>
                <w:szCs w:val="16"/>
              </w:rPr>
              <w:t>100% (57 – 100%)</w:t>
            </w:r>
          </w:p>
        </w:tc>
        <w:tc>
          <w:tcPr>
            <w:tcW w:w="907" w:type="dxa"/>
            <w:gridSpan w:val="2"/>
            <w:tcBorders>
              <w:left w:val="nil"/>
              <w:right w:val="nil"/>
            </w:tcBorders>
            <w:vAlign w:val="center"/>
          </w:tcPr>
          <w:p w14:paraId="0329CF5D" w14:textId="77777777" w:rsidR="0073478D" w:rsidRPr="0028098E" w:rsidRDefault="0073478D" w:rsidP="0073478D">
            <w:pPr>
              <w:spacing w:after="0" w:line="240" w:lineRule="auto"/>
              <w:rPr>
                <w:rFonts w:cs="Times New Roman"/>
                <w:sz w:val="16"/>
                <w:szCs w:val="16"/>
              </w:rPr>
            </w:pPr>
            <w:r>
              <w:rPr>
                <w:rFonts w:cs="Times New Roman"/>
                <w:sz w:val="16"/>
                <w:szCs w:val="16"/>
              </w:rPr>
              <w:t>64</w:t>
            </w:r>
          </w:p>
        </w:tc>
        <w:tc>
          <w:tcPr>
            <w:tcW w:w="1418" w:type="dxa"/>
            <w:gridSpan w:val="2"/>
            <w:tcBorders>
              <w:left w:val="nil"/>
              <w:right w:val="nil"/>
            </w:tcBorders>
            <w:vAlign w:val="center"/>
          </w:tcPr>
          <w:p w14:paraId="7604D270" w14:textId="77777777" w:rsidR="0073478D" w:rsidRPr="0028098E" w:rsidRDefault="0073478D" w:rsidP="0073478D">
            <w:pPr>
              <w:spacing w:after="0" w:line="240" w:lineRule="auto"/>
              <w:rPr>
                <w:rFonts w:cs="Times New Roman"/>
                <w:sz w:val="16"/>
                <w:szCs w:val="16"/>
              </w:rPr>
            </w:pPr>
            <w:r>
              <w:rPr>
                <w:rFonts w:cs="Times New Roman"/>
                <w:sz w:val="16"/>
                <w:szCs w:val="16"/>
              </w:rPr>
              <w:t>24% (4 – 50%)</w:t>
            </w:r>
          </w:p>
        </w:tc>
        <w:tc>
          <w:tcPr>
            <w:tcW w:w="907" w:type="dxa"/>
            <w:gridSpan w:val="2"/>
            <w:tcBorders>
              <w:left w:val="nil"/>
              <w:right w:val="nil"/>
            </w:tcBorders>
            <w:vAlign w:val="center"/>
          </w:tcPr>
          <w:p w14:paraId="320A009C" w14:textId="77777777" w:rsidR="0073478D" w:rsidRPr="0028098E" w:rsidRDefault="0073478D" w:rsidP="0073478D">
            <w:pPr>
              <w:spacing w:after="0" w:line="240" w:lineRule="auto"/>
              <w:rPr>
                <w:rFonts w:cs="Times New Roman"/>
                <w:sz w:val="16"/>
                <w:szCs w:val="16"/>
              </w:rPr>
            </w:pPr>
            <w:r>
              <w:rPr>
                <w:rFonts w:cs="Times New Roman"/>
                <w:sz w:val="16"/>
                <w:szCs w:val="16"/>
              </w:rPr>
              <w:t>133</w:t>
            </w:r>
          </w:p>
        </w:tc>
        <w:tc>
          <w:tcPr>
            <w:tcW w:w="1430" w:type="dxa"/>
            <w:tcBorders>
              <w:left w:val="nil"/>
              <w:right w:val="nil"/>
            </w:tcBorders>
            <w:vAlign w:val="center"/>
          </w:tcPr>
          <w:p w14:paraId="44C63D0F" w14:textId="77777777" w:rsidR="0073478D" w:rsidRPr="0028098E" w:rsidRDefault="0073478D" w:rsidP="0073478D">
            <w:pPr>
              <w:spacing w:after="0" w:line="240" w:lineRule="auto"/>
              <w:rPr>
                <w:rFonts w:cs="Times New Roman"/>
                <w:sz w:val="16"/>
                <w:szCs w:val="16"/>
              </w:rPr>
            </w:pPr>
            <w:r>
              <w:rPr>
                <w:rFonts w:cs="Times New Roman"/>
                <w:sz w:val="16"/>
                <w:szCs w:val="16"/>
              </w:rPr>
              <w:t>38% (19 – 58%)</w:t>
            </w:r>
          </w:p>
        </w:tc>
      </w:tr>
      <w:tr w:rsidR="0073478D" w:rsidRPr="0028098E" w14:paraId="7F52F29E" w14:textId="77777777" w:rsidTr="0000512F">
        <w:trPr>
          <w:trHeight w:val="227"/>
          <w:jc w:val="center"/>
        </w:trPr>
        <w:tc>
          <w:tcPr>
            <w:tcW w:w="3479" w:type="dxa"/>
            <w:tcBorders>
              <w:left w:val="nil"/>
              <w:right w:val="nil"/>
            </w:tcBorders>
            <w:vAlign w:val="center"/>
          </w:tcPr>
          <w:p w14:paraId="0AC24504" w14:textId="77777777" w:rsidR="0073478D" w:rsidRPr="0028098E" w:rsidRDefault="0073478D" w:rsidP="0073478D">
            <w:pPr>
              <w:spacing w:after="0" w:line="240" w:lineRule="auto"/>
              <w:rPr>
                <w:rFonts w:cs="Times New Roman"/>
                <w:sz w:val="16"/>
                <w:szCs w:val="16"/>
              </w:rPr>
            </w:pPr>
            <w:r w:rsidRPr="0028098E">
              <w:rPr>
                <w:rFonts w:cs="Times New Roman"/>
                <w:sz w:val="16"/>
                <w:szCs w:val="16"/>
              </w:rPr>
              <w:t>Ciprofloxacin</w:t>
            </w:r>
          </w:p>
        </w:tc>
        <w:tc>
          <w:tcPr>
            <w:tcW w:w="903" w:type="dxa"/>
            <w:tcBorders>
              <w:left w:val="nil"/>
              <w:right w:val="nil"/>
            </w:tcBorders>
            <w:vAlign w:val="center"/>
          </w:tcPr>
          <w:p w14:paraId="59DE5F0D" w14:textId="77777777" w:rsidR="0073478D" w:rsidRPr="0028098E" w:rsidRDefault="0073478D" w:rsidP="0073478D">
            <w:pPr>
              <w:spacing w:after="0" w:line="240" w:lineRule="auto"/>
              <w:rPr>
                <w:rFonts w:cs="Times New Roman"/>
                <w:sz w:val="16"/>
                <w:szCs w:val="16"/>
              </w:rPr>
            </w:pPr>
            <w:r w:rsidRPr="001A4BD6">
              <w:rPr>
                <w:rFonts w:cs="Times New Roman"/>
                <w:sz w:val="16"/>
                <w:szCs w:val="16"/>
              </w:rPr>
              <w:t>ND</w:t>
            </w:r>
          </w:p>
        </w:tc>
        <w:tc>
          <w:tcPr>
            <w:tcW w:w="1493" w:type="dxa"/>
            <w:gridSpan w:val="2"/>
            <w:tcBorders>
              <w:left w:val="nil"/>
              <w:right w:val="nil"/>
            </w:tcBorders>
            <w:vAlign w:val="center"/>
          </w:tcPr>
          <w:p w14:paraId="42F16331" w14:textId="77777777" w:rsidR="0073478D" w:rsidRPr="0028098E" w:rsidRDefault="0073478D" w:rsidP="0073478D">
            <w:pPr>
              <w:spacing w:after="0" w:line="240" w:lineRule="auto"/>
              <w:rPr>
                <w:rFonts w:cs="Times New Roman"/>
                <w:sz w:val="16"/>
                <w:szCs w:val="16"/>
              </w:rPr>
            </w:pPr>
          </w:p>
        </w:tc>
        <w:tc>
          <w:tcPr>
            <w:tcW w:w="907" w:type="dxa"/>
            <w:gridSpan w:val="2"/>
            <w:tcBorders>
              <w:left w:val="nil"/>
              <w:right w:val="nil"/>
            </w:tcBorders>
            <w:vAlign w:val="center"/>
          </w:tcPr>
          <w:p w14:paraId="4177371A" w14:textId="77777777" w:rsidR="0073478D" w:rsidRPr="0028098E" w:rsidRDefault="0073478D" w:rsidP="0073478D">
            <w:pPr>
              <w:spacing w:after="0" w:line="240" w:lineRule="auto"/>
              <w:rPr>
                <w:rFonts w:cs="Times New Roman"/>
                <w:sz w:val="16"/>
                <w:szCs w:val="16"/>
              </w:rPr>
            </w:pPr>
            <w:r>
              <w:rPr>
                <w:rFonts w:cs="Times New Roman"/>
                <w:sz w:val="16"/>
                <w:szCs w:val="16"/>
              </w:rPr>
              <w:t>40</w:t>
            </w:r>
          </w:p>
        </w:tc>
        <w:tc>
          <w:tcPr>
            <w:tcW w:w="1480" w:type="dxa"/>
            <w:gridSpan w:val="3"/>
            <w:tcBorders>
              <w:left w:val="nil"/>
              <w:right w:val="nil"/>
            </w:tcBorders>
            <w:vAlign w:val="center"/>
          </w:tcPr>
          <w:p w14:paraId="1589B44B" w14:textId="77777777" w:rsidR="0073478D" w:rsidRPr="0028098E" w:rsidRDefault="0073478D" w:rsidP="0073478D">
            <w:pPr>
              <w:spacing w:after="0" w:line="240" w:lineRule="auto"/>
              <w:rPr>
                <w:rFonts w:cs="Times New Roman"/>
                <w:sz w:val="16"/>
                <w:szCs w:val="16"/>
              </w:rPr>
            </w:pPr>
            <w:r>
              <w:rPr>
                <w:rFonts w:cs="Times New Roman"/>
                <w:sz w:val="16"/>
                <w:szCs w:val="16"/>
              </w:rPr>
              <w:t>4% (0 – 16%)</w:t>
            </w:r>
          </w:p>
        </w:tc>
        <w:tc>
          <w:tcPr>
            <w:tcW w:w="907" w:type="dxa"/>
            <w:gridSpan w:val="3"/>
            <w:tcBorders>
              <w:left w:val="nil"/>
              <w:right w:val="nil"/>
            </w:tcBorders>
            <w:vAlign w:val="center"/>
          </w:tcPr>
          <w:p w14:paraId="5ED65E89" w14:textId="77777777" w:rsidR="0073478D" w:rsidRPr="0028098E" w:rsidRDefault="0073478D" w:rsidP="0073478D">
            <w:pPr>
              <w:spacing w:after="0" w:line="240" w:lineRule="auto"/>
              <w:rPr>
                <w:rFonts w:cs="Times New Roman"/>
                <w:sz w:val="16"/>
                <w:szCs w:val="16"/>
              </w:rPr>
            </w:pPr>
            <w:r>
              <w:rPr>
                <w:rFonts w:cs="Times New Roman"/>
                <w:sz w:val="16"/>
                <w:szCs w:val="16"/>
              </w:rPr>
              <w:t>8</w:t>
            </w:r>
          </w:p>
        </w:tc>
        <w:tc>
          <w:tcPr>
            <w:tcW w:w="1451" w:type="dxa"/>
            <w:gridSpan w:val="2"/>
            <w:tcBorders>
              <w:left w:val="nil"/>
              <w:right w:val="nil"/>
            </w:tcBorders>
            <w:vAlign w:val="center"/>
          </w:tcPr>
          <w:p w14:paraId="60F59DEF" w14:textId="77777777" w:rsidR="0073478D" w:rsidRPr="0028098E" w:rsidRDefault="0073478D" w:rsidP="0073478D">
            <w:pPr>
              <w:spacing w:after="0" w:line="240" w:lineRule="auto"/>
              <w:rPr>
                <w:rFonts w:cs="Times New Roman"/>
                <w:sz w:val="16"/>
                <w:szCs w:val="16"/>
              </w:rPr>
            </w:pPr>
            <w:r>
              <w:rPr>
                <w:rFonts w:cs="Times New Roman"/>
                <w:sz w:val="16"/>
                <w:szCs w:val="16"/>
              </w:rPr>
              <w:t>64% (24 – 96%)</w:t>
            </w:r>
          </w:p>
        </w:tc>
        <w:tc>
          <w:tcPr>
            <w:tcW w:w="907" w:type="dxa"/>
            <w:gridSpan w:val="2"/>
            <w:tcBorders>
              <w:left w:val="nil"/>
              <w:right w:val="nil"/>
            </w:tcBorders>
            <w:vAlign w:val="center"/>
          </w:tcPr>
          <w:p w14:paraId="49B8D6CE" w14:textId="77777777" w:rsidR="0073478D" w:rsidRPr="0028098E" w:rsidRDefault="0073478D" w:rsidP="0073478D">
            <w:pPr>
              <w:spacing w:after="0" w:line="240" w:lineRule="auto"/>
              <w:rPr>
                <w:rFonts w:cs="Times New Roman"/>
                <w:sz w:val="16"/>
                <w:szCs w:val="16"/>
              </w:rPr>
            </w:pPr>
            <w:r>
              <w:rPr>
                <w:rFonts w:cs="Times New Roman"/>
                <w:sz w:val="16"/>
                <w:szCs w:val="16"/>
              </w:rPr>
              <w:t>52</w:t>
            </w:r>
          </w:p>
        </w:tc>
        <w:tc>
          <w:tcPr>
            <w:tcW w:w="1418" w:type="dxa"/>
            <w:gridSpan w:val="2"/>
            <w:tcBorders>
              <w:left w:val="nil"/>
              <w:right w:val="nil"/>
            </w:tcBorders>
            <w:vAlign w:val="center"/>
          </w:tcPr>
          <w:p w14:paraId="531575C6" w14:textId="77777777" w:rsidR="0073478D" w:rsidRPr="0028098E" w:rsidRDefault="0073478D" w:rsidP="0073478D">
            <w:pPr>
              <w:spacing w:after="0" w:line="240" w:lineRule="auto"/>
              <w:rPr>
                <w:rFonts w:cs="Times New Roman"/>
                <w:sz w:val="16"/>
                <w:szCs w:val="16"/>
              </w:rPr>
            </w:pPr>
            <w:r>
              <w:rPr>
                <w:rFonts w:cs="Times New Roman"/>
                <w:sz w:val="16"/>
                <w:szCs w:val="16"/>
              </w:rPr>
              <w:t>13% (0 – 34%)</w:t>
            </w:r>
          </w:p>
        </w:tc>
        <w:tc>
          <w:tcPr>
            <w:tcW w:w="907" w:type="dxa"/>
            <w:gridSpan w:val="2"/>
            <w:tcBorders>
              <w:left w:val="nil"/>
              <w:right w:val="nil"/>
            </w:tcBorders>
            <w:vAlign w:val="center"/>
          </w:tcPr>
          <w:p w14:paraId="79541E11" w14:textId="77777777" w:rsidR="0073478D" w:rsidRPr="0028098E" w:rsidRDefault="0073478D" w:rsidP="0073478D">
            <w:pPr>
              <w:spacing w:after="0" w:line="240" w:lineRule="auto"/>
              <w:rPr>
                <w:rFonts w:cs="Times New Roman"/>
                <w:sz w:val="16"/>
                <w:szCs w:val="16"/>
              </w:rPr>
            </w:pPr>
            <w:r>
              <w:rPr>
                <w:rFonts w:cs="Times New Roman"/>
                <w:sz w:val="16"/>
                <w:szCs w:val="16"/>
              </w:rPr>
              <w:t>100</w:t>
            </w:r>
          </w:p>
        </w:tc>
        <w:tc>
          <w:tcPr>
            <w:tcW w:w="1430" w:type="dxa"/>
            <w:tcBorders>
              <w:left w:val="nil"/>
              <w:right w:val="nil"/>
            </w:tcBorders>
            <w:vAlign w:val="center"/>
          </w:tcPr>
          <w:p w14:paraId="2B127D05" w14:textId="77777777" w:rsidR="0073478D" w:rsidRPr="0028098E" w:rsidRDefault="0073478D" w:rsidP="0073478D">
            <w:pPr>
              <w:spacing w:after="0" w:line="240" w:lineRule="auto"/>
              <w:rPr>
                <w:rFonts w:cs="Times New Roman"/>
                <w:sz w:val="16"/>
                <w:szCs w:val="16"/>
              </w:rPr>
            </w:pPr>
            <w:r>
              <w:rPr>
                <w:rFonts w:cs="Times New Roman"/>
                <w:sz w:val="16"/>
                <w:szCs w:val="16"/>
              </w:rPr>
              <w:t>14% (3 – 30%)</w:t>
            </w:r>
          </w:p>
        </w:tc>
      </w:tr>
      <w:tr w:rsidR="0073478D" w:rsidRPr="0028098E" w14:paraId="54AB7A30" w14:textId="77777777" w:rsidTr="0000512F">
        <w:trPr>
          <w:trHeight w:val="227"/>
          <w:jc w:val="center"/>
        </w:trPr>
        <w:tc>
          <w:tcPr>
            <w:tcW w:w="3479" w:type="dxa"/>
            <w:tcBorders>
              <w:left w:val="nil"/>
              <w:right w:val="nil"/>
            </w:tcBorders>
            <w:vAlign w:val="center"/>
          </w:tcPr>
          <w:p w14:paraId="2C329461" w14:textId="77777777" w:rsidR="0073478D" w:rsidRPr="0028098E" w:rsidRDefault="0073478D" w:rsidP="0073478D">
            <w:pPr>
              <w:spacing w:after="0" w:line="240" w:lineRule="auto"/>
              <w:rPr>
                <w:rFonts w:cs="Times New Roman"/>
                <w:sz w:val="16"/>
                <w:szCs w:val="16"/>
              </w:rPr>
            </w:pPr>
            <w:r w:rsidRPr="0028098E">
              <w:rPr>
                <w:rFonts w:cs="Times New Roman"/>
                <w:sz w:val="16"/>
                <w:szCs w:val="16"/>
              </w:rPr>
              <w:t>Gentamicin</w:t>
            </w:r>
          </w:p>
        </w:tc>
        <w:tc>
          <w:tcPr>
            <w:tcW w:w="903" w:type="dxa"/>
            <w:tcBorders>
              <w:left w:val="nil"/>
              <w:right w:val="nil"/>
            </w:tcBorders>
            <w:vAlign w:val="center"/>
          </w:tcPr>
          <w:p w14:paraId="2B73262E" w14:textId="77777777" w:rsidR="0073478D" w:rsidRPr="0028098E" w:rsidRDefault="0073478D" w:rsidP="0073478D">
            <w:pPr>
              <w:spacing w:after="0" w:line="240" w:lineRule="auto"/>
              <w:rPr>
                <w:rFonts w:cs="Times New Roman"/>
                <w:sz w:val="16"/>
                <w:szCs w:val="16"/>
              </w:rPr>
            </w:pPr>
            <w:r>
              <w:rPr>
                <w:rFonts w:cs="Times New Roman"/>
                <w:sz w:val="16"/>
                <w:szCs w:val="16"/>
              </w:rPr>
              <w:t>6</w:t>
            </w:r>
          </w:p>
        </w:tc>
        <w:tc>
          <w:tcPr>
            <w:tcW w:w="1493" w:type="dxa"/>
            <w:gridSpan w:val="2"/>
            <w:tcBorders>
              <w:left w:val="nil"/>
              <w:right w:val="nil"/>
            </w:tcBorders>
            <w:vAlign w:val="center"/>
          </w:tcPr>
          <w:p w14:paraId="7B8C7D7C" w14:textId="77777777" w:rsidR="0073478D" w:rsidRPr="0028098E" w:rsidRDefault="0073478D" w:rsidP="0073478D">
            <w:pPr>
              <w:spacing w:after="0" w:line="240" w:lineRule="auto"/>
              <w:rPr>
                <w:rFonts w:cs="Times New Roman"/>
                <w:sz w:val="16"/>
                <w:szCs w:val="16"/>
              </w:rPr>
            </w:pPr>
            <w:r>
              <w:rPr>
                <w:rFonts w:cs="Times New Roman"/>
                <w:sz w:val="16"/>
                <w:szCs w:val="16"/>
              </w:rPr>
              <w:t>26% (0 – 74%)</w:t>
            </w:r>
          </w:p>
        </w:tc>
        <w:tc>
          <w:tcPr>
            <w:tcW w:w="907" w:type="dxa"/>
            <w:gridSpan w:val="2"/>
            <w:tcBorders>
              <w:left w:val="nil"/>
              <w:right w:val="nil"/>
            </w:tcBorders>
            <w:vAlign w:val="center"/>
          </w:tcPr>
          <w:p w14:paraId="57B708E3" w14:textId="77777777" w:rsidR="0073478D" w:rsidRPr="0028098E" w:rsidRDefault="0073478D" w:rsidP="0073478D">
            <w:pPr>
              <w:spacing w:after="0" w:line="240" w:lineRule="auto"/>
              <w:rPr>
                <w:rFonts w:cs="Times New Roman"/>
                <w:sz w:val="16"/>
                <w:szCs w:val="16"/>
              </w:rPr>
            </w:pPr>
            <w:r>
              <w:rPr>
                <w:rFonts w:cs="Times New Roman"/>
                <w:sz w:val="16"/>
                <w:szCs w:val="16"/>
              </w:rPr>
              <w:t>60</w:t>
            </w:r>
          </w:p>
        </w:tc>
        <w:tc>
          <w:tcPr>
            <w:tcW w:w="1480" w:type="dxa"/>
            <w:gridSpan w:val="3"/>
            <w:tcBorders>
              <w:left w:val="nil"/>
              <w:right w:val="nil"/>
            </w:tcBorders>
            <w:vAlign w:val="center"/>
          </w:tcPr>
          <w:p w14:paraId="23DCDCA2" w14:textId="77777777" w:rsidR="0073478D" w:rsidRPr="0028098E" w:rsidRDefault="0073478D" w:rsidP="0073478D">
            <w:pPr>
              <w:spacing w:after="0" w:line="240" w:lineRule="auto"/>
              <w:rPr>
                <w:rFonts w:cs="Times New Roman"/>
                <w:sz w:val="16"/>
                <w:szCs w:val="16"/>
              </w:rPr>
            </w:pPr>
            <w:r>
              <w:rPr>
                <w:rFonts w:cs="Times New Roman"/>
                <w:sz w:val="16"/>
                <w:szCs w:val="16"/>
              </w:rPr>
              <w:t>43% (13 – 75%)</w:t>
            </w:r>
          </w:p>
        </w:tc>
        <w:tc>
          <w:tcPr>
            <w:tcW w:w="907" w:type="dxa"/>
            <w:gridSpan w:val="3"/>
            <w:tcBorders>
              <w:left w:val="nil"/>
              <w:right w:val="nil"/>
            </w:tcBorders>
            <w:vAlign w:val="center"/>
          </w:tcPr>
          <w:p w14:paraId="6B090977" w14:textId="77777777" w:rsidR="0073478D" w:rsidRPr="0028098E" w:rsidRDefault="0073478D" w:rsidP="0073478D">
            <w:pPr>
              <w:spacing w:after="0" w:line="240" w:lineRule="auto"/>
              <w:rPr>
                <w:rFonts w:cs="Times New Roman"/>
                <w:sz w:val="16"/>
                <w:szCs w:val="16"/>
              </w:rPr>
            </w:pPr>
            <w:r>
              <w:rPr>
                <w:rFonts w:cs="Times New Roman"/>
                <w:sz w:val="16"/>
                <w:szCs w:val="16"/>
              </w:rPr>
              <w:t>29</w:t>
            </w:r>
          </w:p>
        </w:tc>
        <w:tc>
          <w:tcPr>
            <w:tcW w:w="1451" w:type="dxa"/>
            <w:gridSpan w:val="2"/>
            <w:tcBorders>
              <w:left w:val="nil"/>
              <w:right w:val="nil"/>
            </w:tcBorders>
            <w:vAlign w:val="center"/>
          </w:tcPr>
          <w:p w14:paraId="54BD1988" w14:textId="77777777" w:rsidR="0073478D" w:rsidRPr="0028098E" w:rsidRDefault="0073478D" w:rsidP="0073478D">
            <w:pPr>
              <w:spacing w:after="0" w:line="240" w:lineRule="auto"/>
              <w:rPr>
                <w:rFonts w:cs="Times New Roman"/>
                <w:sz w:val="16"/>
                <w:szCs w:val="16"/>
              </w:rPr>
            </w:pPr>
            <w:r>
              <w:rPr>
                <w:rFonts w:cs="Times New Roman"/>
                <w:sz w:val="16"/>
                <w:szCs w:val="16"/>
              </w:rPr>
              <w:t>48% (9 – 88%)</w:t>
            </w:r>
          </w:p>
        </w:tc>
        <w:tc>
          <w:tcPr>
            <w:tcW w:w="907" w:type="dxa"/>
            <w:gridSpan w:val="2"/>
            <w:tcBorders>
              <w:left w:val="nil"/>
              <w:right w:val="nil"/>
            </w:tcBorders>
            <w:vAlign w:val="center"/>
          </w:tcPr>
          <w:p w14:paraId="7589679F" w14:textId="77777777" w:rsidR="0073478D" w:rsidRPr="0028098E" w:rsidRDefault="0073478D" w:rsidP="0073478D">
            <w:pPr>
              <w:spacing w:after="0" w:line="240" w:lineRule="auto"/>
              <w:rPr>
                <w:rFonts w:cs="Times New Roman"/>
                <w:sz w:val="16"/>
                <w:szCs w:val="16"/>
              </w:rPr>
            </w:pPr>
            <w:r>
              <w:rPr>
                <w:rFonts w:cs="Times New Roman"/>
                <w:sz w:val="16"/>
                <w:szCs w:val="16"/>
              </w:rPr>
              <w:t>98</w:t>
            </w:r>
          </w:p>
        </w:tc>
        <w:tc>
          <w:tcPr>
            <w:tcW w:w="1418" w:type="dxa"/>
            <w:gridSpan w:val="2"/>
            <w:tcBorders>
              <w:left w:val="nil"/>
              <w:right w:val="nil"/>
            </w:tcBorders>
            <w:vAlign w:val="center"/>
          </w:tcPr>
          <w:p w14:paraId="33592A36" w14:textId="77777777" w:rsidR="0073478D" w:rsidRPr="0028098E" w:rsidRDefault="0073478D" w:rsidP="0073478D">
            <w:pPr>
              <w:spacing w:after="0" w:line="240" w:lineRule="auto"/>
              <w:rPr>
                <w:rFonts w:cs="Times New Roman"/>
                <w:sz w:val="16"/>
                <w:szCs w:val="16"/>
              </w:rPr>
            </w:pPr>
            <w:r>
              <w:rPr>
                <w:rFonts w:cs="Times New Roman"/>
                <w:sz w:val="16"/>
                <w:szCs w:val="16"/>
              </w:rPr>
              <w:t>52% (13 – 90%)</w:t>
            </w:r>
          </w:p>
        </w:tc>
        <w:tc>
          <w:tcPr>
            <w:tcW w:w="907" w:type="dxa"/>
            <w:gridSpan w:val="2"/>
            <w:tcBorders>
              <w:left w:val="nil"/>
              <w:right w:val="nil"/>
            </w:tcBorders>
            <w:vAlign w:val="center"/>
          </w:tcPr>
          <w:p w14:paraId="7EB51F5F" w14:textId="77777777" w:rsidR="0073478D" w:rsidRPr="0028098E" w:rsidRDefault="0073478D" w:rsidP="0073478D">
            <w:pPr>
              <w:spacing w:after="0" w:line="240" w:lineRule="auto"/>
              <w:rPr>
                <w:rFonts w:cs="Times New Roman"/>
                <w:sz w:val="16"/>
                <w:szCs w:val="16"/>
              </w:rPr>
            </w:pPr>
            <w:r>
              <w:rPr>
                <w:rFonts w:cs="Times New Roman"/>
                <w:sz w:val="16"/>
                <w:szCs w:val="16"/>
              </w:rPr>
              <w:t>193</w:t>
            </w:r>
          </w:p>
        </w:tc>
        <w:tc>
          <w:tcPr>
            <w:tcW w:w="1430" w:type="dxa"/>
            <w:tcBorders>
              <w:left w:val="nil"/>
              <w:right w:val="nil"/>
            </w:tcBorders>
            <w:vAlign w:val="center"/>
          </w:tcPr>
          <w:p w14:paraId="058183D7" w14:textId="77777777" w:rsidR="0073478D" w:rsidRPr="0028098E" w:rsidRDefault="0073478D" w:rsidP="0073478D">
            <w:pPr>
              <w:spacing w:after="0" w:line="240" w:lineRule="auto"/>
              <w:rPr>
                <w:rFonts w:cs="Times New Roman"/>
                <w:sz w:val="16"/>
                <w:szCs w:val="16"/>
              </w:rPr>
            </w:pPr>
            <w:r>
              <w:rPr>
                <w:rFonts w:cs="Times New Roman"/>
                <w:sz w:val="16"/>
                <w:szCs w:val="16"/>
              </w:rPr>
              <w:t>47% (25 – 69%)</w:t>
            </w:r>
          </w:p>
        </w:tc>
      </w:tr>
      <w:tr w:rsidR="0073478D" w:rsidRPr="0028098E" w14:paraId="2C695ED0" w14:textId="77777777" w:rsidTr="0000512F">
        <w:trPr>
          <w:trHeight w:val="227"/>
          <w:jc w:val="center"/>
        </w:trPr>
        <w:tc>
          <w:tcPr>
            <w:tcW w:w="3479" w:type="dxa"/>
            <w:tcBorders>
              <w:left w:val="nil"/>
              <w:right w:val="nil"/>
            </w:tcBorders>
            <w:vAlign w:val="center"/>
          </w:tcPr>
          <w:p w14:paraId="517B6E49" w14:textId="77777777" w:rsidR="0073478D" w:rsidRPr="0028098E" w:rsidRDefault="0073478D" w:rsidP="0073478D">
            <w:pPr>
              <w:spacing w:after="0" w:line="240" w:lineRule="auto"/>
              <w:rPr>
                <w:rFonts w:cs="Times New Roman"/>
                <w:sz w:val="16"/>
                <w:szCs w:val="16"/>
              </w:rPr>
            </w:pPr>
            <w:r w:rsidRPr="0028098E">
              <w:rPr>
                <w:rFonts w:cs="Times New Roman"/>
                <w:sz w:val="16"/>
                <w:szCs w:val="16"/>
              </w:rPr>
              <w:t>Amikacin</w:t>
            </w:r>
          </w:p>
        </w:tc>
        <w:tc>
          <w:tcPr>
            <w:tcW w:w="903" w:type="dxa"/>
            <w:tcBorders>
              <w:left w:val="nil"/>
              <w:right w:val="nil"/>
            </w:tcBorders>
            <w:vAlign w:val="center"/>
          </w:tcPr>
          <w:p w14:paraId="0742C11D" w14:textId="77777777" w:rsidR="0073478D" w:rsidRDefault="0073478D" w:rsidP="0073478D">
            <w:pPr>
              <w:spacing w:after="0" w:line="240" w:lineRule="auto"/>
              <w:rPr>
                <w:rFonts w:cs="Times New Roman"/>
                <w:sz w:val="16"/>
                <w:szCs w:val="16"/>
              </w:rPr>
            </w:pPr>
            <w:r>
              <w:rPr>
                <w:rFonts w:cs="Times New Roman"/>
                <w:sz w:val="16"/>
                <w:szCs w:val="16"/>
              </w:rPr>
              <w:t>4</w:t>
            </w:r>
          </w:p>
        </w:tc>
        <w:tc>
          <w:tcPr>
            <w:tcW w:w="1493" w:type="dxa"/>
            <w:gridSpan w:val="2"/>
            <w:tcBorders>
              <w:left w:val="nil"/>
              <w:right w:val="nil"/>
            </w:tcBorders>
            <w:vAlign w:val="center"/>
          </w:tcPr>
          <w:p w14:paraId="26F719CD" w14:textId="77777777" w:rsidR="0073478D" w:rsidRDefault="0073478D" w:rsidP="0073478D">
            <w:pPr>
              <w:spacing w:after="0" w:line="240" w:lineRule="auto"/>
              <w:rPr>
                <w:rFonts w:cs="Times New Roman"/>
                <w:sz w:val="16"/>
                <w:szCs w:val="16"/>
              </w:rPr>
            </w:pPr>
            <w:r>
              <w:rPr>
                <w:rFonts w:cs="Times New Roman"/>
                <w:sz w:val="16"/>
                <w:szCs w:val="16"/>
              </w:rPr>
              <w:t>0 (0 – 49%)</w:t>
            </w:r>
          </w:p>
        </w:tc>
        <w:tc>
          <w:tcPr>
            <w:tcW w:w="907" w:type="dxa"/>
            <w:gridSpan w:val="2"/>
            <w:tcBorders>
              <w:left w:val="nil"/>
              <w:right w:val="nil"/>
            </w:tcBorders>
            <w:vAlign w:val="center"/>
          </w:tcPr>
          <w:p w14:paraId="70A5A403" w14:textId="77777777" w:rsidR="0073478D" w:rsidRDefault="0073478D" w:rsidP="0073478D">
            <w:pPr>
              <w:spacing w:after="0" w:line="240" w:lineRule="auto"/>
              <w:rPr>
                <w:rFonts w:cs="Times New Roman"/>
                <w:sz w:val="16"/>
                <w:szCs w:val="16"/>
              </w:rPr>
            </w:pPr>
            <w:r>
              <w:rPr>
                <w:rFonts w:cs="Times New Roman"/>
                <w:sz w:val="16"/>
                <w:szCs w:val="16"/>
              </w:rPr>
              <w:t>16</w:t>
            </w:r>
          </w:p>
        </w:tc>
        <w:tc>
          <w:tcPr>
            <w:tcW w:w="1480" w:type="dxa"/>
            <w:gridSpan w:val="3"/>
            <w:tcBorders>
              <w:left w:val="nil"/>
              <w:right w:val="nil"/>
            </w:tcBorders>
            <w:vAlign w:val="center"/>
          </w:tcPr>
          <w:p w14:paraId="1D91FF6D" w14:textId="77777777" w:rsidR="0073478D" w:rsidRDefault="0073478D" w:rsidP="0073478D">
            <w:pPr>
              <w:spacing w:after="0" w:line="240" w:lineRule="auto"/>
              <w:rPr>
                <w:rFonts w:cs="Times New Roman"/>
                <w:sz w:val="16"/>
                <w:szCs w:val="16"/>
              </w:rPr>
            </w:pPr>
            <w:r>
              <w:rPr>
                <w:rFonts w:cs="Times New Roman"/>
                <w:sz w:val="16"/>
                <w:szCs w:val="16"/>
              </w:rPr>
              <w:t>0 (0 – 7%)</w:t>
            </w:r>
          </w:p>
        </w:tc>
        <w:tc>
          <w:tcPr>
            <w:tcW w:w="907" w:type="dxa"/>
            <w:gridSpan w:val="3"/>
            <w:tcBorders>
              <w:left w:val="nil"/>
              <w:right w:val="nil"/>
            </w:tcBorders>
            <w:vAlign w:val="center"/>
          </w:tcPr>
          <w:p w14:paraId="0500C7A7" w14:textId="77777777" w:rsidR="0073478D" w:rsidRDefault="0073478D" w:rsidP="0073478D">
            <w:pPr>
              <w:spacing w:after="0" w:line="240" w:lineRule="auto"/>
              <w:rPr>
                <w:rFonts w:cs="Times New Roman"/>
                <w:sz w:val="16"/>
                <w:szCs w:val="16"/>
              </w:rPr>
            </w:pPr>
            <w:r>
              <w:rPr>
                <w:rFonts w:cs="Times New Roman"/>
                <w:sz w:val="16"/>
                <w:szCs w:val="16"/>
              </w:rPr>
              <w:t>23</w:t>
            </w:r>
          </w:p>
        </w:tc>
        <w:tc>
          <w:tcPr>
            <w:tcW w:w="1451" w:type="dxa"/>
            <w:gridSpan w:val="2"/>
            <w:tcBorders>
              <w:left w:val="nil"/>
              <w:right w:val="nil"/>
            </w:tcBorders>
            <w:vAlign w:val="center"/>
          </w:tcPr>
          <w:p w14:paraId="09F7F6FC" w14:textId="77777777" w:rsidR="0073478D" w:rsidRDefault="0073478D" w:rsidP="0073478D">
            <w:pPr>
              <w:spacing w:after="0" w:line="240" w:lineRule="auto"/>
              <w:rPr>
                <w:rFonts w:cs="Times New Roman"/>
                <w:sz w:val="16"/>
                <w:szCs w:val="16"/>
              </w:rPr>
            </w:pPr>
            <w:r>
              <w:rPr>
                <w:rFonts w:cs="Times New Roman"/>
                <w:sz w:val="16"/>
                <w:szCs w:val="16"/>
              </w:rPr>
              <w:t>8% (0 – 34%)</w:t>
            </w:r>
          </w:p>
        </w:tc>
        <w:tc>
          <w:tcPr>
            <w:tcW w:w="907" w:type="dxa"/>
            <w:gridSpan w:val="2"/>
            <w:tcBorders>
              <w:left w:val="nil"/>
              <w:right w:val="nil"/>
            </w:tcBorders>
            <w:vAlign w:val="center"/>
          </w:tcPr>
          <w:p w14:paraId="08CAE68F" w14:textId="77777777" w:rsidR="0073478D" w:rsidRDefault="0073478D" w:rsidP="0073478D">
            <w:pPr>
              <w:spacing w:after="0" w:line="240" w:lineRule="auto"/>
              <w:rPr>
                <w:rFonts w:cs="Times New Roman"/>
                <w:sz w:val="16"/>
                <w:szCs w:val="16"/>
              </w:rPr>
            </w:pPr>
            <w:r>
              <w:rPr>
                <w:rFonts w:cs="Times New Roman"/>
                <w:sz w:val="16"/>
                <w:szCs w:val="16"/>
              </w:rPr>
              <w:t>ND</w:t>
            </w:r>
          </w:p>
        </w:tc>
        <w:tc>
          <w:tcPr>
            <w:tcW w:w="1418" w:type="dxa"/>
            <w:gridSpan w:val="2"/>
            <w:tcBorders>
              <w:left w:val="nil"/>
              <w:right w:val="nil"/>
            </w:tcBorders>
            <w:vAlign w:val="center"/>
          </w:tcPr>
          <w:p w14:paraId="6AFBBA96" w14:textId="77777777" w:rsidR="0073478D" w:rsidRDefault="0073478D" w:rsidP="0073478D">
            <w:pPr>
              <w:spacing w:after="0" w:line="240" w:lineRule="auto"/>
              <w:rPr>
                <w:rFonts w:cs="Times New Roman"/>
                <w:sz w:val="16"/>
                <w:szCs w:val="16"/>
              </w:rPr>
            </w:pPr>
          </w:p>
        </w:tc>
        <w:tc>
          <w:tcPr>
            <w:tcW w:w="907" w:type="dxa"/>
            <w:gridSpan w:val="2"/>
            <w:tcBorders>
              <w:left w:val="nil"/>
              <w:right w:val="nil"/>
            </w:tcBorders>
            <w:vAlign w:val="center"/>
          </w:tcPr>
          <w:p w14:paraId="56320700" w14:textId="77777777" w:rsidR="0073478D" w:rsidRDefault="0073478D" w:rsidP="0073478D">
            <w:pPr>
              <w:spacing w:after="0" w:line="240" w:lineRule="auto"/>
              <w:rPr>
                <w:rFonts w:cs="Times New Roman"/>
                <w:sz w:val="16"/>
                <w:szCs w:val="16"/>
              </w:rPr>
            </w:pPr>
            <w:r>
              <w:rPr>
                <w:rFonts w:cs="Times New Roman"/>
                <w:sz w:val="16"/>
                <w:szCs w:val="16"/>
              </w:rPr>
              <w:t>43</w:t>
            </w:r>
          </w:p>
        </w:tc>
        <w:tc>
          <w:tcPr>
            <w:tcW w:w="1430" w:type="dxa"/>
            <w:tcBorders>
              <w:left w:val="nil"/>
              <w:right w:val="nil"/>
            </w:tcBorders>
            <w:vAlign w:val="center"/>
          </w:tcPr>
          <w:p w14:paraId="5843643D" w14:textId="77777777" w:rsidR="0073478D" w:rsidRDefault="0073478D" w:rsidP="0073478D">
            <w:pPr>
              <w:spacing w:after="0" w:line="240" w:lineRule="auto"/>
              <w:rPr>
                <w:rFonts w:cs="Times New Roman"/>
                <w:sz w:val="16"/>
                <w:szCs w:val="16"/>
              </w:rPr>
            </w:pPr>
            <w:r>
              <w:rPr>
                <w:rFonts w:cs="Times New Roman"/>
                <w:sz w:val="16"/>
                <w:szCs w:val="16"/>
              </w:rPr>
              <w:t>1% (0 - 11%)</w:t>
            </w:r>
          </w:p>
        </w:tc>
      </w:tr>
      <w:tr w:rsidR="0073478D" w:rsidRPr="0028098E" w14:paraId="66C37497" w14:textId="77777777" w:rsidTr="0000512F">
        <w:trPr>
          <w:trHeight w:val="227"/>
          <w:jc w:val="center"/>
        </w:trPr>
        <w:tc>
          <w:tcPr>
            <w:tcW w:w="3479" w:type="dxa"/>
            <w:tcBorders>
              <w:left w:val="nil"/>
              <w:right w:val="nil"/>
            </w:tcBorders>
            <w:vAlign w:val="center"/>
          </w:tcPr>
          <w:p w14:paraId="6167258E" w14:textId="77777777" w:rsidR="0073478D" w:rsidRPr="0028098E" w:rsidRDefault="0073478D" w:rsidP="0073478D">
            <w:pPr>
              <w:spacing w:after="0" w:line="240" w:lineRule="auto"/>
              <w:rPr>
                <w:rFonts w:cs="Times New Roman"/>
                <w:sz w:val="16"/>
                <w:szCs w:val="16"/>
              </w:rPr>
            </w:pPr>
            <w:r>
              <w:rPr>
                <w:rFonts w:cs="Times New Roman"/>
                <w:sz w:val="16"/>
                <w:szCs w:val="16"/>
              </w:rPr>
              <w:t>Carbapenem†</w:t>
            </w:r>
          </w:p>
        </w:tc>
        <w:tc>
          <w:tcPr>
            <w:tcW w:w="903" w:type="dxa"/>
            <w:tcBorders>
              <w:left w:val="nil"/>
              <w:right w:val="nil"/>
            </w:tcBorders>
            <w:vAlign w:val="center"/>
          </w:tcPr>
          <w:p w14:paraId="4D18AA2D" w14:textId="77777777" w:rsidR="0073478D" w:rsidRPr="0028098E" w:rsidRDefault="0073478D" w:rsidP="0073478D">
            <w:pPr>
              <w:spacing w:after="0" w:line="240" w:lineRule="auto"/>
              <w:rPr>
                <w:rFonts w:cs="Times New Roman"/>
                <w:sz w:val="16"/>
                <w:szCs w:val="16"/>
              </w:rPr>
            </w:pPr>
            <w:r>
              <w:rPr>
                <w:rFonts w:cs="Times New Roman"/>
                <w:sz w:val="16"/>
                <w:szCs w:val="16"/>
              </w:rPr>
              <w:t>6</w:t>
            </w:r>
          </w:p>
        </w:tc>
        <w:tc>
          <w:tcPr>
            <w:tcW w:w="1493" w:type="dxa"/>
            <w:gridSpan w:val="2"/>
            <w:tcBorders>
              <w:left w:val="nil"/>
              <w:right w:val="nil"/>
            </w:tcBorders>
            <w:vAlign w:val="center"/>
          </w:tcPr>
          <w:p w14:paraId="46456846" w14:textId="77777777" w:rsidR="0073478D" w:rsidRPr="0028098E" w:rsidRDefault="0073478D" w:rsidP="0073478D">
            <w:pPr>
              <w:spacing w:after="0" w:line="240" w:lineRule="auto"/>
              <w:rPr>
                <w:rFonts w:cs="Times New Roman"/>
                <w:sz w:val="16"/>
                <w:szCs w:val="16"/>
              </w:rPr>
            </w:pPr>
            <w:r>
              <w:rPr>
                <w:rFonts w:cs="Times New Roman"/>
                <w:sz w:val="16"/>
                <w:szCs w:val="16"/>
              </w:rPr>
              <w:t>0 (0 – 30%)</w:t>
            </w:r>
          </w:p>
        </w:tc>
        <w:tc>
          <w:tcPr>
            <w:tcW w:w="907" w:type="dxa"/>
            <w:gridSpan w:val="2"/>
            <w:tcBorders>
              <w:left w:val="nil"/>
              <w:right w:val="nil"/>
            </w:tcBorders>
            <w:vAlign w:val="center"/>
          </w:tcPr>
          <w:p w14:paraId="6FBE1CCB" w14:textId="77777777" w:rsidR="0073478D" w:rsidRPr="0028098E" w:rsidRDefault="0073478D" w:rsidP="0073478D">
            <w:pPr>
              <w:spacing w:after="0" w:line="240" w:lineRule="auto"/>
              <w:rPr>
                <w:rFonts w:cs="Times New Roman"/>
                <w:sz w:val="16"/>
                <w:szCs w:val="16"/>
              </w:rPr>
            </w:pPr>
            <w:r>
              <w:rPr>
                <w:rFonts w:cs="Times New Roman"/>
                <w:sz w:val="16"/>
                <w:szCs w:val="16"/>
              </w:rPr>
              <w:t>24</w:t>
            </w:r>
          </w:p>
        </w:tc>
        <w:tc>
          <w:tcPr>
            <w:tcW w:w="1480" w:type="dxa"/>
            <w:gridSpan w:val="3"/>
            <w:tcBorders>
              <w:left w:val="nil"/>
              <w:right w:val="nil"/>
            </w:tcBorders>
            <w:vAlign w:val="center"/>
          </w:tcPr>
          <w:p w14:paraId="6B639001" w14:textId="77777777" w:rsidR="0073478D" w:rsidRPr="0028098E" w:rsidRDefault="0073478D" w:rsidP="0073478D">
            <w:pPr>
              <w:spacing w:after="0" w:line="240" w:lineRule="auto"/>
              <w:rPr>
                <w:rFonts w:cs="Times New Roman"/>
                <w:sz w:val="16"/>
                <w:szCs w:val="16"/>
              </w:rPr>
            </w:pPr>
            <w:r>
              <w:rPr>
                <w:rFonts w:cs="Times New Roman"/>
                <w:sz w:val="16"/>
                <w:szCs w:val="16"/>
              </w:rPr>
              <w:t>0 (0 – 13%)</w:t>
            </w:r>
          </w:p>
        </w:tc>
        <w:tc>
          <w:tcPr>
            <w:tcW w:w="907" w:type="dxa"/>
            <w:gridSpan w:val="3"/>
            <w:tcBorders>
              <w:left w:val="nil"/>
              <w:right w:val="nil"/>
            </w:tcBorders>
            <w:vAlign w:val="center"/>
          </w:tcPr>
          <w:p w14:paraId="659864BB" w14:textId="77777777" w:rsidR="0073478D" w:rsidRPr="0028098E" w:rsidRDefault="0073478D" w:rsidP="0073478D">
            <w:pPr>
              <w:spacing w:after="0" w:line="240" w:lineRule="auto"/>
              <w:rPr>
                <w:rFonts w:cs="Times New Roman"/>
                <w:sz w:val="16"/>
                <w:szCs w:val="16"/>
              </w:rPr>
            </w:pPr>
            <w:r>
              <w:rPr>
                <w:rFonts w:cs="Times New Roman"/>
                <w:sz w:val="16"/>
                <w:szCs w:val="16"/>
              </w:rPr>
              <w:t>21</w:t>
            </w:r>
          </w:p>
        </w:tc>
        <w:tc>
          <w:tcPr>
            <w:tcW w:w="1451" w:type="dxa"/>
            <w:gridSpan w:val="2"/>
            <w:tcBorders>
              <w:left w:val="nil"/>
              <w:right w:val="nil"/>
            </w:tcBorders>
            <w:vAlign w:val="center"/>
          </w:tcPr>
          <w:p w14:paraId="225D4934" w14:textId="77777777" w:rsidR="0073478D" w:rsidRPr="0028098E" w:rsidRDefault="0073478D" w:rsidP="0073478D">
            <w:pPr>
              <w:spacing w:after="0" w:line="240" w:lineRule="auto"/>
              <w:rPr>
                <w:rFonts w:cs="Times New Roman"/>
                <w:sz w:val="16"/>
                <w:szCs w:val="16"/>
              </w:rPr>
            </w:pPr>
            <w:r>
              <w:rPr>
                <w:rFonts w:cs="Times New Roman"/>
                <w:sz w:val="16"/>
                <w:szCs w:val="16"/>
              </w:rPr>
              <w:t>1% (0 – 28%)</w:t>
            </w:r>
          </w:p>
        </w:tc>
        <w:tc>
          <w:tcPr>
            <w:tcW w:w="907" w:type="dxa"/>
            <w:gridSpan w:val="2"/>
            <w:tcBorders>
              <w:left w:val="nil"/>
              <w:right w:val="nil"/>
            </w:tcBorders>
            <w:vAlign w:val="center"/>
          </w:tcPr>
          <w:p w14:paraId="6FCE1F9D" w14:textId="77777777" w:rsidR="0073478D" w:rsidRPr="0028098E" w:rsidRDefault="0073478D" w:rsidP="0073478D">
            <w:pPr>
              <w:spacing w:after="0" w:line="240" w:lineRule="auto"/>
              <w:rPr>
                <w:rFonts w:cs="Times New Roman"/>
                <w:sz w:val="16"/>
                <w:szCs w:val="16"/>
              </w:rPr>
            </w:pPr>
            <w:r>
              <w:rPr>
                <w:rFonts w:cs="Times New Roman"/>
                <w:sz w:val="16"/>
                <w:szCs w:val="16"/>
              </w:rPr>
              <w:t>8</w:t>
            </w:r>
          </w:p>
        </w:tc>
        <w:tc>
          <w:tcPr>
            <w:tcW w:w="1418" w:type="dxa"/>
            <w:gridSpan w:val="2"/>
            <w:tcBorders>
              <w:left w:val="nil"/>
              <w:right w:val="nil"/>
            </w:tcBorders>
            <w:vAlign w:val="center"/>
          </w:tcPr>
          <w:p w14:paraId="519FAE10" w14:textId="77777777" w:rsidR="0073478D" w:rsidRPr="0028098E" w:rsidRDefault="0073478D" w:rsidP="0073478D">
            <w:pPr>
              <w:spacing w:after="0" w:line="240" w:lineRule="auto"/>
              <w:rPr>
                <w:rFonts w:cs="Times New Roman"/>
                <w:sz w:val="16"/>
                <w:szCs w:val="16"/>
              </w:rPr>
            </w:pPr>
            <w:r>
              <w:rPr>
                <w:rFonts w:cs="Times New Roman"/>
                <w:sz w:val="16"/>
                <w:szCs w:val="16"/>
              </w:rPr>
              <w:t>0 (0 – 32%)</w:t>
            </w:r>
          </w:p>
        </w:tc>
        <w:tc>
          <w:tcPr>
            <w:tcW w:w="907" w:type="dxa"/>
            <w:gridSpan w:val="2"/>
            <w:tcBorders>
              <w:left w:val="nil"/>
              <w:right w:val="nil"/>
            </w:tcBorders>
            <w:vAlign w:val="center"/>
          </w:tcPr>
          <w:p w14:paraId="75E58888" w14:textId="77777777" w:rsidR="0073478D" w:rsidRPr="0028098E" w:rsidRDefault="0073478D" w:rsidP="0073478D">
            <w:pPr>
              <w:spacing w:after="0" w:line="240" w:lineRule="auto"/>
              <w:rPr>
                <w:rFonts w:cs="Times New Roman"/>
                <w:sz w:val="16"/>
                <w:szCs w:val="16"/>
              </w:rPr>
            </w:pPr>
            <w:r>
              <w:rPr>
                <w:rFonts w:cs="Times New Roman"/>
                <w:sz w:val="16"/>
                <w:szCs w:val="16"/>
              </w:rPr>
              <w:t>59</w:t>
            </w:r>
          </w:p>
        </w:tc>
        <w:tc>
          <w:tcPr>
            <w:tcW w:w="1430" w:type="dxa"/>
            <w:tcBorders>
              <w:left w:val="nil"/>
              <w:right w:val="nil"/>
            </w:tcBorders>
            <w:vAlign w:val="center"/>
          </w:tcPr>
          <w:p w14:paraId="01B3B8C1" w14:textId="77777777" w:rsidR="0073478D" w:rsidRPr="0028098E" w:rsidRDefault="0073478D" w:rsidP="0073478D">
            <w:pPr>
              <w:spacing w:after="0" w:line="240" w:lineRule="auto"/>
              <w:rPr>
                <w:rFonts w:cs="Times New Roman"/>
                <w:sz w:val="16"/>
                <w:szCs w:val="16"/>
              </w:rPr>
            </w:pPr>
            <w:r>
              <w:rPr>
                <w:rFonts w:cs="Times New Roman"/>
                <w:sz w:val="16"/>
                <w:szCs w:val="16"/>
              </w:rPr>
              <w:t>0 (0 – 5%)</w:t>
            </w:r>
          </w:p>
        </w:tc>
      </w:tr>
      <w:tr w:rsidR="0073478D" w:rsidRPr="0028098E" w14:paraId="632825AC" w14:textId="77777777" w:rsidTr="0000512F">
        <w:trPr>
          <w:trHeight w:val="227"/>
          <w:jc w:val="center"/>
        </w:trPr>
        <w:tc>
          <w:tcPr>
            <w:tcW w:w="3479" w:type="dxa"/>
            <w:tcBorders>
              <w:left w:val="nil"/>
              <w:right w:val="nil"/>
            </w:tcBorders>
            <w:vAlign w:val="center"/>
          </w:tcPr>
          <w:p w14:paraId="735CB2B3" w14:textId="77777777" w:rsidR="0073478D" w:rsidRPr="0028098E" w:rsidRDefault="0073478D" w:rsidP="0073478D">
            <w:pPr>
              <w:spacing w:after="0" w:line="240" w:lineRule="auto"/>
              <w:rPr>
                <w:rFonts w:cs="Times New Roman"/>
                <w:sz w:val="16"/>
                <w:szCs w:val="16"/>
              </w:rPr>
            </w:pPr>
            <w:r w:rsidRPr="0028098E">
              <w:rPr>
                <w:rFonts w:cs="Times New Roman"/>
                <w:sz w:val="16"/>
                <w:szCs w:val="16"/>
              </w:rPr>
              <w:t>Piperacillin tazobactam</w:t>
            </w:r>
          </w:p>
        </w:tc>
        <w:tc>
          <w:tcPr>
            <w:tcW w:w="903" w:type="dxa"/>
            <w:tcBorders>
              <w:left w:val="nil"/>
              <w:right w:val="nil"/>
            </w:tcBorders>
            <w:vAlign w:val="center"/>
          </w:tcPr>
          <w:p w14:paraId="464078CF" w14:textId="77777777" w:rsidR="0073478D" w:rsidRPr="0028098E" w:rsidRDefault="0073478D" w:rsidP="0073478D">
            <w:pPr>
              <w:spacing w:after="0" w:line="240" w:lineRule="auto"/>
              <w:rPr>
                <w:rFonts w:cs="Times New Roman"/>
                <w:sz w:val="16"/>
                <w:szCs w:val="16"/>
              </w:rPr>
            </w:pPr>
            <w:r>
              <w:rPr>
                <w:rFonts w:cs="Times New Roman"/>
                <w:sz w:val="16"/>
                <w:szCs w:val="16"/>
              </w:rPr>
              <w:t>4</w:t>
            </w:r>
          </w:p>
        </w:tc>
        <w:tc>
          <w:tcPr>
            <w:tcW w:w="1493" w:type="dxa"/>
            <w:gridSpan w:val="2"/>
            <w:tcBorders>
              <w:left w:val="nil"/>
              <w:right w:val="nil"/>
            </w:tcBorders>
            <w:vAlign w:val="center"/>
          </w:tcPr>
          <w:p w14:paraId="326779BD" w14:textId="77777777" w:rsidR="0073478D" w:rsidRPr="0028098E" w:rsidRDefault="0073478D" w:rsidP="0073478D">
            <w:pPr>
              <w:spacing w:after="0" w:line="240" w:lineRule="auto"/>
              <w:rPr>
                <w:rFonts w:cs="Times New Roman"/>
                <w:sz w:val="16"/>
                <w:szCs w:val="16"/>
              </w:rPr>
            </w:pPr>
            <w:r>
              <w:rPr>
                <w:rFonts w:cs="Times New Roman"/>
                <w:sz w:val="16"/>
                <w:szCs w:val="16"/>
              </w:rPr>
              <w:t>25% (5 – 70%)</w:t>
            </w:r>
          </w:p>
        </w:tc>
        <w:tc>
          <w:tcPr>
            <w:tcW w:w="907" w:type="dxa"/>
            <w:gridSpan w:val="2"/>
            <w:tcBorders>
              <w:left w:val="nil"/>
              <w:right w:val="nil"/>
            </w:tcBorders>
            <w:vAlign w:val="center"/>
          </w:tcPr>
          <w:p w14:paraId="46B607A6" w14:textId="77777777" w:rsidR="0073478D" w:rsidRPr="0028098E" w:rsidRDefault="0073478D" w:rsidP="0073478D">
            <w:pPr>
              <w:spacing w:after="0" w:line="240" w:lineRule="auto"/>
              <w:rPr>
                <w:rFonts w:cs="Times New Roman"/>
                <w:sz w:val="16"/>
                <w:szCs w:val="16"/>
              </w:rPr>
            </w:pPr>
            <w:r>
              <w:rPr>
                <w:rFonts w:cs="Times New Roman"/>
                <w:sz w:val="16"/>
                <w:szCs w:val="16"/>
              </w:rPr>
              <w:t>1</w:t>
            </w:r>
          </w:p>
        </w:tc>
        <w:tc>
          <w:tcPr>
            <w:tcW w:w="1480" w:type="dxa"/>
            <w:gridSpan w:val="3"/>
            <w:tcBorders>
              <w:left w:val="nil"/>
              <w:right w:val="nil"/>
            </w:tcBorders>
            <w:vAlign w:val="center"/>
          </w:tcPr>
          <w:p w14:paraId="505049CA" w14:textId="77777777" w:rsidR="0073478D" w:rsidRPr="0028098E" w:rsidRDefault="0073478D" w:rsidP="0073478D">
            <w:pPr>
              <w:spacing w:after="0" w:line="240" w:lineRule="auto"/>
              <w:rPr>
                <w:rFonts w:cs="Times New Roman"/>
                <w:sz w:val="16"/>
                <w:szCs w:val="16"/>
              </w:rPr>
            </w:pPr>
            <w:r>
              <w:rPr>
                <w:rFonts w:cs="Times New Roman"/>
                <w:sz w:val="16"/>
                <w:szCs w:val="16"/>
              </w:rPr>
              <w:t>0 (0 – 79%)</w:t>
            </w:r>
          </w:p>
        </w:tc>
        <w:tc>
          <w:tcPr>
            <w:tcW w:w="907" w:type="dxa"/>
            <w:gridSpan w:val="3"/>
            <w:tcBorders>
              <w:left w:val="nil"/>
              <w:right w:val="nil"/>
            </w:tcBorders>
            <w:vAlign w:val="center"/>
          </w:tcPr>
          <w:p w14:paraId="332BA619" w14:textId="77777777" w:rsidR="0073478D" w:rsidRPr="0028098E" w:rsidRDefault="0073478D" w:rsidP="0073478D">
            <w:pPr>
              <w:spacing w:after="0" w:line="240" w:lineRule="auto"/>
              <w:rPr>
                <w:rFonts w:cs="Times New Roman"/>
                <w:sz w:val="16"/>
                <w:szCs w:val="16"/>
              </w:rPr>
            </w:pPr>
            <w:r>
              <w:rPr>
                <w:rFonts w:cs="Times New Roman"/>
                <w:sz w:val="16"/>
                <w:szCs w:val="16"/>
              </w:rPr>
              <w:t>18</w:t>
            </w:r>
          </w:p>
        </w:tc>
        <w:tc>
          <w:tcPr>
            <w:tcW w:w="1451" w:type="dxa"/>
            <w:gridSpan w:val="2"/>
            <w:tcBorders>
              <w:left w:val="nil"/>
              <w:right w:val="nil"/>
            </w:tcBorders>
            <w:vAlign w:val="center"/>
          </w:tcPr>
          <w:p w14:paraId="2C8FCD26" w14:textId="77777777" w:rsidR="0073478D" w:rsidRPr="0028098E" w:rsidRDefault="0073478D" w:rsidP="0073478D">
            <w:pPr>
              <w:spacing w:after="0" w:line="240" w:lineRule="auto"/>
              <w:rPr>
                <w:rFonts w:cs="Times New Roman"/>
                <w:sz w:val="16"/>
                <w:szCs w:val="16"/>
              </w:rPr>
            </w:pPr>
            <w:r>
              <w:rPr>
                <w:rFonts w:cs="Times New Roman"/>
                <w:sz w:val="16"/>
                <w:szCs w:val="16"/>
              </w:rPr>
              <w:t>9% (0 – 30%)</w:t>
            </w:r>
          </w:p>
        </w:tc>
        <w:tc>
          <w:tcPr>
            <w:tcW w:w="907" w:type="dxa"/>
            <w:gridSpan w:val="2"/>
            <w:tcBorders>
              <w:left w:val="nil"/>
              <w:right w:val="nil"/>
            </w:tcBorders>
            <w:vAlign w:val="center"/>
          </w:tcPr>
          <w:p w14:paraId="23BDE9E5" w14:textId="77777777" w:rsidR="0073478D" w:rsidRPr="0028098E" w:rsidRDefault="0073478D" w:rsidP="0073478D">
            <w:pPr>
              <w:spacing w:after="0" w:line="240" w:lineRule="auto"/>
              <w:rPr>
                <w:rFonts w:cs="Times New Roman"/>
                <w:sz w:val="16"/>
                <w:szCs w:val="16"/>
              </w:rPr>
            </w:pPr>
            <w:r>
              <w:rPr>
                <w:rFonts w:cs="Times New Roman"/>
                <w:sz w:val="16"/>
                <w:szCs w:val="16"/>
              </w:rPr>
              <w:t>ND</w:t>
            </w:r>
          </w:p>
        </w:tc>
        <w:tc>
          <w:tcPr>
            <w:tcW w:w="1418" w:type="dxa"/>
            <w:gridSpan w:val="2"/>
            <w:tcBorders>
              <w:left w:val="nil"/>
              <w:right w:val="nil"/>
            </w:tcBorders>
            <w:vAlign w:val="center"/>
          </w:tcPr>
          <w:p w14:paraId="47C2CDC8" w14:textId="77777777" w:rsidR="0073478D" w:rsidRPr="0028098E" w:rsidRDefault="0073478D" w:rsidP="0073478D">
            <w:pPr>
              <w:spacing w:after="0" w:line="240" w:lineRule="auto"/>
              <w:rPr>
                <w:rFonts w:cs="Times New Roman"/>
                <w:sz w:val="16"/>
                <w:szCs w:val="16"/>
              </w:rPr>
            </w:pPr>
          </w:p>
        </w:tc>
        <w:tc>
          <w:tcPr>
            <w:tcW w:w="907" w:type="dxa"/>
            <w:gridSpan w:val="2"/>
            <w:tcBorders>
              <w:left w:val="nil"/>
              <w:right w:val="nil"/>
            </w:tcBorders>
            <w:vAlign w:val="center"/>
          </w:tcPr>
          <w:p w14:paraId="175D5876" w14:textId="77777777" w:rsidR="0073478D" w:rsidRPr="0028098E" w:rsidRDefault="0073478D" w:rsidP="0073478D">
            <w:pPr>
              <w:spacing w:after="0" w:line="240" w:lineRule="auto"/>
              <w:rPr>
                <w:rFonts w:cs="Times New Roman"/>
                <w:sz w:val="16"/>
                <w:szCs w:val="16"/>
              </w:rPr>
            </w:pPr>
            <w:r>
              <w:rPr>
                <w:rFonts w:cs="Times New Roman"/>
                <w:sz w:val="16"/>
                <w:szCs w:val="16"/>
              </w:rPr>
              <w:t>23</w:t>
            </w:r>
          </w:p>
        </w:tc>
        <w:tc>
          <w:tcPr>
            <w:tcW w:w="1430" w:type="dxa"/>
            <w:tcBorders>
              <w:left w:val="nil"/>
              <w:right w:val="nil"/>
            </w:tcBorders>
            <w:vAlign w:val="center"/>
          </w:tcPr>
          <w:p w14:paraId="7317626F" w14:textId="77777777" w:rsidR="0073478D" w:rsidRPr="0028098E" w:rsidRDefault="0073478D" w:rsidP="0073478D">
            <w:pPr>
              <w:spacing w:after="0" w:line="240" w:lineRule="auto"/>
              <w:rPr>
                <w:rFonts w:cs="Times New Roman"/>
                <w:sz w:val="16"/>
                <w:szCs w:val="16"/>
              </w:rPr>
            </w:pPr>
            <w:r>
              <w:rPr>
                <w:rFonts w:cs="Times New Roman"/>
                <w:sz w:val="16"/>
                <w:szCs w:val="16"/>
              </w:rPr>
              <w:t>7% (0 – 27%)</w:t>
            </w:r>
          </w:p>
        </w:tc>
      </w:tr>
    </w:tbl>
    <w:p w14:paraId="163A2050" w14:textId="77777777" w:rsidR="00A61B4F" w:rsidRDefault="00A61B4F" w:rsidP="00A61B4F">
      <w:pPr>
        <w:spacing w:before="120" w:after="0" w:line="240" w:lineRule="auto"/>
        <w:rPr>
          <w:rFonts w:cs="Times New Roman"/>
          <w:sz w:val="18"/>
          <w:szCs w:val="16"/>
        </w:rPr>
      </w:pPr>
      <w:r>
        <w:rPr>
          <w:rFonts w:cs="Times New Roman"/>
          <w:sz w:val="18"/>
          <w:szCs w:val="16"/>
        </w:rPr>
        <w:t xml:space="preserve">ND = no data. </w:t>
      </w:r>
      <w:r w:rsidRPr="00B20391">
        <w:rPr>
          <w:rFonts w:cs="Times New Roman"/>
          <w:sz w:val="18"/>
          <w:szCs w:val="16"/>
        </w:rPr>
        <w:t>*</w:t>
      </w:r>
      <w:r>
        <w:rPr>
          <w:rFonts w:cs="Times New Roman"/>
          <w:sz w:val="18"/>
          <w:szCs w:val="16"/>
        </w:rPr>
        <w:t>Cumulative number of isolates tested across cited studies with susceptibilities reported; not all studies tested susceptibilities to all listed antibiotics</w:t>
      </w:r>
    </w:p>
    <w:p w14:paraId="5AAE5726" w14:textId="27EAC31F" w:rsidR="00A61B4F" w:rsidRDefault="00A61B4F" w:rsidP="00781918">
      <w:pPr>
        <w:spacing w:after="0" w:line="240" w:lineRule="auto"/>
        <w:rPr>
          <w:rFonts w:cs="Times New Roman"/>
        </w:rPr>
      </w:pPr>
      <w:r>
        <w:rPr>
          <w:rFonts w:cs="Times New Roman"/>
          <w:sz w:val="18"/>
          <w:szCs w:val="16"/>
        </w:rPr>
        <w:t>†Includes Imipenem and Meropenem.</w:t>
      </w:r>
    </w:p>
    <w:p w14:paraId="7FD443D3" w14:textId="2F60AC3D" w:rsidR="00781918" w:rsidRDefault="00781918" w:rsidP="0081729A">
      <w:pPr>
        <w:tabs>
          <w:tab w:val="center" w:pos="7147"/>
        </w:tabs>
        <w:rPr>
          <w:rFonts w:cs="Times New Roman"/>
        </w:rPr>
      </w:pPr>
    </w:p>
    <w:p w14:paraId="2ABC6E50" w14:textId="77777777" w:rsidR="009B060A" w:rsidRDefault="009B060A" w:rsidP="0081729A">
      <w:pPr>
        <w:tabs>
          <w:tab w:val="center" w:pos="7147"/>
        </w:tabs>
        <w:rPr>
          <w:rFonts w:cs="Times New Roman"/>
        </w:rPr>
      </w:pPr>
    </w:p>
    <w:p w14:paraId="60B886D9" w14:textId="77777777" w:rsidR="00AE3F94" w:rsidRDefault="00AE3F94" w:rsidP="0081729A">
      <w:pPr>
        <w:tabs>
          <w:tab w:val="center" w:pos="7147"/>
        </w:tabs>
        <w:rPr>
          <w:rFonts w:cs="Times New Roman"/>
        </w:rPr>
        <w:sectPr w:rsidR="00AE3F94" w:rsidSect="009B060A">
          <w:pgSz w:w="16838" w:h="11906" w:orient="landscape"/>
          <w:pgMar w:top="426" w:right="1103" w:bottom="851" w:left="1440" w:header="708" w:footer="342" w:gutter="0"/>
          <w:cols w:space="708"/>
          <w:docGrid w:linePitch="360"/>
        </w:sectPr>
      </w:pPr>
    </w:p>
    <w:p w14:paraId="5C35F3DB" w14:textId="1DCE8AB0" w:rsidR="00F47681" w:rsidRPr="006B31FB" w:rsidRDefault="00F47681" w:rsidP="00D17746">
      <w:pPr>
        <w:tabs>
          <w:tab w:val="center" w:pos="7147"/>
        </w:tabs>
        <w:rPr>
          <w:rFonts w:cs="Times New Roman"/>
        </w:rPr>
      </w:pPr>
    </w:p>
    <w:sectPr w:rsidR="00F47681" w:rsidRPr="006B31FB" w:rsidSect="0056551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C7005" w14:textId="77777777" w:rsidR="00011237" w:rsidRDefault="00011237" w:rsidP="00B55914">
      <w:pPr>
        <w:spacing w:after="0" w:line="240" w:lineRule="auto"/>
      </w:pPr>
      <w:r>
        <w:separator/>
      </w:r>
    </w:p>
  </w:endnote>
  <w:endnote w:type="continuationSeparator" w:id="0">
    <w:p w14:paraId="6D6918E9" w14:textId="77777777" w:rsidR="00011237" w:rsidRDefault="00011237" w:rsidP="00B55914">
      <w:pPr>
        <w:spacing w:after="0" w:line="240" w:lineRule="auto"/>
      </w:pPr>
      <w:r>
        <w:continuationSeparator/>
      </w:r>
    </w:p>
  </w:endnote>
  <w:endnote w:type="continuationNotice" w:id="1">
    <w:p w14:paraId="7C488AB3" w14:textId="77777777" w:rsidR="00011237" w:rsidRDefault="00011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ScalaLancetPro">
    <w:altName w:val="MS Mincho"/>
    <w:panose1 w:val="00000000000000000000"/>
    <w:charset w:val="80"/>
    <w:family w:val="auto"/>
    <w:notTrueType/>
    <w:pitch w:val="default"/>
    <w:sig w:usb0="00000081" w:usb1="08070000" w:usb2="00000010" w:usb3="00000000" w:csb0="00020009"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513625"/>
      <w:docPartObj>
        <w:docPartGallery w:val="Page Numbers (Bottom of Page)"/>
        <w:docPartUnique/>
      </w:docPartObj>
    </w:sdtPr>
    <w:sdtEndPr>
      <w:rPr>
        <w:rFonts w:cs="Times New Roman"/>
        <w:noProof/>
      </w:rPr>
    </w:sdtEndPr>
    <w:sdtContent>
      <w:p w14:paraId="43AA526D" w14:textId="446D1D27" w:rsidR="00A06A4A" w:rsidRPr="00B55914" w:rsidRDefault="00A06A4A">
        <w:pPr>
          <w:pStyle w:val="Footer"/>
          <w:jc w:val="right"/>
          <w:rPr>
            <w:rFonts w:cs="Times New Roman"/>
          </w:rPr>
        </w:pPr>
        <w:r w:rsidRPr="00B55914">
          <w:rPr>
            <w:rFonts w:cs="Times New Roman"/>
          </w:rPr>
          <w:fldChar w:fldCharType="begin"/>
        </w:r>
        <w:r w:rsidRPr="00B55914">
          <w:rPr>
            <w:rFonts w:cs="Times New Roman"/>
          </w:rPr>
          <w:instrText xml:space="preserve"> PAGE   \* MERGEFORMAT </w:instrText>
        </w:r>
        <w:r w:rsidRPr="00B55914">
          <w:rPr>
            <w:rFonts w:cs="Times New Roman"/>
          </w:rPr>
          <w:fldChar w:fldCharType="separate"/>
        </w:r>
        <w:r>
          <w:rPr>
            <w:rFonts w:cs="Times New Roman"/>
            <w:noProof/>
          </w:rPr>
          <w:t>4</w:t>
        </w:r>
        <w:r w:rsidRPr="00B55914">
          <w:rPr>
            <w:rFonts w:cs="Times New Roman"/>
            <w:noProof/>
          </w:rPr>
          <w:fldChar w:fldCharType="end"/>
        </w:r>
      </w:p>
    </w:sdtContent>
  </w:sdt>
  <w:p w14:paraId="7828FDDB" w14:textId="77777777" w:rsidR="00A06A4A" w:rsidRDefault="00A06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27922"/>
      <w:docPartObj>
        <w:docPartGallery w:val="Page Numbers (Bottom of Page)"/>
        <w:docPartUnique/>
      </w:docPartObj>
    </w:sdtPr>
    <w:sdtEndPr>
      <w:rPr>
        <w:rFonts w:cs="Times New Roman"/>
        <w:noProof/>
      </w:rPr>
    </w:sdtEndPr>
    <w:sdtContent>
      <w:p w14:paraId="4F0F3000" w14:textId="08B0AFBB" w:rsidR="00A06A4A" w:rsidRPr="00B55914" w:rsidRDefault="00A06A4A">
        <w:pPr>
          <w:pStyle w:val="Footer"/>
          <w:jc w:val="right"/>
          <w:rPr>
            <w:rFonts w:cs="Times New Roman"/>
          </w:rPr>
        </w:pPr>
        <w:r w:rsidRPr="00B55914">
          <w:rPr>
            <w:rFonts w:cs="Times New Roman"/>
          </w:rPr>
          <w:fldChar w:fldCharType="begin"/>
        </w:r>
        <w:r w:rsidRPr="00B55914">
          <w:rPr>
            <w:rFonts w:cs="Times New Roman"/>
          </w:rPr>
          <w:instrText xml:space="preserve"> PAGE   \* MERGEFORMAT </w:instrText>
        </w:r>
        <w:r w:rsidRPr="00B55914">
          <w:rPr>
            <w:rFonts w:cs="Times New Roman"/>
          </w:rPr>
          <w:fldChar w:fldCharType="separate"/>
        </w:r>
        <w:r>
          <w:rPr>
            <w:rFonts w:cs="Times New Roman"/>
            <w:noProof/>
          </w:rPr>
          <w:t>36</w:t>
        </w:r>
        <w:r w:rsidRPr="00B55914">
          <w:rPr>
            <w:rFonts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8A4DA" w14:textId="77777777" w:rsidR="00011237" w:rsidRDefault="00011237" w:rsidP="00B55914">
      <w:pPr>
        <w:spacing w:after="0" w:line="240" w:lineRule="auto"/>
      </w:pPr>
      <w:r>
        <w:separator/>
      </w:r>
    </w:p>
  </w:footnote>
  <w:footnote w:type="continuationSeparator" w:id="0">
    <w:p w14:paraId="5C49F586" w14:textId="77777777" w:rsidR="00011237" w:rsidRDefault="00011237" w:rsidP="00B55914">
      <w:pPr>
        <w:spacing w:after="0" w:line="240" w:lineRule="auto"/>
      </w:pPr>
      <w:r>
        <w:continuationSeparator/>
      </w:r>
    </w:p>
  </w:footnote>
  <w:footnote w:type="continuationNotice" w:id="1">
    <w:p w14:paraId="36127F55" w14:textId="77777777" w:rsidR="00011237" w:rsidRDefault="000112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780C" w14:textId="77777777" w:rsidR="00A06A4A" w:rsidRDefault="00A06A4A" w:rsidP="00E949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D7AE" w14:textId="1AEA2947" w:rsidR="00A06A4A" w:rsidRPr="00FF7305" w:rsidRDefault="00A06A4A" w:rsidP="00E94918">
    <w:pPr>
      <w:pStyle w:val="Header"/>
      <w:jc w:val="right"/>
      <w:rPr>
        <w:i/>
      </w:rPr>
    </w:pPr>
    <w:r w:rsidRPr="00FF7305">
      <w:rPr>
        <w:i/>
      </w:rPr>
      <w:t>Okomo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1E3"/>
    <w:multiLevelType w:val="hybridMultilevel"/>
    <w:tmpl w:val="A49A5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93662"/>
    <w:multiLevelType w:val="hybridMultilevel"/>
    <w:tmpl w:val="42E476EA"/>
    <w:lvl w:ilvl="0" w:tplc="576E8866">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33123"/>
    <w:multiLevelType w:val="hybridMultilevel"/>
    <w:tmpl w:val="C6E60878"/>
    <w:lvl w:ilvl="0" w:tplc="82F2EC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D12F7"/>
    <w:multiLevelType w:val="hybridMultilevel"/>
    <w:tmpl w:val="A312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5" w15:restartNumberingAfterBreak="0">
    <w:nsid w:val="08956D0B"/>
    <w:multiLevelType w:val="hybridMultilevel"/>
    <w:tmpl w:val="2ED2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97066"/>
    <w:multiLevelType w:val="multilevel"/>
    <w:tmpl w:val="2436B32C"/>
    <w:lvl w:ilvl="0">
      <w:start w:val="1"/>
      <w:numFmt w:val="decimal"/>
      <w:lvlText w:val="%1."/>
      <w:lvlJc w:val="left"/>
      <w:pPr>
        <w:ind w:left="720" w:hanging="360"/>
      </w:pPr>
      <w:rPr>
        <w:rFonts w:hint="default"/>
        <w:sz w:val="16"/>
        <w:szCs w:val="18"/>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332F1A"/>
    <w:multiLevelType w:val="hybridMultilevel"/>
    <w:tmpl w:val="7DA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C1B65"/>
    <w:multiLevelType w:val="multilevel"/>
    <w:tmpl w:val="691E1350"/>
    <w:lvl w:ilvl="0">
      <w:start w:val="1"/>
      <w:numFmt w:val="decimal"/>
      <w:lvlText w:val="%1."/>
      <w:lvlJc w:val="left"/>
      <w:pPr>
        <w:ind w:left="720" w:hanging="360"/>
      </w:pPr>
      <w:rPr>
        <w:rFonts w:hint="default"/>
        <w:sz w:val="16"/>
        <w:szCs w:val="16"/>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E834D0"/>
    <w:multiLevelType w:val="hybridMultilevel"/>
    <w:tmpl w:val="8A7C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027E8"/>
    <w:multiLevelType w:val="hybridMultilevel"/>
    <w:tmpl w:val="41B0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154B0"/>
    <w:multiLevelType w:val="hybridMultilevel"/>
    <w:tmpl w:val="22E8A8B4"/>
    <w:lvl w:ilvl="0" w:tplc="D5804A98">
      <w:numFmt w:val="bullet"/>
      <w:lvlText w:val="-"/>
      <w:lvlJc w:val="left"/>
      <w:pPr>
        <w:ind w:left="720" w:hanging="360"/>
      </w:pPr>
      <w:rPr>
        <w:rFonts w:ascii="Cambria" w:eastAsia="Calibri" w:hAnsi="Cambria"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76525"/>
    <w:multiLevelType w:val="hybridMultilevel"/>
    <w:tmpl w:val="0CD216C6"/>
    <w:lvl w:ilvl="0" w:tplc="637AD8A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E0708D"/>
    <w:multiLevelType w:val="hybridMultilevel"/>
    <w:tmpl w:val="644AD4C8"/>
    <w:lvl w:ilvl="0" w:tplc="03E25034">
      <w:numFmt w:val="bullet"/>
      <w:lvlText w:val="-"/>
      <w:lvlJc w:val="left"/>
      <w:pPr>
        <w:ind w:left="720" w:hanging="360"/>
      </w:pPr>
      <w:rPr>
        <w:rFonts w:ascii="Cambria" w:eastAsia="Calibri" w:hAnsi="Cambria"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A6376"/>
    <w:multiLevelType w:val="hybridMultilevel"/>
    <w:tmpl w:val="CBB0D7CA"/>
    <w:lvl w:ilvl="0" w:tplc="92369C1C">
      <w:start w:val="1"/>
      <w:numFmt w:val="bullet"/>
      <w:lvlText w:val=""/>
      <w:lvlJc w:val="left"/>
      <w:pPr>
        <w:ind w:left="720" w:hanging="360"/>
      </w:pPr>
      <w:rPr>
        <w:rFonts w:asciiTheme="majorHAnsi" w:hAnsiTheme="majorHAnsi"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974A7"/>
    <w:multiLevelType w:val="hybridMultilevel"/>
    <w:tmpl w:val="1608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E0E23"/>
    <w:multiLevelType w:val="hybridMultilevel"/>
    <w:tmpl w:val="318E5B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AF82DCC"/>
    <w:multiLevelType w:val="hybridMultilevel"/>
    <w:tmpl w:val="14F457E4"/>
    <w:lvl w:ilvl="0" w:tplc="4F2EED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B071C"/>
    <w:multiLevelType w:val="hybridMultilevel"/>
    <w:tmpl w:val="FD60F382"/>
    <w:lvl w:ilvl="0" w:tplc="4C9095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C5E99"/>
    <w:multiLevelType w:val="multilevel"/>
    <w:tmpl w:val="B2EE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EA5B33"/>
    <w:multiLevelType w:val="multilevel"/>
    <w:tmpl w:val="3398DEE4"/>
    <w:lvl w:ilvl="0">
      <w:start w:val="1"/>
      <w:numFmt w:val="decimal"/>
      <w:lvlText w:val="%1"/>
      <w:lvlJc w:val="left"/>
      <w:pPr>
        <w:ind w:left="405" w:hanging="405"/>
      </w:pPr>
      <w:rPr>
        <w:rFonts w:hint="default"/>
      </w:rPr>
    </w:lvl>
    <w:lvl w:ilvl="1">
      <w:start w:val="1"/>
      <w:numFmt w:val="decimal"/>
      <w:pStyle w:val="Heading3"/>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0E476B"/>
    <w:multiLevelType w:val="hybridMultilevel"/>
    <w:tmpl w:val="CCBA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D5B7D"/>
    <w:multiLevelType w:val="hybridMultilevel"/>
    <w:tmpl w:val="0B503E9C"/>
    <w:lvl w:ilvl="0" w:tplc="491AF552">
      <w:start w:val="1"/>
      <w:numFmt w:val="decimal"/>
      <w:lvlText w:val="%1."/>
      <w:lvlJc w:val="left"/>
      <w:pPr>
        <w:ind w:left="720" w:hanging="360"/>
      </w:pPr>
      <w:rPr>
        <w:rFonts w:ascii="Cambria" w:eastAsia="Calibri" w:hAnsi="Cambria" w:hint="default"/>
        <w:b w:val="0"/>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55A7A"/>
    <w:multiLevelType w:val="hybridMultilevel"/>
    <w:tmpl w:val="971E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D1245"/>
    <w:multiLevelType w:val="hybridMultilevel"/>
    <w:tmpl w:val="C9181D90"/>
    <w:lvl w:ilvl="0" w:tplc="0B26EFFA">
      <w:start w:val="1"/>
      <w:numFmt w:val="upperLetter"/>
      <w:lvlText w:val="%1)"/>
      <w:lvlJc w:val="left"/>
      <w:pPr>
        <w:ind w:left="720" w:hanging="360"/>
      </w:pPr>
      <w:rPr>
        <w:rFonts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6217B"/>
    <w:multiLevelType w:val="hybridMultilevel"/>
    <w:tmpl w:val="62F8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F2E18"/>
    <w:multiLevelType w:val="hybridMultilevel"/>
    <w:tmpl w:val="EF48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D1CA4"/>
    <w:multiLevelType w:val="hybridMultilevel"/>
    <w:tmpl w:val="8450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96708"/>
    <w:multiLevelType w:val="hybridMultilevel"/>
    <w:tmpl w:val="F876648C"/>
    <w:lvl w:ilvl="0" w:tplc="732E0A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A2997"/>
    <w:multiLevelType w:val="hybridMultilevel"/>
    <w:tmpl w:val="999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E33C4"/>
    <w:multiLevelType w:val="hybridMultilevel"/>
    <w:tmpl w:val="6184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F2587"/>
    <w:multiLevelType w:val="multilevel"/>
    <w:tmpl w:val="5B7C04DA"/>
    <w:lvl w:ilvl="0">
      <w:start w:val="1"/>
      <w:numFmt w:val="decimal"/>
      <w:lvlText w:val="%1."/>
      <w:lvlJc w:val="left"/>
      <w:pPr>
        <w:ind w:left="720" w:hanging="360"/>
      </w:pPr>
      <w:rPr>
        <w:rFonts w:hint="default"/>
        <w:sz w:val="16"/>
        <w:szCs w:val="18"/>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C2253F"/>
    <w:multiLevelType w:val="hybridMultilevel"/>
    <w:tmpl w:val="C106ACFA"/>
    <w:lvl w:ilvl="0" w:tplc="0409001B">
      <w:start w:val="1"/>
      <w:numFmt w:val="lowerRoman"/>
      <w:lvlText w:val="%1."/>
      <w:lvlJc w:val="right"/>
      <w:pPr>
        <w:ind w:left="720" w:hanging="360"/>
      </w:pPr>
    </w:lvl>
    <w:lvl w:ilvl="1" w:tplc="1B8AD0C6">
      <w:start w:val="4"/>
      <w:numFmt w:val="bullet"/>
      <w:lvlText w:val="-"/>
      <w:lvlJc w:val="left"/>
      <w:pPr>
        <w:ind w:left="1440" w:hanging="360"/>
      </w:pPr>
      <w:rPr>
        <w:rFonts w:ascii="Cambria" w:eastAsiaTheme="minorHAnsi" w:hAnsi="Cambria" w:cs="Arial" w:hint="default"/>
      </w:rPr>
    </w:lvl>
    <w:lvl w:ilvl="2" w:tplc="0409001B">
      <w:start w:val="1"/>
      <w:numFmt w:val="lowerRoman"/>
      <w:lvlText w:val="%3."/>
      <w:lvlJc w:val="right"/>
      <w:pPr>
        <w:ind w:left="2160" w:hanging="180"/>
      </w:pPr>
    </w:lvl>
    <w:lvl w:ilvl="3" w:tplc="1A22D796">
      <w:start w:val="1"/>
      <w:numFmt w:val="upperLetter"/>
      <w:lvlText w:val="%4."/>
      <w:lvlJc w:val="left"/>
      <w:pPr>
        <w:ind w:left="2880" w:hanging="360"/>
      </w:pPr>
      <w:rPr>
        <w:rFonts w:hint="default"/>
      </w:rPr>
    </w:lvl>
    <w:lvl w:ilvl="4" w:tplc="837CBD2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DA2BFF"/>
    <w:multiLevelType w:val="hybridMultilevel"/>
    <w:tmpl w:val="250C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F3696C"/>
    <w:multiLevelType w:val="hybridMultilevel"/>
    <w:tmpl w:val="03B6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65447"/>
    <w:multiLevelType w:val="hybridMultilevel"/>
    <w:tmpl w:val="809C4A08"/>
    <w:lvl w:ilvl="0" w:tplc="8294078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80BBA"/>
    <w:multiLevelType w:val="hybridMultilevel"/>
    <w:tmpl w:val="F4DE90C4"/>
    <w:lvl w:ilvl="0" w:tplc="7450890C">
      <w:numFmt w:val="bullet"/>
      <w:lvlText w:val="-"/>
      <w:lvlJc w:val="left"/>
      <w:pPr>
        <w:ind w:left="720" w:hanging="360"/>
      </w:pPr>
      <w:rPr>
        <w:rFonts w:ascii="Cambria" w:eastAsia="Calibri" w:hAnsi="Cambria"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B5618"/>
    <w:multiLevelType w:val="multilevel"/>
    <w:tmpl w:val="D2326592"/>
    <w:lvl w:ilvl="0">
      <w:start w:val="1"/>
      <w:numFmt w:val="decimal"/>
      <w:lvlText w:val="%1."/>
      <w:lvlJc w:val="left"/>
      <w:pPr>
        <w:ind w:left="720" w:hanging="360"/>
      </w:pPr>
    </w:lvl>
    <w:lvl w:ilvl="1">
      <w:start w:val="1"/>
      <w:numFmt w:val="lowerLetter"/>
      <w:lvlText w:val="%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36283B"/>
    <w:multiLevelType w:val="hybridMultilevel"/>
    <w:tmpl w:val="41969DFE"/>
    <w:lvl w:ilvl="0" w:tplc="92369C1C">
      <w:start w:val="1"/>
      <w:numFmt w:val="bullet"/>
      <w:lvlText w:val=""/>
      <w:lvlJc w:val="left"/>
      <w:pPr>
        <w:ind w:left="720" w:hanging="360"/>
      </w:pPr>
      <w:rPr>
        <w:rFonts w:asciiTheme="majorHAnsi" w:hAnsiTheme="majorHAnsi"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411BC7"/>
    <w:multiLevelType w:val="hybridMultilevel"/>
    <w:tmpl w:val="1DA48DF6"/>
    <w:lvl w:ilvl="0" w:tplc="46A8330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E03C27"/>
    <w:multiLevelType w:val="hybridMultilevel"/>
    <w:tmpl w:val="32E28A6C"/>
    <w:lvl w:ilvl="0" w:tplc="D1BCCFD2">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5C5BA5"/>
    <w:multiLevelType w:val="hybridMultilevel"/>
    <w:tmpl w:val="1B8A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22734"/>
    <w:multiLevelType w:val="hybridMultilevel"/>
    <w:tmpl w:val="76DE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928AE"/>
    <w:multiLevelType w:val="hybridMultilevel"/>
    <w:tmpl w:val="B95A5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611611"/>
    <w:multiLevelType w:val="hybridMultilevel"/>
    <w:tmpl w:val="6346F1AE"/>
    <w:lvl w:ilvl="0" w:tplc="E28A61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7B0B20"/>
    <w:multiLevelType w:val="hybridMultilevel"/>
    <w:tmpl w:val="6330BE5A"/>
    <w:lvl w:ilvl="0" w:tplc="16F4FF48">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A10A4"/>
    <w:multiLevelType w:val="hybridMultilevel"/>
    <w:tmpl w:val="78107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8E4191"/>
    <w:multiLevelType w:val="hybridMultilevel"/>
    <w:tmpl w:val="3410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7"/>
  </w:num>
  <w:num w:numId="3">
    <w:abstractNumId w:val="34"/>
  </w:num>
  <w:num w:numId="4">
    <w:abstractNumId w:val="26"/>
  </w:num>
  <w:num w:numId="5">
    <w:abstractNumId w:val="27"/>
  </w:num>
  <w:num w:numId="6">
    <w:abstractNumId w:val="15"/>
  </w:num>
  <w:num w:numId="7">
    <w:abstractNumId w:val="8"/>
  </w:num>
  <w:num w:numId="8">
    <w:abstractNumId w:val="32"/>
  </w:num>
  <w:num w:numId="9">
    <w:abstractNumId w:val="20"/>
  </w:num>
  <w:num w:numId="10">
    <w:abstractNumId w:val="22"/>
  </w:num>
  <w:num w:numId="11">
    <w:abstractNumId w:val="31"/>
  </w:num>
  <w:num w:numId="12">
    <w:abstractNumId w:val="6"/>
  </w:num>
  <w:num w:numId="13">
    <w:abstractNumId w:val="29"/>
  </w:num>
  <w:num w:numId="14">
    <w:abstractNumId w:val="9"/>
  </w:num>
  <w:num w:numId="15">
    <w:abstractNumId w:val="47"/>
  </w:num>
  <w:num w:numId="16">
    <w:abstractNumId w:val="42"/>
  </w:num>
  <w:num w:numId="17">
    <w:abstractNumId w:val="46"/>
  </w:num>
  <w:num w:numId="18">
    <w:abstractNumId w:val="7"/>
  </w:num>
  <w:num w:numId="19">
    <w:abstractNumId w:val="0"/>
  </w:num>
  <w:num w:numId="20">
    <w:abstractNumId w:val="16"/>
  </w:num>
  <w:num w:numId="21">
    <w:abstractNumId w:val="2"/>
  </w:num>
  <w:num w:numId="22">
    <w:abstractNumId w:val="41"/>
  </w:num>
  <w:num w:numId="23">
    <w:abstractNumId w:val="17"/>
  </w:num>
  <w:num w:numId="24">
    <w:abstractNumId w:val="33"/>
  </w:num>
  <w:num w:numId="25">
    <w:abstractNumId w:val="25"/>
  </w:num>
  <w:num w:numId="26">
    <w:abstractNumId w:val="10"/>
  </w:num>
  <w:num w:numId="27">
    <w:abstractNumId w:val="30"/>
  </w:num>
  <w:num w:numId="28">
    <w:abstractNumId w:val="23"/>
  </w:num>
  <w:num w:numId="29">
    <w:abstractNumId w:val="21"/>
  </w:num>
  <w:num w:numId="30">
    <w:abstractNumId w:val="3"/>
  </w:num>
  <w:num w:numId="31">
    <w:abstractNumId w:val="38"/>
  </w:num>
  <w:num w:numId="32">
    <w:abstractNumId w:val="14"/>
  </w:num>
  <w:num w:numId="33">
    <w:abstractNumId w:val="45"/>
  </w:num>
  <w:num w:numId="34">
    <w:abstractNumId w:val="40"/>
  </w:num>
  <w:num w:numId="35">
    <w:abstractNumId w:val="11"/>
  </w:num>
  <w:num w:numId="36">
    <w:abstractNumId w:val="13"/>
  </w:num>
  <w:num w:numId="37">
    <w:abstractNumId w:val="36"/>
  </w:num>
  <w:num w:numId="38">
    <w:abstractNumId w:val="19"/>
  </w:num>
  <w:num w:numId="39">
    <w:abstractNumId w:val="5"/>
  </w:num>
  <w:num w:numId="40">
    <w:abstractNumId w:val="43"/>
  </w:num>
  <w:num w:numId="41">
    <w:abstractNumId w:val="44"/>
  </w:num>
  <w:num w:numId="42">
    <w:abstractNumId w:val="1"/>
  </w:num>
  <w:num w:numId="43">
    <w:abstractNumId w:val="28"/>
  </w:num>
  <w:num w:numId="44">
    <w:abstractNumId w:val="18"/>
  </w:num>
  <w:num w:numId="45">
    <w:abstractNumId w:val="12"/>
  </w:num>
  <w:num w:numId="46">
    <w:abstractNumId w:val="24"/>
  </w:num>
  <w:num w:numId="47">
    <w:abstractNumId w:val="39"/>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BE" w:vendorID="64" w:dllVersion="4096" w:nlCheck="1" w:checkStyle="0"/>
  <w:activeWritingStyle w:appName="MSWord" w:lang="es-ES" w:vendorID="64" w:dllVersion="6" w:nlCheck="1" w:checkStyle="1"/>
  <w:activeWritingStyle w:appName="MSWord" w:lang="es-ES" w:vendorID="64" w:dllVersion="0" w:nlCheck="1" w:checkStyle="0"/>
  <w:activeWritingStyle w:appName="MSWord" w:lang="fr-BE" w:vendorID="64" w:dllVersion="0"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wtrAwMzW2MDcxsTRQ0lEKTi0uzszPAykwrAUAw2rnjywAAAA="/>
    <w:docVar w:name="EN.InstantFormat" w:val="&lt;ENInstantFormat&gt;&lt;Enabled&gt;1&lt;/Enabled&gt;&lt;ScanUnformatted&gt;1&lt;/ScanUnformatted&gt;&lt;ScanChanges&gt;1&lt;/ScanChanges&gt;&lt;Suspended&gt;1&lt;/Suspended&gt;&lt;/ENInstantFormat&gt;"/>
    <w:docVar w:name="EN.Layout" w:val="&lt;ENLayout&gt;&lt;Style&gt;Lancet Infect Disea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vffze0l0xt5oeerpuvepacezret9twz9fw&quot;&gt;MNCH Library&lt;record-ids&gt;&lt;item&gt;79&lt;/item&gt;&lt;item&gt;98&lt;/item&gt;&lt;item&gt;288&lt;/item&gt;&lt;item&gt;408&lt;/item&gt;&lt;item&gt;422&lt;/item&gt;&lt;item&gt;436&lt;/item&gt;&lt;item&gt;727&lt;/item&gt;&lt;item&gt;779&lt;/item&gt;&lt;item&gt;784&lt;/item&gt;&lt;item&gt;1122&lt;/item&gt;&lt;item&gt;1336&lt;/item&gt;&lt;item&gt;1659&lt;/item&gt;&lt;item&gt;1700&lt;/item&gt;&lt;item&gt;1710&lt;/item&gt;&lt;item&gt;1802&lt;/item&gt;&lt;item&gt;1881&lt;/item&gt;&lt;item&gt;1900&lt;/item&gt;&lt;item&gt;1913&lt;/item&gt;&lt;item&gt;1914&lt;/item&gt;&lt;item&gt;2027&lt;/item&gt;&lt;item&gt;2059&lt;/item&gt;&lt;item&gt;2145&lt;/item&gt;&lt;item&gt;2326&lt;/item&gt;&lt;item&gt;2328&lt;/item&gt;&lt;item&gt;2339&lt;/item&gt;&lt;item&gt;2358&lt;/item&gt;&lt;item&gt;2389&lt;/item&gt;&lt;item&gt;2605&lt;/item&gt;&lt;item&gt;2615&lt;/item&gt;&lt;item&gt;2617&lt;/item&gt;&lt;item&gt;2618&lt;/item&gt;&lt;item&gt;2619&lt;/item&gt;&lt;item&gt;2620&lt;/item&gt;&lt;item&gt;2622&lt;/item&gt;&lt;item&gt;2623&lt;/item&gt;&lt;item&gt;2632&lt;/item&gt;&lt;item&gt;2641&lt;/item&gt;&lt;item&gt;2657&lt;/item&gt;&lt;item&gt;2659&lt;/item&gt;&lt;item&gt;2664&lt;/item&gt;&lt;item&gt;2716&lt;/item&gt;&lt;item&gt;2717&lt;/item&gt;&lt;item&gt;2719&lt;/item&gt;&lt;item&gt;2720&lt;/item&gt;&lt;item&gt;2723&lt;/item&gt;&lt;item&gt;2724&lt;/item&gt;&lt;item&gt;2725&lt;/item&gt;&lt;item&gt;2727&lt;/item&gt;&lt;item&gt;2728&lt;/item&gt;&lt;item&gt;2732&lt;/item&gt;&lt;item&gt;2736&lt;/item&gt;&lt;item&gt;2737&lt;/item&gt;&lt;item&gt;2738&lt;/item&gt;&lt;item&gt;2739&lt;/item&gt;&lt;item&gt;2740&lt;/item&gt;&lt;item&gt;2741&lt;/item&gt;&lt;item&gt;2742&lt;/item&gt;&lt;item&gt;2745&lt;/item&gt;&lt;item&gt;2746&lt;/item&gt;&lt;item&gt;2748&lt;/item&gt;&lt;item&gt;2749&lt;/item&gt;&lt;item&gt;2750&lt;/item&gt;&lt;item&gt;2751&lt;/item&gt;&lt;item&gt;2752&lt;/item&gt;&lt;item&gt;2754&lt;/item&gt;&lt;item&gt;2755&lt;/item&gt;&lt;item&gt;2760&lt;/item&gt;&lt;item&gt;2761&lt;/item&gt;&lt;item&gt;2763&lt;/item&gt;&lt;item&gt;2764&lt;/item&gt;&lt;item&gt;2766&lt;/item&gt;&lt;item&gt;2769&lt;/item&gt;&lt;item&gt;2770&lt;/item&gt;&lt;item&gt;2771&lt;/item&gt;&lt;item&gt;2773&lt;/item&gt;&lt;item&gt;2775&lt;/item&gt;&lt;item&gt;2776&lt;/item&gt;&lt;item&gt;2777&lt;/item&gt;&lt;item&gt;2779&lt;/item&gt;&lt;item&gt;2780&lt;/item&gt;&lt;item&gt;2781&lt;/item&gt;&lt;item&gt;2782&lt;/item&gt;&lt;item&gt;2783&lt;/item&gt;&lt;item&gt;2784&lt;/item&gt;&lt;item&gt;2785&lt;/item&gt;&lt;item&gt;2786&lt;/item&gt;&lt;item&gt;2787&lt;/item&gt;&lt;item&gt;2789&lt;/item&gt;&lt;item&gt;2790&lt;/item&gt;&lt;item&gt;2791&lt;/item&gt;&lt;item&gt;2792&lt;/item&gt;&lt;item&gt;2794&lt;/item&gt;&lt;item&gt;2795&lt;/item&gt;&lt;item&gt;2796&lt;/item&gt;&lt;item&gt;2798&lt;/item&gt;&lt;item&gt;2799&lt;/item&gt;&lt;item&gt;2801&lt;/item&gt;&lt;item&gt;2802&lt;/item&gt;&lt;item&gt;2803&lt;/item&gt;&lt;item&gt;2805&lt;/item&gt;&lt;item&gt;2806&lt;/item&gt;&lt;item&gt;2807&lt;/item&gt;&lt;item&gt;2809&lt;/item&gt;&lt;item&gt;2811&lt;/item&gt;&lt;item&gt;2812&lt;/item&gt;&lt;item&gt;2815&lt;/item&gt;&lt;item&gt;2816&lt;/item&gt;&lt;item&gt;2817&lt;/item&gt;&lt;item&gt;2818&lt;/item&gt;&lt;item&gt;2819&lt;/item&gt;&lt;item&gt;2821&lt;/item&gt;&lt;item&gt;2822&lt;/item&gt;&lt;item&gt;2825&lt;/item&gt;&lt;item&gt;2826&lt;/item&gt;&lt;item&gt;2827&lt;/item&gt;&lt;item&gt;2828&lt;/item&gt;&lt;item&gt;2831&lt;/item&gt;&lt;item&gt;2832&lt;/item&gt;&lt;item&gt;2833&lt;/item&gt;&lt;item&gt;2834&lt;/item&gt;&lt;item&gt;2835&lt;/item&gt;&lt;item&gt;2836&lt;/item&gt;&lt;item&gt;2837&lt;/item&gt;&lt;item&gt;2838&lt;/item&gt;&lt;item&gt;2839&lt;/item&gt;&lt;item&gt;2840&lt;/item&gt;&lt;item&gt;2843&lt;/item&gt;&lt;item&gt;2846&lt;/item&gt;&lt;item&gt;2847&lt;/item&gt;&lt;item&gt;2848&lt;/item&gt;&lt;item&gt;2849&lt;/item&gt;&lt;item&gt;2850&lt;/item&gt;&lt;item&gt;2851&lt;/item&gt;&lt;item&gt;2852&lt;/item&gt;&lt;item&gt;2853&lt;/item&gt;&lt;item&gt;2854&lt;/item&gt;&lt;item&gt;2856&lt;/item&gt;&lt;item&gt;2857&lt;/item&gt;&lt;item&gt;2858&lt;/item&gt;&lt;item&gt;2861&lt;/item&gt;&lt;item&gt;2862&lt;/item&gt;&lt;item&gt;2864&lt;/item&gt;&lt;item&gt;3083&lt;/item&gt;&lt;item&gt;3085&lt;/item&gt;&lt;item&gt;3087&lt;/item&gt;&lt;item&gt;3090&lt;/item&gt;&lt;item&gt;3091&lt;/item&gt;&lt;item&gt;3093&lt;/item&gt;&lt;item&gt;3094&lt;/item&gt;&lt;item&gt;3106&lt;/item&gt;&lt;item&gt;3107&lt;/item&gt;&lt;item&gt;3108&lt;/item&gt;&lt;item&gt;3125&lt;/item&gt;&lt;item&gt;3127&lt;/item&gt;&lt;item&gt;3130&lt;/item&gt;&lt;item&gt;3174&lt;/item&gt;&lt;item&gt;3188&lt;/item&gt;&lt;item&gt;3193&lt;/item&gt;&lt;/record-ids&gt;&lt;/item&gt;&lt;/Libraries&gt;"/>
  </w:docVars>
  <w:rsids>
    <w:rsidRoot w:val="00525B12"/>
    <w:rsid w:val="000004E2"/>
    <w:rsid w:val="000018EE"/>
    <w:rsid w:val="00002738"/>
    <w:rsid w:val="00002E92"/>
    <w:rsid w:val="00003813"/>
    <w:rsid w:val="000042EF"/>
    <w:rsid w:val="00004354"/>
    <w:rsid w:val="00004DD9"/>
    <w:rsid w:val="0000502E"/>
    <w:rsid w:val="0000512F"/>
    <w:rsid w:val="0000523D"/>
    <w:rsid w:val="000055ED"/>
    <w:rsid w:val="00005647"/>
    <w:rsid w:val="00005E18"/>
    <w:rsid w:val="00005F45"/>
    <w:rsid w:val="000061B8"/>
    <w:rsid w:val="00006849"/>
    <w:rsid w:val="000068B0"/>
    <w:rsid w:val="00006A27"/>
    <w:rsid w:val="00006B55"/>
    <w:rsid w:val="00006D4C"/>
    <w:rsid w:val="00006F55"/>
    <w:rsid w:val="000071AA"/>
    <w:rsid w:val="0000728B"/>
    <w:rsid w:val="000076E5"/>
    <w:rsid w:val="00007799"/>
    <w:rsid w:val="0000798A"/>
    <w:rsid w:val="000104A3"/>
    <w:rsid w:val="00010AD4"/>
    <w:rsid w:val="00010D5F"/>
    <w:rsid w:val="00011237"/>
    <w:rsid w:val="0001140C"/>
    <w:rsid w:val="000118D0"/>
    <w:rsid w:val="00011E6E"/>
    <w:rsid w:val="00011F1B"/>
    <w:rsid w:val="0001208D"/>
    <w:rsid w:val="0001224D"/>
    <w:rsid w:val="000122D4"/>
    <w:rsid w:val="00012458"/>
    <w:rsid w:val="0001284A"/>
    <w:rsid w:val="00012859"/>
    <w:rsid w:val="00012A90"/>
    <w:rsid w:val="00012ADA"/>
    <w:rsid w:val="0001343E"/>
    <w:rsid w:val="0001354C"/>
    <w:rsid w:val="00013609"/>
    <w:rsid w:val="00013AE7"/>
    <w:rsid w:val="00013D19"/>
    <w:rsid w:val="00013E6C"/>
    <w:rsid w:val="00014308"/>
    <w:rsid w:val="0001464F"/>
    <w:rsid w:val="00014885"/>
    <w:rsid w:val="00014C47"/>
    <w:rsid w:val="00016419"/>
    <w:rsid w:val="0001645D"/>
    <w:rsid w:val="000166D0"/>
    <w:rsid w:val="000173B5"/>
    <w:rsid w:val="00020E1B"/>
    <w:rsid w:val="00021000"/>
    <w:rsid w:val="00021169"/>
    <w:rsid w:val="000218EE"/>
    <w:rsid w:val="000218FA"/>
    <w:rsid w:val="0002193A"/>
    <w:rsid w:val="00021A9D"/>
    <w:rsid w:val="00021B54"/>
    <w:rsid w:val="00021CDE"/>
    <w:rsid w:val="00022190"/>
    <w:rsid w:val="000223E7"/>
    <w:rsid w:val="00022DB5"/>
    <w:rsid w:val="000231C7"/>
    <w:rsid w:val="00023E62"/>
    <w:rsid w:val="00023EDD"/>
    <w:rsid w:val="000246E1"/>
    <w:rsid w:val="00024999"/>
    <w:rsid w:val="0002515D"/>
    <w:rsid w:val="0002589C"/>
    <w:rsid w:val="00025B62"/>
    <w:rsid w:val="00026ADF"/>
    <w:rsid w:val="00026B1C"/>
    <w:rsid w:val="000274A4"/>
    <w:rsid w:val="00027937"/>
    <w:rsid w:val="000279F8"/>
    <w:rsid w:val="0003053C"/>
    <w:rsid w:val="00030785"/>
    <w:rsid w:val="00030794"/>
    <w:rsid w:val="00030A7C"/>
    <w:rsid w:val="00030BF1"/>
    <w:rsid w:val="00030FE6"/>
    <w:rsid w:val="00031128"/>
    <w:rsid w:val="000318FE"/>
    <w:rsid w:val="00031AED"/>
    <w:rsid w:val="0003292A"/>
    <w:rsid w:val="00032C13"/>
    <w:rsid w:val="000339B0"/>
    <w:rsid w:val="00034084"/>
    <w:rsid w:val="00034101"/>
    <w:rsid w:val="000341A3"/>
    <w:rsid w:val="00034B0E"/>
    <w:rsid w:val="00034C27"/>
    <w:rsid w:val="00034C55"/>
    <w:rsid w:val="00035AC1"/>
    <w:rsid w:val="00035DAF"/>
    <w:rsid w:val="00036448"/>
    <w:rsid w:val="00036511"/>
    <w:rsid w:val="00036A6C"/>
    <w:rsid w:val="00036C26"/>
    <w:rsid w:val="000371EE"/>
    <w:rsid w:val="00037553"/>
    <w:rsid w:val="00037AF9"/>
    <w:rsid w:val="00037D91"/>
    <w:rsid w:val="00037E0B"/>
    <w:rsid w:val="00037FA6"/>
    <w:rsid w:val="00040205"/>
    <w:rsid w:val="00040842"/>
    <w:rsid w:val="00040C22"/>
    <w:rsid w:val="00040CFD"/>
    <w:rsid w:val="00041198"/>
    <w:rsid w:val="00041239"/>
    <w:rsid w:val="000413EC"/>
    <w:rsid w:val="00041917"/>
    <w:rsid w:val="00041E7F"/>
    <w:rsid w:val="00042409"/>
    <w:rsid w:val="00042BCD"/>
    <w:rsid w:val="00042FC8"/>
    <w:rsid w:val="00042FD0"/>
    <w:rsid w:val="000436F1"/>
    <w:rsid w:val="00043913"/>
    <w:rsid w:val="00043E1C"/>
    <w:rsid w:val="00044067"/>
    <w:rsid w:val="00044529"/>
    <w:rsid w:val="00044BDB"/>
    <w:rsid w:val="00044F75"/>
    <w:rsid w:val="000451CD"/>
    <w:rsid w:val="000455AE"/>
    <w:rsid w:val="0004563A"/>
    <w:rsid w:val="00045BE9"/>
    <w:rsid w:val="000460B9"/>
    <w:rsid w:val="000460DE"/>
    <w:rsid w:val="000465B4"/>
    <w:rsid w:val="00046967"/>
    <w:rsid w:val="00046D2E"/>
    <w:rsid w:val="00047B7A"/>
    <w:rsid w:val="00047E18"/>
    <w:rsid w:val="00047EAC"/>
    <w:rsid w:val="000508DF"/>
    <w:rsid w:val="000509D6"/>
    <w:rsid w:val="00051146"/>
    <w:rsid w:val="000512C9"/>
    <w:rsid w:val="0005149D"/>
    <w:rsid w:val="00051A4C"/>
    <w:rsid w:val="00052015"/>
    <w:rsid w:val="00052022"/>
    <w:rsid w:val="00052432"/>
    <w:rsid w:val="000526D3"/>
    <w:rsid w:val="000527CD"/>
    <w:rsid w:val="00052BAA"/>
    <w:rsid w:val="00052D75"/>
    <w:rsid w:val="00052F64"/>
    <w:rsid w:val="00053055"/>
    <w:rsid w:val="000532ED"/>
    <w:rsid w:val="0005344E"/>
    <w:rsid w:val="0005372E"/>
    <w:rsid w:val="00053779"/>
    <w:rsid w:val="0005484A"/>
    <w:rsid w:val="0005491B"/>
    <w:rsid w:val="00054ADC"/>
    <w:rsid w:val="00054FD9"/>
    <w:rsid w:val="000553F3"/>
    <w:rsid w:val="000555D7"/>
    <w:rsid w:val="00055DD2"/>
    <w:rsid w:val="00056535"/>
    <w:rsid w:val="00056E2A"/>
    <w:rsid w:val="00057744"/>
    <w:rsid w:val="00057879"/>
    <w:rsid w:val="0005791F"/>
    <w:rsid w:val="0006053C"/>
    <w:rsid w:val="000610FD"/>
    <w:rsid w:val="00061E76"/>
    <w:rsid w:val="000628D5"/>
    <w:rsid w:val="000629E6"/>
    <w:rsid w:val="00062A3D"/>
    <w:rsid w:val="00062AE7"/>
    <w:rsid w:val="00062FF9"/>
    <w:rsid w:val="000630C2"/>
    <w:rsid w:val="00063250"/>
    <w:rsid w:val="00063429"/>
    <w:rsid w:val="00063A86"/>
    <w:rsid w:val="00063AC3"/>
    <w:rsid w:val="00063B77"/>
    <w:rsid w:val="0006404E"/>
    <w:rsid w:val="00064639"/>
    <w:rsid w:val="000646D9"/>
    <w:rsid w:val="000646EA"/>
    <w:rsid w:val="00065591"/>
    <w:rsid w:val="00065C50"/>
    <w:rsid w:val="00066E19"/>
    <w:rsid w:val="00066E1C"/>
    <w:rsid w:val="00066ECF"/>
    <w:rsid w:val="00066FC3"/>
    <w:rsid w:val="00067199"/>
    <w:rsid w:val="0006722E"/>
    <w:rsid w:val="000672CF"/>
    <w:rsid w:val="00067375"/>
    <w:rsid w:val="000675EA"/>
    <w:rsid w:val="0006794E"/>
    <w:rsid w:val="000700D5"/>
    <w:rsid w:val="000705F0"/>
    <w:rsid w:val="000710FC"/>
    <w:rsid w:val="00071136"/>
    <w:rsid w:val="000719FE"/>
    <w:rsid w:val="00073098"/>
    <w:rsid w:val="00073114"/>
    <w:rsid w:val="000735B1"/>
    <w:rsid w:val="0007386C"/>
    <w:rsid w:val="00073DDF"/>
    <w:rsid w:val="0007468D"/>
    <w:rsid w:val="00074D02"/>
    <w:rsid w:val="00074DD7"/>
    <w:rsid w:val="00074EF3"/>
    <w:rsid w:val="0007514D"/>
    <w:rsid w:val="000753DF"/>
    <w:rsid w:val="00075C38"/>
    <w:rsid w:val="000760B0"/>
    <w:rsid w:val="000768E3"/>
    <w:rsid w:val="00076990"/>
    <w:rsid w:val="00076A32"/>
    <w:rsid w:val="00076A63"/>
    <w:rsid w:val="00076B95"/>
    <w:rsid w:val="0007780B"/>
    <w:rsid w:val="00080EA0"/>
    <w:rsid w:val="000813B6"/>
    <w:rsid w:val="000817E1"/>
    <w:rsid w:val="00081971"/>
    <w:rsid w:val="00081CE6"/>
    <w:rsid w:val="0008215B"/>
    <w:rsid w:val="00082E9C"/>
    <w:rsid w:val="00082EAC"/>
    <w:rsid w:val="00083F51"/>
    <w:rsid w:val="00083F87"/>
    <w:rsid w:val="0008424D"/>
    <w:rsid w:val="00084CF1"/>
    <w:rsid w:val="00084F17"/>
    <w:rsid w:val="000857C5"/>
    <w:rsid w:val="0008583E"/>
    <w:rsid w:val="00085A18"/>
    <w:rsid w:val="00085F45"/>
    <w:rsid w:val="000861E4"/>
    <w:rsid w:val="00086BF2"/>
    <w:rsid w:val="00086F4D"/>
    <w:rsid w:val="000872E7"/>
    <w:rsid w:val="000879F1"/>
    <w:rsid w:val="0009037D"/>
    <w:rsid w:val="000908B2"/>
    <w:rsid w:val="0009118A"/>
    <w:rsid w:val="000913DA"/>
    <w:rsid w:val="000915D6"/>
    <w:rsid w:val="00091E69"/>
    <w:rsid w:val="00091F32"/>
    <w:rsid w:val="00091F8C"/>
    <w:rsid w:val="00092578"/>
    <w:rsid w:val="00092596"/>
    <w:rsid w:val="00092BC2"/>
    <w:rsid w:val="00093979"/>
    <w:rsid w:val="000949EA"/>
    <w:rsid w:val="00094A18"/>
    <w:rsid w:val="00094B41"/>
    <w:rsid w:val="00095391"/>
    <w:rsid w:val="0009560A"/>
    <w:rsid w:val="00095C5F"/>
    <w:rsid w:val="00095F82"/>
    <w:rsid w:val="00096258"/>
    <w:rsid w:val="000964C1"/>
    <w:rsid w:val="0009719D"/>
    <w:rsid w:val="00097BF5"/>
    <w:rsid w:val="000A1776"/>
    <w:rsid w:val="000A1844"/>
    <w:rsid w:val="000A19E3"/>
    <w:rsid w:val="000A1D2D"/>
    <w:rsid w:val="000A1F75"/>
    <w:rsid w:val="000A20A7"/>
    <w:rsid w:val="000A24F0"/>
    <w:rsid w:val="000A2508"/>
    <w:rsid w:val="000A2871"/>
    <w:rsid w:val="000A295D"/>
    <w:rsid w:val="000A2E1A"/>
    <w:rsid w:val="000A3993"/>
    <w:rsid w:val="000A4321"/>
    <w:rsid w:val="000A50CC"/>
    <w:rsid w:val="000A545A"/>
    <w:rsid w:val="000A5D81"/>
    <w:rsid w:val="000A687A"/>
    <w:rsid w:val="000A6C37"/>
    <w:rsid w:val="000A73A3"/>
    <w:rsid w:val="000A7572"/>
    <w:rsid w:val="000A78C7"/>
    <w:rsid w:val="000A7D54"/>
    <w:rsid w:val="000B074D"/>
    <w:rsid w:val="000B11FF"/>
    <w:rsid w:val="000B148A"/>
    <w:rsid w:val="000B158B"/>
    <w:rsid w:val="000B1836"/>
    <w:rsid w:val="000B21E1"/>
    <w:rsid w:val="000B23EE"/>
    <w:rsid w:val="000B3AA4"/>
    <w:rsid w:val="000B3CB7"/>
    <w:rsid w:val="000B41A7"/>
    <w:rsid w:val="000B44CA"/>
    <w:rsid w:val="000B44F9"/>
    <w:rsid w:val="000B4A87"/>
    <w:rsid w:val="000B521A"/>
    <w:rsid w:val="000B5358"/>
    <w:rsid w:val="000B570A"/>
    <w:rsid w:val="000B63B4"/>
    <w:rsid w:val="000B696F"/>
    <w:rsid w:val="000B70D6"/>
    <w:rsid w:val="000B730C"/>
    <w:rsid w:val="000B7602"/>
    <w:rsid w:val="000B7642"/>
    <w:rsid w:val="000B7CE1"/>
    <w:rsid w:val="000B7D50"/>
    <w:rsid w:val="000B7E8E"/>
    <w:rsid w:val="000C09EE"/>
    <w:rsid w:val="000C0CA8"/>
    <w:rsid w:val="000C1449"/>
    <w:rsid w:val="000C1590"/>
    <w:rsid w:val="000C1D02"/>
    <w:rsid w:val="000C2A09"/>
    <w:rsid w:val="000C2A9F"/>
    <w:rsid w:val="000C2FBC"/>
    <w:rsid w:val="000C3477"/>
    <w:rsid w:val="000C44A9"/>
    <w:rsid w:val="000C46D3"/>
    <w:rsid w:val="000C5473"/>
    <w:rsid w:val="000C5570"/>
    <w:rsid w:val="000C5C05"/>
    <w:rsid w:val="000C5FCE"/>
    <w:rsid w:val="000C66A0"/>
    <w:rsid w:val="000C6DA6"/>
    <w:rsid w:val="000C6E0E"/>
    <w:rsid w:val="000C72D0"/>
    <w:rsid w:val="000C7FF7"/>
    <w:rsid w:val="000D0503"/>
    <w:rsid w:val="000D10A2"/>
    <w:rsid w:val="000D1125"/>
    <w:rsid w:val="000D19FF"/>
    <w:rsid w:val="000D1AB3"/>
    <w:rsid w:val="000D2899"/>
    <w:rsid w:val="000D33F6"/>
    <w:rsid w:val="000D39CB"/>
    <w:rsid w:val="000D42D8"/>
    <w:rsid w:val="000D4442"/>
    <w:rsid w:val="000D5361"/>
    <w:rsid w:val="000D57EB"/>
    <w:rsid w:val="000D5ABB"/>
    <w:rsid w:val="000D629A"/>
    <w:rsid w:val="000D66C8"/>
    <w:rsid w:val="000D67A7"/>
    <w:rsid w:val="000D7567"/>
    <w:rsid w:val="000D78FA"/>
    <w:rsid w:val="000D7977"/>
    <w:rsid w:val="000D7EBC"/>
    <w:rsid w:val="000E0C61"/>
    <w:rsid w:val="000E0F1A"/>
    <w:rsid w:val="000E13FE"/>
    <w:rsid w:val="000E177D"/>
    <w:rsid w:val="000E18BC"/>
    <w:rsid w:val="000E1957"/>
    <w:rsid w:val="000E1ACE"/>
    <w:rsid w:val="000E1DFD"/>
    <w:rsid w:val="000E1F1B"/>
    <w:rsid w:val="000E214E"/>
    <w:rsid w:val="000E2247"/>
    <w:rsid w:val="000E2E81"/>
    <w:rsid w:val="000E34D0"/>
    <w:rsid w:val="000E3844"/>
    <w:rsid w:val="000E392E"/>
    <w:rsid w:val="000E3F9C"/>
    <w:rsid w:val="000E4207"/>
    <w:rsid w:val="000E4732"/>
    <w:rsid w:val="000E4A7A"/>
    <w:rsid w:val="000E4F5C"/>
    <w:rsid w:val="000E5946"/>
    <w:rsid w:val="000E5EC4"/>
    <w:rsid w:val="000E61A5"/>
    <w:rsid w:val="000E6F19"/>
    <w:rsid w:val="000E736A"/>
    <w:rsid w:val="000E7540"/>
    <w:rsid w:val="000F0A6A"/>
    <w:rsid w:val="000F0E49"/>
    <w:rsid w:val="000F0EBC"/>
    <w:rsid w:val="000F191D"/>
    <w:rsid w:val="000F2156"/>
    <w:rsid w:val="000F227B"/>
    <w:rsid w:val="000F248E"/>
    <w:rsid w:val="000F26D1"/>
    <w:rsid w:val="000F2D7A"/>
    <w:rsid w:val="000F3748"/>
    <w:rsid w:val="000F3D86"/>
    <w:rsid w:val="000F41BC"/>
    <w:rsid w:val="000F4605"/>
    <w:rsid w:val="000F4706"/>
    <w:rsid w:val="000F4A37"/>
    <w:rsid w:val="000F53C9"/>
    <w:rsid w:val="000F5C7B"/>
    <w:rsid w:val="000F5D7B"/>
    <w:rsid w:val="000F5ED9"/>
    <w:rsid w:val="000F612A"/>
    <w:rsid w:val="000F6404"/>
    <w:rsid w:val="000F6E5F"/>
    <w:rsid w:val="000F719A"/>
    <w:rsid w:val="000F76F6"/>
    <w:rsid w:val="00100936"/>
    <w:rsid w:val="00101DD6"/>
    <w:rsid w:val="00101F52"/>
    <w:rsid w:val="00102FDA"/>
    <w:rsid w:val="00103402"/>
    <w:rsid w:val="0010352E"/>
    <w:rsid w:val="001038C1"/>
    <w:rsid w:val="0010395B"/>
    <w:rsid w:val="00103D05"/>
    <w:rsid w:val="0010410F"/>
    <w:rsid w:val="00104278"/>
    <w:rsid w:val="0010436E"/>
    <w:rsid w:val="001046C3"/>
    <w:rsid w:val="001054CB"/>
    <w:rsid w:val="001070AC"/>
    <w:rsid w:val="00107453"/>
    <w:rsid w:val="00107935"/>
    <w:rsid w:val="00107B24"/>
    <w:rsid w:val="00107C8D"/>
    <w:rsid w:val="00110B3A"/>
    <w:rsid w:val="00111288"/>
    <w:rsid w:val="00111BE9"/>
    <w:rsid w:val="00111F88"/>
    <w:rsid w:val="001123F0"/>
    <w:rsid w:val="0011395E"/>
    <w:rsid w:val="00113A11"/>
    <w:rsid w:val="00113EE0"/>
    <w:rsid w:val="0011400A"/>
    <w:rsid w:val="00114DCE"/>
    <w:rsid w:val="00114FC3"/>
    <w:rsid w:val="00114FF3"/>
    <w:rsid w:val="001150FC"/>
    <w:rsid w:val="00115490"/>
    <w:rsid w:val="001157AC"/>
    <w:rsid w:val="00115B07"/>
    <w:rsid w:val="001163AA"/>
    <w:rsid w:val="001169B2"/>
    <w:rsid w:val="00116D82"/>
    <w:rsid w:val="00117020"/>
    <w:rsid w:val="001176ED"/>
    <w:rsid w:val="00120012"/>
    <w:rsid w:val="00120465"/>
    <w:rsid w:val="00121065"/>
    <w:rsid w:val="001215BF"/>
    <w:rsid w:val="001216FF"/>
    <w:rsid w:val="001220D3"/>
    <w:rsid w:val="001224AE"/>
    <w:rsid w:val="001228DC"/>
    <w:rsid w:val="00122A0B"/>
    <w:rsid w:val="001234FF"/>
    <w:rsid w:val="00123880"/>
    <w:rsid w:val="00123EAD"/>
    <w:rsid w:val="0012419C"/>
    <w:rsid w:val="00124463"/>
    <w:rsid w:val="001246DA"/>
    <w:rsid w:val="0012505F"/>
    <w:rsid w:val="00125099"/>
    <w:rsid w:val="001251F8"/>
    <w:rsid w:val="0012533B"/>
    <w:rsid w:val="001254EF"/>
    <w:rsid w:val="00125E5C"/>
    <w:rsid w:val="001263CB"/>
    <w:rsid w:val="0012642A"/>
    <w:rsid w:val="0012672E"/>
    <w:rsid w:val="00126866"/>
    <w:rsid w:val="00126895"/>
    <w:rsid w:val="0012699C"/>
    <w:rsid w:val="001269CA"/>
    <w:rsid w:val="00127D80"/>
    <w:rsid w:val="001302EA"/>
    <w:rsid w:val="001304AC"/>
    <w:rsid w:val="001315B8"/>
    <w:rsid w:val="00132360"/>
    <w:rsid w:val="00132486"/>
    <w:rsid w:val="00132B05"/>
    <w:rsid w:val="00132B3B"/>
    <w:rsid w:val="00133393"/>
    <w:rsid w:val="001333AB"/>
    <w:rsid w:val="00133A52"/>
    <w:rsid w:val="0013451F"/>
    <w:rsid w:val="001349B4"/>
    <w:rsid w:val="00134B36"/>
    <w:rsid w:val="001357CE"/>
    <w:rsid w:val="0013649E"/>
    <w:rsid w:val="001367B0"/>
    <w:rsid w:val="00136A4A"/>
    <w:rsid w:val="001376DE"/>
    <w:rsid w:val="00137810"/>
    <w:rsid w:val="00137EBD"/>
    <w:rsid w:val="00137FF8"/>
    <w:rsid w:val="001404F4"/>
    <w:rsid w:val="00140AFF"/>
    <w:rsid w:val="00140C2A"/>
    <w:rsid w:val="00141223"/>
    <w:rsid w:val="001416EC"/>
    <w:rsid w:val="00141744"/>
    <w:rsid w:val="00141988"/>
    <w:rsid w:val="00141BA0"/>
    <w:rsid w:val="00141BB0"/>
    <w:rsid w:val="00141C32"/>
    <w:rsid w:val="00142232"/>
    <w:rsid w:val="00142B5A"/>
    <w:rsid w:val="00142CA8"/>
    <w:rsid w:val="00142F7E"/>
    <w:rsid w:val="00143A61"/>
    <w:rsid w:val="00143CA5"/>
    <w:rsid w:val="00143E47"/>
    <w:rsid w:val="00143FCF"/>
    <w:rsid w:val="001441E1"/>
    <w:rsid w:val="0014436A"/>
    <w:rsid w:val="001443B0"/>
    <w:rsid w:val="001446BB"/>
    <w:rsid w:val="00144F4A"/>
    <w:rsid w:val="0014515E"/>
    <w:rsid w:val="00145CCE"/>
    <w:rsid w:val="00145D52"/>
    <w:rsid w:val="00146619"/>
    <w:rsid w:val="001467C9"/>
    <w:rsid w:val="00146866"/>
    <w:rsid w:val="001468A4"/>
    <w:rsid w:val="00146D20"/>
    <w:rsid w:val="0014716A"/>
    <w:rsid w:val="00147D26"/>
    <w:rsid w:val="0015004E"/>
    <w:rsid w:val="00150244"/>
    <w:rsid w:val="00150D72"/>
    <w:rsid w:val="00150E84"/>
    <w:rsid w:val="0015101E"/>
    <w:rsid w:val="00151656"/>
    <w:rsid w:val="00151E00"/>
    <w:rsid w:val="00151E04"/>
    <w:rsid w:val="00152A1D"/>
    <w:rsid w:val="00152B6B"/>
    <w:rsid w:val="00152E08"/>
    <w:rsid w:val="00152F1E"/>
    <w:rsid w:val="0015352E"/>
    <w:rsid w:val="00154212"/>
    <w:rsid w:val="00154430"/>
    <w:rsid w:val="0015461F"/>
    <w:rsid w:val="001548C9"/>
    <w:rsid w:val="001548CB"/>
    <w:rsid w:val="0015496F"/>
    <w:rsid w:val="00154B06"/>
    <w:rsid w:val="00155341"/>
    <w:rsid w:val="00155370"/>
    <w:rsid w:val="00155E6D"/>
    <w:rsid w:val="00155F68"/>
    <w:rsid w:val="001565F5"/>
    <w:rsid w:val="00156ADF"/>
    <w:rsid w:val="00156DFF"/>
    <w:rsid w:val="0015765B"/>
    <w:rsid w:val="001577A5"/>
    <w:rsid w:val="00157CE9"/>
    <w:rsid w:val="0016031B"/>
    <w:rsid w:val="0016064D"/>
    <w:rsid w:val="00160ECA"/>
    <w:rsid w:val="00160EE5"/>
    <w:rsid w:val="0016151F"/>
    <w:rsid w:val="00161885"/>
    <w:rsid w:val="0016191C"/>
    <w:rsid w:val="00161AF0"/>
    <w:rsid w:val="00161DC0"/>
    <w:rsid w:val="0016225E"/>
    <w:rsid w:val="00162309"/>
    <w:rsid w:val="001624DE"/>
    <w:rsid w:val="00162C4E"/>
    <w:rsid w:val="00163A9B"/>
    <w:rsid w:val="00164574"/>
    <w:rsid w:val="00164E9F"/>
    <w:rsid w:val="00165C94"/>
    <w:rsid w:val="0016640A"/>
    <w:rsid w:val="001664A1"/>
    <w:rsid w:val="00166BC3"/>
    <w:rsid w:val="00166C72"/>
    <w:rsid w:val="00166D3D"/>
    <w:rsid w:val="00166EF8"/>
    <w:rsid w:val="00166F7D"/>
    <w:rsid w:val="001676AE"/>
    <w:rsid w:val="00167BDD"/>
    <w:rsid w:val="00170957"/>
    <w:rsid w:val="00170CCF"/>
    <w:rsid w:val="00170EF8"/>
    <w:rsid w:val="0017191D"/>
    <w:rsid w:val="00171A8D"/>
    <w:rsid w:val="001720AB"/>
    <w:rsid w:val="001726E3"/>
    <w:rsid w:val="0017276A"/>
    <w:rsid w:val="00172906"/>
    <w:rsid w:val="00173142"/>
    <w:rsid w:val="00173468"/>
    <w:rsid w:val="001735CB"/>
    <w:rsid w:val="001740C3"/>
    <w:rsid w:val="00174C1F"/>
    <w:rsid w:val="00174F87"/>
    <w:rsid w:val="001752EB"/>
    <w:rsid w:val="001758F6"/>
    <w:rsid w:val="00175988"/>
    <w:rsid w:val="00175DCE"/>
    <w:rsid w:val="001761C0"/>
    <w:rsid w:val="001768C7"/>
    <w:rsid w:val="00176BB0"/>
    <w:rsid w:val="00176F8C"/>
    <w:rsid w:val="00177452"/>
    <w:rsid w:val="0017785E"/>
    <w:rsid w:val="0018002C"/>
    <w:rsid w:val="00180148"/>
    <w:rsid w:val="001806AA"/>
    <w:rsid w:val="00180742"/>
    <w:rsid w:val="00180847"/>
    <w:rsid w:val="00181387"/>
    <w:rsid w:val="00182030"/>
    <w:rsid w:val="00182096"/>
    <w:rsid w:val="001821AE"/>
    <w:rsid w:val="001822ED"/>
    <w:rsid w:val="00182AF1"/>
    <w:rsid w:val="00182E2B"/>
    <w:rsid w:val="001834EC"/>
    <w:rsid w:val="001836CD"/>
    <w:rsid w:val="00183F07"/>
    <w:rsid w:val="001845AF"/>
    <w:rsid w:val="00184727"/>
    <w:rsid w:val="00185117"/>
    <w:rsid w:val="0018532C"/>
    <w:rsid w:val="00185665"/>
    <w:rsid w:val="00185D19"/>
    <w:rsid w:val="00185D2E"/>
    <w:rsid w:val="00185F34"/>
    <w:rsid w:val="001868CC"/>
    <w:rsid w:val="00186BAB"/>
    <w:rsid w:val="00186D49"/>
    <w:rsid w:val="00186DFB"/>
    <w:rsid w:val="00186E0A"/>
    <w:rsid w:val="00186FAE"/>
    <w:rsid w:val="00187351"/>
    <w:rsid w:val="0018775C"/>
    <w:rsid w:val="00187F52"/>
    <w:rsid w:val="00191B89"/>
    <w:rsid w:val="00191F32"/>
    <w:rsid w:val="00192159"/>
    <w:rsid w:val="00192A12"/>
    <w:rsid w:val="00192BFB"/>
    <w:rsid w:val="00192F70"/>
    <w:rsid w:val="00193218"/>
    <w:rsid w:val="00193977"/>
    <w:rsid w:val="00193DF8"/>
    <w:rsid w:val="00193EA0"/>
    <w:rsid w:val="0019429E"/>
    <w:rsid w:val="001947F5"/>
    <w:rsid w:val="0019499D"/>
    <w:rsid w:val="00195199"/>
    <w:rsid w:val="00195272"/>
    <w:rsid w:val="0019552B"/>
    <w:rsid w:val="0019577B"/>
    <w:rsid w:val="001959A3"/>
    <w:rsid w:val="00195A23"/>
    <w:rsid w:val="00195FCA"/>
    <w:rsid w:val="00197866"/>
    <w:rsid w:val="00197F9F"/>
    <w:rsid w:val="001A025A"/>
    <w:rsid w:val="001A0514"/>
    <w:rsid w:val="001A2700"/>
    <w:rsid w:val="001A298E"/>
    <w:rsid w:val="001A2E58"/>
    <w:rsid w:val="001A34FD"/>
    <w:rsid w:val="001A5214"/>
    <w:rsid w:val="001A544A"/>
    <w:rsid w:val="001A5554"/>
    <w:rsid w:val="001A5C36"/>
    <w:rsid w:val="001A667E"/>
    <w:rsid w:val="001A688D"/>
    <w:rsid w:val="001A6E61"/>
    <w:rsid w:val="001A6FF1"/>
    <w:rsid w:val="001A71C2"/>
    <w:rsid w:val="001A7DA6"/>
    <w:rsid w:val="001A7E5F"/>
    <w:rsid w:val="001A7F15"/>
    <w:rsid w:val="001A7FAA"/>
    <w:rsid w:val="001B00E7"/>
    <w:rsid w:val="001B112D"/>
    <w:rsid w:val="001B1F4F"/>
    <w:rsid w:val="001B222F"/>
    <w:rsid w:val="001B2A54"/>
    <w:rsid w:val="001B2E22"/>
    <w:rsid w:val="001B2F42"/>
    <w:rsid w:val="001B2FE5"/>
    <w:rsid w:val="001B3EF8"/>
    <w:rsid w:val="001B46E9"/>
    <w:rsid w:val="001B4C1B"/>
    <w:rsid w:val="001B4E5B"/>
    <w:rsid w:val="001B539E"/>
    <w:rsid w:val="001B591A"/>
    <w:rsid w:val="001B5E8D"/>
    <w:rsid w:val="001B6393"/>
    <w:rsid w:val="001B6EA3"/>
    <w:rsid w:val="001B7838"/>
    <w:rsid w:val="001B7945"/>
    <w:rsid w:val="001C0394"/>
    <w:rsid w:val="001C07E5"/>
    <w:rsid w:val="001C10DF"/>
    <w:rsid w:val="001C1487"/>
    <w:rsid w:val="001C152A"/>
    <w:rsid w:val="001C160E"/>
    <w:rsid w:val="001C1F44"/>
    <w:rsid w:val="001C2720"/>
    <w:rsid w:val="001C2A58"/>
    <w:rsid w:val="001C3303"/>
    <w:rsid w:val="001C343E"/>
    <w:rsid w:val="001C36BF"/>
    <w:rsid w:val="001C3716"/>
    <w:rsid w:val="001C3754"/>
    <w:rsid w:val="001C37D5"/>
    <w:rsid w:val="001C3D4F"/>
    <w:rsid w:val="001C3EA0"/>
    <w:rsid w:val="001C3FDC"/>
    <w:rsid w:val="001C44BB"/>
    <w:rsid w:val="001C4B55"/>
    <w:rsid w:val="001C523C"/>
    <w:rsid w:val="001C613E"/>
    <w:rsid w:val="001C6463"/>
    <w:rsid w:val="001C6A59"/>
    <w:rsid w:val="001C7060"/>
    <w:rsid w:val="001C723F"/>
    <w:rsid w:val="001C79E4"/>
    <w:rsid w:val="001C7DE7"/>
    <w:rsid w:val="001D08B7"/>
    <w:rsid w:val="001D0AC7"/>
    <w:rsid w:val="001D0EBA"/>
    <w:rsid w:val="001D1422"/>
    <w:rsid w:val="001D150A"/>
    <w:rsid w:val="001D161C"/>
    <w:rsid w:val="001D1C4C"/>
    <w:rsid w:val="001D1D74"/>
    <w:rsid w:val="001D257E"/>
    <w:rsid w:val="001D2B5C"/>
    <w:rsid w:val="001D3202"/>
    <w:rsid w:val="001D4454"/>
    <w:rsid w:val="001D4776"/>
    <w:rsid w:val="001D4E62"/>
    <w:rsid w:val="001D50A3"/>
    <w:rsid w:val="001D546C"/>
    <w:rsid w:val="001D55F8"/>
    <w:rsid w:val="001D5763"/>
    <w:rsid w:val="001D5EC8"/>
    <w:rsid w:val="001D63A4"/>
    <w:rsid w:val="001D6CE2"/>
    <w:rsid w:val="001D6D3A"/>
    <w:rsid w:val="001D6FC5"/>
    <w:rsid w:val="001D7829"/>
    <w:rsid w:val="001D7CD3"/>
    <w:rsid w:val="001E02F0"/>
    <w:rsid w:val="001E090C"/>
    <w:rsid w:val="001E141E"/>
    <w:rsid w:val="001E14B1"/>
    <w:rsid w:val="001E1605"/>
    <w:rsid w:val="001E1F62"/>
    <w:rsid w:val="001E2050"/>
    <w:rsid w:val="001E255A"/>
    <w:rsid w:val="001E2A2B"/>
    <w:rsid w:val="001E2AF2"/>
    <w:rsid w:val="001E34E2"/>
    <w:rsid w:val="001E3713"/>
    <w:rsid w:val="001E4216"/>
    <w:rsid w:val="001E52EC"/>
    <w:rsid w:val="001E56D6"/>
    <w:rsid w:val="001E5755"/>
    <w:rsid w:val="001E58C6"/>
    <w:rsid w:val="001E6240"/>
    <w:rsid w:val="001E6AD1"/>
    <w:rsid w:val="001E6C81"/>
    <w:rsid w:val="001E711A"/>
    <w:rsid w:val="001E79CA"/>
    <w:rsid w:val="001E7C0F"/>
    <w:rsid w:val="001E7D4D"/>
    <w:rsid w:val="001E7F69"/>
    <w:rsid w:val="001F03DE"/>
    <w:rsid w:val="001F0573"/>
    <w:rsid w:val="001F073B"/>
    <w:rsid w:val="001F0CFA"/>
    <w:rsid w:val="001F1425"/>
    <w:rsid w:val="001F202B"/>
    <w:rsid w:val="001F2082"/>
    <w:rsid w:val="001F2413"/>
    <w:rsid w:val="001F2C93"/>
    <w:rsid w:val="001F321F"/>
    <w:rsid w:val="001F3E5D"/>
    <w:rsid w:val="001F4187"/>
    <w:rsid w:val="001F4928"/>
    <w:rsid w:val="001F4C74"/>
    <w:rsid w:val="001F50D2"/>
    <w:rsid w:val="001F524C"/>
    <w:rsid w:val="001F594D"/>
    <w:rsid w:val="001F6149"/>
    <w:rsid w:val="001F687F"/>
    <w:rsid w:val="001F6D8E"/>
    <w:rsid w:val="001F7898"/>
    <w:rsid w:val="001F7A1E"/>
    <w:rsid w:val="002000B1"/>
    <w:rsid w:val="00200620"/>
    <w:rsid w:val="002008BD"/>
    <w:rsid w:val="00200999"/>
    <w:rsid w:val="0020113F"/>
    <w:rsid w:val="00201195"/>
    <w:rsid w:val="00201256"/>
    <w:rsid w:val="0020151C"/>
    <w:rsid w:val="00201946"/>
    <w:rsid w:val="00202077"/>
    <w:rsid w:val="002020C6"/>
    <w:rsid w:val="002020E9"/>
    <w:rsid w:val="002028CD"/>
    <w:rsid w:val="002031AE"/>
    <w:rsid w:val="0020320A"/>
    <w:rsid w:val="00203770"/>
    <w:rsid w:val="0020400A"/>
    <w:rsid w:val="002040A7"/>
    <w:rsid w:val="002044EF"/>
    <w:rsid w:val="002047C4"/>
    <w:rsid w:val="00205DCD"/>
    <w:rsid w:val="00206613"/>
    <w:rsid w:val="00206BBC"/>
    <w:rsid w:val="0020701B"/>
    <w:rsid w:val="0020718D"/>
    <w:rsid w:val="00207625"/>
    <w:rsid w:val="00210145"/>
    <w:rsid w:val="00210399"/>
    <w:rsid w:val="00210904"/>
    <w:rsid w:val="002109D3"/>
    <w:rsid w:val="002112B6"/>
    <w:rsid w:val="00211356"/>
    <w:rsid w:val="00211469"/>
    <w:rsid w:val="002117C6"/>
    <w:rsid w:val="00211962"/>
    <w:rsid w:val="00212217"/>
    <w:rsid w:val="0021261A"/>
    <w:rsid w:val="00213026"/>
    <w:rsid w:val="00213AC7"/>
    <w:rsid w:val="00213F0F"/>
    <w:rsid w:val="002140D1"/>
    <w:rsid w:val="00214B03"/>
    <w:rsid w:val="00214B35"/>
    <w:rsid w:val="00215233"/>
    <w:rsid w:val="002152F1"/>
    <w:rsid w:val="002155A7"/>
    <w:rsid w:val="00216D3F"/>
    <w:rsid w:val="002177F7"/>
    <w:rsid w:val="002203BF"/>
    <w:rsid w:val="002208A4"/>
    <w:rsid w:val="0022097D"/>
    <w:rsid w:val="00220E03"/>
    <w:rsid w:val="00221413"/>
    <w:rsid w:val="00221790"/>
    <w:rsid w:val="00221A11"/>
    <w:rsid w:val="00221F04"/>
    <w:rsid w:val="002220C3"/>
    <w:rsid w:val="00222AC4"/>
    <w:rsid w:val="00222D7A"/>
    <w:rsid w:val="002230AF"/>
    <w:rsid w:val="002231BB"/>
    <w:rsid w:val="002231DC"/>
    <w:rsid w:val="00224177"/>
    <w:rsid w:val="00224732"/>
    <w:rsid w:val="00224A8E"/>
    <w:rsid w:val="00225E1D"/>
    <w:rsid w:val="002261C6"/>
    <w:rsid w:val="002264B1"/>
    <w:rsid w:val="002265B5"/>
    <w:rsid w:val="002267EB"/>
    <w:rsid w:val="00226ACE"/>
    <w:rsid w:val="00226F3E"/>
    <w:rsid w:val="00227654"/>
    <w:rsid w:val="00227B92"/>
    <w:rsid w:val="00227E7F"/>
    <w:rsid w:val="002302A6"/>
    <w:rsid w:val="00230D27"/>
    <w:rsid w:val="0023192C"/>
    <w:rsid w:val="00231F08"/>
    <w:rsid w:val="00232174"/>
    <w:rsid w:val="002324C8"/>
    <w:rsid w:val="0023258A"/>
    <w:rsid w:val="002327AC"/>
    <w:rsid w:val="00232DFF"/>
    <w:rsid w:val="00233606"/>
    <w:rsid w:val="00233987"/>
    <w:rsid w:val="00233CEB"/>
    <w:rsid w:val="00234904"/>
    <w:rsid w:val="00234CA4"/>
    <w:rsid w:val="0023562F"/>
    <w:rsid w:val="00235EF8"/>
    <w:rsid w:val="00236393"/>
    <w:rsid w:val="00236444"/>
    <w:rsid w:val="00236693"/>
    <w:rsid w:val="002369D5"/>
    <w:rsid w:val="0023742F"/>
    <w:rsid w:val="0024010E"/>
    <w:rsid w:val="00240310"/>
    <w:rsid w:val="002405F0"/>
    <w:rsid w:val="002410FD"/>
    <w:rsid w:val="00241FAF"/>
    <w:rsid w:val="00241FF5"/>
    <w:rsid w:val="002430E0"/>
    <w:rsid w:val="00243CA2"/>
    <w:rsid w:val="002440B4"/>
    <w:rsid w:val="00244219"/>
    <w:rsid w:val="00244260"/>
    <w:rsid w:val="00244719"/>
    <w:rsid w:val="00244EBF"/>
    <w:rsid w:val="00245166"/>
    <w:rsid w:val="002452B3"/>
    <w:rsid w:val="002453A0"/>
    <w:rsid w:val="002454EE"/>
    <w:rsid w:val="002462BB"/>
    <w:rsid w:val="00246DD1"/>
    <w:rsid w:val="00247952"/>
    <w:rsid w:val="00247D86"/>
    <w:rsid w:val="00250783"/>
    <w:rsid w:val="00251167"/>
    <w:rsid w:val="0025123C"/>
    <w:rsid w:val="00251FFD"/>
    <w:rsid w:val="00252D9F"/>
    <w:rsid w:val="00253666"/>
    <w:rsid w:val="0025383D"/>
    <w:rsid w:val="00253A50"/>
    <w:rsid w:val="00253CD0"/>
    <w:rsid w:val="002545C8"/>
    <w:rsid w:val="002548AE"/>
    <w:rsid w:val="002550EE"/>
    <w:rsid w:val="002551F0"/>
    <w:rsid w:val="00255B27"/>
    <w:rsid w:val="00255B9B"/>
    <w:rsid w:val="00255C9C"/>
    <w:rsid w:val="002561AF"/>
    <w:rsid w:val="00256F77"/>
    <w:rsid w:val="0025763E"/>
    <w:rsid w:val="002576CE"/>
    <w:rsid w:val="00260047"/>
    <w:rsid w:val="00260910"/>
    <w:rsid w:val="00260EC4"/>
    <w:rsid w:val="002617BF"/>
    <w:rsid w:val="0026186B"/>
    <w:rsid w:val="002627FA"/>
    <w:rsid w:val="00262938"/>
    <w:rsid w:val="00262A72"/>
    <w:rsid w:val="00262BE8"/>
    <w:rsid w:val="00262CC2"/>
    <w:rsid w:val="002631DE"/>
    <w:rsid w:val="0026343E"/>
    <w:rsid w:val="00263944"/>
    <w:rsid w:val="0026413F"/>
    <w:rsid w:val="002642D4"/>
    <w:rsid w:val="00264D66"/>
    <w:rsid w:val="00265CA4"/>
    <w:rsid w:val="002662BB"/>
    <w:rsid w:val="0026640D"/>
    <w:rsid w:val="002668E3"/>
    <w:rsid w:val="00266C15"/>
    <w:rsid w:val="002672A5"/>
    <w:rsid w:val="002672E7"/>
    <w:rsid w:val="00267DC5"/>
    <w:rsid w:val="002704DB"/>
    <w:rsid w:val="00270B59"/>
    <w:rsid w:val="002710F2"/>
    <w:rsid w:val="00271202"/>
    <w:rsid w:val="0027137C"/>
    <w:rsid w:val="00271B8A"/>
    <w:rsid w:val="0027264A"/>
    <w:rsid w:val="002726D7"/>
    <w:rsid w:val="00272ADE"/>
    <w:rsid w:val="0027361B"/>
    <w:rsid w:val="00273980"/>
    <w:rsid w:val="00273C9E"/>
    <w:rsid w:val="00274290"/>
    <w:rsid w:val="00274BCE"/>
    <w:rsid w:val="00275895"/>
    <w:rsid w:val="0027651E"/>
    <w:rsid w:val="002765C1"/>
    <w:rsid w:val="002766A3"/>
    <w:rsid w:val="00276A0D"/>
    <w:rsid w:val="00276BAA"/>
    <w:rsid w:val="00276E04"/>
    <w:rsid w:val="00276E3F"/>
    <w:rsid w:val="00276E72"/>
    <w:rsid w:val="0027746D"/>
    <w:rsid w:val="00277A3F"/>
    <w:rsid w:val="0028098E"/>
    <w:rsid w:val="00280BAE"/>
    <w:rsid w:val="0028125A"/>
    <w:rsid w:val="00281D08"/>
    <w:rsid w:val="00281D35"/>
    <w:rsid w:val="0028212E"/>
    <w:rsid w:val="002825F0"/>
    <w:rsid w:val="002829C6"/>
    <w:rsid w:val="00282C0D"/>
    <w:rsid w:val="00283E90"/>
    <w:rsid w:val="0028444C"/>
    <w:rsid w:val="0028471A"/>
    <w:rsid w:val="002849FC"/>
    <w:rsid w:val="00284BA5"/>
    <w:rsid w:val="00284FB0"/>
    <w:rsid w:val="00285680"/>
    <w:rsid w:val="0028686E"/>
    <w:rsid w:val="00286BB8"/>
    <w:rsid w:val="00286ED3"/>
    <w:rsid w:val="00287BB9"/>
    <w:rsid w:val="0029059C"/>
    <w:rsid w:val="00290C1F"/>
    <w:rsid w:val="00290D0E"/>
    <w:rsid w:val="00292084"/>
    <w:rsid w:val="002922F6"/>
    <w:rsid w:val="0029248C"/>
    <w:rsid w:val="00293050"/>
    <w:rsid w:val="002930EA"/>
    <w:rsid w:val="00293321"/>
    <w:rsid w:val="002936C8"/>
    <w:rsid w:val="002937E9"/>
    <w:rsid w:val="00293963"/>
    <w:rsid w:val="00293991"/>
    <w:rsid w:val="00293F00"/>
    <w:rsid w:val="00294C2D"/>
    <w:rsid w:val="0029597B"/>
    <w:rsid w:val="00295C4D"/>
    <w:rsid w:val="00296668"/>
    <w:rsid w:val="00297000"/>
    <w:rsid w:val="002970A5"/>
    <w:rsid w:val="002971DF"/>
    <w:rsid w:val="00297334"/>
    <w:rsid w:val="00297812"/>
    <w:rsid w:val="0029788C"/>
    <w:rsid w:val="002A0366"/>
    <w:rsid w:val="002A0454"/>
    <w:rsid w:val="002A0791"/>
    <w:rsid w:val="002A0F42"/>
    <w:rsid w:val="002A1103"/>
    <w:rsid w:val="002A16D1"/>
    <w:rsid w:val="002A1721"/>
    <w:rsid w:val="002A19DA"/>
    <w:rsid w:val="002A24C0"/>
    <w:rsid w:val="002A2A81"/>
    <w:rsid w:val="002A2D08"/>
    <w:rsid w:val="002A2F57"/>
    <w:rsid w:val="002A38C1"/>
    <w:rsid w:val="002A4667"/>
    <w:rsid w:val="002A473F"/>
    <w:rsid w:val="002A52A1"/>
    <w:rsid w:val="002A52E1"/>
    <w:rsid w:val="002A5389"/>
    <w:rsid w:val="002A558C"/>
    <w:rsid w:val="002A56EE"/>
    <w:rsid w:val="002A57F8"/>
    <w:rsid w:val="002A5858"/>
    <w:rsid w:val="002A5CFD"/>
    <w:rsid w:val="002A5EC7"/>
    <w:rsid w:val="002A5F1E"/>
    <w:rsid w:val="002A60F0"/>
    <w:rsid w:val="002A6497"/>
    <w:rsid w:val="002A6EE1"/>
    <w:rsid w:val="002A7384"/>
    <w:rsid w:val="002A76E5"/>
    <w:rsid w:val="002A7EFF"/>
    <w:rsid w:val="002B007D"/>
    <w:rsid w:val="002B0093"/>
    <w:rsid w:val="002B0475"/>
    <w:rsid w:val="002B1932"/>
    <w:rsid w:val="002B1A38"/>
    <w:rsid w:val="002B26DE"/>
    <w:rsid w:val="002B27B3"/>
    <w:rsid w:val="002B2A2E"/>
    <w:rsid w:val="002B2B9D"/>
    <w:rsid w:val="002B32EA"/>
    <w:rsid w:val="002B336A"/>
    <w:rsid w:val="002B3546"/>
    <w:rsid w:val="002B36A8"/>
    <w:rsid w:val="002B3EAA"/>
    <w:rsid w:val="002B4108"/>
    <w:rsid w:val="002B4AE3"/>
    <w:rsid w:val="002B4F17"/>
    <w:rsid w:val="002B540B"/>
    <w:rsid w:val="002B5CCF"/>
    <w:rsid w:val="002B67FE"/>
    <w:rsid w:val="002B6CA4"/>
    <w:rsid w:val="002B705E"/>
    <w:rsid w:val="002B7364"/>
    <w:rsid w:val="002B7582"/>
    <w:rsid w:val="002B7DDF"/>
    <w:rsid w:val="002C0AB5"/>
    <w:rsid w:val="002C0EF0"/>
    <w:rsid w:val="002C1218"/>
    <w:rsid w:val="002C130B"/>
    <w:rsid w:val="002C15B5"/>
    <w:rsid w:val="002C1DF1"/>
    <w:rsid w:val="002C1DFB"/>
    <w:rsid w:val="002C263C"/>
    <w:rsid w:val="002C2773"/>
    <w:rsid w:val="002C2F50"/>
    <w:rsid w:val="002C315E"/>
    <w:rsid w:val="002C36C5"/>
    <w:rsid w:val="002C3A93"/>
    <w:rsid w:val="002C3F1D"/>
    <w:rsid w:val="002C41A4"/>
    <w:rsid w:val="002C515B"/>
    <w:rsid w:val="002C5835"/>
    <w:rsid w:val="002C5DCF"/>
    <w:rsid w:val="002C61EE"/>
    <w:rsid w:val="002C6E21"/>
    <w:rsid w:val="002C7173"/>
    <w:rsid w:val="002C782D"/>
    <w:rsid w:val="002C7C31"/>
    <w:rsid w:val="002D0055"/>
    <w:rsid w:val="002D019F"/>
    <w:rsid w:val="002D046C"/>
    <w:rsid w:val="002D051D"/>
    <w:rsid w:val="002D0F7E"/>
    <w:rsid w:val="002D0FA6"/>
    <w:rsid w:val="002D1093"/>
    <w:rsid w:val="002D1809"/>
    <w:rsid w:val="002D19F0"/>
    <w:rsid w:val="002D2276"/>
    <w:rsid w:val="002D24F5"/>
    <w:rsid w:val="002D261D"/>
    <w:rsid w:val="002D27C7"/>
    <w:rsid w:val="002D3466"/>
    <w:rsid w:val="002D3CBC"/>
    <w:rsid w:val="002D40B7"/>
    <w:rsid w:val="002D4987"/>
    <w:rsid w:val="002D4D3E"/>
    <w:rsid w:val="002D4EBA"/>
    <w:rsid w:val="002D5572"/>
    <w:rsid w:val="002D5821"/>
    <w:rsid w:val="002D5E08"/>
    <w:rsid w:val="002D5F88"/>
    <w:rsid w:val="002D5FE3"/>
    <w:rsid w:val="002D616F"/>
    <w:rsid w:val="002D63F4"/>
    <w:rsid w:val="002D6B7B"/>
    <w:rsid w:val="002D71F4"/>
    <w:rsid w:val="002D7251"/>
    <w:rsid w:val="002D7843"/>
    <w:rsid w:val="002D7926"/>
    <w:rsid w:val="002D7E06"/>
    <w:rsid w:val="002E0503"/>
    <w:rsid w:val="002E11EA"/>
    <w:rsid w:val="002E13BF"/>
    <w:rsid w:val="002E1778"/>
    <w:rsid w:val="002E1DA9"/>
    <w:rsid w:val="002E239B"/>
    <w:rsid w:val="002E29A8"/>
    <w:rsid w:val="002E2FC1"/>
    <w:rsid w:val="002E397E"/>
    <w:rsid w:val="002E3982"/>
    <w:rsid w:val="002E3CE3"/>
    <w:rsid w:val="002E4921"/>
    <w:rsid w:val="002E4B69"/>
    <w:rsid w:val="002E55E8"/>
    <w:rsid w:val="002E614E"/>
    <w:rsid w:val="002E66A0"/>
    <w:rsid w:val="002E6943"/>
    <w:rsid w:val="002E6987"/>
    <w:rsid w:val="002E6B1B"/>
    <w:rsid w:val="002E6FF4"/>
    <w:rsid w:val="002E7B9C"/>
    <w:rsid w:val="002F0344"/>
    <w:rsid w:val="002F0617"/>
    <w:rsid w:val="002F062C"/>
    <w:rsid w:val="002F077D"/>
    <w:rsid w:val="002F07A3"/>
    <w:rsid w:val="002F114E"/>
    <w:rsid w:val="002F191B"/>
    <w:rsid w:val="002F248F"/>
    <w:rsid w:val="002F2715"/>
    <w:rsid w:val="002F2BA3"/>
    <w:rsid w:val="002F2E0F"/>
    <w:rsid w:val="002F3942"/>
    <w:rsid w:val="002F4B0B"/>
    <w:rsid w:val="002F5298"/>
    <w:rsid w:val="002F5E9F"/>
    <w:rsid w:val="002F5F54"/>
    <w:rsid w:val="002F6164"/>
    <w:rsid w:val="002F6236"/>
    <w:rsid w:val="002F638F"/>
    <w:rsid w:val="002F672D"/>
    <w:rsid w:val="002F6C5F"/>
    <w:rsid w:val="002F73FF"/>
    <w:rsid w:val="002F7656"/>
    <w:rsid w:val="002F7827"/>
    <w:rsid w:val="00300667"/>
    <w:rsid w:val="0030121C"/>
    <w:rsid w:val="003013F9"/>
    <w:rsid w:val="00302157"/>
    <w:rsid w:val="0030262B"/>
    <w:rsid w:val="00302B0A"/>
    <w:rsid w:val="00303285"/>
    <w:rsid w:val="0030367B"/>
    <w:rsid w:val="003037C8"/>
    <w:rsid w:val="00303988"/>
    <w:rsid w:val="003039A8"/>
    <w:rsid w:val="00303FA7"/>
    <w:rsid w:val="00304529"/>
    <w:rsid w:val="00304873"/>
    <w:rsid w:val="003049A4"/>
    <w:rsid w:val="0030595D"/>
    <w:rsid w:val="00306237"/>
    <w:rsid w:val="003069D4"/>
    <w:rsid w:val="00306C39"/>
    <w:rsid w:val="00306D04"/>
    <w:rsid w:val="00306E7F"/>
    <w:rsid w:val="00307A9B"/>
    <w:rsid w:val="00307E11"/>
    <w:rsid w:val="00307F7C"/>
    <w:rsid w:val="00310810"/>
    <w:rsid w:val="0031111F"/>
    <w:rsid w:val="003119E9"/>
    <w:rsid w:val="00311D5F"/>
    <w:rsid w:val="0031208B"/>
    <w:rsid w:val="00313460"/>
    <w:rsid w:val="00313B16"/>
    <w:rsid w:val="00314AD2"/>
    <w:rsid w:val="00314C42"/>
    <w:rsid w:val="00315692"/>
    <w:rsid w:val="00315CED"/>
    <w:rsid w:val="00316077"/>
    <w:rsid w:val="00316A06"/>
    <w:rsid w:val="00316D24"/>
    <w:rsid w:val="0031726D"/>
    <w:rsid w:val="00317478"/>
    <w:rsid w:val="0031767D"/>
    <w:rsid w:val="003177D0"/>
    <w:rsid w:val="00317F9F"/>
    <w:rsid w:val="003206A7"/>
    <w:rsid w:val="00321704"/>
    <w:rsid w:val="003217B0"/>
    <w:rsid w:val="00321B1A"/>
    <w:rsid w:val="00321B91"/>
    <w:rsid w:val="00321C33"/>
    <w:rsid w:val="00322C41"/>
    <w:rsid w:val="00322DC1"/>
    <w:rsid w:val="00324155"/>
    <w:rsid w:val="003246BD"/>
    <w:rsid w:val="003246EB"/>
    <w:rsid w:val="00324908"/>
    <w:rsid w:val="00324967"/>
    <w:rsid w:val="003250D2"/>
    <w:rsid w:val="0032514B"/>
    <w:rsid w:val="00325368"/>
    <w:rsid w:val="00325946"/>
    <w:rsid w:val="00325AD6"/>
    <w:rsid w:val="003266E6"/>
    <w:rsid w:val="00326A7F"/>
    <w:rsid w:val="00326A8C"/>
    <w:rsid w:val="00326B05"/>
    <w:rsid w:val="003271AD"/>
    <w:rsid w:val="0032752A"/>
    <w:rsid w:val="003278D1"/>
    <w:rsid w:val="00327E6C"/>
    <w:rsid w:val="00331132"/>
    <w:rsid w:val="0033149D"/>
    <w:rsid w:val="003315DE"/>
    <w:rsid w:val="0033348F"/>
    <w:rsid w:val="003334DB"/>
    <w:rsid w:val="00333570"/>
    <w:rsid w:val="00333874"/>
    <w:rsid w:val="003342EB"/>
    <w:rsid w:val="003344B0"/>
    <w:rsid w:val="00334CCE"/>
    <w:rsid w:val="0033521E"/>
    <w:rsid w:val="0033559F"/>
    <w:rsid w:val="00335921"/>
    <w:rsid w:val="0033597B"/>
    <w:rsid w:val="003360CD"/>
    <w:rsid w:val="00336554"/>
    <w:rsid w:val="00336850"/>
    <w:rsid w:val="00337AE1"/>
    <w:rsid w:val="00337CC5"/>
    <w:rsid w:val="0034017E"/>
    <w:rsid w:val="00340350"/>
    <w:rsid w:val="00340962"/>
    <w:rsid w:val="00340BD3"/>
    <w:rsid w:val="00340C35"/>
    <w:rsid w:val="00341122"/>
    <w:rsid w:val="00341DD7"/>
    <w:rsid w:val="0034243F"/>
    <w:rsid w:val="00342786"/>
    <w:rsid w:val="003427C8"/>
    <w:rsid w:val="00342F20"/>
    <w:rsid w:val="0034355D"/>
    <w:rsid w:val="00343A1C"/>
    <w:rsid w:val="003449AA"/>
    <w:rsid w:val="00344D8E"/>
    <w:rsid w:val="003451D8"/>
    <w:rsid w:val="003454F9"/>
    <w:rsid w:val="003456D7"/>
    <w:rsid w:val="00345A2D"/>
    <w:rsid w:val="00345B10"/>
    <w:rsid w:val="00345E74"/>
    <w:rsid w:val="00346623"/>
    <w:rsid w:val="003470F3"/>
    <w:rsid w:val="00347129"/>
    <w:rsid w:val="00347738"/>
    <w:rsid w:val="003479A4"/>
    <w:rsid w:val="00347B41"/>
    <w:rsid w:val="00347CC8"/>
    <w:rsid w:val="00347E4E"/>
    <w:rsid w:val="00347FF1"/>
    <w:rsid w:val="00350183"/>
    <w:rsid w:val="00350707"/>
    <w:rsid w:val="0035095A"/>
    <w:rsid w:val="00350E1E"/>
    <w:rsid w:val="00351E18"/>
    <w:rsid w:val="003520CF"/>
    <w:rsid w:val="003523D4"/>
    <w:rsid w:val="00353445"/>
    <w:rsid w:val="003534DD"/>
    <w:rsid w:val="00353517"/>
    <w:rsid w:val="00353663"/>
    <w:rsid w:val="00353914"/>
    <w:rsid w:val="00354061"/>
    <w:rsid w:val="00355052"/>
    <w:rsid w:val="003552D2"/>
    <w:rsid w:val="00355735"/>
    <w:rsid w:val="0035587F"/>
    <w:rsid w:val="00355983"/>
    <w:rsid w:val="00355E51"/>
    <w:rsid w:val="003560A1"/>
    <w:rsid w:val="003560AD"/>
    <w:rsid w:val="00356250"/>
    <w:rsid w:val="0035668B"/>
    <w:rsid w:val="00356A35"/>
    <w:rsid w:val="00356EE5"/>
    <w:rsid w:val="003575D4"/>
    <w:rsid w:val="00357D7F"/>
    <w:rsid w:val="00360663"/>
    <w:rsid w:val="003609FF"/>
    <w:rsid w:val="00360A37"/>
    <w:rsid w:val="00360AC4"/>
    <w:rsid w:val="00361209"/>
    <w:rsid w:val="0036229F"/>
    <w:rsid w:val="00362BE7"/>
    <w:rsid w:val="003631E0"/>
    <w:rsid w:val="00363384"/>
    <w:rsid w:val="003635A2"/>
    <w:rsid w:val="00365DBB"/>
    <w:rsid w:val="00366AD1"/>
    <w:rsid w:val="0036734C"/>
    <w:rsid w:val="003675E3"/>
    <w:rsid w:val="0036771B"/>
    <w:rsid w:val="00367EDA"/>
    <w:rsid w:val="0037067C"/>
    <w:rsid w:val="00370C0F"/>
    <w:rsid w:val="00370DCA"/>
    <w:rsid w:val="00370E7F"/>
    <w:rsid w:val="0037106F"/>
    <w:rsid w:val="00371BAD"/>
    <w:rsid w:val="00371BE9"/>
    <w:rsid w:val="00371D28"/>
    <w:rsid w:val="003723DC"/>
    <w:rsid w:val="00372563"/>
    <w:rsid w:val="003745A5"/>
    <w:rsid w:val="00375911"/>
    <w:rsid w:val="0037611A"/>
    <w:rsid w:val="003762F9"/>
    <w:rsid w:val="00376806"/>
    <w:rsid w:val="00377DEE"/>
    <w:rsid w:val="00377EBD"/>
    <w:rsid w:val="00377F43"/>
    <w:rsid w:val="003802EC"/>
    <w:rsid w:val="0038077D"/>
    <w:rsid w:val="00380B58"/>
    <w:rsid w:val="00380BD3"/>
    <w:rsid w:val="00381043"/>
    <w:rsid w:val="0038144A"/>
    <w:rsid w:val="003816A8"/>
    <w:rsid w:val="003816F9"/>
    <w:rsid w:val="00381F6E"/>
    <w:rsid w:val="003825C8"/>
    <w:rsid w:val="00382742"/>
    <w:rsid w:val="00382973"/>
    <w:rsid w:val="00383809"/>
    <w:rsid w:val="00383B0F"/>
    <w:rsid w:val="00383CF9"/>
    <w:rsid w:val="00383EC7"/>
    <w:rsid w:val="00383FD2"/>
    <w:rsid w:val="003844DA"/>
    <w:rsid w:val="003847AC"/>
    <w:rsid w:val="00384D7B"/>
    <w:rsid w:val="00385137"/>
    <w:rsid w:val="003858E6"/>
    <w:rsid w:val="003874F7"/>
    <w:rsid w:val="0038794B"/>
    <w:rsid w:val="00387E37"/>
    <w:rsid w:val="00387EFD"/>
    <w:rsid w:val="003901F8"/>
    <w:rsid w:val="00390C1F"/>
    <w:rsid w:val="00390EBA"/>
    <w:rsid w:val="00390F22"/>
    <w:rsid w:val="00391201"/>
    <w:rsid w:val="00391742"/>
    <w:rsid w:val="00391814"/>
    <w:rsid w:val="003920A4"/>
    <w:rsid w:val="00392836"/>
    <w:rsid w:val="00392D52"/>
    <w:rsid w:val="003936D6"/>
    <w:rsid w:val="003937D8"/>
    <w:rsid w:val="00393950"/>
    <w:rsid w:val="00393F4B"/>
    <w:rsid w:val="003950DF"/>
    <w:rsid w:val="003953AD"/>
    <w:rsid w:val="00396144"/>
    <w:rsid w:val="003963DD"/>
    <w:rsid w:val="003964AF"/>
    <w:rsid w:val="0039713E"/>
    <w:rsid w:val="003A06A5"/>
    <w:rsid w:val="003A0D02"/>
    <w:rsid w:val="003A1572"/>
    <w:rsid w:val="003A1DC1"/>
    <w:rsid w:val="003A2815"/>
    <w:rsid w:val="003A2977"/>
    <w:rsid w:val="003A3114"/>
    <w:rsid w:val="003A36B2"/>
    <w:rsid w:val="003A3872"/>
    <w:rsid w:val="003A38D4"/>
    <w:rsid w:val="003A3B2B"/>
    <w:rsid w:val="003A3C78"/>
    <w:rsid w:val="003A3D88"/>
    <w:rsid w:val="003A42A6"/>
    <w:rsid w:val="003A435F"/>
    <w:rsid w:val="003A44FE"/>
    <w:rsid w:val="003A4898"/>
    <w:rsid w:val="003A4942"/>
    <w:rsid w:val="003A4AE4"/>
    <w:rsid w:val="003A4BA7"/>
    <w:rsid w:val="003A50E6"/>
    <w:rsid w:val="003A53A8"/>
    <w:rsid w:val="003A5BD5"/>
    <w:rsid w:val="003A5E48"/>
    <w:rsid w:val="003A60C9"/>
    <w:rsid w:val="003A6AF2"/>
    <w:rsid w:val="003A6E5C"/>
    <w:rsid w:val="003A74E5"/>
    <w:rsid w:val="003A75F8"/>
    <w:rsid w:val="003A791D"/>
    <w:rsid w:val="003A7D7B"/>
    <w:rsid w:val="003A7ECB"/>
    <w:rsid w:val="003B0289"/>
    <w:rsid w:val="003B0366"/>
    <w:rsid w:val="003B1240"/>
    <w:rsid w:val="003B1BD9"/>
    <w:rsid w:val="003B2035"/>
    <w:rsid w:val="003B20D8"/>
    <w:rsid w:val="003B2EA1"/>
    <w:rsid w:val="003B2F9F"/>
    <w:rsid w:val="003B2FA1"/>
    <w:rsid w:val="003B3AF9"/>
    <w:rsid w:val="003B3B0C"/>
    <w:rsid w:val="003B3CA0"/>
    <w:rsid w:val="003B3DFB"/>
    <w:rsid w:val="003B4112"/>
    <w:rsid w:val="003B4495"/>
    <w:rsid w:val="003B4CCA"/>
    <w:rsid w:val="003B52F0"/>
    <w:rsid w:val="003B54EC"/>
    <w:rsid w:val="003B56A6"/>
    <w:rsid w:val="003B612A"/>
    <w:rsid w:val="003B7256"/>
    <w:rsid w:val="003B74B6"/>
    <w:rsid w:val="003B74E0"/>
    <w:rsid w:val="003B76A5"/>
    <w:rsid w:val="003B76B7"/>
    <w:rsid w:val="003B770F"/>
    <w:rsid w:val="003B775F"/>
    <w:rsid w:val="003C0002"/>
    <w:rsid w:val="003C0A14"/>
    <w:rsid w:val="003C0B79"/>
    <w:rsid w:val="003C1096"/>
    <w:rsid w:val="003C18C8"/>
    <w:rsid w:val="003C25A4"/>
    <w:rsid w:val="003C418C"/>
    <w:rsid w:val="003C493D"/>
    <w:rsid w:val="003C4A1A"/>
    <w:rsid w:val="003C4EC0"/>
    <w:rsid w:val="003C5163"/>
    <w:rsid w:val="003C54B4"/>
    <w:rsid w:val="003C5743"/>
    <w:rsid w:val="003C5FFB"/>
    <w:rsid w:val="003C618E"/>
    <w:rsid w:val="003C6B7C"/>
    <w:rsid w:val="003C6C78"/>
    <w:rsid w:val="003C7571"/>
    <w:rsid w:val="003C7829"/>
    <w:rsid w:val="003C7AE2"/>
    <w:rsid w:val="003D0B7F"/>
    <w:rsid w:val="003D0C6E"/>
    <w:rsid w:val="003D124C"/>
    <w:rsid w:val="003D13A2"/>
    <w:rsid w:val="003D1518"/>
    <w:rsid w:val="003D1A2C"/>
    <w:rsid w:val="003D1ADE"/>
    <w:rsid w:val="003D296B"/>
    <w:rsid w:val="003D37CB"/>
    <w:rsid w:val="003D37E3"/>
    <w:rsid w:val="003D397B"/>
    <w:rsid w:val="003D3E01"/>
    <w:rsid w:val="003D3E1F"/>
    <w:rsid w:val="003D3F2D"/>
    <w:rsid w:val="003D3F82"/>
    <w:rsid w:val="003D41CD"/>
    <w:rsid w:val="003D4404"/>
    <w:rsid w:val="003D4466"/>
    <w:rsid w:val="003D488D"/>
    <w:rsid w:val="003D617D"/>
    <w:rsid w:val="003D6307"/>
    <w:rsid w:val="003D67C4"/>
    <w:rsid w:val="003D67D6"/>
    <w:rsid w:val="003D6B30"/>
    <w:rsid w:val="003D70C8"/>
    <w:rsid w:val="003D7388"/>
    <w:rsid w:val="003D7BD7"/>
    <w:rsid w:val="003E0641"/>
    <w:rsid w:val="003E0C49"/>
    <w:rsid w:val="003E0EF9"/>
    <w:rsid w:val="003E10E9"/>
    <w:rsid w:val="003E187D"/>
    <w:rsid w:val="003E1E51"/>
    <w:rsid w:val="003E1F24"/>
    <w:rsid w:val="003E22C6"/>
    <w:rsid w:val="003E261D"/>
    <w:rsid w:val="003E2FD8"/>
    <w:rsid w:val="003E2FED"/>
    <w:rsid w:val="003E3DE1"/>
    <w:rsid w:val="003E408F"/>
    <w:rsid w:val="003E500C"/>
    <w:rsid w:val="003E505C"/>
    <w:rsid w:val="003E5BCF"/>
    <w:rsid w:val="003E641D"/>
    <w:rsid w:val="003E6835"/>
    <w:rsid w:val="003E6B49"/>
    <w:rsid w:val="003E6C61"/>
    <w:rsid w:val="003E6D8D"/>
    <w:rsid w:val="003E7043"/>
    <w:rsid w:val="003E71D8"/>
    <w:rsid w:val="003E73A1"/>
    <w:rsid w:val="003E79A5"/>
    <w:rsid w:val="003E7AA2"/>
    <w:rsid w:val="003F03D1"/>
    <w:rsid w:val="003F041A"/>
    <w:rsid w:val="003F0953"/>
    <w:rsid w:val="003F0FF7"/>
    <w:rsid w:val="003F1355"/>
    <w:rsid w:val="003F190A"/>
    <w:rsid w:val="003F1DA6"/>
    <w:rsid w:val="003F2070"/>
    <w:rsid w:val="003F2B50"/>
    <w:rsid w:val="003F3A2D"/>
    <w:rsid w:val="003F3ABC"/>
    <w:rsid w:val="003F3E9C"/>
    <w:rsid w:val="003F3EC9"/>
    <w:rsid w:val="003F4CA0"/>
    <w:rsid w:val="003F4CF6"/>
    <w:rsid w:val="003F4F88"/>
    <w:rsid w:val="003F503D"/>
    <w:rsid w:val="003F5659"/>
    <w:rsid w:val="003F573D"/>
    <w:rsid w:val="003F60AC"/>
    <w:rsid w:val="003F65C1"/>
    <w:rsid w:val="003F66F1"/>
    <w:rsid w:val="003F7DBA"/>
    <w:rsid w:val="0040031F"/>
    <w:rsid w:val="004010D3"/>
    <w:rsid w:val="004014FD"/>
    <w:rsid w:val="00401996"/>
    <w:rsid w:val="00401B2C"/>
    <w:rsid w:val="00402003"/>
    <w:rsid w:val="00402648"/>
    <w:rsid w:val="00402870"/>
    <w:rsid w:val="00402C01"/>
    <w:rsid w:val="00403084"/>
    <w:rsid w:val="004039CE"/>
    <w:rsid w:val="0040404D"/>
    <w:rsid w:val="00404145"/>
    <w:rsid w:val="00404257"/>
    <w:rsid w:val="004043D0"/>
    <w:rsid w:val="0040441D"/>
    <w:rsid w:val="004044B6"/>
    <w:rsid w:val="00404BCA"/>
    <w:rsid w:val="00404F80"/>
    <w:rsid w:val="004054C2"/>
    <w:rsid w:val="0040649F"/>
    <w:rsid w:val="004066A2"/>
    <w:rsid w:val="004069E0"/>
    <w:rsid w:val="00406EEB"/>
    <w:rsid w:val="004071E4"/>
    <w:rsid w:val="004071ED"/>
    <w:rsid w:val="004072DE"/>
    <w:rsid w:val="0040792F"/>
    <w:rsid w:val="00407BC1"/>
    <w:rsid w:val="004101E7"/>
    <w:rsid w:val="0041048F"/>
    <w:rsid w:val="004106A9"/>
    <w:rsid w:val="004109BA"/>
    <w:rsid w:val="00410F6A"/>
    <w:rsid w:val="00411AAF"/>
    <w:rsid w:val="00411D7F"/>
    <w:rsid w:val="00412975"/>
    <w:rsid w:val="00413521"/>
    <w:rsid w:val="00413941"/>
    <w:rsid w:val="00413979"/>
    <w:rsid w:val="00413A1F"/>
    <w:rsid w:val="00413CAA"/>
    <w:rsid w:val="00413E9C"/>
    <w:rsid w:val="00413F26"/>
    <w:rsid w:val="00414533"/>
    <w:rsid w:val="00414AF0"/>
    <w:rsid w:val="00415041"/>
    <w:rsid w:val="00415EA7"/>
    <w:rsid w:val="00416496"/>
    <w:rsid w:val="00416CD4"/>
    <w:rsid w:val="00416D21"/>
    <w:rsid w:val="00417345"/>
    <w:rsid w:val="00417661"/>
    <w:rsid w:val="0041780E"/>
    <w:rsid w:val="004178EA"/>
    <w:rsid w:val="004206E8"/>
    <w:rsid w:val="00420A51"/>
    <w:rsid w:val="00420F76"/>
    <w:rsid w:val="00421339"/>
    <w:rsid w:val="00421524"/>
    <w:rsid w:val="00421E68"/>
    <w:rsid w:val="00422332"/>
    <w:rsid w:val="004227A2"/>
    <w:rsid w:val="00422B36"/>
    <w:rsid w:val="0042319A"/>
    <w:rsid w:val="00423580"/>
    <w:rsid w:val="0042398B"/>
    <w:rsid w:val="00423B64"/>
    <w:rsid w:val="00423B78"/>
    <w:rsid w:val="00423C5F"/>
    <w:rsid w:val="00423F1B"/>
    <w:rsid w:val="0042430F"/>
    <w:rsid w:val="0042485C"/>
    <w:rsid w:val="00424B7F"/>
    <w:rsid w:val="00424F9D"/>
    <w:rsid w:val="004257AC"/>
    <w:rsid w:val="00425A71"/>
    <w:rsid w:val="00425FB4"/>
    <w:rsid w:val="00426215"/>
    <w:rsid w:val="00426910"/>
    <w:rsid w:val="00426EB8"/>
    <w:rsid w:val="0042701C"/>
    <w:rsid w:val="00427447"/>
    <w:rsid w:val="00427B57"/>
    <w:rsid w:val="00427DA0"/>
    <w:rsid w:val="00430648"/>
    <w:rsid w:val="00430854"/>
    <w:rsid w:val="0043092B"/>
    <w:rsid w:val="00430F42"/>
    <w:rsid w:val="004310C4"/>
    <w:rsid w:val="00431B13"/>
    <w:rsid w:val="00431FBE"/>
    <w:rsid w:val="004327DC"/>
    <w:rsid w:val="00432888"/>
    <w:rsid w:val="00432AF9"/>
    <w:rsid w:val="00433310"/>
    <w:rsid w:val="00434A1D"/>
    <w:rsid w:val="00435095"/>
    <w:rsid w:val="00435826"/>
    <w:rsid w:val="004358EA"/>
    <w:rsid w:val="00436587"/>
    <w:rsid w:val="004365DD"/>
    <w:rsid w:val="0043672B"/>
    <w:rsid w:val="00436854"/>
    <w:rsid w:val="00437949"/>
    <w:rsid w:val="00437FA9"/>
    <w:rsid w:val="0044032F"/>
    <w:rsid w:val="004404CF"/>
    <w:rsid w:val="004406DB"/>
    <w:rsid w:val="00440916"/>
    <w:rsid w:val="00440CB8"/>
    <w:rsid w:val="00440CF2"/>
    <w:rsid w:val="00440DED"/>
    <w:rsid w:val="00441406"/>
    <w:rsid w:val="00441AF8"/>
    <w:rsid w:val="00441DCF"/>
    <w:rsid w:val="00442509"/>
    <w:rsid w:val="00442980"/>
    <w:rsid w:val="004429D3"/>
    <w:rsid w:val="00442AE9"/>
    <w:rsid w:val="00443275"/>
    <w:rsid w:val="004438AF"/>
    <w:rsid w:val="00443949"/>
    <w:rsid w:val="00443C68"/>
    <w:rsid w:val="00443D43"/>
    <w:rsid w:val="004445C3"/>
    <w:rsid w:val="00444D3A"/>
    <w:rsid w:val="00445D71"/>
    <w:rsid w:val="00445E74"/>
    <w:rsid w:val="004464C6"/>
    <w:rsid w:val="00446C13"/>
    <w:rsid w:val="00447ADD"/>
    <w:rsid w:val="00447C91"/>
    <w:rsid w:val="004500BC"/>
    <w:rsid w:val="004509B5"/>
    <w:rsid w:val="00450BA1"/>
    <w:rsid w:val="00450BB6"/>
    <w:rsid w:val="00450CA3"/>
    <w:rsid w:val="00451018"/>
    <w:rsid w:val="00451654"/>
    <w:rsid w:val="00452611"/>
    <w:rsid w:val="0045301E"/>
    <w:rsid w:val="00453817"/>
    <w:rsid w:val="00453852"/>
    <w:rsid w:val="00453BEF"/>
    <w:rsid w:val="00453F53"/>
    <w:rsid w:val="0045405B"/>
    <w:rsid w:val="00455D84"/>
    <w:rsid w:val="00457207"/>
    <w:rsid w:val="004576E6"/>
    <w:rsid w:val="0045784D"/>
    <w:rsid w:val="00457AD8"/>
    <w:rsid w:val="00457B52"/>
    <w:rsid w:val="00457EF9"/>
    <w:rsid w:val="00460660"/>
    <w:rsid w:val="00460684"/>
    <w:rsid w:val="004611A6"/>
    <w:rsid w:val="00461205"/>
    <w:rsid w:val="00461EE5"/>
    <w:rsid w:val="00462547"/>
    <w:rsid w:val="00462950"/>
    <w:rsid w:val="004629A2"/>
    <w:rsid w:val="00462E8B"/>
    <w:rsid w:val="00463BD9"/>
    <w:rsid w:val="00464167"/>
    <w:rsid w:val="004642C2"/>
    <w:rsid w:val="004649AC"/>
    <w:rsid w:val="00464C78"/>
    <w:rsid w:val="0046572C"/>
    <w:rsid w:val="00465FF1"/>
    <w:rsid w:val="00466FB5"/>
    <w:rsid w:val="0046722D"/>
    <w:rsid w:val="0046752A"/>
    <w:rsid w:val="0046780A"/>
    <w:rsid w:val="004679CF"/>
    <w:rsid w:val="004704E5"/>
    <w:rsid w:val="0047057B"/>
    <w:rsid w:val="004708C8"/>
    <w:rsid w:val="0047097F"/>
    <w:rsid w:val="00470A06"/>
    <w:rsid w:val="00470C19"/>
    <w:rsid w:val="00471264"/>
    <w:rsid w:val="00471399"/>
    <w:rsid w:val="00471D83"/>
    <w:rsid w:val="00472542"/>
    <w:rsid w:val="00473428"/>
    <w:rsid w:val="0047373F"/>
    <w:rsid w:val="00473864"/>
    <w:rsid w:val="00473A99"/>
    <w:rsid w:val="00474520"/>
    <w:rsid w:val="0047460E"/>
    <w:rsid w:val="0047482B"/>
    <w:rsid w:val="00474ADD"/>
    <w:rsid w:val="00474B6A"/>
    <w:rsid w:val="00474C29"/>
    <w:rsid w:val="00474CD6"/>
    <w:rsid w:val="0047521B"/>
    <w:rsid w:val="00475313"/>
    <w:rsid w:val="004753CA"/>
    <w:rsid w:val="00475487"/>
    <w:rsid w:val="00475D3C"/>
    <w:rsid w:val="00477552"/>
    <w:rsid w:val="0047777F"/>
    <w:rsid w:val="004779EE"/>
    <w:rsid w:val="00477DDF"/>
    <w:rsid w:val="00480628"/>
    <w:rsid w:val="0048105D"/>
    <w:rsid w:val="00481778"/>
    <w:rsid w:val="0048193B"/>
    <w:rsid w:val="00481EA8"/>
    <w:rsid w:val="004821F8"/>
    <w:rsid w:val="00482C57"/>
    <w:rsid w:val="00482CDD"/>
    <w:rsid w:val="00483613"/>
    <w:rsid w:val="00483641"/>
    <w:rsid w:val="00483A69"/>
    <w:rsid w:val="00483D3C"/>
    <w:rsid w:val="0048400A"/>
    <w:rsid w:val="004844A1"/>
    <w:rsid w:val="00484C8C"/>
    <w:rsid w:val="00484EF5"/>
    <w:rsid w:val="004851B5"/>
    <w:rsid w:val="00485E03"/>
    <w:rsid w:val="00486235"/>
    <w:rsid w:val="00486402"/>
    <w:rsid w:val="004864A0"/>
    <w:rsid w:val="00486EF8"/>
    <w:rsid w:val="0048701C"/>
    <w:rsid w:val="0048726E"/>
    <w:rsid w:val="00487403"/>
    <w:rsid w:val="004875B1"/>
    <w:rsid w:val="00487B62"/>
    <w:rsid w:val="004902C3"/>
    <w:rsid w:val="0049037E"/>
    <w:rsid w:val="00490694"/>
    <w:rsid w:val="00490CAE"/>
    <w:rsid w:val="00490CD8"/>
    <w:rsid w:val="00490E4E"/>
    <w:rsid w:val="00490F6D"/>
    <w:rsid w:val="004913DF"/>
    <w:rsid w:val="00491C3B"/>
    <w:rsid w:val="00492BFE"/>
    <w:rsid w:val="00493240"/>
    <w:rsid w:val="00493291"/>
    <w:rsid w:val="00493727"/>
    <w:rsid w:val="00493FE5"/>
    <w:rsid w:val="004944F0"/>
    <w:rsid w:val="0049459A"/>
    <w:rsid w:val="004946C6"/>
    <w:rsid w:val="00495051"/>
    <w:rsid w:val="00495601"/>
    <w:rsid w:val="004957BF"/>
    <w:rsid w:val="00495910"/>
    <w:rsid w:val="00496211"/>
    <w:rsid w:val="00496D00"/>
    <w:rsid w:val="004970CA"/>
    <w:rsid w:val="00497E25"/>
    <w:rsid w:val="00497E2F"/>
    <w:rsid w:val="004A075E"/>
    <w:rsid w:val="004A0B89"/>
    <w:rsid w:val="004A1470"/>
    <w:rsid w:val="004A1487"/>
    <w:rsid w:val="004A16D6"/>
    <w:rsid w:val="004A1922"/>
    <w:rsid w:val="004A1CB7"/>
    <w:rsid w:val="004A2363"/>
    <w:rsid w:val="004A29E8"/>
    <w:rsid w:val="004A2B81"/>
    <w:rsid w:val="004A32C6"/>
    <w:rsid w:val="004A408E"/>
    <w:rsid w:val="004A49BB"/>
    <w:rsid w:val="004A4D86"/>
    <w:rsid w:val="004A4DA2"/>
    <w:rsid w:val="004A4E21"/>
    <w:rsid w:val="004A50ED"/>
    <w:rsid w:val="004A562D"/>
    <w:rsid w:val="004A59A8"/>
    <w:rsid w:val="004A5C9A"/>
    <w:rsid w:val="004A64D5"/>
    <w:rsid w:val="004A69A3"/>
    <w:rsid w:val="004A766D"/>
    <w:rsid w:val="004B0D66"/>
    <w:rsid w:val="004B0DF7"/>
    <w:rsid w:val="004B0FB6"/>
    <w:rsid w:val="004B1979"/>
    <w:rsid w:val="004B20BC"/>
    <w:rsid w:val="004B2A1B"/>
    <w:rsid w:val="004B2ABE"/>
    <w:rsid w:val="004B2E6C"/>
    <w:rsid w:val="004B3646"/>
    <w:rsid w:val="004B38DB"/>
    <w:rsid w:val="004B3C79"/>
    <w:rsid w:val="004B3F7B"/>
    <w:rsid w:val="004B4218"/>
    <w:rsid w:val="004B4997"/>
    <w:rsid w:val="004B4B4F"/>
    <w:rsid w:val="004B4D20"/>
    <w:rsid w:val="004B54C6"/>
    <w:rsid w:val="004B562D"/>
    <w:rsid w:val="004B5D61"/>
    <w:rsid w:val="004B608A"/>
    <w:rsid w:val="004B634F"/>
    <w:rsid w:val="004B6DC0"/>
    <w:rsid w:val="004B76F1"/>
    <w:rsid w:val="004B7C4D"/>
    <w:rsid w:val="004B7E42"/>
    <w:rsid w:val="004C0A77"/>
    <w:rsid w:val="004C0C56"/>
    <w:rsid w:val="004C0FC6"/>
    <w:rsid w:val="004C1215"/>
    <w:rsid w:val="004C122E"/>
    <w:rsid w:val="004C1385"/>
    <w:rsid w:val="004C1B99"/>
    <w:rsid w:val="004C2A2F"/>
    <w:rsid w:val="004C304D"/>
    <w:rsid w:val="004C3189"/>
    <w:rsid w:val="004C3554"/>
    <w:rsid w:val="004C35F5"/>
    <w:rsid w:val="004C36A7"/>
    <w:rsid w:val="004C38C1"/>
    <w:rsid w:val="004C3922"/>
    <w:rsid w:val="004C47EC"/>
    <w:rsid w:val="004C4972"/>
    <w:rsid w:val="004C4C15"/>
    <w:rsid w:val="004C4D0C"/>
    <w:rsid w:val="004C4F86"/>
    <w:rsid w:val="004C5E05"/>
    <w:rsid w:val="004C5E83"/>
    <w:rsid w:val="004C5EB2"/>
    <w:rsid w:val="004C63EE"/>
    <w:rsid w:val="004C65F8"/>
    <w:rsid w:val="004C6C9C"/>
    <w:rsid w:val="004C6F06"/>
    <w:rsid w:val="004C7416"/>
    <w:rsid w:val="004C778C"/>
    <w:rsid w:val="004D0574"/>
    <w:rsid w:val="004D0954"/>
    <w:rsid w:val="004D112E"/>
    <w:rsid w:val="004D1CBD"/>
    <w:rsid w:val="004D22DA"/>
    <w:rsid w:val="004D3699"/>
    <w:rsid w:val="004D369E"/>
    <w:rsid w:val="004D3A4C"/>
    <w:rsid w:val="004D40C3"/>
    <w:rsid w:val="004D4183"/>
    <w:rsid w:val="004D46B0"/>
    <w:rsid w:val="004D475E"/>
    <w:rsid w:val="004D49AD"/>
    <w:rsid w:val="004D50F1"/>
    <w:rsid w:val="004D58DE"/>
    <w:rsid w:val="004D5CDC"/>
    <w:rsid w:val="004D6A7D"/>
    <w:rsid w:val="004D6C5B"/>
    <w:rsid w:val="004D72A3"/>
    <w:rsid w:val="004D7865"/>
    <w:rsid w:val="004D7923"/>
    <w:rsid w:val="004D7BE1"/>
    <w:rsid w:val="004E0483"/>
    <w:rsid w:val="004E0771"/>
    <w:rsid w:val="004E086A"/>
    <w:rsid w:val="004E1186"/>
    <w:rsid w:val="004E12CE"/>
    <w:rsid w:val="004E13CF"/>
    <w:rsid w:val="004E1D1B"/>
    <w:rsid w:val="004E243A"/>
    <w:rsid w:val="004E289A"/>
    <w:rsid w:val="004E29D9"/>
    <w:rsid w:val="004E2BBF"/>
    <w:rsid w:val="004E305D"/>
    <w:rsid w:val="004E396A"/>
    <w:rsid w:val="004E3C10"/>
    <w:rsid w:val="004E4504"/>
    <w:rsid w:val="004E4BAA"/>
    <w:rsid w:val="004E4C79"/>
    <w:rsid w:val="004E4FA6"/>
    <w:rsid w:val="004E533B"/>
    <w:rsid w:val="004E55C0"/>
    <w:rsid w:val="004E58F0"/>
    <w:rsid w:val="004E5D18"/>
    <w:rsid w:val="004E5FD3"/>
    <w:rsid w:val="004E60AC"/>
    <w:rsid w:val="004E631D"/>
    <w:rsid w:val="004E682F"/>
    <w:rsid w:val="004E6C39"/>
    <w:rsid w:val="004E7040"/>
    <w:rsid w:val="004E7129"/>
    <w:rsid w:val="004E71A0"/>
    <w:rsid w:val="004E79B4"/>
    <w:rsid w:val="004E7F86"/>
    <w:rsid w:val="004F02DF"/>
    <w:rsid w:val="004F065F"/>
    <w:rsid w:val="004F066F"/>
    <w:rsid w:val="004F104B"/>
    <w:rsid w:val="004F1422"/>
    <w:rsid w:val="004F1A47"/>
    <w:rsid w:val="004F1DF7"/>
    <w:rsid w:val="004F3AA4"/>
    <w:rsid w:val="004F3AC7"/>
    <w:rsid w:val="004F3D7B"/>
    <w:rsid w:val="004F4669"/>
    <w:rsid w:val="004F481F"/>
    <w:rsid w:val="004F4BE3"/>
    <w:rsid w:val="004F53CC"/>
    <w:rsid w:val="004F5A66"/>
    <w:rsid w:val="004F5CFF"/>
    <w:rsid w:val="004F5E17"/>
    <w:rsid w:val="004F5F4F"/>
    <w:rsid w:val="004F65A2"/>
    <w:rsid w:val="004F6822"/>
    <w:rsid w:val="004F6A63"/>
    <w:rsid w:val="004F6AF3"/>
    <w:rsid w:val="004F7478"/>
    <w:rsid w:val="004F75CC"/>
    <w:rsid w:val="004F77D0"/>
    <w:rsid w:val="004F77FA"/>
    <w:rsid w:val="0050003F"/>
    <w:rsid w:val="005000E5"/>
    <w:rsid w:val="0050070D"/>
    <w:rsid w:val="005007FE"/>
    <w:rsid w:val="00500C7B"/>
    <w:rsid w:val="00500C8D"/>
    <w:rsid w:val="00500D43"/>
    <w:rsid w:val="00500F61"/>
    <w:rsid w:val="0050103A"/>
    <w:rsid w:val="0050120B"/>
    <w:rsid w:val="0050144C"/>
    <w:rsid w:val="00501A2C"/>
    <w:rsid w:val="00501E11"/>
    <w:rsid w:val="00502082"/>
    <w:rsid w:val="0050245B"/>
    <w:rsid w:val="005029E3"/>
    <w:rsid w:val="00502EA9"/>
    <w:rsid w:val="005037D3"/>
    <w:rsid w:val="00503938"/>
    <w:rsid w:val="00503A23"/>
    <w:rsid w:val="00503AA5"/>
    <w:rsid w:val="005042AE"/>
    <w:rsid w:val="005044B0"/>
    <w:rsid w:val="00504B98"/>
    <w:rsid w:val="00504CE2"/>
    <w:rsid w:val="00504ED6"/>
    <w:rsid w:val="00506082"/>
    <w:rsid w:val="005063B6"/>
    <w:rsid w:val="00506427"/>
    <w:rsid w:val="005066AB"/>
    <w:rsid w:val="00506AC0"/>
    <w:rsid w:val="00506D4A"/>
    <w:rsid w:val="00507A0B"/>
    <w:rsid w:val="00507A49"/>
    <w:rsid w:val="0051096A"/>
    <w:rsid w:val="005109E6"/>
    <w:rsid w:val="00510A7A"/>
    <w:rsid w:val="005117DB"/>
    <w:rsid w:val="0051223D"/>
    <w:rsid w:val="005128E5"/>
    <w:rsid w:val="00513106"/>
    <w:rsid w:val="005131E7"/>
    <w:rsid w:val="00513821"/>
    <w:rsid w:val="0051399F"/>
    <w:rsid w:val="005143DD"/>
    <w:rsid w:val="005162DE"/>
    <w:rsid w:val="00516342"/>
    <w:rsid w:val="0051687D"/>
    <w:rsid w:val="005173A6"/>
    <w:rsid w:val="0052032A"/>
    <w:rsid w:val="005203B1"/>
    <w:rsid w:val="00520DCD"/>
    <w:rsid w:val="005214C5"/>
    <w:rsid w:val="0052177F"/>
    <w:rsid w:val="005217CA"/>
    <w:rsid w:val="00521977"/>
    <w:rsid w:val="00521EC3"/>
    <w:rsid w:val="0052201F"/>
    <w:rsid w:val="005222EE"/>
    <w:rsid w:val="005225F7"/>
    <w:rsid w:val="00522619"/>
    <w:rsid w:val="00522BEB"/>
    <w:rsid w:val="00523432"/>
    <w:rsid w:val="005234DD"/>
    <w:rsid w:val="00523B17"/>
    <w:rsid w:val="00523F90"/>
    <w:rsid w:val="0052549F"/>
    <w:rsid w:val="00525592"/>
    <w:rsid w:val="005256C3"/>
    <w:rsid w:val="00525942"/>
    <w:rsid w:val="00525B12"/>
    <w:rsid w:val="00526527"/>
    <w:rsid w:val="00526B23"/>
    <w:rsid w:val="00526D89"/>
    <w:rsid w:val="00527AD2"/>
    <w:rsid w:val="00527CB2"/>
    <w:rsid w:val="00530092"/>
    <w:rsid w:val="005301F6"/>
    <w:rsid w:val="00530251"/>
    <w:rsid w:val="005302B8"/>
    <w:rsid w:val="005308BC"/>
    <w:rsid w:val="00530DDC"/>
    <w:rsid w:val="00531050"/>
    <w:rsid w:val="00531FED"/>
    <w:rsid w:val="00532D76"/>
    <w:rsid w:val="00532EC1"/>
    <w:rsid w:val="00532F2B"/>
    <w:rsid w:val="0053387E"/>
    <w:rsid w:val="00534559"/>
    <w:rsid w:val="005345FB"/>
    <w:rsid w:val="005346CA"/>
    <w:rsid w:val="00534B60"/>
    <w:rsid w:val="005350D1"/>
    <w:rsid w:val="00535255"/>
    <w:rsid w:val="00535A2E"/>
    <w:rsid w:val="00535A6E"/>
    <w:rsid w:val="005361FE"/>
    <w:rsid w:val="0053627C"/>
    <w:rsid w:val="00536895"/>
    <w:rsid w:val="00537000"/>
    <w:rsid w:val="00537175"/>
    <w:rsid w:val="00537537"/>
    <w:rsid w:val="005376D6"/>
    <w:rsid w:val="00540620"/>
    <w:rsid w:val="00540841"/>
    <w:rsid w:val="00541082"/>
    <w:rsid w:val="00541130"/>
    <w:rsid w:val="005414D6"/>
    <w:rsid w:val="00541B77"/>
    <w:rsid w:val="00542130"/>
    <w:rsid w:val="005424B4"/>
    <w:rsid w:val="00542854"/>
    <w:rsid w:val="00542862"/>
    <w:rsid w:val="00542E68"/>
    <w:rsid w:val="00542EB3"/>
    <w:rsid w:val="005432A1"/>
    <w:rsid w:val="00543B6A"/>
    <w:rsid w:val="0054455F"/>
    <w:rsid w:val="00544DE0"/>
    <w:rsid w:val="00544F2B"/>
    <w:rsid w:val="0054506C"/>
    <w:rsid w:val="00545504"/>
    <w:rsid w:val="005462BC"/>
    <w:rsid w:val="00546375"/>
    <w:rsid w:val="00546C98"/>
    <w:rsid w:val="005473E8"/>
    <w:rsid w:val="00547449"/>
    <w:rsid w:val="00547554"/>
    <w:rsid w:val="0054769A"/>
    <w:rsid w:val="00550407"/>
    <w:rsid w:val="00550594"/>
    <w:rsid w:val="00550D19"/>
    <w:rsid w:val="00550DC6"/>
    <w:rsid w:val="005514F4"/>
    <w:rsid w:val="005515E9"/>
    <w:rsid w:val="005523CD"/>
    <w:rsid w:val="005525F5"/>
    <w:rsid w:val="00552FF8"/>
    <w:rsid w:val="005543A7"/>
    <w:rsid w:val="005543E7"/>
    <w:rsid w:val="00554A5D"/>
    <w:rsid w:val="00554D82"/>
    <w:rsid w:val="00555A75"/>
    <w:rsid w:val="00555CE9"/>
    <w:rsid w:val="00555E7A"/>
    <w:rsid w:val="00556642"/>
    <w:rsid w:val="00557C42"/>
    <w:rsid w:val="00557F02"/>
    <w:rsid w:val="00560635"/>
    <w:rsid w:val="005606C9"/>
    <w:rsid w:val="005607E5"/>
    <w:rsid w:val="00561BE7"/>
    <w:rsid w:val="00561C9B"/>
    <w:rsid w:val="005630D2"/>
    <w:rsid w:val="00563370"/>
    <w:rsid w:val="0056456A"/>
    <w:rsid w:val="0056472D"/>
    <w:rsid w:val="0056474B"/>
    <w:rsid w:val="005649D9"/>
    <w:rsid w:val="00564C1A"/>
    <w:rsid w:val="00564C89"/>
    <w:rsid w:val="00564F20"/>
    <w:rsid w:val="005650DE"/>
    <w:rsid w:val="00565245"/>
    <w:rsid w:val="00565277"/>
    <w:rsid w:val="0056551F"/>
    <w:rsid w:val="0056598B"/>
    <w:rsid w:val="00565EB0"/>
    <w:rsid w:val="00565EE9"/>
    <w:rsid w:val="0056631D"/>
    <w:rsid w:val="005666DF"/>
    <w:rsid w:val="00566DA6"/>
    <w:rsid w:val="005673F8"/>
    <w:rsid w:val="00567827"/>
    <w:rsid w:val="00567B95"/>
    <w:rsid w:val="00567F5B"/>
    <w:rsid w:val="005709D5"/>
    <w:rsid w:val="005710D2"/>
    <w:rsid w:val="00571227"/>
    <w:rsid w:val="00571246"/>
    <w:rsid w:val="00571269"/>
    <w:rsid w:val="00571503"/>
    <w:rsid w:val="0057199C"/>
    <w:rsid w:val="00571C0C"/>
    <w:rsid w:val="00571F25"/>
    <w:rsid w:val="005724C0"/>
    <w:rsid w:val="00572AEC"/>
    <w:rsid w:val="00572B50"/>
    <w:rsid w:val="00572CE3"/>
    <w:rsid w:val="00572DC8"/>
    <w:rsid w:val="0057313A"/>
    <w:rsid w:val="0057334B"/>
    <w:rsid w:val="00573900"/>
    <w:rsid w:val="00573F48"/>
    <w:rsid w:val="00574595"/>
    <w:rsid w:val="0057537E"/>
    <w:rsid w:val="00575414"/>
    <w:rsid w:val="005754CF"/>
    <w:rsid w:val="005757C4"/>
    <w:rsid w:val="00576A95"/>
    <w:rsid w:val="00576E73"/>
    <w:rsid w:val="00576F37"/>
    <w:rsid w:val="00581886"/>
    <w:rsid w:val="00581A21"/>
    <w:rsid w:val="005826C3"/>
    <w:rsid w:val="00582D01"/>
    <w:rsid w:val="00583A15"/>
    <w:rsid w:val="00583AE3"/>
    <w:rsid w:val="00584049"/>
    <w:rsid w:val="005842CD"/>
    <w:rsid w:val="005850CA"/>
    <w:rsid w:val="00585437"/>
    <w:rsid w:val="00585F65"/>
    <w:rsid w:val="00586762"/>
    <w:rsid w:val="005871FE"/>
    <w:rsid w:val="00587978"/>
    <w:rsid w:val="00587E2C"/>
    <w:rsid w:val="00587F48"/>
    <w:rsid w:val="0059008F"/>
    <w:rsid w:val="0059021F"/>
    <w:rsid w:val="005908E4"/>
    <w:rsid w:val="005909ED"/>
    <w:rsid w:val="00590A9D"/>
    <w:rsid w:val="00590D06"/>
    <w:rsid w:val="00591202"/>
    <w:rsid w:val="005916D4"/>
    <w:rsid w:val="00591DD2"/>
    <w:rsid w:val="00592081"/>
    <w:rsid w:val="005921FF"/>
    <w:rsid w:val="005923F1"/>
    <w:rsid w:val="00592C4B"/>
    <w:rsid w:val="005930CB"/>
    <w:rsid w:val="005932FD"/>
    <w:rsid w:val="0059357D"/>
    <w:rsid w:val="005937A1"/>
    <w:rsid w:val="00593F1F"/>
    <w:rsid w:val="00594C35"/>
    <w:rsid w:val="00594CA3"/>
    <w:rsid w:val="0059663F"/>
    <w:rsid w:val="00596825"/>
    <w:rsid w:val="005968EB"/>
    <w:rsid w:val="00597050"/>
    <w:rsid w:val="00597D56"/>
    <w:rsid w:val="00597E9D"/>
    <w:rsid w:val="005A01CA"/>
    <w:rsid w:val="005A05AD"/>
    <w:rsid w:val="005A0646"/>
    <w:rsid w:val="005A09C6"/>
    <w:rsid w:val="005A0A6E"/>
    <w:rsid w:val="005A0E4D"/>
    <w:rsid w:val="005A0E83"/>
    <w:rsid w:val="005A15B9"/>
    <w:rsid w:val="005A16BB"/>
    <w:rsid w:val="005A190D"/>
    <w:rsid w:val="005A1B3C"/>
    <w:rsid w:val="005A20FA"/>
    <w:rsid w:val="005A2E26"/>
    <w:rsid w:val="005A30B8"/>
    <w:rsid w:val="005A3568"/>
    <w:rsid w:val="005A35C7"/>
    <w:rsid w:val="005A3643"/>
    <w:rsid w:val="005A39CF"/>
    <w:rsid w:val="005A39EC"/>
    <w:rsid w:val="005A3BBB"/>
    <w:rsid w:val="005A43EF"/>
    <w:rsid w:val="005A4EC3"/>
    <w:rsid w:val="005A502B"/>
    <w:rsid w:val="005A5A05"/>
    <w:rsid w:val="005A5F61"/>
    <w:rsid w:val="005A5FA1"/>
    <w:rsid w:val="005A77BE"/>
    <w:rsid w:val="005A7834"/>
    <w:rsid w:val="005A7BB6"/>
    <w:rsid w:val="005B09DF"/>
    <w:rsid w:val="005B12F7"/>
    <w:rsid w:val="005B137E"/>
    <w:rsid w:val="005B21AA"/>
    <w:rsid w:val="005B2784"/>
    <w:rsid w:val="005B2B3C"/>
    <w:rsid w:val="005B2E4D"/>
    <w:rsid w:val="005B32C4"/>
    <w:rsid w:val="005B3C6D"/>
    <w:rsid w:val="005B3FE8"/>
    <w:rsid w:val="005B4A86"/>
    <w:rsid w:val="005B4D70"/>
    <w:rsid w:val="005B5636"/>
    <w:rsid w:val="005B56C3"/>
    <w:rsid w:val="005B571C"/>
    <w:rsid w:val="005B75D8"/>
    <w:rsid w:val="005C0476"/>
    <w:rsid w:val="005C07FA"/>
    <w:rsid w:val="005C097B"/>
    <w:rsid w:val="005C200A"/>
    <w:rsid w:val="005C25FB"/>
    <w:rsid w:val="005C3017"/>
    <w:rsid w:val="005C4483"/>
    <w:rsid w:val="005C45CD"/>
    <w:rsid w:val="005C5828"/>
    <w:rsid w:val="005C5AA4"/>
    <w:rsid w:val="005C5C21"/>
    <w:rsid w:val="005C5ED6"/>
    <w:rsid w:val="005C601F"/>
    <w:rsid w:val="005C6C09"/>
    <w:rsid w:val="005C7C80"/>
    <w:rsid w:val="005D0631"/>
    <w:rsid w:val="005D0835"/>
    <w:rsid w:val="005D08FB"/>
    <w:rsid w:val="005D0966"/>
    <w:rsid w:val="005D0B47"/>
    <w:rsid w:val="005D0B9F"/>
    <w:rsid w:val="005D0C4B"/>
    <w:rsid w:val="005D10C0"/>
    <w:rsid w:val="005D2726"/>
    <w:rsid w:val="005D2EA4"/>
    <w:rsid w:val="005D325B"/>
    <w:rsid w:val="005D394A"/>
    <w:rsid w:val="005D3B92"/>
    <w:rsid w:val="005D4AF1"/>
    <w:rsid w:val="005D4BAE"/>
    <w:rsid w:val="005D4D1D"/>
    <w:rsid w:val="005D4ED1"/>
    <w:rsid w:val="005D52B6"/>
    <w:rsid w:val="005D53DE"/>
    <w:rsid w:val="005D5989"/>
    <w:rsid w:val="005D5A4C"/>
    <w:rsid w:val="005D5C91"/>
    <w:rsid w:val="005D5E8B"/>
    <w:rsid w:val="005D5F5F"/>
    <w:rsid w:val="005D602F"/>
    <w:rsid w:val="005D648F"/>
    <w:rsid w:val="005D67A4"/>
    <w:rsid w:val="005D784C"/>
    <w:rsid w:val="005D78BB"/>
    <w:rsid w:val="005D7990"/>
    <w:rsid w:val="005D7BCC"/>
    <w:rsid w:val="005D7D7E"/>
    <w:rsid w:val="005E06E7"/>
    <w:rsid w:val="005E095F"/>
    <w:rsid w:val="005E0AA2"/>
    <w:rsid w:val="005E141A"/>
    <w:rsid w:val="005E1431"/>
    <w:rsid w:val="005E1C47"/>
    <w:rsid w:val="005E2400"/>
    <w:rsid w:val="005E2D08"/>
    <w:rsid w:val="005E2FF5"/>
    <w:rsid w:val="005E3400"/>
    <w:rsid w:val="005E35BC"/>
    <w:rsid w:val="005E398B"/>
    <w:rsid w:val="005E3B33"/>
    <w:rsid w:val="005E46DA"/>
    <w:rsid w:val="005E4E4F"/>
    <w:rsid w:val="005E5C10"/>
    <w:rsid w:val="005E6805"/>
    <w:rsid w:val="005E6909"/>
    <w:rsid w:val="005E6BD1"/>
    <w:rsid w:val="005E79ED"/>
    <w:rsid w:val="005E7AA1"/>
    <w:rsid w:val="005F03CA"/>
    <w:rsid w:val="005F0480"/>
    <w:rsid w:val="005F080E"/>
    <w:rsid w:val="005F0913"/>
    <w:rsid w:val="005F0DA8"/>
    <w:rsid w:val="005F133E"/>
    <w:rsid w:val="005F16D4"/>
    <w:rsid w:val="005F1776"/>
    <w:rsid w:val="005F1C79"/>
    <w:rsid w:val="005F1E68"/>
    <w:rsid w:val="005F1EA6"/>
    <w:rsid w:val="005F2349"/>
    <w:rsid w:val="005F236C"/>
    <w:rsid w:val="005F261F"/>
    <w:rsid w:val="005F33BF"/>
    <w:rsid w:val="005F3613"/>
    <w:rsid w:val="005F3B95"/>
    <w:rsid w:val="005F4FAA"/>
    <w:rsid w:val="005F6164"/>
    <w:rsid w:val="005F65FC"/>
    <w:rsid w:val="005F6A2E"/>
    <w:rsid w:val="005F6E01"/>
    <w:rsid w:val="005F6E3B"/>
    <w:rsid w:val="005F6E87"/>
    <w:rsid w:val="005F70B4"/>
    <w:rsid w:val="005F798D"/>
    <w:rsid w:val="0060029D"/>
    <w:rsid w:val="00600B32"/>
    <w:rsid w:val="00601602"/>
    <w:rsid w:val="00601773"/>
    <w:rsid w:val="00601A61"/>
    <w:rsid w:val="0060206A"/>
    <w:rsid w:val="006028F0"/>
    <w:rsid w:val="00602ACE"/>
    <w:rsid w:val="00602D4E"/>
    <w:rsid w:val="00603AC5"/>
    <w:rsid w:val="00604168"/>
    <w:rsid w:val="00604191"/>
    <w:rsid w:val="00604D15"/>
    <w:rsid w:val="00605347"/>
    <w:rsid w:val="00605BE8"/>
    <w:rsid w:val="00605C72"/>
    <w:rsid w:val="006063FD"/>
    <w:rsid w:val="006070BB"/>
    <w:rsid w:val="00607568"/>
    <w:rsid w:val="00607633"/>
    <w:rsid w:val="00607A41"/>
    <w:rsid w:val="00610420"/>
    <w:rsid w:val="006106BA"/>
    <w:rsid w:val="00610777"/>
    <w:rsid w:val="006107B4"/>
    <w:rsid w:val="006107E5"/>
    <w:rsid w:val="006108E5"/>
    <w:rsid w:val="006114ED"/>
    <w:rsid w:val="0061170D"/>
    <w:rsid w:val="00611FD1"/>
    <w:rsid w:val="00612124"/>
    <w:rsid w:val="00612430"/>
    <w:rsid w:val="00612955"/>
    <w:rsid w:val="00612F70"/>
    <w:rsid w:val="00613207"/>
    <w:rsid w:val="00613369"/>
    <w:rsid w:val="006138EA"/>
    <w:rsid w:val="00614512"/>
    <w:rsid w:val="006149B4"/>
    <w:rsid w:val="00615770"/>
    <w:rsid w:val="006158B0"/>
    <w:rsid w:val="0061594A"/>
    <w:rsid w:val="00615988"/>
    <w:rsid w:val="00615A7A"/>
    <w:rsid w:val="00615F3F"/>
    <w:rsid w:val="006162FE"/>
    <w:rsid w:val="0061691A"/>
    <w:rsid w:val="00617098"/>
    <w:rsid w:val="00617183"/>
    <w:rsid w:val="00617E60"/>
    <w:rsid w:val="006201DD"/>
    <w:rsid w:val="0062032D"/>
    <w:rsid w:val="006205E8"/>
    <w:rsid w:val="00620767"/>
    <w:rsid w:val="006216A5"/>
    <w:rsid w:val="006219D5"/>
    <w:rsid w:val="00621ACA"/>
    <w:rsid w:val="00622231"/>
    <w:rsid w:val="006225B9"/>
    <w:rsid w:val="006229B0"/>
    <w:rsid w:val="006229C9"/>
    <w:rsid w:val="00622F7A"/>
    <w:rsid w:val="00623AFB"/>
    <w:rsid w:val="00623D04"/>
    <w:rsid w:val="0062437F"/>
    <w:rsid w:val="00625800"/>
    <w:rsid w:val="00625AC9"/>
    <w:rsid w:val="00626054"/>
    <w:rsid w:val="00626572"/>
    <w:rsid w:val="006266EF"/>
    <w:rsid w:val="00626792"/>
    <w:rsid w:val="00626945"/>
    <w:rsid w:val="00626D0B"/>
    <w:rsid w:val="00626F88"/>
    <w:rsid w:val="00627161"/>
    <w:rsid w:val="006300FB"/>
    <w:rsid w:val="0063022A"/>
    <w:rsid w:val="00630965"/>
    <w:rsid w:val="00631578"/>
    <w:rsid w:val="006315F2"/>
    <w:rsid w:val="006322D1"/>
    <w:rsid w:val="00632484"/>
    <w:rsid w:val="00632ADF"/>
    <w:rsid w:val="00632BE2"/>
    <w:rsid w:val="00632CF2"/>
    <w:rsid w:val="006343C2"/>
    <w:rsid w:val="006347C3"/>
    <w:rsid w:val="00634A7C"/>
    <w:rsid w:val="00634F18"/>
    <w:rsid w:val="006350C1"/>
    <w:rsid w:val="00635194"/>
    <w:rsid w:val="006353F8"/>
    <w:rsid w:val="006358D3"/>
    <w:rsid w:val="00635992"/>
    <w:rsid w:val="00635E51"/>
    <w:rsid w:val="00636338"/>
    <w:rsid w:val="006365E2"/>
    <w:rsid w:val="00636651"/>
    <w:rsid w:val="00636E0F"/>
    <w:rsid w:val="00636F96"/>
    <w:rsid w:val="0063738C"/>
    <w:rsid w:val="0064088C"/>
    <w:rsid w:val="006408C8"/>
    <w:rsid w:val="006409BC"/>
    <w:rsid w:val="00640ECC"/>
    <w:rsid w:val="00641E50"/>
    <w:rsid w:val="00641EAC"/>
    <w:rsid w:val="00642B29"/>
    <w:rsid w:val="00643033"/>
    <w:rsid w:val="00643923"/>
    <w:rsid w:val="00643B3F"/>
    <w:rsid w:val="00643CEB"/>
    <w:rsid w:val="006442E4"/>
    <w:rsid w:val="006461B7"/>
    <w:rsid w:val="0064625B"/>
    <w:rsid w:val="006462AB"/>
    <w:rsid w:val="00646C50"/>
    <w:rsid w:val="00647B3E"/>
    <w:rsid w:val="00647D5A"/>
    <w:rsid w:val="0065002F"/>
    <w:rsid w:val="00650979"/>
    <w:rsid w:val="00650A77"/>
    <w:rsid w:val="00650C1B"/>
    <w:rsid w:val="00650FAB"/>
    <w:rsid w:val="00651A0F"/>
    <w:rsid w:val="00652343"/>
    <w:rsid w:val="00652386"/>
    <w:rsid w:val="0065260E"/>
    <w:rsid w:val="006527EC"/>
    <w:rsid w:val="00652F71"/>
    <w:rsid w:val="00653A94"/>
    <w:rsid w:val="00653C4F"/>
    <w:rsid w:val="00654778"/>
    <w:rsid w:val="00654D71"/>
    <w:rsid w:val="00654DFB"/>
    <w:rsid w:val="00654F26"/>
    <w:rsid w:val="00654F74"/>
    <w:rsid w:val="006552A8"/>
    <w:rsid w:val="006554D1"/>
    <w:rsid w:val="00656083"/>
    <w:rsid w:val="00656160"/>
    <w:rsid w:val="006562CA"/>
    <w:rsid w:val="0065697A"/>
    <w:rsid w:val="00657322"/>
    <w:rsid w:val="00657530"/>
    <w:rsid w:val="006579D6"/>
    <w:rsid w:val="00660413"/>
    <w:rsid w:val="00660AEF"/>
    <w:rsid w:val="00660BB0"/>
    <w:rsid w:val="00660EA6"/>
    <w:rsid w:val="00660F4F"/>
    <w:rsid w:val="00661278"/>
    <w:rsid w:val="0066156D"/>
    <w:rsid w:val="0066199E"/>
    <w:rsid w:val="006620CE"/>
    <w:rsid w:val="00662866"/>
    <w:rsid w:val="00662A64"/>
    <w:rsid w:val="00662AD8"/>
    <w:rsid w:val="006633B6"/>
    <w:rsid w:val="006637ED"/>
    <w:rsid w:val="006638B6"/>
    <w:rsid w:val="00663DD8"/>
    <w:rsid w:val="00663ED0"/>
    <w:rsid w:val="006647BE"/>
    <w:rsid w:val="006647E3"/>
    <w:rsid w:val="00664A65"/>
    <w:rsid w:val="006654B1"/>
    <w:rsid w:val="00665F96"/>
    <w:rsid w:val="00666027"/>
    <w:rsid w:val="00666361"/>
    <w:rsid w:val="00666575"/>
    <w:rsid w:val="006666A7"/>
    <w:rsid w:val="006678A2"/>
    <w:rsid w:val="00667D53"/>
    <w:rsid w:val="0067040A"/>
    <w:rsid w:val="00670C82"/>
    <w:rsid w:val="00671464"/>
    <w:rsid w:val="00671C65"/>
    <w:rsid w:val="00672319"/>
    <w:rsid w:val="006727CF"/>
    <w:rsid w:val="0067303A"/>
    <w:rsid w:val="00673363"/>
    <w:rsid w:val="00673A36"/>
    <w:rsid w:val="00674114"/>
    <w:rsid w:val="00674310"/>
    <w:rsid w:val="006747F7"/>
    <w:rsid w:val="00674826"/>
    <w:rsid w:val="00674FE0"/>
    <w:rsid w:val="00675EC5"/>
    <w:rsid w:val="006760BD"/>
    <w:rsid w:val="006762A8"/>
    <w:rsid w:val="00676901"/>
    <w:rsid w:val="00677139"/>
    <w:rsid w:val="00677A48"/>
    <w:rsid w:val="00677BEF"/>
    <w:rsid w:val="00677DA0"/>
    <w:rsid w:val="00677EB3"/>
    <w:rsid w:val="00680378"/>
    <w:rsid w:val="006805EC"/>
    <w:rsid w:val="006806F3"/>
    <w:rsid w:val="00680718"/>
    <w:rsid w:val="00680E96"/>
    <w:rsid w:val="0068127D"/>
    <w:rsid w:val="00681335"/>
    <w:rsid w:val="006814AC"/>
    <w:rsid w:val="00681A59"/>
    <w:rsid w:val="00681A65"/>
    <w:rsid w:val="006828E6"/>
    <w:rsid w:val="006832E1"/>
    <w:rsid w:val="00683C18"/>
    <w:rsid w:val="00683F55"/>
    <w:rsid w:val="006847CA"/>
    <w:rsid w:val="0068480C"/>
    <w:rsid w:val="00685815"/>
    <w:rsid w:val="0068693B"/>
    <w:rsid w:val="006875AE"/>
    <w:rsid w:val="0069074F"/>
    <w:rsid w:val="0069091E"/>
    <w:rsid w:val="006909D5"/>
    <w:rsid w:val="00690D28"/>
    <w:rsid w:val="006910E3"/>
    <w:rsid w:val="0069150F"/>
    <w:rsid w:val="00691BE3"/>
    <w:rsid w:val="0069223E"/>
    <w:rsid w:val="00692BA8"/>
    <w:rsid w:val="00692C27"/>
    <w:rsid w:val="00692D62"/>
    <w:rsid w:val="00693F2E"/>
    <w:rsid w:val="00693FA9"/>
    <w:rsid w:val="00694035"/>
    <w:rsid w:val="00694537"/>
    <w:rsid w:val="0069475A"/>
    <w:rsid w:val="00694EED"/>
    <w:rsid w:val="006950B6"/>
    <w:rsid w:val="006952A3"/>
    <w:rsid w:val="00695D64"/>
    <w:rsid w:val="00696C10"/>
    <w:rsid w:val="00696C6B"/>
    <w:rsid w:val="006970EC"/>
    <w:rsid w:val="0069771C"/>
    <w:rsid w:val="006A05F6"/>
    <w:rsid w:val="006A0A99"/>
    <w:rsid w:val="006A0ED0"/>
    <w:rsid w:val="006A12A1"/>
    <w:rsid w:val="006A1582"/>
    <w:rsid w:val="006A165D"/>
    <w:rsid w:val="006A1A04"/>
    <w:rsid w:val="006A1D1C"/>
    <w:rsid w:val="006A2442"/>
    <w:rsid w:val="006A2647"/>
    <w:rsid w:val="006A2663"/>
    <w:rsid w:val="006A3634"/>
    <w:rsid w:val="006A3903"/>
    <w:rsid w:val="006A39FD"/>
    <w:rsid w:val="006A3B66"/>
    <w:rsid w:val="006A3CAE"/>
    <w:rsid w:val="006A41B0"/>
    <w:rsid w:val="006A5035"/>
    <w:rsid w:val="006A5196"/>
    <w:rsid w:val="006A54B9"/>
    <w:rsid w:val="006A54DC"/>
    <w:rsid w:val="006A5E23"/>
    <w:rsid w:val="006A6054"/>
    <w:rsid w:val="006A61A2"/>
    <w:rsid w:val="006A6E23"/>
    <w:rsid w:val="006A7C9E"/>
    <w:rsid w:val="006A7D67"/>
    <w:rsid w:val="006A7DFF"/>
    <w:rsid w:val="006B0AE6"/>
    <w:rsid w:val="006B144C"/>
    <w:rsid w:val="006B16B2"/>
    <w:rsid w:val="006B178E"/>
    <w:rsid w:val="006B2161"/>
    <w:rsid w:val="006B2360"/>
    <w:rsid w:val="006B2973"/>
    <w:rsid w:val="006B2DF2"/>
    <w:rsid w:val="006B2E8E"/>
    <w:rsid w:val="006B31FB"/>
    <w:rsid w:val="006B33CB"/>
    <w:rsid w:val="006B457C"/>
    <w:rsid w:val="006B47F0"/>
    <w:rsid w:val="006B4A34"/>
    <w:rsid w:val="006B4A5F"/>
    <w:rsid w:val="006B4DBF"/>
    <w:rsid w:val="006B4F53"/>
    <w:rsid w:val="006B6A20"/>
    <w:rsid w:val="006B6D2E"/>
    <w:rsid w:val="006B6F0A"/>
    <w:rsid w:val="006B7FCA"/>
    <w:rsid w:val="006C004A"/>
    <w:rsid w:val="006C0134"/>
    <w:rsid w:val="006C0478"/>
    <w:rsid w:val="006C06F2"/>
    <w:rsid w:val="006C0ADE"/>
    <w:rsid w:val="006C0C62"/>
    <w:rsid w:val="006C0E99"/>
    <w:rsid w:val="006C15E3"/>
    <w:rsid w:val="006C16B1"/>
    <w:rsid w:val="006C194C"/>
    <w:rsid w:val="006C1ED1"/>
    <w:rsid w:val="006C2437"/>
    <w:rsid w:val="006C380A"/>
    <w:rsid w:val="006C415C"/>
    <w:rsid w:val="006C4ABE"/>
    <w:rsid w:val="006C50D7"/>
    <w:rsid w:val="006C5279"/>
    <w:rsid w:val="006C5925"/>
    <w:rsid w:val="006C5F87"/>
    <w:rsid w:val="006C5F8F"/>
    <w:rsid w:val="006C610B"/>
    <w:rsid w:val="006C63AC"/>
    <w:rsid w:val="006C6D57"/>
    <w:rsid w:val="006C6EBA"/>
    <w:rsid w:val="006C7807"/>
    <w:rsid w:val="006D02AB"/>
    <w:rsid w:val="006D08F1"/>
    <w:rsid w:val="006D0BB7"/>
    <w:rsid w:val="006D1141"/>
    <w:rsid w:val="006D1565"/>
    <w:rsid w:val="006D1617"/>
    <w:rsid w:val="006D1977"/>
    <w:rsid w:val="006D1C4B"/>
    <w:rsid w:val="006D1CC2"/>
    <w:rsid w:val="006D261F"/>
    <w:rsid w:val="006D2822"/>
    <w:rsid w:val="006D2A9C"/>
    <w:rsid w:val="006D2F33"/>
    <w:rsid w:val="006D3665"/>
    <w:rsid w:val="006D4F86"/>
    <w:rsid w:val="006D5428"/>
    <w:rsid w:val="006D5691"/>
    <w:rsid w:val="006D5A64"/>
    <w:rsid w:val="006D5D07"/>
    <w:rsid w:val="006D60AB"/>
    <w:rsid w:val="006D65AC"/>
    <w:rsid w:val="006D65EC"/>
    <w:rsid w:val="006D70B2"/>
    <w:rsid w:val="006D71DF"/>
    <w:rsid w:val="006D7431"/>
    <w:rsid w:val="006E024C"/>
    <w:rsid w:val="006E07B4"/>
    <w:rsid w:val="006E0B62"/>
    <w:rsid w:val="006E0C5B"/>
    <w:rsid w:val="006E0DB3"/>
    <w:rsid w:val="006E1193"/>
    <w:rsid w:val="006E14AC"/>
    <w:rsid w:val="006E1A57"/>
    <w:rsid w:val="006E1AB6"/>
    <w:rsid w:val="006E1FF1"/>
    <w:rsid w:val="006E22AB"/>
    <w:rsid w:val="006E27FC"/>
    <w:rsid w:val="006E2C0B"/>
    <w:rsid w:val="006E2D46"/>
    <w:rsid w:val="006E35C9"/>
    <w:rsid w:val="006E47E0"/>
    <w:rsid w:val="006E51F2"/>
    <w:rsid w:val="006E554A"/>
    <w:rsid w:val="006E5CBA"/>
    <w:rsid w:val="006E5D7F"/>
    <w:rsid w:val="006E636D"/>
    <w:rsid w:val="006E6519"/>
    <w:rsid w:val="006E66EF"/>
    <w:rsid w:val="006E6F13"/>
    <w:rsid w:val="006E714C"/>
    <w:rsid w:val="006E79B4"/>
    <w:rsid w:val="006E7A16"/>
    <w:rsid w:val="006F0102"/>
    <w:rsid w:val="006F0116"/>
    <w:rsid w:val="006F0D4D"/>
    <w:rsid w:val="006F101D"/>
    <w:rsid w:val="006F127E"/>
    <w:rsid w:val="006F131D"/>
    <w:rsid w:val="006F19C9"/>
    <w:rsid w:val="006F19CF"/>
    <w:rsid w:val="006F20DF"/>
    <w:rsid w:val="006F287F"/>
    <w:rsid w:val="006F31CA"/>
    <w:rsid w:val="006F3647"/>
    <w:rsid w:val="006F3BF7"/>
    <w:rsid w:val="006F3DCC"/>
    <w:rsid w:val="006F47E3"/>
    <w:rsid w:val="006F4922"/>
    <w:rsid w:val="006F4D24"/>
    <w:rsid w:val="006F519C"/>
    <w:rsid w:val="006F519D"/>
    <w:rsid w:val="006F542B"/>
    <w:rsid w:val="006F55D8"/>
    <w:rsid w:val="006F5624"/>
    <w:rsid w:val="006F5C39"/>
    <w:rsid w:val="006F5C9A"/>
    <w:rsid w:val="006F65FD"/>
    <w:rsid w:val="006F6ACA"/>
    <w:rsid w:val="006F6ECE"/>
    <w:rsid w:val="006F6F45"/>
    <w:rsid w:val="006F7A61"/>
    <w:rsid w:val="0070002A"/>
    <w:rsid w:val="0070024B"/>
    <w:rsid w:val="0070038E"/>
    <w:rsid w:val="00700587"/>
    <w:rsid w:val="00700917"/>
    <w:rsid w:val="00700C01"/>
    <w:rsid w:val="0070283C"/>
    <w:rsid w:val="0070315F"/>
    <w:rsid w:val="00703207"/>
    <w:rsid w:val="007033DF"/>
    <w:rsid w:val="00703820"/>
    <w:rsid w:val="00704EB0"/>
    <w:rsid w:val="0070508C"/>
    <w:rsid w:val="007055A1"/>
    <w:rsid w:val="00705861"/>
    <w:rsid w:val="00705902"/>
    <w:rsid w:val="00705A82"/>
    <w:rsid w:val="00705C88"/>
    <w:rsid w:val="00705CAB"/>
    <w:rsid w:val="00706004"/>
    <w:rsid w:val="0070610D"/>
    <w:rsid w:val="00706669"/>
    <w:rsid w:val="007066DC"/>
    <w:rsid w:val="00706EE1"/>
    <w:rsid w:val="00707DCA"/>
    <w:rsid w:val="00707ED2"/>
    <w:rsid w:val="0071050D"/>
    <w:rsid w:val="00710C41"/>
    <w:rsid w:val="00710E7C"/>
    <w:rsid w:val="007111B3"/>
    <w:rsid w:val="007113BF"/>
    <w:rsid w:val="00711B91"/>
    <w:rsid w:val="0071210B"/>
    <w:rsid w:val="0071225E"/>
    <w:rsid w:val="00712356"/>
    <w:rsid w:val="007125B2"/>
    <w:rsid w:val="007126BB"/>
    <w:rsid w:val="00712F8A"/>
    <w:rsid w:val="007134A0"/>
    <w:rsid w:val="007138EC"/>
    <w:rsid w:val="00714053"/>
    <w:rsid w:val="00714404"/>
    <w:rsid w:val="007144B6"/>
    <w:rsid w:val="00714CF9"/>
    <w:rsid w:val="00715121"/>
    <w:rsid w:val="00716268"/>
    <w:rsid w:val="00716D80"/>
    <w:rsid w:val="00716F2E"/>
    <w:rsid w:val="0071704D"/>
    <w:rsid w:val="00717F90"/>
    <w:rsid w:val="00720322"/>
    <w:rsid w:val="007206D4"/>
    <w:rsid w:val="00720EC5"/>
    <w:rsid w:val="0072160F"/>
    <w:rsid w:val="007222AD"/>
    <w:rsid w:val="007224B2"/>
    <w:rsid w:val="007226A5"/>
    <w:rsid w:val="00722AA6"/>
    <w:rsid w:val="00722C72"/>
    <w:rsid w:val="00722D8E"/>
    <w:rsid w:val="00723C1B"/>
    <w:rsid w:val="007245AD"/>
    <w:rsid w:val="007246CD"/>
    <w:rsid w:val="00724969"/>
    <w:rsid w:val="00724D3B"/>
    <w:rsid w:val="0072565A"/>
    <w:rsid w:val="007258E6"/>
    <w:rsid w:val="00726709"/>
    <w:rsid w:val="00726A58"/>
    <w:rsid w:val="00727665"/>
    <w:rsid w:val="0072778C"/>
    <w:rsid w:val="0072784B"/>
    <w:rsid w:val="00727B58"/>
    <w:rsid w:val="00727CC3"/>
    <w:rsid w:val="007302DF"/>
    <w:rsid w:val="007302F3"/>
    <w:rsid w:val="00730356"/>
    <w:rsid w:val="00730C47"/>
    <w:rsid w:val="0073100E"/>
    <w:rsid w:val="00731081"/>
    <w:rsid w:val="007317D5"/>
    <w:rsid w:val="00731AA7"/>
    <w:rsid w:val="00732186"/>
    <w:rsid w:val="0073262B"/>
    <w:rsid w:val="00732632"/>
    <w:rsid w:val="00732BE4"/>
    <w:rsid w:val="00732C64"/>
    <w:rsid w:val="00732C72"/>
    <w:rsid w:val="007333C6"/>
    <w:rsid w:val="007337B8"/>
    <w:rsid w:val="0073399A"/>
    <w:rsid w:val="00733DF7"/>
    <w:rsid w:val="0073478D"/>
    <w:rsid w:val="00734EDB"/>
    <w:rsid w:val="00735029"/>
    <w:rsid w:val="007350C7"/>
    <w:rsid w:val="00735663"/>
    <w:rsid w:val="00736A75"/>
    <w:rsid w:val="00736B69"/>
    <w:rsid w:val="00736C5D"/>
    <w:rsid w:val="007370A3"/>
    <w:rsid w:val="007400C4"/>
    <w:rsid w:val="00740190"/>
    <w:rsid w:val="007407F2"/>
    <w:rsid w:val="00740C1D"/>
    <w:rsid w:val="00741558"/>
    <w:rsid w:val="0074178F"/>
    <w:rsid w:val="00741890"/>
    <w:rsid w:val="007418CF"/>
    <w:rsid w:val="007419F8"/>
    <w:rsid w:val="00741B69"/>
    <w:rsid w:val="007423EA"/>
    <w:rsid w:val="00742554"/>
    <w:rsid w:val="007437D4"/>
    <w:rsid w:val="00743D97"/>
    <w:rsid w:val="00743FE2"/>
    <w:rsid w:val="00744276"/>
    <w:rsid w:val="007442FE"/>
    <w:rsid w:val="0074436A"/>
    <w:rsid w:val="0074465B"/>
    <w:rsid w:val="00744837"/>
    <w:rsid w:val="00744C09"/>
    <w:rsid w:val="00745907"/>
    <w:rsid w:val="00745EEE"/>
    <w:rsid w:val="00746690"/>
    <w:rsid w:val="00746BC4"/>
    <w:rsid w:val="007473F0"/>
    <w:rsid w:val="007520F6"/>
    <w:rsid w:val="0075245E"/>
    <w:rsid w:val="00752A9A"/>
    <w:rsid w:val="007537F8"/>
    <w:rsid w:val="00753CBE"/>
    <w:rsid w:val="00753E7F"/>
    <w:rsid w:val="007545B2"/>
    <w:rsid w:val="007545C8"/>
    <w:rsid w:val="007548AE"/>
    <w:rsid w:val="00754E33"/>
    <w:rsid w:val="00755517"/>
    <w:rsid w:val="00755764"/>
    <w:rsid w:val="00755B51"/>
    <w:rsid w:val="007564AF"/>
    <w:rsid w:val="007567B8"/>
    <w:rsid w:val="00756F7C"/>
    <w:rsid w:val="007570A5"/>
    <w:rsid w:val="007571D6"/>
    <w:rsid w:val="00757391"/>
    <w:rsid w:val="007578D2"/>
    <w:rsid w:val="00757AB6"/>
    <w:rsid w:val="00760D5C"/>
    <w:rsid w:val="00760DF4"/>
    <w:rsid w:val="0076165C"/>
    <w:rsid w:val="007617F9"/>
    <w:rsid w:val="00761B4F"/>
    <w:rsid w:val="00761EAB"/>
    <w:rsid w:val="007622C8"/>
    <w:rsid w:val="0076239A"/>
    <w:rsid w:val="00762440"/>
    <w:rsid w:val="0076253C"/>
    <w:rsid w:val="00762ACA"/>
    <w:rsid w:val="00762FC8"/>
    <w:rsid w:val="00763AB9"/>
    <w:rsid w:val="00764381"/>
    <w:rsid w:val="00764508"/>
    <w:rsid w:val="00764968"/>
    <w:rsid w:val="00764AE1"/>
    <w:rsid w:val="00764AE7"/>
    <w:rsid w:val="00764F0C"/>
    <w:rsid w:val="00765106"/>
    <w:rsid w:val="007665A8"/>
    <w:rsid w:val="00766F10"/>
    <w:rsid w:val="00767720"/>
    <w:rsid w:val="007679B7"/>
    <w:rsid w:val="00767A1D"/>
    <w:rsid w:val="007700B5"/>
    <w:rsid w:val="007703EB"/>
    <w:rsid w:val="00770BA8"/>
    <w:rsid w:val="00770DEB"/>
    <w:rsid w:val="007712AA"/>
    <w:rsid w:val="00771539"/>
    <w:rsid w:val="007716FA"/>
    <w:rsid w:val="007718B4"/>
    <w:rsid w:val="00771D29"/>
    <w:rsid w:val="00772866"/>
    <w:rsid w:val="00772BDD"/>
    <w:rsid w:val="00772D6E"/>
    <w:rsid w:val="00772EDB"/>
    <w:rsid w:val="00773107"/>
    <w:rsid w:val="00773684"/>
    <w:rsid w:val="00773DCD"/>
    <w:rsid w:val="007744A1"/>
    <w:rsid w:val="007746BD"/>
    <w:rsid w:val="00774BED"/>
    <w:rsid w:val="00775B08"/>
    <w:rsid w:val="007763C0"/>
    <w:rsid w:val="0077665B"/>
    <w:rsid w:val="007767E1"/>
    <w:rsid w:val="00776937"/>
    <w:rsid w:val="00777073"/>
    <w:rsid w:val="0077717E"/>
    <w:rsid w:val="0077753D"/>
    <w:rsid w:val="00780424"/>
    <w:rsid w:val="00780DE5"/>
    <w:rsid w:val="00781252"/>
    <w:rsid w:val="0078130D"/>
    <w:rsid w:val="0078186C"/>
    <w:rsid w:val="00781918"/>
    <w:rsid w:val="00781E96"/>
    <w:rsid w:val="00782026"/>
    <w:rsid w:val="0078236A"/>
    <w:rsid w:val="007823EA"/>
    <w:rsid w:val="00782F8B"/>
    <w:rsid w:val="00783027"/>
    <w:rsid w:val="0078361C"/>
    <w:rsid w:val="00783762"/>
    <w:rsid w:val="007838CB"/>
    <w:rsid w:val="007840FB"/>
    <w:rsid w:val="0078424B"/>
    <w:rsid w:val="00784561"/>
    <w:rsid w:val="00784627"/>
    <w:rsid w:val="0078498B"/>
    <w:rsid w:val="00784BA3"/>
    <w:rsid w:val="00785CB1"/>
    <w:rsid w:val="007863F8"/>
    <w:rsid w:val="007864B4"/>
    <w:rsid w:val="00786FCA"/>
    <w:rsid w:val="00787C4E"/>
    <w:rsid w:val="00787EBB"/>
    <w:rsid w:val="007901C4"/>
    <w:rsid w:val="00790251"/>
    <w:rsid w:val="00790292"/>
    <w:rsid w:val="007903AB"/>
    <w:rsid w:val="00790539"/>
    <w:rsid w:val="0079056E"/>
    <w:rsid w:val="00790AC3"/>
    <w:rsid w:val="00790ECC"/>
    <w:rsid w:val="00790F88"/>
    <w:rsid w:val="00791563"/>
    <w:rsid w:val="00791976"/>
    <w:rsid w:val="00791BF1"/>
    <w:rsid w:val="00792274"/>
    <w:rsid w:val="00792D5A"/>
    <w:rsid w:val="00792F7E"/>
    <w:rsid w:val="00793B4B"/>
    <w:rsid w:val="0079454E"/>
    <w:rsid w:val="007949D1"/>
    <w:rsid w:val="00794D6E"/>
    <w:rsid w:val="00794E34"/>
    <w:rsid w:val="0079519E"/>
    <w:rsid w:val="00795699"/>
    <w:rsid w:val="007956D2"/>
    <w:rsid w:val="007959B2"/>
    <w:rsid w:val="007971FA"/>
    <w:rsid w:val="007978E1"/>
    <w:rsid w:val="00797927"/>
    <w:rsid w:val="007A090A"/>
    <w:rsid w:val="007A0AC6"/>
    <w:rsid w:val="007A0DD8"/>
    <w:rsid w:val="007A0E09"/>
    <w:rsid w:val="007A160C"/>
    <w:rsid w:val="007A19D8"/>
    <w:rsid w:val="007A1ECE"/>
    <w:rsid w:val="007A1ED0"/>
    <w:rsid w:val="007A2031"/>
    <w:rsid w:val="007A22C4"/>
    <w:rsid w:val="007A2A6B"/>
    <w:rsid w:val="007A2D05"/>
    <w:rsid w:val="007A3013"/>
    <w:rsid w:val="007A32B6"/>
    <w:rsid w:val="007A3357"/>
    <w:rsid w:val="007A36DC"/>
    <w:rsid w:val="007A38D1"/>
    <w:rsid w:val="007A474F"/>
    <w:rsid w:val="007A494D"/>
    <w:rsid w:val="007A53AD"/>
    <w:rsid w:val="007A56B8"/>
    <w:rsid w:val="007A5766"/>
    <w:rsid w:val="007A5F24"/>
    <w:rsid w:val="007A5FCB"/>
    <w:rsid w:val="007A6094"/>
    <w:rsid w:val="007A64C6"/>
    <w:rsid w:val="007A7657"/>
    <w:rsid w:val="007A7940"/>
    <w:rsid w:val="007A7B89"/>
    <w:rsid w:val="007A7C1D"/>
    <w:rsid w:val="007A7C80"/>
    <w:rsid w:val="007B02AB"/>
    <w:rsid w:val="007B02F9"/>
    <w:rsid w:val="007B0450"/>
    <w:rsid w:val="007B0471"/>
    <w:rsid w:val="007B04C0"/>
    <w:rsid w:val="007B0648"/>
    <w:rsid w:val="007B105F"/>
    <w:rsid w:val="007B16C6"/>
    <w:rsid w:val="007B1C41"/>
    <w:rsid w:val="007B2122"/>
    <w:rsid w:val="007B2191"/>
    <w:rsid w:val="007B2320"/>
    <w:rsid w:val="007B23BA"/>
    <w:rsid w:val="007B2536"/>
    <w:rsid w:val="007B2A79"/>
    <w:rsid w:val="007B322F"/>
    <w:rsid w:val="007B329C"/>
    <w:rsid w:val="007B32A6"/>
    <w:rsid w:val="007B334E"/>
    <w:rsid w:val="007B48DE"/>
    <w:rsid w:val="007B4904"/>
    <w:rsid w:val="007B4A7E"/>
    <w:rsid w:val="007B4CD6"/>
    <w:rsid w:val="007B4EB8"/>
    <w:rsid w:val="007B5385"/>
    <w:rsid w:val="007B5672"/>
    <w:rsid w:val="007B5978"/>
    <w:rsid w:val="007B5AC3"/>
    <w:rsid w:val="007B5B84"/>
    <w:rsid w:val="007B62A4"/>
    <w:rsid w:val="007B69F8"/>
    <w:rsid w:val="007B7C60"/>
    <w:rsid w:val="007B7E2C"/>
    <w:rsid w:val="007C0214"/>
    <w:rsid w:val="007C0308"/>
    <w:rsid w:val="007C049F"/>
    <w:rsid w:val="007C0D6A"/>
    <w:rsid w:val="007C0DBA"/>
    <w:rsid w:val="007C234F"/>
    <w:rsid w:val="007C276F"/>
    <w:rsid w:val="007C2BF4"/>
    <w:rsid w:val="007C31C2"/>
    <w:rsid w:val="007C484B"/>
    <w:rsid w:val="007C4C48"/>
    <w:rsid w:val="007C4FEA"/>
    <w:rsid w:val="007C5871"/>
    <w:rsid w:val="007C602A"/>
    <w:rsid w:val="007D10AB"/>
    <w:rsid w:val="007D11FE"/>
    <w:rsid w:val="007D1C90"/>
    <w:rsid w:val="007D2116"/>
    <w:rsid w:val="007D26A4"/>
    <w:rsid w:val="007D2846"/>
    <w:rsid w:val="007D2F71"/>
    <w:rsid w:val="007D3E2A"/>
    <w:rsid w:val="007D41B0"/>
    <w:rsid w:val="007D42EE"/>
    <w:rsid w:val="007D4421"/>
    <w:rsid w:val="007D50B1"/>
    <w:rsid w:val="007D6295"/>
    <w:rsid w:val="007D6772"/>
    <w:rsid w:val="007D6E99"/>
    <w:rsid w:val="007D7149"/>
    <w:rsid w:val="007D75E0"/>
    <w:rsid w:val="007D7A1F"/>
    <w:rsid w:val="007D7A4C"/>
    <w:rsid w:val="007E04C7"/>
    <w:rsid w:val="007E1322"/>
    <w:rsid w:val="007E1511"/>
    <w:rsid w:val="007E1C5A"/>
    <w:rsid w:val="007E2027"/>
    <w:rsid w:val="007E2516"/>
    <w:rsid w:val="007E2BE6"/>
    <w:rsid w:val="007E2E00"/>
    <w:rsid w:val="007E33EA"/>
    <w:rsid w:val="007E3579"/>
    <w:rsid w:val="007E369D"/>
    <w:rsid w:val="007E3FEB"/>
    <w:rsid w:val="007E4296"/>
    <w:rsid w:val="007E4E87"/>
    <w:rsid w:val="007E6052"/>
    <w:rsid w:val="007E62A7"/>
    <w:rsid w:val="007E6702"/>
    <w:rsid w:val="007E6910"/>
    <w:rsid w:val="007E6CEA"/>
    <w:rsid w:val="007E6E93"/>
    <w:rsid w:val="007E7BA7"/>
    <w:rsid w:val="007F0D2F"/>
    <w:rsid w:val="007F1671"/>
    <w:rsid w:val="007F17ED"/>
    <w:rsid w:val="007F1B8A"/>
    <w:rsid w:val="007F1F2F"/>
    <w:rsid w:val="007F1FF3"/>
    <w:rsid w:val="007F2452"/>
    <w:rsid w:val="007F2A61"/>
    <w:rsid w:val="007F2E25"/>
    <w:rsid w:val="007F2E61"/>
    <w:rsid w:val="007F2EE5"/>
    <w:rsid w:val="007F3AC3"/>
    <w:rsid w:val="007F3B2C"/>
    <w:rsid w:val="007F3D08"/>
    <w:rsid w:val="007F45B4"/>
    <w:rsid w:val="007F5D75"/>
    <w:rsid w:val="007F66CC"/>
    <w:rsid w:val="007F6F09"/>
    <w:rsid w:val="007F7FAF"/>
    <w:rsid w:val="00800596"/>
    <w:rsid w:val="00801698"/>
    <w:rsid w:val="00801A7E"/>
    <w:rsid w:val="00802DDB"/>
    <w:rsid w:val="00803666"/>
    <w:rsid w:val="00803DDE"/>
    <w:rsid w:val="008043F3"/>
    <w:rsid w:val="0080457C"/>
    <w:rsid w:val="00804731"/>
    <w:rsid w:val="00804D01"/>
    <w:rsid w:val="00804D86"/>
    <w:rsid w:val="00805523"/>
    <w:rsid w:val="0080596F"/>
    <w:rsid w:val="00805AC3"/>
    <w:rsid w:val="00805CBC"/>
    <w:rsid w:val="00805F7E"/>
    <w:rsid w:val="00807555"/>
    <w:rsid w:val="0080785D"/>
    <w:rsid w:val="00807B52"/>
    <w:rsid w:val="0081039A"/>
    <w:rsid w:val="00810CA3"/>
    <w:rsid w:val="00810E43"/>
    <w:rsid w:val="008112CD"/>
    <w:rsid w:val="00811B85"/>
    <w:rsid w:val="00811DF8"/>
    <w:rsid w:val="00812110"/>
    <w:rsid w:val="008126D8"/>
    <w:rsid w:val="0081384F"/>
    <w:rsid w:val="0081392D"/>
    <w:rsid w:val="00813ADA"/>
    <w:rsid w:val="008140C9"/>
    <w:rsid w:val="00814566"/>
    <w:rsid w:val="008148BE"/>
    <w:rsid w:val="00814FA8"/>
    <w:rsid w:val="00815CB2"/>
    <w:rsid w:val="00815CF7"/>
    <w:rsid w:val="00815D6C"/>
    <w:rsid w:val="00815E9D"/>
    <w:rsid w:val="008171F6"/>
    <w:rsid w:val="0081729A"/>
    <w:rsid w:val="00817812"/>
    <w:rsid w:val="008201C2"/>
    <w:rsid w:val="00820B20"/>
    <w:rsid w:val="00820E7E"/>
    <w:rsid w:val="00820F80"/>
    <w:rsid w:val="00821332"/>
    <w:rsid w:val="00822255"/>
    <w:rsid w:val="008223BC"/>
    <w:rsid w:val="008228BF"/>
    <w:rsid w:val="008232D7"/>
    <w:rsid w:val="0082367B"/>
    <w:rsid w:val="00823F76"/>
    <w:rsid w:val="00824223"/>
    <w:rsid w:val="008244A0"/>
    <w:rsid w:val="0082529F"/>
    <w:rsid w:val="00825358"/>
    <w:rsid w:val="0082693F"/>
    <w:rsid w:val="00826FA6"/>
    <w:rsid w:val="00826FDE"/>
    <w:rsid w:val="008271FB"/>
    <w:rsid w:val="0083022C"/>
    <w:rsid w:val="008303B6"/>
    <w:rsid w:val="00830B3E"/>
    <w:rsid w:val="00830FE0"/>
    <w:rsid w:val="00831622"/>
    <w:rsid w:val="00831E3C"/>
    <w:rsid w:val="0083234B"/>
    <w:rsid w:val="00832E04"/>
    <w:rsid w:val="008336E8"/>
    <w:rsid w:val="008338D9"/>
    <w:rsid w:val="00833FE2"/>
    <w:rsid w:val="00834787"/>
    <w:rsid w:val="00835764"/>
    <w:rsid w:val="00835FA7"/>
    <w:rsid w:val="0083643E"/>
    <w:rsid w:val="008367B4"/>
    <w:rsid w:val="0083698B"/>
    <w:rsid w:val="00836DFE"/>
    <w:rsid w:val="008370B8"/>
    <w:rsid w:val="0083753D"/>
    <w:rsid w:val="00837902"/>
    <w:rsid w:val="00837A93"/>
    <w:rsid w:val="00837D5C"/>
    <w:rsid w:val="00837EC1"/>
    <w:rsid w:val="00837F47"/>
    <w:rsid w:val="008402E5"/>
    <w:rsid w:val="008402EC"/>
    <w:rsid w:val="00840436"/>
    <w:rsid w:val="0084055A"/>
    <w:rsid w:val="0084084F"/>
    <w:rsid w:val="00840948"/>
    <w:rsid w:val="00840AFE"/>
    <w:rsid w:val="00840B83"/>
    <w:rsid w:val="00840C6F"/>
    <w:rsid w:val="0084122E"/>
    <w:rsid w:val="008417F0"/>
    <w:rsid w:val="008417F6"/>
    <w:rsid w:val="008423E1"/>
    <w:rsid w:val="008424CB"/>
    <w:rsid w:val="00842810"/>
    <w:rsid w:val="00842DCE"/>
    <w:rsid w:val="008432D8"/>
    <w:rsid w:val="0084341A"/>
    <w:rsid w:val="00843AF3"/>
    <w:rsid w:val="0084450F"/>
    <w:rsid w:val="008447E8"/>
    <w:rsid w:val="00844AC0"/>
    <w:rsid w:val="008451D3"/>
    <w:rsid w:val="00845AAE"/>
    <w:rsid w:val="00846417"/>
    <w:rsid w:val="00846937"/>
    <w:rsid w:val="0084738C"/>
    <w:rsid w:val="00847751"/>
    <w:rsid w:val="008504DE"/>
    <w:rsid w:val="008508EB"/>
    <w:rsid w:val="00851115"/>
    <w:rsid w:val="0085174D"/>
    <w:rsid w:val="00851D0C"/>
    <w:rsid w:val="008521A3"/>
    <w:rsid w:val="00852243"/>
    <w:rsid w:val="0085230C"/>
    <w:rsid w:val="008524F2"/>
    <w:rsid w:val="00852780"/>
    <w:rsid w:val="008527D9"/>
    <w:rsid w:val="00852827"/>
    <w:rsid w:val="00853628"/>
    <w:rsid w:val="0085387B"/>
    <w:rsid w:val="00854344"/>
    <w:rsid w:val="008548A0"/>
    <w:rsid w:val="00854E94"/>
    <w:rsid w:val="0085591A"/>
    <w:rsid w:val="00855C11"/>
    <w:rsid w:val="00855D53"/>
    <w:rsid w:val="00855F4A"/>
    <w:rsid w:val="008568A3"/>
    <w:rsid w:val="0085700F"/>
    <w:rsid w:val="00857AAB"/>
    <w:rsid w:val="008603D9"/>
    <w:rsid w:val="00860800"/>
    <w:rsid w:val="00860B42"/>
    <w:rsid w:val="0086159E"/>
    <w:rsid w:val="00861987"/>
    <w:rsid w:val="00862006"/>
    <w:rsid w:val="008620B2"/>
    <w:rsid w:val="0086230A"/>
    <w:rsid w:val="00862864"/>
    <w:rsid w:val="008629FA"/>
    <w:rsid w:val="00862CE1"/>
    <w:rsid w:val="0086304A"/>
    <w:rsid w:val="0086368E"/>
    <w:rsid w:val="00863722"/>
    <w:rsid w:val="00863A67"/>
    <w:rsid w:val="00863AE0"/>
    <w:rsid w:val="00863BED"/>
    <w:rsid w:val="00864118"/>
    <w:rsid w:val="008647D7"/>
    <w:rsid w:val="00864E94"/>
    <w:rsid w:val="00865853"/>
    <w:rsid w:val="0086601B"/>
    <w:rsid w:val="008660EE"/>
    <w:rsid w:val="00866395"/>
    <w:rsid w:val="008663AE"/>
    <w:rsid w:val="00867181"/>
    <w:rsid w:val="008675EA"/>
    <w:rsid w:val="00867AFB"/>
    <w:rsid w:val="00867C68"/>
    <w:rsid w:val="0087013C"/>
    <w:rsid w:val="008708E9"/>
    <w:rsid w:val="00870BA4"/>
    <w:rsid w:val="008711E2"/>
    <w:rsid w:val="008713E8"/>
    <w:rsid w:val="00872008"/>
    <w:rsid w:val="00872AC7"/>
    <w:rsid w:val="00872BF7"/>
    <w:rsid w:val="00872CDC"/>
    <w:rsid w:val="00873037"/>
    <w:rsid w:val="008743C7"/>
    <w:rsid w:val="00874489"/>
    <w:rsid w:val="00874F7C"/>
    <w:rsid w:val="00875BCF"/>
    <w:rsid w:val="00876509"/>
    <w:rsid w:val="00876BFD"/>
    <w:rsid w:val="008777B7"/>
    <w:rsid w:val="00877C52"/>
    <w:rsid w:val="0088066E"/>
    <w:rsid w:val="00880A71"/>
    <w:rsid w:val="00880B65"/>
    <w:rsid w:val="00880CB7"/>
    <w:rsid w:val="00880E30"/>
    <w:rsid w:val="0088142B"/>
    <w:rsid w:val="0088175C"/>
    <w:rsid w:val="00881D94"/>
    <w:rsid w:val="00883E2E"/>
    <w:rsid w:val="008844F4"/>
    <w:rsid w:val="0088468F"/>
    <w:rsid w:val="00884F85"/>
    <w:rsid w:val="0088545D"/>
    <w:rsid w:val="00885B41"/>
    <w:rsid w:val="00885D63"/>
    <w:rsid w:val="0088618E"/>
    <w:rsid w:val="0088630D"/>
    <w:rsid w:val="00886952"/>
    <w:rsid w:val="008874AA"/>
    <w:rsid w:val="0088755B"/>
    <w:rsid w:val="00887B22"/>
    <w:rsid w:val="00887B35"/>
    <w:rsid w:val="00887D6A"/>
    <w:rsid w:val="0089043E"/>
    <w:rsid w:val="00890FEE"/>
    <w:rsid w:val="008910D4"/>
    <w:rsid w:val="008914C1"/>
    <w:rsid w:val="0089162C"/>
    <w:rsid w:val="008939A5"/>
    <w:rsid w:val="00893E09"/>
    <w:rsid w:val="008948BA"/>
    <w:rsid w:val="00895084"/>
    <w:rsid w:val="00895370"/>
    <w:rsid w:val="0089573F"/>
    <w:rsid w:val="00895982"/>
    <w:rsid w:val="00895E3B"/>
    <w:rsid w:val="00896D17"/>
    <w:rsid w:val="00896DB1"/>
    <w:rsid w:val="00897E1D"/>
    <w:rsid w:val="008A08BD"/>
    <w:rsid w:val="008A1279"/>
    <w:rsid w:val="008A1567"/>
    <w:rsid w:val="008A18B8"/>
    <w:rsid w:val="008A1E96"/>
    <w:rsid w:val="008A21B4"/>
    <w:rsid w:val="008A32C5"/>
    <w:rsid w:val="008A3359"/>
    <w:rsid w:val="008A3550"/>
    <w:rsid w:val="008A4167"/>
    <w:rsid w:val="008A4E7C"/>
    <w:rsid w:val="008A5483"/>
    <w:rsid w:val="008A5D6A"/>
    <w:rsid w:val="008A72DC"/>
    <w:rsid w:val="008A73C7"/>
    <w:rsid w:val="008A766C"/>
    <w:rsid w:val="008A7E4B"/>
    <w:rsid w:val="008B0341"/>
    <w:rsid w:val="008B05AE"/>
    <w:rsid w:val="008B1089"/>
    <w:rsid w:val="008B11AC"/>
    <w:rsid w:val="008B1937"/>
    <w:rsid w:val="008B20B3"/>
    <w:rsid w:val="008B2436"/>
    <w:rsid w:val="008B24A3"/>
    <w:rsid w:val="008B2617"/>
    <w:rsid w:val="008B289B"/>
    <w:rsid w:val="008B2940"/>
    <w:rsid w:val="008B29CB"/>
    <w:rsid w:val="008B2DD3"/>
    <w:rsid w:val="008B302C"/>
    <w:rsid w:val="008B3546"/>
    <w:rsid w:val="008B4281"/>
    <w:rsid w:val="008B43B6"/>
    <w:rsid w:val="008B4712"/>
    <w:rsid w:val="008B5A3F"/>
    <w:rsid w:val="008B5B55"/>
    <w:rsid w:val="008B6309"/>
    <w:rsid w:val="008B642A"/>
    <w:rsid w:val="008B6485"/>
    <w:rsid w:val="008B65F7"/>
    <w:rsid w:val="008B69B4"/>
    <w:rsid w:val="008B6AC8"/>
    <w:rsid w:val="008B6D7A"/>
    <w:rsid w:val="008B7615"/>
    <w:rsid w:val="008B7BF1"/>
    <w:rsid w:val="008B7C0E"/>
    <w:rsid w:val="008C0E90"/>
    <w:rsid w:val="008C1014"/>
    <w:rsid w:val="008C1939"/>
    <w:rsid w:val="008C1A2D"/>
    <w:rsid w:val="008C22F3"/>
    <w:rsid w:val="008C2E59"/>
    <w:rsid w:val="008C368F"/>
    <w:rsid w:val="008C3BD0"/>
    <w:rsid w:val="008C3FDF"/>
    <w:rsid w:val="008C40FC"/>
    <w:rsid w:val="008C451D"/>
    <w:rsid w:val="008C4608"/>
    <w:rsid w:val="008C4DC8"/>
    <w:rsid w:val="008C5042"/>
    <w:rsid w:val="008C5095"/>
    <w:rsid w:val="008C54A5"/>
    <w:rsid w:val="008C5865"/>
    <w:rsid w:val="008C5AC2"/>
    <w:rsid w:val="008C5BAF"/>
    <w:rsid w:val="008C6965"/>
    <w:rsid w:val="008C6D58"/>
    <w:rsid w:val="008C71AF"/>
    <w:rsid w:val="008C7DFA"/>
    <w:rsid w:val="008D0282"/>
    <w:rsid w:val="008D03CD"/>
    <w:rsid w:val="008D03E3"/>
    <w:rsid w:val="008D0F88"/>
    <w:rsid w:val="008D1396"/>
    <w:rsid w:val="008D1926"/>
    <w:rsid w:val="008D1D48"/>
    <w:rsid w:val="008D2149"/>
    <w:rsid w:val="008D2400"/>
    <w:rsid w:val="008D29F4"/>
    <w:rsid w:val="008D3660"/>
    <w:rsid w:val="008D3715"/>
    <w:rsid w:val="008D3A7D"/>
    <w:rsid w:val="008D3B1B"/>
    <w:rsid w:val="008D3BE8"/>
    <w:rsid w:val="008D46AE"/>
    <w:rsid w:val="008D4A0A"/>
    <w:rsid w:val="008D4AD5"/>
    <w:rsid w:val="008D4BEF"/>
    <w:rsid w:val="008D51DE"/>
    <w:rsid w:val="008D5316"/>
    <w:rsid w:val="008D53F1"/>
    <w:rsid w:val="008D591A"/>
    <w:rsid w:val="008D5CE7"/>
    <w:rsid w:val="008D60BC"/>
    <w:rsid w:val="008D6266"/>
    <w:rsid w:val="008D63D1"/>
    <w:rsid w:val="008D6452"/>
    <w:rsid w:val="008D6991"/>
    <w:rsid w:val="008D6B60"/>
    <w:rsid w:val="008D6C67"/>
    <w:rsid w:val="008D72EE"/>
    <w:rsid w:val="008D7413"/>
    <w:rsid w:val="008D771C"/>
    <w:rsid w:val="008D7CD2"/>
    <w:rsid w:val="008D7F63"/>
    <w:rsid w:val="008E0687"/>
    <w:rsid w:val="008E0937"/>
    <w:rsid w:val="008E099E"/>
    <w:rsid w:val="008E0D69"/>
    <w:rsid w:val="008E1327"/>
    <w:rsid w:val="008E1576"/>
    <w:rsid w:val="008E16A0"/>
    <w:rsid w:val="008E23BC"/>
    <w:rsid w:val="008E23E7"/>
    <w:rsid w:val="008E2BBA"/>
    <w:rsid w:val="008E462E"/>
    <w:rsid w:val="008E5081"/>
    <w:rsid w:val="008E52B2"/>
    <w:rsid w:val="008E5C3A"/>
    <w:rsid w:val="008E5CE7"/>
    <w:rsid w:val="008E647E"/>
    <w:rsid w:val="008E6509"/>
    <w:rsid w:val="008E65E6"/>
    <w:rsid w:val="008E6645"/>
    <w:rsid w:val="008E67A1"/>
    <w:rsid w:val="008E7552"/>
    <w:rsid w:val="008F004B"/>
    <w:rsid w:val="008F0BFF"/>
    <w:rsid w:val="008F0CC7"/>
    <w:rsid w:val="008F0D59"/>
    <w:rsid w:val="008F0FA4"/>
    <w:rsid w:val="008F10FA"/>
    <w:rsid w:val="008F1936"/>
    <w:rsid w:val="008F19AE"/>
    <w:rsid w:val="008F1A12"/>
    <w:rsid w:val="008F1E1A"/>
    <w:rsid w:val="008F1E80"/>
    <w:rsid w:val="008F211A"/>
    <w:rsid w:val="008F23D3"/>
    <w:rsid w:val="008F29F8"/>
    <w:rsid w:val="008F2ABA"/>
    <w:rsid w:val="008F3042"/>
    <w:rsid w:val="008F472D"/>
    <w:rsid w:val="008F55FE"/>
    <w:rsid w:val="008F59EC"/>
    <w:rsid w:val="008F610F"/>
    <w:rsid w:val="008F63FD"/>
    <w:rsid w:val="008F6F6E"/>
    <w:rsid w:val="008F71B6"/>
    <w:rsid w:val="008F74C4"/>
    <w:rsid w:val="008F78E8"/>
    <w:rsid w:val="008F793E"/>
    <w:rsid w:val="0090107F"/>
    <w:rsid w:val="0090126D"/>
    <w:rsid w:val="00901409"/>
    <w:rsid w:val="00901627"/>
    <w:rsid w:val="00901712"/>
    <w:rsid w:val="00901868"/>
    <w:rsid w:val="00901CF5"/>
    <w:rsid w:val="00902901"/>
    <w:rsid w:val="00902F3B"/>
    <w:rsid w:val="00903A01"/>
    <w:rsid w:val="0090565E"/>
    <w:rsid w:val="00905A15"/>
    <w:rsid w:val="00905D02"/>
    <w:rsid w:val="00906316"/>
    <w:rsid w:val="00906544"/>
    <w:rsid w:val="0090724D"/>
    <w:rsid w:val="0090750E"/>
    <w:rsid w:val="00910862"/>
    <w:rsid w:val="009110FE"/>
    <w:rsid w:val="009112C9"/>
    <w:rsid w:val="0091151C"/>
    <w:rsid w:val="00911AEC"/>
    <w:rsid w:val="00912D8B"/>
    <w:rsid w:val="00913247"/>
    <w:rsid w:val="009133CD"/>
    <w:rsid w:val="009137DD"/>
    <w:rsid w:val="009139BA"/>
    <w:rsid w:val="00913F03"/>
    <w:rsid w:val="009144D5"/>
    <w:rsid w:val="00914EF3"/>
    <w:rsid w:val="00914F78"/>
    <w:rsid w:val="00915525"/>
    <w:rsid w:val="009157F4"/>
    <w:rsid w:val="009157FD"/>
    <w:rsid w:val="009159D0"/>
    <w:rsid w:val="00915BD6"/>
    <w:rsid w:val="00915C4D"/>
    <w:rsid w:val="00916F89"/>
    <w:rsid w:val="0091729C"/>
    <w:rsid w:val="00917A96"/>
    <w:rsid w:val="00920185"/>
    <w:rsid w:val="00920437"/>
    <w:rsid w:val="00920511"/>
    <w:rsid w:val="00920864"/>
    <w:rsid w:val="009209D0"/>
    <w:rsid w:val="00920C36"/>
    <w:rsid w:val="00920ECC"/>
    <w:rsid w:val="0092114B"/>
    <w:rsid w:val="009226AA"/>
    <w:rsid w:val="009256A8"/>
    <w:rsid w:val="00925994"/>
    <w:rsid w:val="00925D4C"/>
    <w:rsid w:val="00925D64"/>
    <w:rsid w:val="00926264"/>
    <w:rsid w:val="009268F0"/>
    <w:rsid w:val="00926A03"/>
    <w:rsid w:val="00926D8E"/>
    <w:rsid w:val="00927148"/>
    <w:rsid w:val="00927619"/>
    <w:rsid w:val="00930D8F"/>
    <w:rsid w:val="00931234"/>
    <w:rsid w:val="00931497"/>
    <w:rsid w:val="009323A9"/>
    <w:rsid w:val="00932CCA"/>
    <w:rsid w:val="00933852"/>
    <w:rsid w:val="00933CCE"/>
    <w:rsid w:val="00934A61"/>
    <w:rsid w:val="00934BDC"/>
    <w:rsid w:val="00934C19"/>
    <w:rsid w:val="00935A8E"/>
    <w:rsid w:val="0093611F"/>
    <w:rsid w:val="009365D5"/>
    <w:rsid w:val="00936854"/>
    <w:rsid w:val="00936D5F"/>
    <w:rsid w:val="00937C94"/>
    <w:rsid w:val="009400F1"/>
    <w:rsid w:val="0094062F"/>
    <w:rsid w:val="00940639"/>
    <w:rsid w:val="0094087C"/>
    <w:rsid w:val="00940A9D"/>
    <w:rsid w:val="009413C2"/>
    <w:rsid w:val="00941528"/>
    <w:rsid w:val="009423DB"/>
    <w:rsid w:val="00942C36"/>
    <w:rsid w:val="00943735"/>
    <w:rsid w:val="009438D0"/>
    <w:rsid w:val="00943C42"/>
    <w:rsid w:val="00944089"/>
    <w:rsid w:val="0094441A"/>
    <w:rsid w:val="00944ADA"/>
    <w:rsid w:val="00944E57"/>
    <w:rsid w:val="00945070"/>
    <w:rsid w:val="00945775"/>
    <w:rsid w:val="009468E4"/>
    <w:rsid w:val="00946980"/>
    <w:rsid w:val="00946A83"/>
    <w:rsid w:val="00946C70"/>
    <w:rsid w:val="00947695"/>
    <w:rsid w:val="00947C88"/>
    <w:rsid w:val="00947D41"/>
    <w:rsid w:val="00950CEB"/>
    <w:rsid w:val="00951A7C"/>
    <w:rsid w:val="00951C35"/>
    <w:rsid w:val="00952AAA"/>
    <w:rsid w:val="00952F0D"/>
    <w:rsid w:val="00953010"/>
    <w:rsid w:val="00953B58"/>
    <w:rsid w:val="00953B9C"/>
    <w:rsid w:val="0095415F"/>
    <w:rsid w:val="00954445"/>
    <w:rsid w:val="0095468D"/>
    <w:rsid w:val="00954893"/>
    <w:rsid w:val="00954AA8"/>
    <w:rsid w:val="009553EE"/>
    <w:rsid w:val="00955457"/>
    <w:rsid w:val="00955600"/>
    <w:rsid w:val="0095568F"/>
    <w:rsid w:val="0095594D"/>
    <w:rsid w:val="00955D54"/>
    <w:rsid w:val="0095607E"/>
    <w:rsid w:val="009564EA"/>
    <w:rsid w:val="00956D43"/>
    <w:rsid w:val="009572ED"/>
    <w:rsid w:val="00957842"/>
    <w:rsid w:val="00957CFA"/>
    <w:rsid w:val="0096051E"/>
    <w:rsid w:val="00960DFF"/>
    <w:rsid w:val="009612BF"/>
    <w:rsid w:val="009619E1"/>
    <w:rsid w:val="009635B4"/>
    <w:rsid w:val="00963730"/>
    <w:rsid w:val="009643CC"/>
    <w:rsid w:val="009644D2"/>
    <w:rsid w:val="009650AE"/>
    <w:rsid w:val="009652FC"/>
    <w:rsid w:val="009654E9"/>
    <w:rsid w:val="00965B80"/>
    <w:rsid w:val="00965C44"/>
    <w:rsid w:val="00965D92"/>
    <w:rsid w:val="00966C42"/>
    <w:rsid w:val="00966E63"/>
    <w:rsid w:val="009673FF"/>
    <w:rsid w:val="00967751"/>
    <w:rsid w:val="00967B73"/>
    <w:rsid w:val="00967D30"/>
    <w:rsid w:val="00967D57"/>
    <w:rsid w:val="009701AB"/>
    <w:rsid w:val="009708B3"/>
    <w:rsid w:val="00970D1E"/>
    <w:rsid w:val="009715C4"/>
    <w:rsid w:val="00971C84"/>
    <w:rsid w:val="00971ECC"/>
    <w:rsid w:val="00972219"/>
    <w:rsid w:val="0097277F"/>
    <w:rsid w:val="00972CAB"/>
    <w:rsid w:val="00972E20"/>
    <w:rsid w:val="00973583"/>
    <w:rsid w:val="00973A17"/>
    <w:rsid w:val="00974049"/>
    <w:rsid w:val="0097432B"/>
    <w:rsid w:val="009743C1"/>
    <w:rsid w:val="0097449B"/>
    <w:rsid w:val="00974A12"/>
    <w:rsid w:val="00974B6D"/>
    <w:rsid w:val="00974D9B"/>
    <w:rsid w:val="00975271"/>
    <w:rsid w:val="00975D98"/>
    <w:rsid w:val="009764A9"/>
    <w:rsid w:val="00976749"/>
    <w:rsid w:val="00976F96"/>
    <w:rsid w:val="00977995"/>
    <w:rsid w:val="00977A53"/>
    <w:rsid w:val="00981D85"/>
    <w:rsid w:val="0098259B"/>
    <w:rsid w:val="00982C73"/>
    <w:rsid w:val="00983BA1"/>
    <w:rsid w:val="00983FC4"/>
    <w:rsid w:val="0098418F"/>
    <w:rsid w:val="009841EC"/>
    <w:rsid w:val="00984262"/>
    <w:rsid w:val="00984A0A"/>
    <w:rsid w:val="00984AF1"/>
    <w:rsid w:val="009850EA"/>
    <w:rsid w:val="00985C1C"/>
    <w:rsid w:val="00985D19"/>
    <w:rsid w:val="00985D59"/>
    <w:rsid w:val="00985E75"/>
    <w:rsid w:val="00985F8D"/>
    <w:rsid w:val="009867BB"/>
    <w:rsid w:val="00986844"/>
    <w:rsid w:val="00986A59"/>
    <w:rsid w:val="00987C87"/>
    <w:rsid w:val="00987F96"/>
    <w:rsid w:val="009901AF"/>
    <w:rsid w:val="009904A6"/>
    <w:rsid w:val="0099095A"/>
    <w:rsid w:val="009909E0"/>
    <w:rsid w:val="00991580"/>
    <w:rsid w:val="00991B35"/>
    <w:rsid w:val="00991E46"/>
    <w:rsid w:val="00991E97"/>
    <w:rsid w:val="00992373"/>
    <w:rsid w:val="00992CCB"/>
    <w:rsid w:val="00992DBA"/>
    <w:rsid w:val="00992EDC"/>
    <w:rsid w:val="00992FA7"/>
    <w:rsid w:val="00993EA2"/>
    <w:rsid w:val="00994496"/>
    <w:rsid w:val="00995C81"/>
    <w:rsid w:val="009961E9"/>
    <w:rsid w:val="0099693C"/>
    <w:rsid w:val="00997248"/>
    <w:rsid w:val="0099754B"/>
    <w:rsid w:val="009978BC"/>
    <w:rsid w:val="00997CC6"/>
    <w:rsid w:val="00997DB3"/>
    <w:rsid w:val="009A018A"/>
    <w:rsid w:val="009A07D5"/>
    <w:rsid w:val="009A1616"/>
    <w:rsid w:val="009A1B2C"/>
    <w:rsid w:val="009A1C2B"/>
    <w:rsid w:val="009A1CF8"/>
    <w:rsid w:val="009A20AA"/>
    <w:rsid w:val="009A2392"/>
    <w:rsid w:val="009A2580"/>
    <w:rsid w:val="009A2595"/>
    <w:rsid w:val="009A26F8"/>
    <w:rsid w:val="009A32A9"/>
    <w:rsid w:val="009A357E"/>
    <w:rsid w:val="009A38DA"/>
    <w:rsid w:val="009A3DF1"/>
    <w:rsid w:val="009A4938"/>
    <w:rsid w:val="009A4F1E"/>
    <w:rsid w:val="009A611B"/>
    <w:rsid w:val="009A6B42"/>
    <w:rsid w:val="009A75DD"/>
    <w:rsid w:val="009A770E"/>
    <w:rsid w:val="009A7802"/>
    <w:rsid w:val="009A7CD2"/>
    <w:rsid w:val="009B02A5"/>
    <w:rsid w:val="009B0576"/>
    <w:rsid w:val="009B060A"/>
    <w:rsid w:val="009B1D84"/>
    <w:rsid w:val="009B1F3A"/>
    <w:rsid w:val="009B28B0"/>
    <w:rsid w:val="009B2C93"/>
    <w:rsid w:val="009B37D7"/>
    <w:rsid w:val="009B39DE"/>
    <w:rsid w:val="009B3C4C"/>
    <w:rsid w:val="009B49D7"/>
    <w:rsid w:val="009B4A3C"/>
    <w:rsid w:val="009B4C6A"/>
    <w:rsid w:val="009B559D"/>
    <w:rsid w:val="009B55DB"/>
    <w:rsid w:val="009B5618"/>
    <w:rsid w:val="009B5A44"/>
    <w:rsid w:val="009B689E"/>
    <w:rsid w:val="009B6C2D"/>
    <w:rsid w:val="009B7504"/>
    <w:rsid w:val="009B78C5"/>
    <w:rsid w:val="009B7931"/>
    <w:rsid w:val="009B7F71"/>
    <w:rsid w:val="009C0223"/>
    <w:rsid w:val="009C0B0E"/>
    <w:rsid w:val="009C0E3C"/>
    <w:rsid w:val="009C102D"/>
    <w:rsid w:val="009C1E05"/>
    <w:rsid w:val="009C2188"/>
    <w:rsid w:val="009C24BC"/>
    <w:rsid w:val="009C2E53"/>
    <w:rsid w:val="009C3DDE"/>
    <w:rsid w:val="009C4230"/>
    <w:rsid w:val="009C434B"/>
    <w:rsid w:val="009C4409"/>
    <w:rsid w:val="009C44A6"/>
    <w:rsid w:val="009C4D5D"/>
    <w:rsid w:val="009C4DBD"/>
    <w:rsid w:val="009C4F7B"/>
    <w:rsid w:val="009C5344"/>
    <w:rsid w:val="009C546B"/>
    <w:rsid w:val="009C55FB"/>
    <w:rsid w:val="009C592D"/>
    <w:rsid w:val="009C59D3"/>
    <w:rsid w:val="009C5A26"/>
    <w:rsid w:val="009C5A51"/>
    <w:rsid w:val="009C5C74"/>
    <w:rsid w:val="009C5FBC"/>
    <w:rsid w:val="009C6292"/>
    <w:rsid w:val="009C666E"/>
    <w:rsid w:val="009C6944"/>
    <w:rsid w:val="009C743F"/>
    <w:rsid w:val="009C7739"/>
    <w:rsid w:val="009C794F"/>
    <w:rsid w:val="009C7975"/>
    <w:rsid w:val="009D0662"/>
    <w:rsid w:val="009D08AB"/>
    <w:rsid w:val="009D08E5"/>
    <w:rsid w:val="009D0B3C"/>
    <w:rsid w:val="009D0B87"/>
    <w:rsid w:val="009D0E32"/>
    <w:rsid w:val="009D14F8"/>
    <w:rsid w:val="009D219B"/>
    <w:rsid w:val="009D21D1"/>
    <w:rsid w:val="009D24FD"/>
    <w:rsid w:val="009D27BB"/>
    <w:rsid w:val="009D2E2D"/>
    <w:rsid w:val="009D30CD"/>
    <w:rsid w:val="009D3122"/>
    <w:rsid w:val="009D33B2"/>
    <w:rsid w:val="009D3934"/>
    <w:rsid w:val="009D3DA5"/>
    <w:rsid w:val="009D41BD"/>
    <w:rsid w:val="009D454F"/>
    <w:rsid w:val="009D4FF2"/>
    <w:rsid w:val="009D53C6"/>
    <w:rsid w:val="009D592E"/>
    <w:rsid w:val="009D59E8"/>
    <w:rsid w:val="009D5CF4"/>
    <w:rsid w:val="009D64A6"/>
    <w:rsid w:val="009D6E3E"/>
    <w:rsid w:val="009D7102"/>
    <w:rsid w:val="009E030D"/>
    <w:rsid w:val="009E06FB"/>
    <w:rsid w:val="009E076D"/>
    <w:rsid w:val="009E0C39"/>
    <w:rsid w:val="009E0D80"/>
    <w:rsid w:val="009E0DF7"/>
    <w:rsid w:val="009E0E2D"/>
    <w:rsid w:val="009E1846"/>
    <w:rsid w:val="009E1B0D"/>
    <w:rsid w:val="009E1DA8"/>
    <w:rsid w:val="009E1E7F"/>
    <w:rsid w:val="009E24F0"/>
    <w:rsid w:val="009E30A7"/>
    <w:rsid w:val="009E360B"/>
    <w:rsid w:val="009E3B10"/>
    <w:rsid w:val="009E3FE5"/>
    <w:rsid w:val="009E4024"/>
    <w:rsid w:val="009E4917"/>
    <w:rsid w:val="009E53C4"/>
    <w:rsid w:val="009E5774"/>
    <w:rsid w:val="009E5C3F"/>
    <w:rsid w:val="009E60A4"/>
    <w:rsid w:val="009E61E0"/>
    <w:rsid w:val="009E66F8"/>
    <w:rsid w:val="009E671B"/>
    <w:rsid w:val="009F0CE6"/>
    <w:rsid w:val="009F1040"/>
    <w:rsid w:val="009F145F"/>
    <w:rsid w:val="009F2A3F"/>
    <w:rsid w:val="009F2E2F"/>
    <w:rsid w:val="009F39B7"/>
    <w:rsid w:val="009F3BEB"/>
    <w:rsid w:val="009F4747"/>
    <w:rsid w:val="009F477C"/>
    <w:rsid w:val="009F5177"/>
    <w:rsid w:val="009F51FC"/>
    <w:rsid w:val="009F5770"/>
    <w:rsid w:val="009F590F"/>
    <w:rsid w:val="009F5B16"/>
    <w:rsid w:val="009F60B8"/>
    <w:rsid w:val="009F68C5"/>
    <w:rsid w:val="009F6C8D"/>
    <w:rsid w:val="009F6D0A"/>
    <w:rsid w:val="009F7827"/>
    <w:rsid w:val="00A00A5F"/>
    <w:rsid w:val="00A00D0C"/>
    <w:rsid w:val="00A00EBA"/>
    <w:rsid w:val="00A01279"/>
    <w:rsid w:val="00A01404"/>
    <w:rsid w:val="00A017F0"/>
    <w:rsid w:val="00A02087"/>
    <w:rsid w:val="00A02B32"/>
    <w:rsid w:val="00A03257"/>
    <w:rsid w:val="00A035C3"/>
    <w:rsid w:val="00A03A5C"/>
    <w:rsid w:val="00A03AB7"/>
    <w:rsid w:val="00A04168"/>
    <w:rsid w:val="00A04C98"/>
    <w:rsid w:val="00A054AF"/>
    <w:rsid w:val="00A05A20"/>
    <w:rsid w:val="00A05A36"/>
    <w:rsid w:val="00A05F65"/>
    <w:rsid w:val="00A06536"/>
    <w:rsid w:val="00A0677D"/>
    <w:rsid w:val="00A06A4A"/>
    <w:rsid w:val="00A06B94"/>
    <w:rsid w:val="00A06C45"/>
    <w:rsid w:val="00A0783F"/>
    <w:rsid w:val="00A07C52"/>
    <w:rsid w:val="00A10CB1"/>
    <w:rsid w:val="00A10EE3"/>
    <w:rsid w:val="00A11195"/>
    <w:rsid w:val="00A1119D"/>
    <w:rsid w:val="00A115A9"/>
    <w:rsid w:val="00A12CA9"/>
    <w:rsid w:val="00A131CF"/>
    <w:rsid w:val="00A133A1"/>
    <w:rsid w:val="00A137CF"/>
    <w:rsid w:val="00A14938"/>
    <w:rsid w:val="00A14E7D"/>
    <w:rsid w:val="00A15FDE"/>
    <w:rsid w:val="00A16C0A"/>
    <w:rsid w:val="00A171E3"/>
    <w:rsid w:val="00A17718"/>
    <w:rsid w:val="00A17C32"/>
    <w:rsid w:val="00A17C7D"/>
    <w:rsid w:val="00A20096"/>
    <w:rsid w:val="00A201B5"/>
    <w:rsid w:val="00A20529"/>
    <w:rsid w:val="00A211CF"/>
    <w:rsid w:val="00A2232F"/>
    <w:rsid w:val="00A22784"/>
    <w:rsid w:val="00A22D5B"/>
    <w:rsid w:val="00A22FB3"/>
    <w:rsid w:val="00A238C1"/>
    <w:rsid w:val="00A243F5"/>
    <w:rsid w:val="00A24538"/>
    <w:rsid w:val="00A2464C"/>
    <w:rsid w:val="00A246EB"/>
    <w:rsid w:val="00A24B0F"/>
    <w:rsid w:val="00A24CB2"/>
    <w:rsid w:val="00A24F4D"/>
    <w:rsid w:val="00A252C2"/>
    <w:rsid w:val="00A2535E"/>
    <w:rsid w:val="00A254B4"/>
    <w:rsid w:val="00A2551F"/>
    <w:rsid w:val="00A2599D"/>
    <w:rsid w:val="00A25B05"/>
    <w:rsid w:val="00A2720A"/>
    <w:rsid w:val="00A27A00"/>
    <w:rsid w:val="00A30DB3"/>
    <w:rsid w:val="00A31559"/>
    <w:rsid w:val="00A315AA"/>
    <w:rsid w:val="00A31812"/>
    <w:rsid w:val="00A318EC"/>
    <w:rsid w:val="00A32EDD"/>
    <w:rsid w:val="00A330B3"/>
    <w:rsid w:val="00A3409C"/>
    <w:rsid w:val="00A344C2"/>
    <w:rsid w:val="00A34A24"/>
    <w:rsid w:val="00A34D64"/>
    <w:rsid w:val="00A35141"/>
    <w:rsid w:val="00A3534E"/>
    <w:rsid w:val="00A357A4"/>
    <w:rsid w:val="00A35DDD"/>
    <w:rsid w:val="00A364F6"/>
    <w:rsid w:val="00A36861"/>
    <w:rsid w:val="00A36A19"/>
    <w:rsid w:val="00A36AC5"/>
    <w:rsid w:val="00A36D02"/>
    <w:rsid w:val="00A372C4"/>
    <w:rsid w:val="00A37A91"/>
    <w:rsid w:val="00A37ECD"/>
    <w:rsid w:val="00A401C5"/>
    <w:rsid w:val="00A401CD"/>
    <w:rsid w:val="00A402C3"/>
    <w:rsid w:val="00A40354"/>
    <w:rsid w:val="00A406CD"/>
    <w:rsid w:val="00A4131A"/>
    <w:rsid w:val="00A41609"/>
    <w:rsid w:val="00A41EBA"/>
    <w:rsid w:val="00A4253A"/>
    <w:rsid w:val="00A425BE"/>
    <w:rsid w:val="00A42BB6"/>
    <w:rsid w:val="00A42D1B"/>
    <w:rsid w:val="00A42D23"/>
    <w:rsid w:val="00A43714"/>
    <w:rsid w:val="00A443A5"/>
    <w:rsid w:val="00A44506"/>
    <w:rsid w:val="00A4455E"/>
    <w:rsid w:val="00A44B13"/>
    <w:rsid w:val="00A44BA3"/>
    <w:rsid w:val="00A45645"/>
    <w:rsid w:val="00A45793"/>
    <w:rsid w:val="00A458F9"/>
    <w:rsid w:val="00A4593B"/>
    <w:rsid w:val="00A45D66"/>
    <w:rsid w:val="00A45F44"/>
    <w:rsid w:val="00A4604C"/>
    <w:rsid w:val="00A461B3"/>
    <w:rsid w:val="00A46204"/>
    <w:rsid w:val="00A4750B"/>
    <w:rsid w:val="00A475E1"/>
    <w:rsid w:val="00A47B21"/>
    <w:rsid w:val="00A47B93"/>
    <w:rsid w:val="00A47E23"/>
    <w:rsid w:val="00A50165"/>
    <w:rsid w:val="00A50800"/>
    <w:rsid w:val="00A516D1"/>
    <w:rsid w:val="00A5210D"/>
    <w:rsid w:val="00A52170"/>
    <w:rsid w:val="00A522ED"/>
    <w:rsid w:val="00A528AA"/>
    <w:rsid w:val="00A52A1A"/>
    <w:rsid w:val="00A52E3A"/>
    <w:rsid w:val="00A53777"/>
    <w:rsid w:val="00A53C3D"/>
    <w:rsid w:val="00A53C50"/>
    <w:rsid w:val="00A54A43"/>
    <w:rsid w:val="00A54DA0"/>
    <w:rsid w:val="00A54F03"/>
    <w:rsid w:val="00A550AF"/>
    <w:rsid w:val="00A55AEA"/>
    <w:rsid w:val="00A55E01"/>
    <w:rsid w:val="00A55EE2"/>
    <w:rsid w:val="00A5656E"/>
    <w:rsid w:val="00A56833"/>
    <w:rsid w:val="00A56C52"/>
    <w:rsid w:val="00A60793"/>
    <w:rsid w:val="00A60FE4"/>
    <w:rsid w:val="00A6170E"/>
    <w:rsid w:val="00A619F3"/>
    <w:rsid w:val="00A61AA1"/>
    <w:rsid w:val="00A61B4F"/>
    <w:rsid w:val="00A622CE"/>
    <w:rsid w:val="00A63110"/>
    <w:rsid w:val="00A63352"/>
    <w:rsid w:val="00A63528"/>
    <w:rsid w:val="00A639C0"/>
    <w:rsid w:val="00A639D6"/>
    <w:rsid w:val="00A63C0D"/>
    <w:rsid w:val="00A63C76"/>
    <w:rsid w:val="00A642C8"/>
    <w:rsid w:val="00A65096"/>
    <w:rsid w:val="00A655BF"/>
    <w:rsid w:val="00A65D5A"/>
    <w:rsid w:val="00A66042"/>
    <w:rsid w:val="00A660D1"/>
    <w:rsid w:val="00A66115"/>
    <w:rsid w:val="00A663D2"/>
    <w:rsid w:val="00A668B7"/>
    <w:rsid w:val="00A66978"/>
    <w:rsid w:val="00A6763A"/>
    <w:rsid w:val="00A67CE6"/>
    <w:rsid w:val="00A7079A"/>
    <w:rsid w:val="00A71145"/>
    <w:rsid w:val="00A7158C"/>
    <w:rsid w:val="00A71DAC"/>
    <w:rsid w:val="00A7238E"/>
    <w:rsid w:val="00A72FB0"/>
    <w:rsid w:val="00A73577"/>
    <w:rsid w:val="00A73E68"/>
    <w:rsid w:val="00A73FA4"/>
    <w:rsid w:val="00A7403E"/>
    <w:rsid w:val="00A745AA"/>
    <w:rsid w:val="00A7479E"/>
    <w:rsid w:val="00A74DA4"/>
    <w:rsid w:val="00A75063"/>
    <w:rsid w:val="00A750F2"/>
    <w:rsid w:val="00A75275"/>
    <w:rsid w:val="00A756C6"/>
    <w:rsid w:val="00A75C69"/>
    <w:rsid w:val="00A75F28"/>
    <w:rsid w:val="00A75F45"/>
    <w:rsid w:val="00A7609D"/>
    <w:rsid w:val="00A76544"/>
    <w:rsid w:val="00A76712"/>
    <w:rsid w:val="00A768D0"/>
    <w:rsid w:val="00A7748F"/>
    <w:rsid w:val="00A775BE"/>
    <w:rsid w:val="00A77674"/>
    <w:rsid w:val="00A779D5"/>
    <w:rsid w:val="00A8093A"/>
    <w:rsid w:val="00A80CFC"/>
    <w:rsid w:val="00A815E8"/>
    <w:rsid w:val="00A81AC4"/>
    <w:rsid w:val="00A81EA2"/>
    <w:rsid w:val="00A82092"/>
    <w:rsid w:val="00A828BB"/>
    <w:rsid w:val="00A8291B"/>
    <w:rsid w:val="00A83637"/>
    <w:rsid w:val="00A8390A"/>
    <w:rsid w:val="00A841D8"/>
    <w:rsid w:val="00A84424"/>
    <w:rsid w:val="00A846A4"/>
    <w:rsid w:val="00A84785"/>
    <w:rsid w:val="00A84DDF"/>
    <w:rsid w:val="00A84EB1"/>
    <w:rsid w:val="00A854E7"/>
    <w:rsid w:val="00A85F7F"/>
    <w:rsid w:val="00A863C5"/>
    <w:rsid w:val="00A86730"/>
    <w:rsid w:val="00A86E13"/>
    <w:rsid w:val="00A86F6B"/>
    <w:rsid w:val="00A872EE"/>
    <w:rsid w:val="00A8731F"/>
    <w:rsid w:val="00A87B76"/>
    <w:rsid w:val="00A87F29"/>
    <w:rsid w:val="00A902E4"/>
    <w:rsid w:val="00A90999"/>
    <w:rsid w:val="00A90F04"/>
    <w:rsid w:val="00A91183"/>
    <w:rsid w:val="00A91753"/>
    <w:rsid w:val="00A918FA"/>
    <w:rsid w:val="00A91FB8"/>
    <w:rsid w:val="00A92015"/>
    <w:rsid w:val="00A923C3"/>
    <w:rsid w:val="00A92496"/>
    <w:rsid w:val="00A92538"/>
    <w:rsid w:val="00A92717"/>
    <w:rsid w:val="00A92AC6"/>
    <w:rsid w:val="00A92E49"/>
    <w:rsid w:val="00A9313A"/>
    <w:rsid w:val="00A9316C"/>
    <w:rsid w:val="00A932C6"/>
    <w:rsid w:val="00A9344E"/>
    <w:rsid w:val="00A934CD"/>
    <w:rsid w:val="00A936F9"/>
    <w:rsid w:val="00A93F5B"/>
    <w:rsid w:val="00A94593"/>
    <w:rsid w:val="00A945AD"/>
    <w:rsid w:val="00A94752"/>
    <w:rsid w:val="00A94980"/>
    <w:rsid w:val="00A94C02"/>
    <w:rsid w:val="00A95D78"/>
    <w:rsid w:val="00A96060"/>
    <w:rsid w:val="00A96A9E"/>
    <w:rsid w:val="00A96D96"/>
    <w:rsid w:val="00AA06DA"/>
    <w:rsid w:val="00AA084C"/>
    <w:rsid w:val="00AA12BB"/>
    <w:rsid w:val="00AA19AD"/>
    <w:rsid w:val="00AA23A3"/>
    <w:rsid w:val="00AA266C"/>
    <w:rsid w:val="00AA316F"/>
    <w:rsid w:val="00AA31BC"/>
    <w:rsid w:val="00AA37CA"/>
    <w:rsid w:val="00AA3B83"/>
    <w:rsid w:val="00AA447E"/>
    <w:rsid w:val="00AA46D6"/>
    <w:rsid w:val="00AA4911"/>
    <w:rsid w:val="00AA4D24"/>
    <w:rsid w:val="00AA568B"/>
    <w:rsid w:val="00AA5C83"/>
    <w:rsid w:val="00AA5F39"/>
    <w:rsid w:val="00AA6892"/>
    <w:rsid w:val="00AA73A6"/>
    <w:rsid w:val="00AA75D1"/>
    <w:rsid w:val="00AA78F7"/>
    <w:rsid w:val="00AA79F4"/>
    <w:rsid w:val="00AA7AED"/>
    <w:rsid w:val="00AA7E1C"/>
    <w:rsid w:val="00AB0D24"/>
    <w:rsid w:val="00AB0ECF"/>
    <w:rsid w:val="00AB1103"/>
    <w:rsid w:val="00AB12A5"/>
    <w:rsid w:val="00AB1747"/>
    <w:rsid w:val="00AB1759"/>
    <w:rsid w:val="00AB17F2"/>
    <w:rsid w:val="00AB18CB"/>
    <w:rsid w:val="00AB1958"/>
    <w:rsid w:val="00AB1A53"/>
    <w:rsid w:val="00AB1DF4"/>
    <w:rsid w:val="00AB29BE"/>
    <w:rsid w:val="00AB3013"/>
    <w:rsid w:val="00AB3830"/>
    <w:rsid w:val="00AB3A98"/>
    <w:rsid w:val="00AB3E35"/>
    <w:rsid w:val="00AB3E8C"/>
    <w:rsid w:val="00AB3EAA"/>
    <w:rsid w:val="00AB418C"/>
    <w:rsid w:val="00AB4208"/>
    <w:rsid w:val="00AB44F6"/>
    <w:rsid w:val="00AB456A"/>
    <w:rsid w:val="00AB461C"/>
    <w:rsid w:val="00AB4678"/>
    <w:rsid w:val="00AB48F0"/>
    <w:rsid w:val="00AB4C5F"/>
    <w:rsid w:val="00AB5386"/>
    <w:rsid w:val="00AB59DB"/>
    <w:rsid w:val="00AB5A4D"/>
    <w:rsid w:val="00AB5ED6"/>
    <w:rsid w:val="00AB6416"/>
    <w:rsid w:val="00AB6BCA"/>
    <w:rsid w:val="00AB6DB1"/>
    <w:rsid w:val="00AB75E7"/>
    <w:rsid w:val="00AC020A"/>
    <w:rsid w:val="00AC0BE0"/>
    <w:rsid w:val="00AC0FC2"/>
    <w:rsid w:val="00AC1054"/>
    <w:rsid w:val="00AC1913"/>
    <w:rsid w:val="00AC1FA9"/>
    <w:rsid w:val="00AC21B6"/>
    <w:rsid w:val="00AC22B5"/>
    <w:rsid w:val="00AC2C83"/>
    <w:rsid w:val="00AC2F04"/>
    <w:rsid w:val="00AC3012"/>
    <w:rsid w:val="00AC36D4"/>
    <w:rsid w:val="00AC37CD"/>
    <w:rsid w:val="00AC3D9F"/>
    <w:rsid w:val="00AC3F99"/>
    <w:rsid w:val="00AC4AD8"/>
    <w:rsid w:val="00AC5406"/>
    <w:rsid w:val="00AC54D8"/>
    <w:rsid w:val="00AC57C0"/>
    <w:rsid w:val="00AC587B"/>
    <w:rsid w:val="00AC5BD0"/>
    <w:rsid w:val="00AC606F"/>
    <w:rsid w:val="00AC6ACB"/>
    <w:rsid w:val="00AC6C3D"/>
    <w:rsid w:val="00AC703D"/>
    <w:rsid w:val="00AC752A"/>
    <w:rsid w:val="00AC765B"/>
    <w:rsid w:val="00AC7E83"/>
    <w:rsid w:val="00AD0104"/>
    <w:rsid w:val="00AD048F"/>
    <w:rsid w:val="00AD05C6"/>
    <w:rsid w:val="00AD0D83"/>
    <w:rsid w:val="00AD11C2"/>
    <w:rsid w:val="00AD12C5"/>
    <w:rsid w:val="00AD12D1"/>
    <w:rsid w:val="00AD16F3"/>
    <w:rsid w:val="00AD1794"/>
    <w:rsid w:val="00AD266D"/>
    <w:rsid w:val="00AD2766"/>
    <w:rsid w:val="00AD2C69"/>
    <w:rsid w:val="00AD30B7"/>
    <w:rsid w:val="00AD33ED"/>
    <w:rsid w:val="00AD37CC"/>
    <w:rsid w:val="00AD3D33"/>
    <w:rsid w:val="00AD3D87"/>
    <w:rsid w:val="00AD433E"/>
    <w:rsid w:val="00AD4677"/>
    <w:rsid w:val="00AD46A3"/>
    <w:rsid w:val="00AD4C05"/>
    <w:rsid w:val="00AD4F05"/>
    <w:rsid w:val="00AD5A63"/>
    <w:rsid w:val="00AD5B41"/>
    <w:rsid w:val="00AD5D16"/>
    <w:rsid w:val="00AD5F57"/>
    <w:rsid w:val="00AD6809"/>
    <w:rsid w:val="00AD6B79"/>
    <w:rsid w:val="00AD73D1"/>
    <w:rsid w:val="00AD7726"/>
    <w:rsid w:val="00AD7B81"/>
    <w:rsid w:val="00AD7C18"/>
    <w:rsid w:val="00AD7E50"/>
    <w:rsid w:val="00AE0605"/>
    <w:rsid w:val="00AE1B51"/>
    <w:rsid w:val="00AE1FED"/>
    <w:rsid w:val="00AE2189"/>
    <w:rsid w:val="00AE2470"/>
    <w:rsid w:val="00AE2758"/>
    <w:rsid w:val="00AE32B9"/>
    <w:rsid w:val="00AE3624"/>
    <w:rsid w:val="00AE37D5"/>
    <w:rsid w:val="00AE3B47"/>
    <w:rsid w:val="00AE3BF7"/>
    <w:rsid w:val="00AE3DDC"/>
    <w:rsid w:val="00AE3F2D"/>
    <w:rsid w:val="00AE3F94"/>
    <w:rsid w:val="00AE49C3"/>
    <w:rsid w:val="00AE4D36"/>
    <w:rsid w:val="00AE516B"/>
    <w:rsid w:val="00AE6354"/>
    <w:rsid w:val="00AE6678"/>
    <w:rsid w:val="00AE6736"/>
    <w:rsid w:val="00AE6CE0"/>
    <w:rsid w:val="00AE7054"/>
    <w:rsid w:val="00AE72B2"/>
    <w:rsid w:val="00AE76AD"/>
    <w:rsid w:val="00AE798A"/>
    <w:rsid w:val="00AE7BB8"/>
    <w:rsid w:val="00AF0408"/>
    <w:rsid w:val="00AF0449"/>
    <w:rsid w:val="00AF05E9"/>
    <w:rsid w:val="00AF0813"/>
    <w:rsid w:val="00AF0B90"/>
    <w:rsid w:val="00AF17D7"/>
    <w:rsid w:val="00AF1A22"/>
    <w:rsid w:val="00AF203C"/>
    <w:rsid w:val="00AF236B"/>
    <w:rsid w:val="00AF2507"/>
    <w:rsid w:val="00AF2698"/>
    <w:rsid w:val="00AF26D4"/>
    <w:rsid w:val="00AF2A16"/>
    <w:rsid w:val="00AF3281"/>
    <w:rsid w:val="00AF358C"/>
    <w:rsid w:val="00AF3717"/>
    <w:rsid w:val="00AF4209"/>
    <w:rsid w:val="00AF4659"/>
    <w:rsid w:val="00AF4CB6"/>
    <w:rsid w:val="00AF508B"/>
    <w:rsid w:val="00AF58EA"/>
    <w:rsid w:val="00AF61D8"/>
    <w:rsid w:val="00AF620B"/>
    <w:rsid w:val="00B002B6"/>
    <w:rsid w:val="00B00C43"/>
    <w:rsid w:val="00B01338"/>
    <w:rsid w:val="00B016CF"/>
    <w:rsid w:val="00B01D50"/>
    <w:rsid w:val="00B01D5F"/>
    <w:rsid w:val="00B02682"/>
    <w:rsid w:val="00B0290E"/>
    <w:rsid w:val="00B02C10"/>
    <w:rsid w:val="00B0300E"/>
    <w:rsid w:val="00B030D3"/>
    <w:rsid w:val="00B0350C"/>
    <w:rsid w:val="00B03A85"/>
    <w:rsid w:val="00B044A1"/>
    <w:rsid w:val="00B0511F"/>
    <w:rsid w:val="00B0597E"/>
    <w:rsid w:val="00B059B9"/>
    <w:rsid w:val="00B05B70"/>
    <w:rsid w:val="00B0606A"/>
    <w:rsid w:val="00B066EB"/>
    <w:rsid w:val="00B0673B"/>
    <w:rsid w:val="00B0693A"/>
    <w:rsid w:val="00B070D5"/>
    <w:rsid w:val="00B073BC"/>
    <w:rsid w:val="00B10046"/>
    <w:rsid w:val="00B10A28"/>
    <w:rsid w:val="00B10DBC"/>
    <w:rsid w:val="00B10F2C"/>
    <w:rsid w:val="00B1151B"/>
    <w:rsid w:val="00B120AB"/>
    <w:rsid w:val="00B12365"/>
    <w:rsid w:val="00B1303D"/>
    <w:rsid w:val="00B13388"/>
    <w:rsid w:val="00B13B53"/>
    <w:rsid w:val="00B141EC"/>
    <w:rsid w:val="00B14909"/>
    <w:rsid w:val="00B1512C"/>
    <w:rsid w:val="00B15D74"/>
    <w:rsid w:val="00B162AF"/>
    <w:rsid w:val="00B163D2"/>
    <w:rsid w:val="00B17887"/>
    <w:rsid w:val="00B1788B"/>
    <w:rsid w:val="00B17BA8"/>
    <w:rsid w:val="00B20061"/>
    <w:rsid w:val="00B20391"/>
    <w:rsid w:val="00B20563"/>
    <w:rsid w:val="00B20753"/>
    <w:rsid w:val="00B20F08"/>
    <w:rsid w:val="00B2104C"/>
    <w:rsid w:val="00B2106B"/>
    <w:rsid w:val="00B22685"/>
    <w:rsid w:val="00B22A31"/>
    <w:rsid w:val="00B22F6C"/>
    <w:rsid w:val="00B2307A"/>
    <w:rsid w:val="00B23672"/>
    <w:rsid w:val="00B23A81"/>
    <w:rsid w:val="00B24017"/>
    <w:rsid w:val="00B24222"/>
    <w:rsid w:val="00B2467F"/>
    <w:rsid w:val="00B24A9A"/>
    <w:rsid w:val="00B24C56"/>
    <w:rsid w:val="00B252AB"/>
    <w:rsid w:val="00B260A8"/>
    <w:rsid w:val="00B2662A"/>
    <w:rsid w:val="00B26653"/>
    <w:rsid w:val="00B27B01"/>
    <w:rsid w:val="00B27C89"/>
    <w:rsid w:val="00B30165"/>
    <w:rsid w:val="00B303F0"/>
    <w:rsid w:val="00B30E8F"/>
    <w:rsid w:val="00B31241"/>
    <w:rsid w:val="00B318D3"/>
    <w:rsid w:val="00B319DE"/>
    <w:rsid w:val="00B31A0C"/>
    <w:rsid w:val="00B31B3F"/>
    <w:rsid w:val="00B31F22"/>
    <w:rsid w:val="00B32604"/>
    <w:rsid w:val="00B328BE"/>
    <w:rsid w:val="00B33164"/>
    <w:rsid w:val="00B335E0"/>
    <w:rsid w:val="00B3408A"/>
    <w:rsid w:val="00B35CF8"/>
    <w:rsid w:val="00B35F1C"/>
    <w:rsid w:val="00B36196"/>
    <w:rsid w:val="00B367A8"/>
    <w:rsid w:val="00B36FC7"/>
    <w:rsid w:val="00B373B6"/>
    <w:rsid w:val="00B375C7"/>
    <w:rsid w:val="00B37713"/>
    <w:rsid w:val="00B378EC"/>
    <w:rsid w:val="00B40019"/>
    <w:rsid w:val="00B404C6"/>
    <w:rsid w:val="00B408FE"/>
    <w:rsid w:val="00B41172"/>
    <w:rsid w:val="00B4133A"/>
    <w:rsid w:val="00B414DD"/>
    <w:rsid w:val="00B425A4"/>
    <w:rsid w:val="00B429B3"/>
    <w:rsid w:val="00B42FF1"/>
    <w:rsid w:val="00B433AD"/>
    <w:rsid w:val="00B434DF"/>
    <w:rsid w:val="00B4387A"/>
    <w:rsid w:val="00B43B6E"/>
    <w:rsid w:val="00B441E9"/>
    <w:rsid w:val="00B445B1"/>
    <w:rsid w:val="00B44B59"/>
    <w:rsid w:val="00B44B5F"/>
    <w:rsid w:val="00B44E7B"/>
    <w:rsid w:val="00B45B65"/>
    <w:rsid w:val="00B46427"/>
    <w:rsid w:val="00B46D26"/>
    <w:rsid w:val="00B47CEE"/>
    <w:rsid w:val="00B47F04"/>
    <w:rsid w:val="00B50945"/>
    <w:rsid w:val="00B50BB4"/>
    <w:rsid w:val="00B50C5D"/>
    <w:rsid w:val="00B50DD8"/>
    <w:rsid w:val="00B5196C"/>
    <w:rsid w:val="00B520A8"/>
    <w:rsid w:val="00B52947"/>
    <w:rsid w:val="00B52958"/>
    <w:rsid w:val="00B52A4E"/>
    <w:rsid w:val="00B532B6"/>
    <w:rsid w:val="00B53476"/>
    <w:rsid w:val="00B53A35"/>
    <w:rsid w:val="00B53CB1"/>
    <w:rsid w:val="00B54213"/>
    <w:rsid w:val="00B5490C"/>
    <w:rsid w:val="00B54B0E"/>
    <w:rsid w:val="00B54B8F"/>
    <w:rsid w:val="00B54D01"/>
    <w:rsid w:val="00B55914"/>
    <w:rsid w:val="00B55981"/>
    <w:rsid w:val="00B55BBE"/>
    <w:rsid w:val="00B56282"/>
    <w:rsid w:val="00B56E9E"/>
    <w:rsid w:val="00B5711B"/>
    <w:rsid w:val="00B57348"/>
    <w:rsid w:val="00B5772D"/>
    <w:rsid w:val="00B57A6A"/>
    <w:rsid w:val="00B57EB6"/>
    <w:rsid w:val="00B6039B"/>
    <w:rsid w:val="00B603BF"/>
    <w:rsid w:val="00B61271"/>
    <w:rsid w:val="00B613AF"/>
    <w:rsid w:val="00B624BA"/>
    <w:rsid w:val="00B62BEC"/>
    <w:rsid w:val="00B62E21"/>
    <w:rsid w:val="00B636E1"/>
    <w:rsid w:val="00B6462A"/>
    <w:rsid w:val="00B64696"/>
    <w:rsid w:val="00B6494B"/>
    <w:rsid w:val="00B64ABD"/>
    <w:rsid w:val="00B652AB"/>
    <w:rsid w:val="00B65562"/>
    <w:rsid w:val="00B6681D"/>
    <w:rsid w:val="00B6684F"/>
    <w:rsid w:val="00B670A1"/>
    <w:rsid w:val="00B670D8"/>
    <w:rsid w:val="00B700CF"/>
    <w:rsid w:val="00B708FE"/>
    <w:rsid w:val="00B71110"/>
    <w:rsid w:val="00B71149"/>
    <w:rsid w:val="00B7134D"/>
    <w:rsid w:val="00B7170B"/>
    <w:rsid w:val="00B71AE4"/>
    <w:rsid w:val="00B72042"/>
    <w:rsid w:val="00B72EDE"/>
    <w:rsid w:val="00B736D8"/>
    <w:rsid w:val="00B73B0A"/>
    <w:rsid w:val="00B7429D"/>
    <w:rsid w:val="00B74764"/>
    <w:rsid w:val="00B74A54"/>
    <w:rsid w:val="00B74CB5"/>
    <w:rsid w:val="00B74D34"/>
    <w:rsid w:val="00B74FE2"/>
    <w:rsid w:val="00B75763"/>
    <w:rsid w:val="00B75806"/>
    <w:rsid w:val="00B75905"/>
    <w:rsid w:val="00B759A9"/>
    <w:rsid w:val="00B76330"/>
    <w:rsid w:val="00B76B07"/>
    <w:rsid w:val="00B77359"/>
    <w:rsid w:val="00B7799F"/>
    <w:rsid w:val="00B77A16"/>
    <w:rsid w:val="00B77D53"/>
    <w:rsid w:val="00B806F4"/>
    <w:rsid w:val="00B807AC"/>
    <w:rsid w:val="00B81482"/>
    <w:rsid w:val="00B816AE"/>
    <w:rsid w:val="00B819DA"/>
    <w:rsid w:val="00B82336"/>
    <w:rsid w:val="00B823D9"/>
    <w:rsid w:val="00B82D76"/>
    <w:rsid w:val="00B830E0"/>
    <w:rsid w:val="00B831A5"/>
    <w:rsid w:val="00B833D6"/>
    <w:rsid w:val="00B83402"/>
    <w:rsid w:val="00B83A37"/>
    <w:rsid w:val="00B83E4B"/>
    <w:rsid w:val="00B8433B"/>
    <w:rsid w:val="00B84B8C"/>
    <w:rsid w:val="00B8573E"/>
    <w:rsid w:val="00B85985"/>
    <w:rsid w:val="00B863ED"/>
    <w:rsid w:val="00B865FA"/>
    <w:rsid w:val="00B878E1"/>
    <w:rsid w:val="00B9034F"/>
    <w:rsid w:val="00B9044B"/>
    <w:rsid w:val="00B90457"/>
    <w:rsid w:val="00B90881"/>
    <w:rsid w:val="00B90C02"/>
    <w:rsid w:val="00B90DAD"/>
    <w:rsid w:val="00B90EF9"/>
    <w:rsid w:val="00B913B7"/>
    <w:rsid w:val="00B91A4F"/>
    <w:rsid w:val="00B91B1F"/>
    <w:rsid w:val="00B91BCE"/>
    <w:rsid w:val="00B91CB1"/>
    <w:rsid w:val="00B92057"/>
    <w:rsid w:val="00B92F87"/>
    <w:rsid w:val="00B94318"/>
    <w:rsid w:val="00B943A6"/>
    <w:rsid w:val="00B94412"/>
    <w:rsid w:val="00B947D3"/>
    <w:rsid w:val="00B94DDF"/>
    <w:rsid w:val="00B951AA"/>
    <w:rsid w:val="00B9566B"/>
    <w:rsid w:val="00B9616A"/>
    <w:rsid w:val="00B97336"/>
    <w:rsid w:val="00B976C0"/>
    <w:rsid w:val="00B978C3"/>
    <w:rsid w:val="00BA01B1"/>
    <w:rsid w:val="00BA039B"/>
    <w:rsid w:val="00BA07A7"/>
    <w:rsid w:val="00BA0C21"/>
    <w:rsid w:val="00BA13A4"/>
    <w:rsid w:val="00BA1731"/>
    <w:rsid w:val="00BA1F32"/>
    <w:rsid w:val="00BA219E"/>
    <w:rsid w:val="00BA2809"/>
    <w:rsid w:val="00BA2E71"/>
    <w:rsid w:val="00BA2F28"/>
    <w:rsid w:val="00BA342B"/>
    <w:rsid w:val="00BA3473"/>
    <w:rsid w:val="00BA3C8F"/>
    <w:rsid w:val="00BA3FA9"/>
    <w:rsid w:val="00BA42B3"/>
    <w:rsid w:val="00BA444D"/>
    <w:rsid w:val="00BA4530"/>
    <w:rsid w:val="00BA4A36"/>
    <w:rsid w:val="00BA4B86"/>
    <w:rsid w:val="00BA4C6D"/>
    <w:rsid w:val="00BA551B"/>
    <w:rsid w:val="00BA583A"/>
    <w:rsid w:val="00BA62CD"/>
    <w:rsid w:val="00BA6826"/>
    <w:rsid w:val="00BA6835"/>
    <w:rsid w:val="00BA7199"/>
    <w:rsid w:val="00BA733C"/>
    <w:rsid w:val="00BA76E2"/>
    <w:rsid w:val="00BA771C"/>
    <w:rsid w:val="00BB005E"/>
    <w:rsid w:val="00BB08C0"/>
    <w:rsid w:val="00BB0E7C"/>
    <w:rsid w:val="00BB0EDB"/>
    <w:rsid w:val="00BB10FA"/>
    <w:rsid w:val="00BB153C"/>
    <w:rsid w:val="00BB18C7"/>
    <w:rsid w:val="00BB1C2A"/>
    <w:rsid w:val="00BB1EC1"/>
    <w:rsid w:val="00BB224C"/>
    <w:rsid w:val="00BB2A1F"/>
    <w:rsid w:val="00BB315D"/>
    <w:rsid w:val="00BB3235"/>
    <w:rsid w:val="00BB325A"/>
    <w:rsid w:val="00BB367F"/>
    <w:rsid w:val="00BB36B9"/>
    <w:rsid w:val="00BB3AD3"/>
    <w:rsid w:val="00BB3E4D"/>
    <w:rsid w:val="00BB3F19"/>
    <w:rsid w:val="00BB42D3"/>
    <w:rsid w:val="00BB4FFF"/>
    <w:rsid w:val="00BB58DF"/>
    <w:rsid w:val="00BB5ADE"/>
    <w:rsid w:val="00BB5B17"/>
    <w:rsid w:val="00BB5C31"/>
    <w:rsid w:val="00BB5D93"/>
    <w:rsid w:val="00BB5EB8"/>
    <w:rsid w:val="00BB67FC"/>
    <w:rsid w:val="00BB6BA0"/>
    <w:rsid w:val="00BB6C9B"/>
    <w:rsid w:val="00BB7406"/>
    <w:rsid w:val="00BB750E"/>
    <w:rsid w:val="00BB7839"/>
    <w:rsid w:val="00BB78D1"/>
    <w:rsid w:val="00BB79C8"/>
    <w:rsid w:val="00BB7EAF"/>
    <w:rsid w:val="00BC001C"/>
    <w:rsid w:val="00BC0755"/>
    <w:rsid w:val="00BC07EE"/>
    <w:rsid w:val="00BC0BB3"/>
    <w:rsid w:val="00BC1123"/>
    <w:rsid w:val="00BC128C"/>
    <w:rsid w:val="00BC12DE"/>
    <w:rsid w:val="00BC1403"/>
    <w:rsid w:val="00BC17BC"/>
    <w:rsid w:val="00BC1FED"/>
    <w:rsid w:val="00BC20E6"/>
    <w:rsid w:val="00BC275E"/>
    <w:rsid w:val="00BC27B3"/>
    <w:rsid w:val="00BC2B6D"/>
    <w:rsid w:val="00BC3145"/>
    <w:rsid w:val="00BC3B5D"/>
    <w:rsid w:val="00BC411D"/>
    <w:rsid w:val="00BC4271"/>
    <w:rsid w:val="00BC45A6"/>
    <w:rsid w:val="00BC4A28"/>
    <w:rsid w:val="00BC5519"/>
    <w:rsid w:val="00BC570E"/>
    <w:rsid w:val="00BC58B3"/>
    <w:rsid w:val="00BC5A58"/>
    <w:rsid w:val="00BC6182"/>
    <w:rsid w:val="00BC66B1"/>
    <w:rsid w:val="00BC6A45"/>
    <w:rsid w:val="00BC7968"/>
    <w:rsid w:val="00BC7B8B"/>
    <w:rsid w:val="00BD055D"/>
    <w:rsid w:val="00BD07C4"/>
    <w:rsid w:val="00BD0B10"/>
    <w:rsid w:val="00BD0B91"/>
    <w:rsid w:val="00BD191A"/>
    <w:rsid w:val="00BD293C"/>
    <w:rsid w:val="00BD364F"/>
    <w:rsid w:val="00BD3ECC"/>
    <w:rsid w:val="00BD43E1"/>
    <w:rsid w:val="00BD44DF"/>
    <w:rsid w:val="00BD48CC"/>
    <w:rsid w:val="00BD5348"/>
    <w:rsid w:val="00BD5904"/>
    <w:rsid w:val="00BD5A46"/>
    <w:rsid w:val="00BD689B"/>
    <w:rsid w:val="00BD6BE8"/>
    <w:rsid w:val="00BD7423"/>
    <w:rsid w:val="00BD742F"/>
    <w:rsid w:val="00BD75EF"/>
    <w:rsid w:val="00BD79F1"/>
    <w:rsid w:val="00BE004B"/>
    <w:rsid w:val="00BE00F6"/>
    <w:rsid w:val="00BE0365"/>
    <w:rsid w:val="00BE04CE"/>
    <w:rsid w:val="00BE0BD8"/>
    <w:rsid w:val="00BE1871"/>
    <w:rsid w:val="00BE1C21"/>
    <w:rsid w:val="00BE1CB4"/>
    <w:rsid w:val="00BE213D"/>
    <w:rsid w:val="00BE2434"/>
    <w:rsid w:val="00BE273E"/>
    <w:rsid w:val="00BE2994"/>
    <w:rsid w:val="00BE3143"/>
    <w:rsid w:val="00BE3A84"/>
    <w:rsid w:val="00BE3B99"/>
    <w:rsid w:val="00BE3C3F"/>
    <w:rsid w:val="00BE4F6A"/>
    <w:rsid w:val="00BE518F"/>
    <w:rsid w:val="00BE619C"/>
    <w:rsid w:val="00BE7320"/>
    <w:rsid w:val="00BE76A3"/>
    <w:rsid w:val="00BE7D18"/>
    <w:rsid w:val="00BF02AD"/>
    <w:rsid w:val="00BF05D5"/>
    <w:rsid w:val="00BF0624"/>
    <w:rsid w:val="00BF0A24"/>
    <w:rsid w:val="00BF11CE"/>
    <w:rsid w:val="00BF1696"/>
    <w:rsid w:val="00BF1AFA"/>
    <w:rsid w:val="00BF1F4C"/>
    <w:rsid w:val="00BF2181"/>
    <w:rsid w:val="00BF24AF"/>
    <w:rsid w:val="00BF356A"/>
    <w:rsid w:val="00BF4175"/>
    <w:rsid w:val="00BF4383"/>
    <w:rsid w:val="00BF4CFB"/>
    <w:rsid w:val="00BF5295"/>
    <w:rsid w:val="00BF5E0B"/>
    <w:rsid w:val="00BF628D"/>
    <w:rsid w:val="00BF63C9"/>
    <w:rsid w:val="00BF6900"/>
    <w:rsid w:val="00BF6E49"/>
    <w:rsid w:val="00BF7809"/>
    <w:rsid w:val="00BF7863"/>
    <w:rsid w:val="00BF7D7C"/>
    <w:rsid w:val="00C00456"/>
    <w:rsid w:val="00C00B73"/>
    <w:rsid w:val="00C01472"/>
    <w:rsid w:val="00C01A48"/>
    <w:rsid w:val="00C02C4C"/>
    <w:rsid w:val="00C039E5"/>
    <w:rsid w:val="00C04F83"/>
    <w:rsid w:val="00C05101"/>
    <w:rsid w:val="00C05181"/>
    <w:rsid w:val="00C05C07"/>
    <w:rsid w:val="00C05DF4"/>
    <w:rsid w:val="00C06033"/>
    <w:rsid w:val="00C06586"/>
    <w:rsid w:val="00C06764"/>
    <w:rsid w:val="00C06914"/>
    <w:rsid w:val="00C06C33"/>
    <w:rsid w:val="00C06C36"/>
    <w:rsid w:val="00C07493"/>
    <w:rsid w:val="00C07639"/>
    <w:rsid w:val="00C07D4B"/>
    <w:rsid w:val="00C10192"/>
    <w:rsid w:val="00C11CDB"/>
    <w:rsid w:val="00C11CE5"/>
    <w:rsid w:val="00C121CA"/>
    <w:rsid w:val="00C12783"/>
    <w:rsid w:val="00C13AE7"/>
    <w:rsid w:val="00C13EFB"/>
    <w:rsid w:val="00C147F7"/>
    <w:rsid w:val="00C14833"/>
    <w:rsid w:val="00C14D42"/>
    <w:rsid w:val="00C14D7B"/>
    <w:rsid w:val="00C1559F"/>
    <w:rsid w:val="00C157CF"/>
    <w:rsid w:val="00C15A93"/>
    <w:rsid w:val="00C15B2B"/>
    <w:rsid w:val="00C15D25"/>
    <w:rsid w:val="00C1683E"/>
    <w:rsid w:val="00C169DB"/>
    <w:rsid w:val="00C16A51"/>
    <w:rsid w:val="00C16FB8"/>
    <w:rsid w:val="00C16FE6"/>
    <w:rsid w:val="00C17F06"/>
    <w:rsid w:val="00C20D0C"/>
    <w:rsid w:val="00C22EFE"/>
    <w:rsid w:val="00C230C9"/>
    <w:rsid w:val="00C235AE"/>
    <w:rsid w:val="00C2386C"/>
    <w:rsid w:val="00C239BD"/>
    <w:rsid w:val="00C23F5F"/>
    <w:rsid w:val="00C23F90"/>
    <w:rsid w:val="00C243BE"/>
    <w:rsid w:val="00C24908"/>
    <w:rsid w:val="00C24A34"/>
    <w:rsid w:val="00C24B80"/>
    <w:rsid w:val="00C25100"/>
    <w:rsid w:val="00C252FA"/>
    <w:rsid w:val="00C25ADE"/>
    <w:rsid w:val="00C25B6A"/>
    <w:rsid w:val="00C25E89"/>
    <w:rsid w:val="00C2626F"/>
    <w:rsid w:val="00C263B1"/>
    <w:rsid w:val="00C263C5"/>
    <w:rsid w:val="00C26655"/>
    <w:rsid w:val="00C2669E"/>
    <w:rsid w:val="00C27577"/>
    <w:rsid w:val="00C27DD4"/>
    <w:rsid w:val="00C27FB9"/>
    <w:rsid w:val="00C303CE"/>
    <w:rsid w:val="00C30D00"/>
    <w:rsid w:val="00C31439"/>
    <w:rsid w:val="00C3184D"/>
    <w:rsid w:val="00C31ED6"/>
    <w:rsid w:val="00C3252D"/>
    <w:rsid w:val="00C32564"/>
    <w:rsid w:val="00C325D2"/>
    <w:rsid w:val="00C327BE"/>
    <w:rsid w:val="00C32CCA"/>
    <w:rsid w:val="00C3324A"/>
    <w:rsid w:val="00C33DC3"/>
    <w:rsid w:val="00C33F27"/>
    <w:rsid w:val="00C34097"/>
    <w:rsid w:val="00C34184"/>
    <w:rsid w:val="00C34D57"/>
    <w:rsid w:val="00C35A4D"/>
    <w:rsid w:val="00C368CD"/>
    <w:rsid w:val="00C36A35"/>
    <w:rsid w:val="00C3703E"/>
    <w:rsid w:val="00C3749F"/>
    <w:rsid w:val="00C376FD"/>
    <w:rsid w:val="00C379B2"/>
    <w:rsid w:val="00C37A5B"/>
    <w:rsid w:val="00C37E40"/>
    <w:rsid w:val="00C37EFA"/>
    <w:rsid w:val="00C40EC7"/>
    <w:rsid w:val="00C410E2"/>
    <w:rsid w:val="00C41548"/>
    <w:rsid w:val="00C416AC"/>
    <w:rsid w:val="00C41BCD"/>
    <w:rsid w:val="00C42076"/>
    <w:rsid w:val="00C4229C"/>
    <w:rsid w:val="00C424A1"/>
    <w:rsid w:val="00C42CD0"/>
    <w:rsid w:val="00C42DB9"/>
    <w:rsid w:val="00C43703"/>
    <w:rsid w:val="00C43921"/>
    <w:rsid w:val="00C43B22"/>
    <w:rsid w:val="00C43F80"/>
    <w:rsid w:val="00C4432F"/>
    <w:rsid w:val="00C4499D"/>
    <w:rsid w:val="00C44F3B"/>
    <w:rsid w:val="00C45254"/>
    <w:rsid w:val="00C45C6E"/>
    <w:rsid w:val="00C46F05"/>
    <w:rsid w:val="00C470E9"/>
    <w:rsid w:val="00C4789E"/>
    <w:rsid w:val="00C47D64"/>
    <w:rsid w:val="00C47FDC"/>
    <w:rsid w:val="00C50522"/>
    <w:rsid w:val="00C50999"/>
    <w:rsid w:val="00C512EB"/>
    <w:rsid w:val="00C513E1"/>
    <w:rsid w:val="00C5159D"/>
    <w:rsid w:val="00C5227C"/>
    <w:rsid w:val="00C52C01"/>
    <w:rsid w:val="00C52FBA"/>
    <w:rsid w:val="00C536BF"/>
    <w:rsid w:val="00C537B6"/>
    <w:rsid w:val="00C53A33"/>
    <w:rsid w:val="00C53B3F"/>
    <w:rsid w:val="00C53FB5"/>
    <w:rsid w:val="00C54BD8"/>
    <w:rsid w:val="00C5532D"/>
    <w:rsid w:val="00C55FD9"/>
    <w:rsid w:val="00C5623C"/>
    <w:rsid w:val="00C56F4A"/>
    <w:rsid w:val="00C577E6"/>
    <w:rsid w:val="00C57B9A"/>
    <w:rsid w:val="00C57CAB"/>
    <w:rsid w:val="00C57D90"/>
    <w:rsid w:val="00C60250"/>
    <w:rsid w:val="00C602D5"/>
    <w:rsid w:val="00C60620"/>
    <w:rsid w:val="00C6075E"/>
    <w:rsid w:val="00C60951"/>
    <w:rsid w:val="00C60D05"/>
    <w:rsid w:val="00C6140E"/>
    <w:rsid w:val="00C6162D"/>
    <w:rsid w:val="00C619D4"/>
    <w:rsid w:val="00C61F34"/>
    <w:rsid w:val="00C62A5D"/>
    <w:rsid w:val="00C62CF9"/>
    <w:rsid w:val="00C62FA6"/>
    <w:rsid w:val="00C63A53"/>
    <w:rsid w:val="00C64692"/>
    <w:rsid w:val="00C649CB"/>
    <w:rsid w:val="00C64DE8"/>
    <w:rsid w:val="00C650D7"/>
    <w:rsid w:val="00C6582C"/>
    <w:rsid w:val="00C65EF1"/>
    <w:rsid w:val="00C6673F"/>
    <w:rsid w:val="00C66CE0"/>
    <w:rsid w:val="00C67543"/>
    <w:rsid w:val="00C707A1"/>
    <w:rsid w:val="00C70A7E"/>
    <w:rsid w:val="00C720C9"/>
    <w:rsid w:val="00C72161"/>
    <w:rsid w:val="00C72DDB"/>
    <w:rsid w:val="00C73104"/>
    <w:rsid w:val="00C732F5"/>
    <w:rsid w:val="00C738EB"/>
    <w:rsid w:val="00C7517C"/>
    <w:rsid w:val="00C7643B"/>
    <w:rsid w:val="00C76443"/>
    <w:rsid w:val="00C76C25"/>
    <w:rsid w:val="00C7726D"/>
    <w:rsid w:val="00C7735E"/>
    <w:rsid w:val="00C7753D"/>
    <w:rsid w:val="00C8035B"/>
    <w:rsid w:val="00C803C6"/>
    <w:rsid w:val="00C8041D"/>
    <w:rsid w:val="00C80A8A"/>
    <w:rsid w:val="00C81157"/>
    <w:rsid w:val="00C821E9"/>
    <w:rsid w:val="00C82751"/>
    <w:rsid w:val="00C82BCA"/>
    <w:rsid w:val="00C82E2B"/>
    <w:rsid w:val="00C834E2"/>
    <w:rsid w:val="00C835B2"/>
    <w:rsid w:val="00C83687"/>
    <w:rsid w:val="00C843A8"/>
    <w:rsid w:val="00C8488B"/>
    <w:rsid w:val="00C84A62"/>
    <w:rsid w:val="00C84AA6"/>
    <w:rsid w:val="00C84AF7"/>
    <w:rsid w:val="00C8528E"/>
    <w:rsid w:val="00C85D16"/>
    <w:rsid w:val="00C86221"/>
    <w:rsid w:val="00C866C7"/>
    <w:rsid w:val="00C868DF"/>
    <w:rsid w:val="00C8717D"/>
    <w:rsid w:val="00C872C1"/>
    <w:rsid w:val="00C878C9"/>
    <w:rsid w:val="00C904A2"/>
    <w:rsid w:val="00C90983"/>
    <w:rsid w:val="00C90AC0"/>
    <w:rsid w:val="00C910BD"/>
    <w:rsid w:val="00C9127A"/>
    <w:rsid w:val="00C9163A"/>
    <w:rsid w:val="00C91651"/>
    <w:rsid w:val="00C91B9F"/>
    <w:rsid w:val="00C91CE0"/>
    <w:rsid w:val="00C92AD6"/>
    <w:rsid w:val="00C9322B"/>
    <w:rsid w:val="00C943FA"/>
    <w:rsid w:val="00C94D88"/>
    <w:rsid w:val="00C953E8"/>
    <w:rsid w:val="00C95626"/>
    <w:rsid w:val="00C95DF7"/>
    <w:rsid w:val="00C96D1D"/>
    <w:rsid w:val="00C97172"/>
    <w:rsid w:val="00C97DCB"/>
    <w:rsid w:val="00CA002E"/>
    <w:rsid w:val="00CA0032"/>
    <w:rsid w:val="00CA0091"/>
    <w:rsid w:val="00CA027B"/>
    <w:rsid w:val="00CA0292"/>
    <w:rsid w:val="00CA0A95"/>
    <w:rsid w:val="00CA0B70"/>
    <w:rsid w:val="00CA1134"/>
    <w:rsid w:val="00CA1A7D"/>
    <w:rsid w:val="00CA1B0C"/>
    <w:rsid w:val="00CA223A"/>
    <w:rsid w:val="00CA287F"/>
    <w:rsid w:val="00CA2947"/>
    <w:rsid w:val="00CA2FF2"/>
    <w:rsid w:val="00CA326F"/>
    <w:rsid w:val="00CA32AC"/>
    <w:rsid w:val="00CA341E"/>
    <w:rsid w:val="00CA36C5"/>
    <w:rsid w:val="00CA37AC"/>
    <w:rsid w:val="00CA3A1C"/>
    <w:rsid w:val="00CA4F45"/>
    <w:rsid w:val="00CA5018"/>
    <w:rsid w:val="00CA554B"/>
    <w:rsid w:val="00CA5A34"/>
    <w:rsid w:val="00CA5C05"/>
    <w:rsid w:val="00CA5E7F"/>
    <w:rsid w:val="00CA5EA5"/>
    <w:rsid w:val="00CA65A8"/>
    <w:rsid w:val="00CA6800"/>
    <w:rsid w:val="00CA6DC2"/>
    <w:rsid w:val="00CA737C"/>
    <w:rsid w:val="00CA7568"/>
    <w:rsid w:val="00CA7611"/>
    <w:rsid w:val="00CA7B64"/>
    <w:rsid w:val="00CA7CA6"/>
    <w:rsid w:val="00CA7DC6"/>
    <w:rsid w:val="00CB0466"/>
    <w:rsid w:val="00CB0524"/>
    <w:rsid w:val="00CB086D"/>
    <w:rsid w:val="00CB0883"/>
    <w:rsid w:val="00CB1181"/>
    <w:rsid w:val="00CB14CE"/>
    <w:rsid w:val="00CB1D1E"/>
    <w:rsid w:val="00CB27C5"/>
    <w:rsid w:val="00CB2F5B"/>
    <w:rsid w:val="00CB39EB"/>
    <w:rsid w:val="00CB3FF5"/>
    <w:rsid w:val="00CB407E"/>
    <w:rsid w:val="00CB4316"/>
    <w:rsid w:val="00CB4E1D"/>
    <w:rsid w:val="00CB513A"/>
    <w:rsid w:val="00CB5556"/>
    <w:rsid w:val="00CB5682"/>
    <w:rsid w:val="00CB5AE3"/>
    <w:rsid w:val="00CB5BFE"/>
    <w:rsid w:val="00CB5C5C"/>
    <w:rsid w:val="00CB5DB7"/>
    <w:rsid w:val="00CB5E5D"/>
    <w:rsid w:val="00CB60C7"/>
    <w:rsid w:val="00CB648C"/>
    <w:rsid w:val="00CB6D6C"/>
    <w:rsid w:val="00CB6DA0"/>
    <w:rsid w:val="00CB7455"/>
    <w:rsid w:val="00CB7A8F"/>
    <w:rsid w:val="00CC0224"/>
    <w:rsid w:val="00CC03B7"/>
    <w:rsid w:val="00CC05D9"/>
    <w:rsid w:val="00CC089C"/>
    <w:rsid w:val="00CC09B3"/>
    <w:rsid w:val="00CC0EC9"/>
    <w:rsid w:val="00CC10DC"/>
    <w:rsid w:val="00CC10F5"/>
    <w:rsid w:val="00CC194E"/>
    <w:rsid w:val="00CC1A26"/>
    <w:rsid w:val="00CC1D2D"/>
    <w:rsid w:val="00CC222B"/>
    <w:rsid w:val="00CC2585"/>
    <w:rsid w:val="00CC28AE"/>
    <w:rsid w:val="00CC29FA"/>
    <w:rsid w:val="00CC2FE5"/>
    <w:rsid w:val="00CC3957"/>
    <w:rsid w:val="00CC3B70"/>
    <w:rsid w:val="00CC3CC1"/>
    <w:rsid w:val="00CC43D6"/>
    <w:rsid w:val="00CC464F"/>
    <w:rsid w:val="00CC4A9F"/>
    <w:rsid w:val="00CC4B0D"/>
    <w:rsid w:val="00CC5911"/>
    <w:rsid w:val="00CC5CC7"/>
    <w:rsid w:val="00CC604F"/>
    <w:rsid w:val="00CC6CB5"/>
    <w:rsid w:val="00CC6E4C"/>
    <w:rsid w:val="00CC6FF0"/>
    <w:rsid w:val="00CC74A8"/>
    <w:rsid w:val="00CC754B"/>
    <w:rsid w:val="00CC7E12"/>
    <w:rsid w:val="00CD03E0"/>
    <w:rsid w:val="00CD101E"/>
    <w:rsid w:val="00CD11A0"/>
    <w:rsid w:val="00CD1803"/>
    <w:rsid w:val="00CD203B"/>
    <w:rsid w:val="00CD2672"/>
    <w:rsid w:val="00CD2810"/>
    <w:rsid w:val="00CD2BA3"/>
    <w:rsid w:val="00CD368D"/>
    <w:rsid w:val="00CD3A13"/>
    <w:rsid w:val="00CD3C8A"/>
    <w:rsid w:val="00CD3FFB"/>
    <w:rsid w:val="00CD40AD"/>
    <w:rsid w:val="00CD4434"/>
    <w:rsid w:val="00CD457A"/>
    <w:rsid w:val="00CD5D76"/>
    <w:rsid w:val="00CD6633"/>
    <w:rsid w:val="00CD6878"/>
    <w:rsid w:val="00CD6906"/>
    <w:rsid w:val="00CD6B88"/>
    <w:rsid w:val="00CD6FE4"/>
    <w:rsid w:val="00CE0253"/>
    <w:rsid w:val="00CE0D7D"/>
    <w:rsid w:val="00CE1706"/>
    <w:rsid w:val="00CE21B3"/>
    <w:rsid w:val="00CE2CDD"/>
    <w:rsid w:val="00CE2D3A"/>
    <w:rsid w:val="00CE2E9C"/>
    <w:rsid w:val="00CE3857"/>
    <w:rsid w:val="00CE3ED0"/>
    <w:rsid w:val="00CE43CD"/>
    <w:rsid w:val="00CE466F"/>
    <w:rsid w:val="00CE4E3D"/>
    <w:rsid w:val="00CE4EEE"/>
    <w:rsid w:val="00CE50C6"/>
    <w:rsid w:val="00CE53DF"/>
    <w:rsid w:val="00CE54C2"/>
    <w:rsid w:val="00CE57C7"/>
    <w:rsid w:val="00CE5AA1"/>
    <w:rsid w:val="00CE5C1E"/>
    <w:rsid w:val="00CE68DD"/>
    <w:rsid w:val="00CE6A22"/>
    <w:rsid w:val="00CE7C18"/>
    <w:rsid w:val="00CF0864"/>
    <w:rsid w:val="00CF123F"/>
    <w:rsid w:val="00CF13D0"/>
    <w:rsid w:val="00CF197C"/>
    <w:rsid w:val="00CF197F"/>
    <w:rsid w:val="00CF1D8C"/>
    <w:rsid w:val="00CF2485"/>
    <w:rsid w:val="00CF2C9B"/>
    <w:rsid w:val="00CF2D1C"/>
    <w:rsid w:val="00CF30D2"/>
    <w:rsid w:val="00CF3B22"/>
    <w:rsid w:val="00CF44EE"/>
    <w:rsid w:val="00CF44FC"/>
    <w:rsid w:val="00CF4CE8"/>
    <w:rsid w:val="00CF54B5"/>
    <w:rsid w:val="00CF54EC"/>
    <w:rsid w:val="00CF5916"/>
    <w:rsid w:val="00CF628C"/>
    <w:rsid w:val="00CF632B"/>
    <w:rsid w:val="00CF6442"/>
    <w:rsid w:val="00CF78D6"/>
    <w:rsid w:val="00D01242"/>
    <w:rsid w:val="00D0153C"/>
    <w:rsid w:val="00D01772"/>
    <w:rsid w:val="00D02641"/>
    <w:rsid w:val="00D02E73"/>
    <w:rsid w:val="00D02E76"/>
    <w:rsid w:val="00D03196"/>
    <w:rsid w:val="00D03401"/>
    <w:rsid w:val="00D03645"/>
    <w:rsid w:val="00D0409D"/>
    <w:rsid w:val="00D040AD"/>
    <w:rsid w:val="00D047E2"/>
    <w:rsid w:val="00D0481B"/>
    <w:rsid w:val="00D05081"/>
    <w:rsid w:val="00D052ED"/>
    <w:rsid w:val="00D0533D"/>
    <w:rsid w:val="00D05683"/>
    <w:rsid w:val="00D057D7"/>
    <w:rsid w:val="00D05B66"/>
    <w:rsid w:val="00D05F36"/>
    <w:rsid w:val="00D06272"/>
    <w:rsid w:val="00D065B6"/>
    <w:rsid w:val="00D065B7"/>
    <w:rsid w:val="00D065D8"/>
    <w:rsid w:val="00D065FC"/>
    <w:rsid w:val="00D06835"/>
    <w:rsid w:val="00D06C38"/>
    <w:rsid w:val="00D06CBF"/>
    <w:rsid w:val="00D06CC7"/>
    <w:rsid w:val="00D071B3"/>
    <w:rsid w:val="00D075DC"/>
    <w:rsid w:val="00D07A13"/>
    <w:rsid w:val="00D10218"/>
    <w:rsid w:val="00D10711"/>
    <w:rsid w:val="00D107A0"/>
    <w:rsid w:val="00D10FFC"/>
    <w:rsid w:val="00D113C6"/>
    <w:rsid w:val="00D11DA9"/>
    <w:rsid w:val="00D12716"/>
    <w:rsid w:val="00D12A48"/>
    <w:rsid w:val="00D131DA"/>
    <w:rsid w:val="00D132CC"/>
    <w:rsid w:val="00D13616"/>
    <w:rsid w:val="00D13BAC"/>
    <w:rsid w:val="00D14012"/>
    <w:rsid w:val="00D14014"/>
    <w:rsid w:val="00D14CB5"/>
    <w:rsid w:val="00D14CD0"/>
    <w:rsid w:val="00D14FF6"/>
    <w:rsid w:val="00D156BC"/>
    <w:rsid w:val="00D15731"/>
    <w:rsid w:val="00D158A6"/>
    <w:rsid w:val="00D16327"/>
    <w:rsid w:val="00D1669F"/>
    <w:rsid w:val="00D169E1"/>
    <w:rsid w:val="00D17746"/>
    <w:rsid w:val="00D1788F"/>
    <w:rsid w:val="00D179E0"/>
    <w:rsid w:val="00D17AA8"/>
    <w:rsid w:val="00D17C94"/>
    <w:rsid w:val="00D17CAB"/>
    <w:rsid w:val="00D17D00"/>
    <w:rsid w:val="00D2046A"/>
    <w:rsid w:val="00D20520"/>
    <w:rsid w:val="00D208D6"/>
    <w:rsid w:val="00D22064"/>
    <w:rsid w:val="00D2256B"/>
    <w:rsid w:val="00D236C2"/>
    <w:rsid w:val="00D23734"/>
    <w:rsid w:val="00D23ECA"/>
    <w:rsid w:val="00D24346"/>
    <w:rsid w:val="00D24355"/>
    <w:rsid w:val="00D24E60"/>
    <w:rsid w:val="00D251C5"/>
    <w:rsid w:val="00D25298"/>
    <w:rsid w:val="00D25377"/>
    <w:rsid w:val="00D2542C"/>
    <w:rsid w:val="00D2551D"/>
    <w:rsid w:val="00D26185"/>
    <w:rsid w:val="00D26360"/>
    <w:rsid w:val="00D264C6"/>
    <w:rsid w:val="00D27769"/>
    <w:rsid w:val="00D2789E"/>
    <w:rsid w:val="00D30111"/>
    <w:rsid w:val="00D301E7"/>
    <w:rsid w:val="00D30220"/>
    <w:rsid w:val="00D30363"/>
    <w:rsid w:val="00D30559"/>
    <w:rsid w:val="00D30E08"/>
    <w:rsid w:val="00D30FE3"/>
    <w:rsid w:val="00D31DD9"/>
    <w:rsid w:val="00D32099"/>
    <w:rsid w:val="00D325C4"/>
    <w:rsid w:val="00D334FF"/>
    <w:rsid w:val="00D33FAA"/>
    <w:rsid w:val="00D34109"/>
    <w:rsid w:val="00D34768"/>
    <w:rsid w:val="00D347EB"/>
    <w:rsid w:val="00D3486E"/>
    <w:rsid w:val="00D350B8"/>
    <w:rsid w:val="00D355CC"/>
    <w:rsid w:val="00D35D02"/>
    <w:rsid w:val="00D36553"/>
    <w:rsid w:val="00D36DD9"/>
    <w:rsid w:val="00D36E50"/>
    <w:rsid w:val="00D37055"/>
    <w:rsid w:val="00D371AC"/>
    <w:rsid w:val="00D3782B"/>
    <w:rsid w:val="00D37EA8"/>
    <w:rsid w:val="00D40087"/>
    <w:rsid w:val="00D4013F"/>
    <w:rsid w:val="00D41D8A"/>
    <w:rsid w:val="00D4202E"/>
    <w:rsid w:val="00D4220D"/>
    <w:rsid w:val="00D42532"/>
    <w:rsid w:val="00D427CA"/>
    <w:rsid w:val="00D4285A"/>
    <w:rsid w:val="00D4395F"/>
    <w:rsid w:val="00D43EC6"/>
    <w:rsid w:val="00D44859"/>
    <w:rsid w:val="00D4486B"/>
    <w:rsid w:val="00D44C2B"/>
    <w:rsid w:val="00D45331"/>
    <w:rsid w:val="00D453F9"/>
    <w:rsid w:val="00D4540C"/>
    <w:rsid w:val="00D45542"/>
    <w:rsid w:val="00D46EB2"/>
    <w:rsid w:val="00D47025"/>
    <w:rsid w:val="00D47B88"/>
    <w:rsid w:val="00D47DF6"/>
    <w:rsid w:val="00D47FF0"/>
    <w:rsid w:val="00D50749"/>
    <w:rsid w:val="00D50795"/>
    <w:rsid w:val="00D5096A"/>
    <w:rsid w:val="00D50C88"/>
    <w:rsid w:val="00D512DC"/>
    <w:rsid w:val="00D517DD"/>
    <w:rsid w:val="00D51F8E"/>
    <w:rsid w:val="00D5206E"/>
    <w:rsid w:val="00D525A3"/>
    <w:rsid w:val="00D525D5"/>
    <w:rsid w:val="00D52A73"/>
    <w:rsid w:val="00D52E89"/>
    <w:rsid w:val="00D5340E"/>
    <w:rsid w:val="00D53B66"/>
    <w:rsid w:val="00D53C37"/>
    <w:rsid w:val="00D53DB5"/>
    <w:rsid w:val="00D5421C"/>
    <w:rsid w:val="00D54B9D"/>
    <w:rsid w:val="00D54BAC"/>
    <w:rsid w:val="00D54BF9"/>
    <w:rsid w:val="00D55097"/>
    <w:rsid w:val="00D5557D"/>
    <w:rsid w:val="00D557FB"/>
    <w:rsid w:val="00D55D1E"/>
    <w:rsid w:val="00D55D22"/>
    <w:rsid w:val="00D56259"/>
    <w:rsid w:val="00D56BE2"/>
    <w:rsid w:val="00D573C5"/>
    <w:rsid w:val="00D5755C"/>
    <w:rsid w:val="00D57C63"/>
    <w:rsid w:val="00D6074D"/>
    <w:rsid w:val="00D60DF8"/>
    <w:rsid w:val="00D60FFE"/>
    <w:rsid w:val="00D611DC"/>
    <w:rsid w:val="00D61388"/>
    <w:rsid w:val="00D6149F"/>
    <w:rsid w:val="00D616C5"/>
    <w:rsid w:val="00D61A83"/>
    <w:rsid w:val="00D621AA"/>
    <w:rsid w:val="00D62296"/>
    <w:rsid w:val="00D622F7"/>
    <w:rsid w:val="00D62442"/>
    <w:rsid w:val="00D626B0"/>
    <w:rsid w:val="00D62808"/>
    <w:rsid w:val="00D62AA5"/>
    <w:rsid w:val="00D62CC4"/>
    <w:rsid w:val="00D63160"/>
    <w:rsid w:val="00D63F0F"/>
    <w:rsid w:val="00D63FBF"/>
    <w:rsid w:val="00D6463E"/>
    <w:rsid w:val="00D647BA"/>
    <w:rsid w:val="00D64CB2"/>
    <w:rsid w:val="00D64F5B"/>
    <w:rsid w:val="00D65E51"/>
    <w:rsid w:val="00D672F0"/>
    <w:rsid w:val="00D677F5"/>
    <w:rsid w:val="00D6781C"/>
    <w:rsid w:val="00D67C33"/>
    <w:rsid w:val="00D67D40"/>
    <w:rsid w:val="00D67FC0"/>
    <w:rsid w:val="00D701AF"/>
    <w:rsid w:val="00D70381"/>
    <w:rsid w:val="00D714CB"/>
    <w:rsid w:val="00D718EE"/>
    <w:rsid w:val="00D71A02"/>
    <w:rsid w:val="00D71CEE"/>
    <w:rsid w:val="00D71DFF"/>
    <w:rsid w:val="00D71E2A"/>
    <w:rsid w:val="00D7300A"/>
    <w:rsid w:val="00D741A3"/>
    <w:rsid w:val="00D74261"/>
    <w:rsid w:val="00D76066"/>
    <w:rsid w:val="00D7615D"/>
    <w:rsid w:val="00D76636"/>
    <w:rsid w:val="00D76ACC"/>
    <w:rsid w:val="00D771C5"/>
    <w:rsid w:val="00D77AFB"/>
    <w:rsid w:val="00D77D56"/>
    <w:rsid w:val="00D77EF6"/>
    <w:rsid w:val="00D802A6"/>
    <w:rsid w:val="00D80D74"/>
    <w:rsid w:val="00D81BFD"/>
    <w:rsid w:val="00D821DE"/>
    <w:rsid w:val="00D82248"/>
    <w:rsid w:val="00D82462"/>
    <w:rsid w:val="00D82925"/>
    <w:rsid w:val="00D8396F"/>
    <w:rsid w:val="00D83B5C"/>
    <w:rsid w:val="00D83D59"/>
    <w:rsid w:val="00D8468B"/>
    <w:rsid w:val="00D85123"/>
    <w:rsid w:val="00D85742"/>
    <w:rsid w:val="00D85924"/>
    <w:rsid w:val="00D86996"/>
    <w:rsid w:val="00D86A79"/>
    <w:rsid w:val="00D910C9"/>
    <w:rsid w:val="00D91CF8"/>
    <w:rsid w:val="00D92369"/>
    <w:rsid w:val="00D928D1"/>
    <w:rsid w:val="00D939F1"/>
    <w:rsid w:val="00D93B14"/>
    <w:rsid w:val="00D93B72"/>
    <w:rsid w:val="00D94784"/>
    <w:rsid w:val="00D948FB"/>
    <w:rsid w:val="00D95096"/>
    <w:rsid w:val="00D9549F"/>
    <w:rsid w:val="00D957E0"/>
    <w:rsid w:val="00D95F55"/>
    <w:rsid w:val="00D962EA"/>
    <w:rsid w:val="00D9649C"/>
    <w:rsid w:val="00D96526"/>
    <w:rsid w:val="00D968FD"/>
    <w:rsid w:val="00D96E8D"/>
    <w:rsid w:val="00D9704C"/>
    <w:rsid w:val="00D9725C"/>
    <w:rsid w:val="00D975B8"/>
    <w:rsid w:val="00DA03C5"/>
    <w:rsid w:val="00DA05EF"/>
    <w:rsid w:val="00DA074D"/>
    <w:rsid w:val="00DA0FCF"/>
    <w:rsid w:val="00DA12A5"/>
    <w:rsid w:val="00DA1367"/>
    <w:rsid w:val="00DA142B"/>
    <w:rsid w:val="00DA1AF0"/>
    <w:rsid w:val="00DA1C7D"/>
    <w:rsid w:val="00DA2165"/>
    <w:rsid w:val="00DA2522"/>
    <w:rsid w:val="00DA3329"/>
    <w:rsid w:val="00DA3509"/>
    <w:rsid w:val="00DA356E"/>
    <w:rsid w:val="00DA359E"/>
    <w:rsid w:val="00DA4236"/>
    <w:rsid w:val="00DA44F4"/>
    <w:rsid w:val="00DA4630"/>
    <w:rsid w:val="00DA469C"/>
    <w:rsid w:val="00DA5A4A"/>
    <w:rsid w:val="00DA5CBD"/>
    <w:rsid w:val="00DA5F98"/>
    <w:rsid w:val="00DA60AE"/>
    <w:rsid w:val="00DA6775"/>
    <w:rsid w:val="00DA70C2"/>
    <w:rsid w:val="00DA79C5"/>
    <w:rsid w:val="00DB04D3"/>
    <w:rsid w:val="00DB09B0"/>
    <w:rsid w:val="00DB0F61"/>
    <w:rsid w:val="00DB132B"/>
    <w:rsid w:val="00DB147B"/>
    <w:rsid w:val="00DB1805"/>
    <w:rsid w:val="00DB199E"/>
    <w:rsid w:val="00DB209E"/>
    <w:rsid w:val="00DB240D"/>
    <w:rsid w:val="00DB2BD8"/>
    <w:rsid w:val="00DB2BFD"/>
    <w:rsid w:val="00DB34AC"/>
    <w:rsid w:val="00DB3879"/>
    <w:rsid w:val="00DB3B59"/>
    <w:rsid w:val="00DB43FF"/>
    <w:rsid w:val="00DB52E7"/>
    <w:rsid w:val="00DB54B1"/>
    <w:rsid w:val="00DB5E39"/>
    <w:rsid w:val="00DB62E1"/>
    <w:rsid w:val="00DB6E93"/>
    <w:rsid w:val="00DB7111"/>
    <w:rsid w:val="00DB7158"/>
    <w:rsid w:val="00DB748E"/>
    <w:rsid w:val="00DB766F"/>
    <w:rsid w:val="00DC0077"/>
    <w:rsid w:val="00DC048A"/>
    <w:rsid w:val="00DC0607"/>
    <w:rsid w:val="00DC17E5"/>
    <w:rsid w:val="00DC18D3"/>
    <w:rsid w:val="00DC1AAB"/>
    <w:rsid w:val="00DC2335"/>
    <w:rsid w:val="00DC244C"/>
    <w:rsid w:val="00DC27D0"/>
    <w:rsid w:val="00DC282E"/>
    <w:rsid w:val="00DC2F65"/>
    <w:rsid w:val="00DC3790"/>
    <w:rsid w:val="00DC3897"/>
    <w:rsid w:val="00DC3A68"/>
    <w:rsid w:val="00DC3D1A"/>
    <w:rsid w:val="00DC3E46"/>
    <w:rsid w:val="00DC4F0A"/>
    <w:rsid w:val="00DC5084"/>
    <w:rsid w:val="00DC5140"/>
    <w:rsid w:val="00DC51E8"/>
    <w:rsid w:val="00DC5498"/>
    <w:rsid w:val="00DC5933"/>
    <w:rsid w:val="00DC5D89"/>
    <w:rsid w:val="00DC61C7"/>
    <w:rsid w:val="00DC663B"/>
    <w:rsid w:val="00DC6931"/>
    <w:rsid w:val="00DC7463"/>
    <w:rsid w:val="00DC77F7"/>
    <w:rsid w:val="00DD08F8"/>
    <w:rsid w:val="00DD0AFE"/>
    <w:rsid w:val="00DD161A"/>
    <w:rsid w:val="00DD23C0"/>
    <w:rsid w:val="00DD2A59"/>
    <w:rsid w:val="00DD3BA0"/>
    <w:rsid w:val="00DD48BC"/>
    <w:rsid w:val="00DD4C91"/>
    <w:rsid w:val="00DD4FEE"/>
    <w:rsid w:val="00DD50FA"/>
    <w:rsid w:val="00DD627D"/>
    <w:rsid w:val="00DD6392"/>
    <w:rsid w:val="00DD669C"/>
    <w:rsid w:val="00DD6C86"/>
    <w:rsid w:val="00DD6D31"/>
    <w:rsid w:val="00DD6E03"/>
    <w:rsid w:val="00DD7293"/>
    <w:rsid w:val="00DD7AA8"/>
    <w:rsid w:val="00DE0000"/>
    <w:rsid w:val="00DE0721"/>
    <w:rsid w:val="00DE0852"/>
    <w:rsid w:val="00DE0C38"/>
    <w:rsid w:val="00DE23E0"/>
    <w:rsid w:val="00DE26FE"/>
    <w:rsid w:val="00DE3323"/>
    <w:rsid w:val="00DE3372"/>
    <w:rsid w:val="00DE373C"/>
    <w:rsid w:val="00DE3BAA"/>
    <w:rsid w:val="00DE3D8E"/>
    <w:rsid w:val="00DE47BC"/>
    <w:rsid w:val="00DE49AD"/>
    <w:rsid w:val="00DE4A8B"/>
    <w:rsid w:val="00DE4BA4"/>
    <w:rsid w:val="00DE4D57"/>
    <w:rsid w:val="00DE4E24"/>
    <w:rsid w:val="00DE4EB0"/>
    <w:rsid w:val="00DE4F8F"/>
    <w:rsid w:val="00DE51FD"/>
    <w:rsid w:val="00DE5A2E"/>
    <w:rsid w:val="00DE5E35"/>
    <w:rsid w:val="00DE6070"/>
    <w:rsid w:val="00DE6F6D"/>
    <w:rsid w:val="00DE755B"/>
    <w:rsid w:val="00DE7AA8"/>
    <w:rsid w:val="00DE7B23"/>
    <w:rsid w:val="00DE7CC4"/>
    <w:rsid w:val="00DF071D"/>
    <w:rsid w:val="00DF0BD9"/>
    <w:rsid w:val="00DF0F6F"/>
    <w:rsid w:val="00DF185B"/>
    <w:rsid w:val="00DF1AB2"/>
    <w:rsid w:val="00DF2026"/>
    <w:rsid w:val="00DF208D"/>
    <w:rsid w:val="00DF20DE"/>
    <w:rsid w:val="00DF2156"/>
    <w:rsid w:val="00DF2C3A"/>
    <w:rsid w:val="00DF2ED3"/>
    <w:rsid w:val="00DF33C0"/>
    <w:rsid w:val="00DF38C4"/>
    <w:rsid w:val="00DF3A66"/>
    <w:rsid w:val="00DF3B12"/>
    <w:rsid w:val="00DF3EDE"/>
    <w:rsid w:val="00DF4263"/>
    <w:rsid w:val="00DF4920"/>
    <w:rsid w:val="00DF4A82"/>
    <w:rsid w:val="00DF4E44"/>
    <w:rsid w:val="00DF4E7D"/>
    <w:rsid w:val="00DF53CF"/>
    <w:rsid w:val="00DF6096"/>
    <w:rsid w:val="00DF6596"/>
    <w:rsid w:val="00DF6C56"/>
    <w:rsid w:val="00DF6DC6"/>
    <w:rsid w:val="00DF6E2D"/>
    <w:rsid w:val="00DF751E"/>
    <w:rsid w:val="00E008D5"/>
    <w:rsid w:val="00E0105E"/>
    <w:rsid w:val="00E012BE"/>
    <w:rsid w:val="00E01BC5"/>
    <w:rsid w:val="00E01D9B"/>
    <w:rsid w:val="00E023FE"/>
    <w:rsid w:val="00E032A1"/>
    <w:rsid w:val="00E03887"/>
    <w:rsid w:val="00E042F0"/>
    <w:rsid w:val="00E043E5"/>
    <w:rsid w:val="00E045D8"/>
    <w:rsid w:val="00E04EC7"/>
    <w:rsid w:val="00E05782"/>
    <w:rsid w:val="00E05B2B"/>
    <w:rsid w:val="00E0643A"/>
    <w:rsid w:val="00E0696F"/>
    <w:rsid w:val="00E07F7A"/>
    <w:rsid w:val="00E1018B"/>
    <w:rsid w:val="00E109B7"/>
    <w:rsid w:val="00E11EE0"/>
    <w:rsid w:val="00E1279B"/>
    <w:rsid w:val="00E129CF"/>
    <w:rsid w:val="00E131FB"/>
    <w:rsid w:val="00E143D7"/>
    <w:rsid w:val="00E14545"/>
    <w:rsid w:val="00E14B02"/>
    <w:rsid w:val="00E14F4D"/>
    <w:rsid w:val="00E151C0"/>
    <w:rsid w:val="00E1550A"/>
    <w:rsid w:val="00E157A7"/>
    <w:rsid w:val="00E15C5F"/>
    <w:rsid w:val="00E15E32"/>
    <w:rsid w:val="00E1615A"/>
    <w:rsid w:val="00E16694"/>
    <w:rsid w:val="00E1750C"/>
    <w:rsid w:val="00E20242"/>
    <w:rsid w:val="00E20AD8"/>
    <w:rsid w:val="00E20C91"/>
    <w:rsid w:val="00E21454"/>
    <w:rsid w:val="00E22296"/>
    <w:rsid w:val="00E22F36"/>
    <w:rsid w:val="00E22FD6"/>
    <w:rsid w:val="00E23537"/>
    <w:rsid w:val="00E236ED"/>
    <w:rsid w:val="00E23BC7"/>
    <w:rsid w:val="00E24CBC"/>
    <w:rsid w:val="00E24D28"/>
    <w:rsid w:val="00E25367"/>
    <w:rsid w:val="00E255CC"/>
    <w:rsid w:val="00E25834"/>
    <w:rsid w:val="00E258BC"/>
    <w:rsid w:val="00E25938"/>
    <w:rsid w:val="00E259A1"/>
    <w:rsid w:val="00E25A27"/>
    <w:rsid w:val="00E25E18"/>
    <w:rsid w:val="00E260AC"/>
    <w:rsid w:val="00E26150"/>
    <w:rsid w:val="00E26195"/>
    <w:rsid w:val="00E27371"/>
    <w:rsid w:val="00E27F27"/>
    <w:rsid w:val="00E30094"/>
    <w:rsid w:val="00E3086E"/>
    <w:rsid w:val="00E31694"/>
    <w:rsid w:val="00E32009"/>
    <w:rsid w:val="00E3286A"/>
    <w:rsid w:val="00E328D4"/>
    <w:rsid w:val="00E329E5"/>
    <w:rsid w:val="00E32BF4"/>
    <w:rsid w:val="00E334E4"/>
    <w:rsid w:val="00E34063"/>
    <w:rsid w:val="00E34BB0"/>
    <w:rsid w:val="00E34EC7"/>
    <w:rsid w:val="00E34F7A"/>
    <w:rsid w:val="00E35280"/>
    <w:rsid w:val="00E363A4"/>
    <w:rsid w:val="00E36642"/>
    <w:rsid w:val="00E36947"/>
    <w:rsid w:val="00E36A49"/>
    <w:rsid w:val="00E36EA9"/>
    <w:rsid w:val="00E3708A"/>
    <w:rsid w:val="00E37B39"/>
    <w:rsid w:val="00E37FBE"/>
    <w:rsid w:val="00E405E3"/>
    <w:rsid w:val="00E40AFF"/>
    <w:rsid w:val="00E4122C"/>
    <w:rsid w:val="00E41E6C"/>
    <w:rsid w:val="00E42267"/>
    <w:rsid w:val="00E42360"/>
    <w:rsid w:val="00E4247C"/>
    <w:rsid w:val="00E425EE"/>
    <w:rsid w:val="00E42714"/>
    <w:rsid w:val="00E4320C"/>
    <w:rsid w:val="00E4351E"/>
    <w:rsid w:val="00E4398E"/>
    <w:rsid w:val="00E43BE5"/>
    <w:rsid w:val="00E44280"/>
    <w:rsid w:val="00E44472"/>
    <w:rsid w:val="00E4487B"/>
    <w:rsid w:val="00E44E2F"/>
    <w:rsid w:val="00E457D3"/>
    <w:rsid w:val="00E45AFE"/>
    <w:rsid w:val="00E45D0A"/>
    <w:rsid w:val="00E45F6D"/>
    <w:rsid w:val="00E4654C"/>
    <w:rsid w:val="00E47451"/>
    <w:rsid w:val="00E477D7"/>
    <w:rsid w:val="00E477FA"/>
    <w:rsid w:val="00E47883"/>
    <w:rsid w:val="00E47BD5"/>
    <w:rsid w:val="00E47DD1"/>
    <w:rsid w:val="00E50349"/>
    <w:rsid w:val="00E50829"/>
    <w:rsid w:val="00E508BA"/>
    <w:rsid w:val="00E514CF"/>
    <w:rsid w:val="00E5157C"/>
    <w:rsid w:val="00E5177E"/>
    <w:rsid w:val="00E51AD9"/>
    <w:rsid w:val="00E52956"/>
    <w:rsid w:val="00E5390B"/>
    <w:rsid w:val="00E54397"/>
    <w:rsid w:val="00E54820"/>
    <w:rsid w:val="00E54A10"/>
    <w:rsid w:val="00E54A37"/>
    <w:rsid w:val="00E54D80"/>
    <w:rsid w:val="00E55091"/>
    <w:rsid w:val="00E554FB"/>
    <w:rsid w:val="00E55C2F"/>
    <w:rsid w:val="00E5606D"/>
    <w:rsid w:val="00E561B0"/>
    <w:rsid w:val="00E56DDA"/>
    <w:rsid w:val="00E56FC6"/>
    <w:rsid w:val="00E57049"/>
    <w:rsid w:val="00E5708B"/>
    <w:rsid w:val="00E57490"/>
    <w:rsid w:val="00E57EC9"/>
    <w:rsid w:val="00E57F44"/>
    <w:rsid w:val="00E608E3"/>
    <w:rsid w:val="00E609F3"/>
    <w:rsid w:val="00E60CA5"/>
    <w:rsid w:val="00E60F23"/>
    <w:rsid w:val="00E616A2"/>
    <w:rsid w:val="00E619AB"/>
    <w:rsid w:val="00E61B00"/>
    <w:rsid w:val="00E61D44"/>
    <w:rsid w:val="00E61DB2"/>
    <w:rsid w:val="00E63556"/>
    <w:rsid w:val="00E63AB8"/>
    <w:rsid w:val="00E63FDD"/>
    <w:rsid w:val="00E641E6"/>
    <w:rsid w:val="00E64202"/>
    <w:rsid w:val="00E6443D"/>
    <w:rsid w:val="00E653CF"/>
    <w:rsid w:val="00E65634"/>
    <w:rsid w:val="00E662B7"/>
    <w:rsid w:val="00E66657"/>
    <w:rsid w:val="00E668C6"/>
    <w:rsid w:val="00E67C1B"/>
    <w:rsid w:val="00E67C7B"/>
    <w:rsid w:val="00E7003E"/>
    <w:rsid w:val="00E701AB"/>
    <w:rsid w:val="00E71495"/>
    <w:rsid w:val="00E717A5"/>
    <w:rsid w:val="00E71977"/>
    <w:rsid w:val="00E71B5C"/>
    <w:rsid w:val="00E71F10"/>
    <w:rsid w:val="00E728B1"/>
    <w:rsid w:val="00E72C3E"/>
    <w:rsid w:val="00E72D86"/>
    <w:rsid w:val="00E73006"/>
    <w:rsid w:val="00E737B5"/>
    <w:rsid w:val="00E739B1"/>
    <w:rsid w:val="00E73AD8"/>
    <w:rsid w:val="00E73BD3"/>
    <w:rsid w:val="00E74112"/>
    <w:rsid w:val="00E74981"/>
    <w:rsid w:val="00E74E26"/>
    <w:rsid w:val="00E74E4B"/>
    <w:rsid w:val="00E74FAA"/>
    <w:rsid w:val="00E75133"/>
    <w:rsid w:val="00E75B68"/>
    <w:rsid w:val="00E75BA1"/>
    <w:rsid w:val="00E764E5"/>
    <w:rsid w:val="00E766B0"/>
    <w:rsid w:val="00E7689A"/>
    <w:rsid w:val="00E76A42"/>
    <w:rsid w:val="00E76A7A"/>
    <w:rsid w:val="00E76D4A"/>
    <w:rsid w:val="00E77129"/>
    <w:rsid w:val="00E77728"/>
    <w:rsid w:val="00E7797D"/>
    <w:rsid w:val="00E80016"/>
    <w:rsid w:val="00E8020D"/>
    <w:rsid w:val="00E80561"/>
    <w:rsid w:val="00E809AE"/>
    <w:rsid w:val="00E8116F"/>
    <w:rsid w:val="00E81883"/>
    <w:rsid w:val="00E81CE6"/>
    <w:rsid w:val="00E820AA"/>
    <w:rsid w:val="00E823B5"/>
    <w:rsid w:val="00E8258E"/>
    <w:rsid w:val="00E8281A"/>
    <w:rsid w:val="00E8301F"/>
    <w:rsid w:val="00E830EF"/>
    <w:rsid w:val="00E8334F"/>
    <w:rsid w:val="00E84485"/>
    <w:rsid w:val="00E84764"/>
    <w:rsid w:val="00E84DB8"/>
    <w:rsid w:val="00E85125"/>
    <w:rsid w:val="00E8515A"/>
    <w:rsid w:val="00E85BFD"/>
    <w:rsid w:val="00E86B7D"/>
    <w:rsid w:val="00E86BF0"/>
    <w:rsid w:val="00E87347"/>
    <w:rsid w:val="00E87408"/>
    <w:rsid w:val="00E87D62"/>
    <w:rsid w:val="00E90358"/>
    <w:rsid w:val="00E9077D"/>
    <w:rsid w:val="00E90B70"/>
    <w:rsid w:val="00E90D86"/>
    <w:rsid w:val="00E910B1"/>
    <w:rsid w:val="00E916BC"/>
    <w:rsid w:val="00E91BC0"/>
    <w:rsid w:val="00E91C55"/>
    <w:rsid w:val="00E9210A"/>
    <w:rsid w:val="00E9266B"/>
    <w:rsid w:val="00E92A65"/>
    <w:rsid w:val="00E9369A"/>
    <w:rsid w:val="00E93828"/>
    <w:rsid w:val="00E93A60"/>
    <w:rsid w:val="00E93CD4"/>
    <w:rsid w:val="00E94051"/>
    <w:rsid w:val="00E94106"/>
    <w:rsid w:val="00E945D4"/>
    <w:rsid w:val="00E94918"/>
    <w:rsid w:val="00E949F6"/>
    <w:rsid w:val="00E94B5E"/>
    <w:rsid w:val="00E94BD2"/>
    <w:rsid w:val="00E94FEB"/>
    <w:rsid w:val="00E954A5"/>
    <w:rsid w:val="00E95902"/>
    <w:rsid w:val="00E95A65"/>
    <w:rsid w:val="00E95C61"/>
    <w:rsid w:val="00E9629E"/>
    <w:rsid w:val="00E96678"/>
    <w:rsid w:val="00E966AF"/>
    <w:rsid w:val="00E9698B"/>
    <w:rsid w:val="00E96B7E"/>
    <w:rsid w:val="00E97113"/>
    <w:rsid w:val="00E97285"/>
    <w:rsid w:val="00E9793F"/>
    <w:rsid w:val="00E97A3D"/>
    <w:rsid w:val="00E97E65"/>
    <w:rsid w:val="00EA0E26"/>
    <w:rsid w:val="00EA10C3"/>
    <w:rsid w:val="00EA13E3"/>
    <w:rsid w:val="00EA166C"/>
    <w:rsid w:val="00EA199B"/>
    <w:rsid w:val="00EA2C43"/>
    <w:rsid w:val="00EA2E3C"/>
    <w:rsid w:val="00EA2FB3"/>
    <w:rsid w:val="00EA30A5"/>
    <w:rsid w:val="00EA3144"/>
    <w:rsid w:val="00EA355F"/>
    <w:rsid w:val="00EA392E"/>
    <w:rsid w:val="00EA3B91"/>
    <w:rsid w:val="00EA443A"/>
    <w:rsid w:val="00EA4AC9"/>
    <w:rsid w:val="00EA5861"/>
    <w:rsid w:val="00EA596B"/>
    <w:rsid w:val="00EA5AF7"/>
    <w:rsid w:val="00EA60BA"/>
    <w:rsid w:val="00EA70D3"/>
    <w:rsid w:val="00EA7D09"/>
    <w:rsid w:val="00EB062D"/>
    <w:rsid w:val="00EB0FB6"/>
    <w:rsid w:val="00EB11B0"/>
    <w:rsid w:val="00EB11BA"/>
    <w:rsid w:val="00EB23EA"/>
    <w:rsid w:val="00EB2E35"/>
    <w:rsid w:val="00EB337A"/>
    <w:rsid w:val="00EB3959"/>
    <w:rsid w:val="00EB4A88"/>
    <w:rsid w:val="00EB520A"/>
    <w:rsid w:val="00EB5270"/>
    <w:rsid w:val="00EB60F3"/>
    <w:rsid w:val="00EB66B0"/>
    <w:rsid w:val="00EB685D"/>
    <w:rsid w:val="00EB6E11"/>
    <w:rsid w:val="00EB700C"/>
    <w:rsid w:val="00EB74E3"/>
    <w:rsid w:val="00EB75A0"/>
    <w:rsid w:val="00EB762E"/>
    <w:rsid w:val="00EB7887"/>
    <w:rsid w:val="00EB7B81"/>
    <w:rsid w:val="00EB7F74"/>
    <w:rsid w:val="00EC0206"/>
    <w:rsid w:val="00EC0D1E"/>
    <w:rsid w:val="00EC181F"/>
    <w:rsid w:val="00EC1B2D"/>
    <w:rsid w:val="00EC1C24"/>
    <w:rsid w:val="00EC1F85"/>
    <w:rsid w:val="00EC26F4"/>
    <w:rsid w:val="00EC2790"/>
    <w:rsid w:val="00EC3FEB"/>
    <w:rsid w:val="00EC4493"/>
    <w:rsid w:val="00EC4829"/>
    <w:rsid w:val="00EC5328"/>
    <w:rsid w:val="00EC5AD9"/>
    <w:rsid w:val="00EC5C9F"/>
    <w:rsid w:val="00EC6AFF"/>
    <w:rsid w:val="00EC71A4"/>
    <w:rsid w:val="00EC7502"/>
    <w:rsid w:val="00EC77A8"/>
    <w:rsid w:val="00ED00A6"/>
    <w:rsid w:val="00ED0424"/>
    <w:rsid w:val="00ED0541"/>
    <w:rsid w:val="00ED09C5"/>
    <w:rsid w:val="00ED0CA5"/>
    <w:rsid w:val="00ED1BF8"/>
    <w:rsid w:val="00ED1ECC"/>
    <w:rsid w:val="00ED234D"/>
    <w:rsid w:val="00ED27B1"/>
    <w:rsid w:val="00ED2843"/>
    <w:rsid w:val="00ED2EE3"/>
    <w:rsid w:val="00ED356A"/>
    <w:rsid w:val="00ED3606"/>
    <w:rsid w:val="00ED3C2B"/>
    <w:rsid w:val="00ED416A"/>
    <w:rsid w:val="00ED41A5"/>
    <w:rsid w:val="00ED42DD"/>
    <w:rsid w:val="00ED4EB9"/>
    <w:rsid w:val="00ED50CE"/>
    <w:rsid w:val="00ED582B"/>
    <w:rsid w:val="00ED5A65"/>
    <w:rsid w:val="00ED69F9"/>
    <w:rsid w:val="00ED6B0A"/>
    <w:rsid w:val="00ED746D"/>
    <w:rsid w:val="00ED74E3"/>
    <w:rsid w:val="00EE0029"/>
    <w:rsid w:val="00EE0099"/>
    <w:rsid w:val="00EE05A6"/>
    <w:rsid w:val="00EE0FC4"/>
    <w:rsid w:val="00EE124F"/>
    <w:rsid w:val="00EE16A8"/>
    <w:rsid w:val="00EE1C54"/>
    <w:rsid w:val="00EE20FB"/>
    <w:rsid w:val="00EE2476"/>
    <w:rsid w:val="00EE2CC5"/>
    <w:rsid w:val="00EE2D7E"/>
    <w:rsid w:val="00EE3191"/>
    <w:rsid w:val="00EE3247"/>
    <w:rsid w:val="00EE35A4"/>
    <w:rsid w:val="00EE3696"/>
    <w:rsid w:val="00EE3981"/>
    <w:rsid w:val="00EE3E35"/>
    <w:rsid w:val="00EE4001"/>
    <w:rsid w:val="00EE4586"/>
    <w:rsid w:val="00EE46AC"/>
    <w:rsid w:val="00EE563E"/>
    <w:rsid w:val="00EE5A8C"/>
    <w:rsid w:val="00EE6A6E"/>
    <w:rsid w:val="00EE75B2"/>
    <w:rsid w:val="00EE7AFD"/>
    <w:rsid w:val="00EF07C4"/>
    <w:rsid w:val="00EF0897"/>
    <w:rsid w:val="00EF1285"/>
    <w:rsid w:val="00EF1902"/>
    <w:rsid w:val="00EF2442"/>
    <w:rsid w:val="00EF26D7"/>
    <w:rsid w:val="00EF280F"/>
    <w:rsid w:val="00EF30A4"/>
    <w:rsid w:val="00EF3105"/>
    <w:rsid w:val="00EF3932"/>
    <w:rsid w:val="00EF4507"/>
    <w:rsid w:val="00EF5347"/>
    <w:rsid w:val="00EF572F"/>
    <w:rsid w:val="00EF6052"/>
    <w:rsid w:val="00EF61F6"/>
    <w:rsid w:val="00EF6659"/>
    <w:rsid w:val="00EF6772"/>
    <w:rsid w:val="00EF6CA0"/>
    <w:rsid w:val="00EF6D7F"/>
    <w:rsid w:val="00EF73B4"/>
    <w:rsid w:val="00EF75B8"/>
    <w:rsid w:val="00EF7640"/>
    <w:rsid w:val="00EF76DE"/>
    <w:rsid w:val="00EF7A87"/>
    <w:rsid w:val="00EF7F4E"/>
    <w:rsid w:val="00F0024E"/>
    <w:rsid w:val="00F006E3"/>
    <w:rsid w:val="00F00915"/>
    <w:rsid w:val="00F00A61"/>
    <w:rsid w:val="00F01B43"/>
    <w:rsid w:val="00F01F35"/>
    <w:rsid w:val="00F02529"/>
    <w:rsid w:val="00F026EC"/>
    <w:rsid w:val="00F02B1C"/>
    <w:rsid w:val="00F02EC4"/>
    <w:rsid w:val="00F032B7"/>
    <w:rsid w:val="00F03404"/>
    <w:rsid w:val="00F03BA4"/>
    <w:rsid w:val="00F040BF"/>
    <w:rsid w:val="00F041A0"/>
    <w:rsid w:val="00F041D9"/>
    <w:rsid w:val="00F04C69"/>
    <w:rsid w:val="00F04E72"/>
    <w:rsid w:val="00F05402"/>
    <w:rsid w:val="00F061E4"/>
    <w:rsid w:val="00F06224"/>
    <w:rsid w:val="00F065E7"/>
    <w:rsid w:val="00F06DE3"/>
    <w:rsid w:val="00F07473"/>
    <w:rsid w:val="00F10409"/>
    <w:rsid w:val="00F10B0C"/>
    <w:rsid w:val="00F1108D"/>
    <w:rsid w:val="00F11483"/>
    <w:rsid w:val="00F11B75"/>
    <w:rsid w:val="00F11E3D"/>
    <w:rsid w:val="00F11E92"/>
    <w:rsid w:val="00F121BD"/>
    <w:rsid w:val="00F12DB5"/>
    <w:rsid w:val="00F12EC5"/>
    <w:rsid w:val="00F1325B"/>
    <w:rsid w:val="00F1385D"/>
    <w:rsid w:val="00F14491"/>
    <w:rsid w:val="00F148EE"/>
    <w:rsid w:val="00F14AB6"/>
    <w:rsid w:val="00F16604"/>
    <w:rsid w:val="00F16732"/>
    <w:rsid w:val="00F16AC4"/>
    <w:rsid w:val="00F16BBF"/>
    <w:rsid w:val="00F1745F"/>
    <w:rsid w:val="00F179D5"/>
    <w:rsid w:val="00F17E73"/>
    <w:rsid w:val="00F206DD"/>
    <w:rsid w:val="00F206DF"/>
    <w:rsid w:val="00F21022"/>
    <w:rsid w:val="00F216A7"/>
    <w:rsid w:val="00F22224"/>
    <w:rsid w:val="00F22F8C"/>
    <w:rsid w:val="00F2327F"/>
    <w:rsid w:val="00F233A5"/>
    <w:rsid w:val="00F23540"/>
    <w:rsid w:val="00F2396A"/>
    <w:rsid w:val="00F23F2F"/>
    <w:rsid w:val="00F23F9A"/>
    <w:rsid w:val="00F23FB4"/>
    <w:rsid w:val="00F243C6"/>
    <w:rsid w:val="00F24489"/>
    <w:rsid w:val="00F2464A"/>
    <w:rsid w:val="00F24CB2"/>
    <w:rsid w:val="00F24F5C"/>
    <w:rsid w:val="00F253AC"/>
    <w:rsid w:val="00F2696B"/>
    <w:rsid w:val="00F27332"/>
    <w:rsid w:val="00F2745C"/>
    <w:rsid w:val="00F277E4"/>
    <w:rsid w:val="00F27876"/>
    <w:rsid w:val="00F27CD9"/>
    <w:rsid w:val="00F27EB3"/>
    <w:rsid w:val="00F3003E"/>
    <w:rsid w:val="00F30339"/>
    <w:rsid w:val="00F30845"/>
    <w:rsid w:val="00F30C63"/>
    <w:rsid w:val="00F3100B"/>
    <w:rsid w:val="00F31685"/>
    <w:rsid w:val="00F317C2"/>
    <w:rsid w:val="00F317D3"/>
    <w:rsid w:val="00F3184A"/>
    <w:rsid w:val="00F31E10"/>
    <w:rsid w:val="00F320D2"/>
    <w:rsid w:val="00F326D2"/>
    <w:rsid w:val="00F329DB"/>
    <w:rsid w:val="00F32F61"/>
    <w:rsid w:val="00F33095"/>
    <w:rsid w:val="00F331F9"/>
    <w:rsid w:val="00F33276"/>
    <w:rsid w:val="00F3382E"/>
    <w:rsid w:val="00F33D98"/>
    <w:rsid w:val="00F3426D"/>
    <w:rsid w:val="00F3441D"/>
    <w:rsid w:val="00F34593"/>
    <w:rsid w:val="00F34BFB"/>
    <w:rsid w:val="00F35875"/>
    <w:rsid w:val="00F3598D"/>
    <w:rsid w:val="00F3599B"/>
    <w:rsid w:val="00F36000"/>
    <w:rsid w:val="00F36063"/>
    <w:rsid w:val="00F36A6F"/>
    <w:rsid w:val="00F36EC5"/>
    <w:rsid w:val="00F36FE4"/>
    <w:rsid w:val="00F3791E"/>
    <w:rsid w:val="00F37936"/>
    <w:rsid w:val="00F37C6A"/>
    <w:rsid w:val="00F40366"/>
    <w:rsid w:val="00F40DB0"/>
    <w:rsid w:val="00F414F7"/>
    <w:rsid w:val="00F4151B"/>
    <w:rsid w:val="00F41BAF"/>
    <w:rsid w:val="00F420E2"/>
    <w:rsid w:val="00F42247"/>
    <w:rsid w:val="00F42DC1"/>
    <w:rsid w:val="00F43714"/>
    <w:rsid w:val="00F45247"/>
    <w:rsid w:val="00F455D7"/>
    <w:rsid w:val="00F45F41"/>
    <w:rsid w:val="00F45F9A"/>
    <w:rsid w:val="00F46B45"/>
    <w:rsid w:val="00F47505"/>
    <w:rsid w:val="00F47681"/>
    <w:rsid w:val="00F479CC"/>
    <w:rsid w:val="00F47BC5"/>
    <w:rsid w:val="00F50653"/>
    <w:rsid w:val="00F507E2"/>
    <w:rsid w:val="00F50B0B"/>
    <w:rsid w:val="00F50F18"/>
    <w:rsid w:val="00F515BD"/>
    <w:rsid w:val="00F51F95"/>
    <w:rsid w:val="00F52038"/>
    <w:rsid w:val="00F52193"/>
    <w:rsid w:val="00F525E5"/>
    <w:rsid w:val="00F53223"/>
    <w:rsid w:val="00F5342E"/>
    <w:rsid w:val="00F53712"/>
    <w:rsid w:val="00F53895"/>
    <w:rsid w:val="00F53CFD"/>
    <w:rsid w:val="00F53F0A"/>
    <w:rsid w:val="00F5428A"/>
    <w:rsid w:val="00F54A0B"/>
    <w:rsid w:val="00F5510B"/>
    <w:rsid w:val="00F5527E"/>
    <w:rsid w:val="00F5548F"/>
    <w:rsid w:val="00F5576E"/>
    <w:rsid w:val="00F55B27"/>
    <w:rsid w:val="00F55C4F"/>
    <w:rsid w:val="00F55E28"/>
    <w:rsid w:val="00F56971"/>
    <w:rsid w:val="00F56BD5"/>
    <w:rsid w:val="00F56FE7"/>
    <w:rsid w:val="00F570D1"/>
    <w:rsid w:val="00F57774"/>
    <w:rsid w:val="00F57A60"/>
    <w:rsid w:val="00F57C5D"/>
    <w:rsid w:val="00F600CF"/>
    <w:rsid w:val="00F60652"/>
    <w:rsid w:val="00F60687"/>
    <w:rsid w:val="00F60D06"/>
    <w:rsid w:val="00F60DD2"/>
    <w:rsid w:val="00F6191E"/>
    <w:rsid w:val="00F61B60"/>
    <w:rsid w:val="00F61EFE"/>
    <w:rsid w:val="00F626F5"/>
    <w:rsid w:val="00F62E13"/>
    <w:rsid w:val="00F635C1"/>
    <w:rsid w:val="00F63AB3"/>
    <w:rsid w:val="00F63C17"/>
    <w:rsid w:val="00F64C16"/>
    <w:rsid w:val="00F64D4F"/>
    <w:rsid w:val="00F65899"/>
    <w:rsid w:val="00F65A8F"/>
    <w:rsid w:val="00F65CD8"/>
    <w:rsid w:val="00F6608F"/>
    <w:rsid w:val="00F66D78"/>
    <w:rsid w:val="00F671B4"/>
    <w:rsid w:val="00F67229"/>
    <w:rsid w:val="00F67365"/>
    <w:rsid w:val="00F677A8"/>
    <w:rsid w:val="00F70D94"/>
    <w:rsid w:val="00F70DC9"/>
    <w:rsid w:val="00F714F5"/>
    <w:rsid w:val="00F71ADD"/>
    <w:rsid w:val="00F726BB"/>
    <w:rsid w:val="00F72F44"/>
    <w:rsid w:val="00F730B4"/>
    <w:rsid w:val="00F73AB9"/>
    <w:rsid w:val="00F746E9"/>
    <w:rsid w:val="00F748F8"/>
    <w:rsid w:val="00F74971"/>
    <w:rsid w:val="00F7554A"/>
    <w:rsid w:val="00F757DB"/>
    <w:rsid w:val="00F75839"/>
    <w:rsid w:val="00F75A88"/>
    <w:rsid w:val="00F75FAF"/>
    <w:rsid w:val="00F76264"/>
    <w:rsid w:val="00F76B74"/>
    <w:rsid w:val="00F76C64"/>
    <w:rsid w:val="00F7712C"/>
    <w:rsid w:val="00F77BA0"/>
    <w:rsid w:val="00F80DD9"/>
    <w:rsid w:val="00F80E7F"/>
    <w:rsid w:val="00F81AC4"/>
    <w:rsid w:val="00F82C91"/>
    <w:rsid w:val="00F83288"/>
    <w:rsid w:val="00F83340"/>
    <w:rsid w:val="00F837C7"/>
    <w:rsid w:val="00F83975"/>
    <w:rsid w:val="00F8419E"/>
    <w:rsid w:val="00F84231"/>
    <w:rsid w:val="00F8496D"/>
    <w:rsid w:val="00F84C1A"/>
    <w:rsid w:val="00F8527B"/>
    <w:rsid w:val="00F8564E"/>
    <w:rsid w:val="00F85B39"/>
    <w:rsid w:val="00F8613B"/>
    <w:rsid w:val="00F86349"/>
    <w:rsid w:val="00F86648"/>
    <w:rsid w:val="00F86D8E"/>
    <w:rsid w:val="00F86F96"/>
    <w:rsid w:val="00F87499"/>
    <w:rsid w:val="00F87B7E"/>
    <w:rsid w:val="00F87E16"/>
    <w:rsid w:val="00F87FB4"/>
    <w:rsid w:val="00F91D28"/>
    <w:rsid w:val="00F91FCB"/>
    <w:rsid w:val="00F92227"/>
    <w:rsid w:val="00F929DE"/>
    <w:rsid w:val="00F92DA8"/>
    <w:rsid w:val="00F930EF"/>
    <w:rsid w:val="00F93238"/>
    <w:rsid w:val="00F93392"/>
    <w:rsid w:val="00F93423"/>
    <w:rsid w:val="00F94456"/>
    <w:rsid w:val="00F945A0"/>
    <w:rsid w:val="00F94DA3"/>
    <w:rsid w:val="00F955F2"/>
    <w:rsid w:val="00F957F9"/>
    <w:rsid w:val="00F95A3D"/>
    <w:rsid w:val="00F96D7E"/>
    <w:rsid w:val="00F96D87"/>
    <w:rsid w:val="00F97569"/>
    <w:rsid w:val="00F9758B"/>
    <w:rsid w:val="00F97BF4"/>
    <w:rsid w:val="00FA00F0"/>
    <w:rsid w:val="00FA091E"/>
    <w:rsid w:val="00FA102E"/>
    <w:rsid w:val="00FA1169"/>
    <w:rsid w:val="00FA12B0"/>
    <w:rsid w:val="00FA1471"/>
    <w:rsid w:val="00FA1653"/>
    <w:rsid w:val="00FA2562"/>
    <w:rsid w:val="00FA2A90"/>
    <w:rsid w:val="00FA3533"/>
    <w:rsid w:val="00FA3E20"/>
    <w:rsid w:val="00FA49B8"/>
    <w:rsid w:val="00FA5255"/>
    <w:rsid w:val="00FA55A2"/>
    <w:rsid w:val="00FA60D1"/>
    <w:rsid w:val="00FA6465"/>
    <w:rsid w:val="00FA6CB0"/>
    <w:rsid w:val="00FA6EC7"/>
    <w:rsid w:val="00FA712D"/>
    <w:rsid w:val="00FA71AB"/>
    <w:rsid w:val="00FA740B"/>
    <w:rsid w:val="00FA7484"/>
    <w:rsid w:val="00FA759F"/>
    <w:rsid w:val="00FA784C"/>
    <w:rsid w:val="00FA7D39"/>
    <w:rsid w:val="00FA7DE9"/>
    <w:rsid w:val="00FA7EE5"/>
    <w:rsid w:val="00FB0B69"/>
    <w:rsid w:val="00FB0C2C"/>
    <w:rsid w:val="00FB113B"/>
    <w:rsid w:val="00FB1CAE"/>
    <w:rsid w:val="00FB1F36"/>
    <w:rsid w:val="00FB25CC"/>
    <w:rsid w:val="00FB4116"/>
    <w:rsid w:val="00FB4512"/>
    <w:rsid w:val="00FB4831"/>
    <w:rsid w:val="00FB48E2"/>
    <w:rsid w:val="00FB5BF6"/>
    <w:rsid w:val="00FB6232"/>
    <w:rsid w:val="00FB62AE"/>
    <w:rsid w:val="00FB62BA"/>
    <w:rsid w:val="00FB680C"/>
    <w:rsid w:val="00FB690F"/>
    <w:rsid w:val="00FB6B92"/>
    <w:rsid w:val="00FB7EBA"/>
    <w:rsid w:val="00FC0179"/>
    <w:rsid w:val="00FC055E"/>
    <w:rsid w:val="00FC0D09"/>
    <w:rsid w:val="00FC0D8F"/>
    <w:rsid w:val="00FC0E23"/>
    <w:rsid w:val="00FC1732"/>
    <w:rsid w:val="00FC1936"/>
    <w:rsid w:val="00FC1985"/>
    <w:rsid w:val="00FC1A28"/>
    <w:rsid w:val="00FC1AC0"/>
    <w:rsid w:val="00FC2294"/>
    <w:rsid w:val="00FC340B"/>
    <w:rsid w:val="00FC38EF"/>
    <w:rsid w:val="00FC3D70"/>
    <w:rsid w:val="00FC44C7"/>
    <w:rsid w:val="00FC4C6A"/>
    <w:rsid w:val="00FC4DB5"/>
    <w:rsid w:val="00FC57FC"/>
    <w:rsid w:val="00FC58FF"/>
    <w:rsid w:val="00FC61CB"/>
    <w:rsid w:val="00FC6553"/>
    <w:rsid w:val="00FC6B6C"/>
    <w:rsid w:val="00FC71B6"/>
    <w:rsid w:val="00FC7325"/>
    <w:rsid w:val="00FC739A"/>
    <w:rsid w:val="00FC78B6"/>
    <w:rsid w:val="00FC7ADF"/>
    <w:rsid w:val="00FD01EE"/>
    <w:rsid w:val="00FD0488"/>
    <w:rsid w:val="00FD0CA3"/>
    <w:rsid w:val="00FD0CCF"/>
    <w:rsid w:val="00FD0FD3"/>
    <w:rsid w:val="00FD142A"/>
    <w:rsid w:val="00FD14BE"/>
    <w:rsid w:val="00FD1824"/>
    <w:rsid w:val="00FD1873"/>
    <w:rsid w:val="00FD1900"/>
    <w:rsid w:val="00FD1D24"/>
    <w:rsid w:val="00FD2125"/>
    <w:rsid w:val="00FD2F46"/>
    <w:rsid w:val="00FD318A"/>
    <w:rsid w:val="00FD39CC"/>
    <w:rsid w:val="00FD3BA9"/>
    <w:rsid w:val="00FD3CB6"/>
    <w:rsid w:val="00FD3D77"/>
    <w:rsid w:val="00FD3F22"/>
    <w:rsid w:val="00FD4901"/>
    <w:rsid w:val="00FD4BA1"/>
    <w:rsid w:val="00FD5632"/>
    <w:rsid w:val="00FD5A5C"/>
    <w:rsid w:val="00FD6514"/>
    <w:rsid w:val="00FD6E11"/>
    <w:rsid w:val="00FD7EDF"/>
    <w:rsid w:val="00FE02A7"/>
    <w:rsid w:val="00FE0459"/>
    <w:rsid w:val="00FE0500"/>
    <w:rsid w:val="00FE0FE1"/>
    <w:rsid w:val="00FE1512"/>
    <w:rsid w:val="00FE1523"/>
    <w:rsid w:val="00FE18AA"/>
    <w:rsid w:val="00FE22E9"/>
    <w:rsid w:val="00FE2623"/>
    <w:rsid w:val="00FE2B77"/>
    <w:rsid w:val="00FE314D"/>
    <w:rsid w:val="00FE334A"/>
    <w:rsid w:val="00FE3395"/>
    <w:rsid w:val="00FE33BD"/>
    <w:rsid w:val="00FE3947"/>
    <w:rsid w:val="00FE3A04"/>
    <w:rsid w:val="00FE3BB8"/>
    <w:rsid w:val="00FE4280"/>
    <w:rsid w:val="00FE4754"/>
    <w:rsid w:val="00FE4A00"/>
    <w:rsid w:val="00FE4FE9"/>
    <w:rsid w:val="00FE5043"/>
    <w:rsid w:val="00FE5A78"/>
    <w:rsid w:val="00FE5ACB"/>
    <w:rsid w:val="00FE62AD"/>
    <w:rsid w:val="00FE6F81"/>
    <w:rsid w:val="00FE7497"/>
    <w:rsid w:val="00FE7539"/>
    <w:rsid w:val="00FE77A2"/>
    <w:rsid w:val="00FF08BF"/>
    <w:rsid w:val="00FF0C3D"/>
    <w:rsid w:val="00FF146D"/>
    <w:rsid w:val="00FF1620"/>
    <w:rsid w:val="00FF197B"/>
    <w:rsid w:val="00FF19C5"/>
    <w:rsid w:val="00FF1A7E"/>
    <w:rsid w:val="00FF20DE"/>
    <w:rsid w:val="00FF22FF"/>
    <w:rsid w:val="00FF27EA"/>
    <w:rsid w:val="00FF297D"/>
    <w:rsid w:val="00FF3025"/>
    <w:rsid w:val="00FF34C0"/>
    <w:rsid w:val="00FF379F"/>
    <w:rsid w:val="00FF3B87"/>
    <w:rsid w:val="00FF3BA6"/>
    <w:rsid w:val="00FF4456"/>
    <w:rsid w:val="00FF4684"/>
    <w:rsid w:val="00FF4BF5"/>
    <w:rsid w:val="00FF4C01"/>
    <w:rsid w:val="00FF4D1E"/>
    <w:rsid w:val="00FF5120"/>
    <w:rsid w:val="00FF52E2"/>
    <w:rsid w:val="00FF5367"/>
    <w:rsid w:val="00FF53CC"/>
    <w:rsid w:val="00FF5B46"/>
    <w:rsid w:val="00FF5EF3"/>
    <w:rsid w:val="00FF633C"/>
    <w:rsid w:val="00FF6B34"/>
    <w:rsid w:val="00FF6DEC"/>
    <w:rsid w:val="00FF6FCE"/>
    <w:rsid w:val="00FF72F6"/>
    <w:rsid w:val="00FF7305"/>
    <w:rsid w:val="00FF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F454BF"/>
  <w15:docId w15:val="{CDA6507C-585E-384F-8736-BD9F76B3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C81"/>
    <w:pPr>
      <w:spacing w:after="200" w:line="276" w:lineRule="auto"/>
    </w:pPr>
    <w:rPr>
      <w:rFonts w:ascii="Times New Roman" w:hAnsi="Times New Roman"/>
    </w:rPr>
  </w:style>
  <w:style w:type="paragraph" w:styleId="Heading1">
    <w:name w:val="heading 1"/>
    <w:basedOn w:val="Normal"/>
    <w:next w:val="Normal"/>
    <w:link w:val="Heading1Char"/>
    <w:uiPriority w:val="1"/>
    <w:qFormat/>
    <w:rsid w:val="00525B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1E6C81"/>
    <w:pPr>
      <w:keepNext/>
      <w:keepLines/>
      <w:spacing w:after="240"/>
      <w:outlineLvl w:val="1"/>
    </w:pPr>
    <w:rPr>
      <w:rFonts w:eastAsiaTheme="majorEastAsia" w:cstheme="majorBidi"/>
      <w:b/>
      <w:bCs/>
      <w:sz w:val="24"/>
      <w:szCs w:val="26"/>
      <w:lang w:val="en-US"/>
    </w:rPr>
  </w:style>
  <w:style w:type="paragraph" w:styleId="Heading3">
    <w:name w:val="heading 3"/>
    <w:basedOn w:val="Normal"/>
    <w:next w:val="Normal"/>
    <w:link w:val="Heading3Char"/>
    <w:uiPriority w:val="9"/>
    <w:unhideWhenUsed/>
    <w:qFormat/>
    <w:rsid w:val="00525B12"/>
    <w:pPr>
      <w:keepNext/>
      <w:keepLines/>
      <w:numPr>
        <w:ilvl w:val="1"/>
        <w:numId w:val="9"/>
      </w:numPr>
      <w:spacing w:before="120" w:after="120" w:line="36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525B12"/>
    <w:pPr>
      <w:keepNext/>
      <w:keepLines/>
      <w:spacing w:before="120" w:after="120" w:line="360" w:lineRule="auto"/>
      <w:outlineLvl w:val="3"/>
    </w:pPr>
    <w:rPr>
      <w:rFonts w:eastAsiaTheme="majorEastAsia" w:cs="Arial"/>
      <w:b/>
      <w:bCs/>
      <w:iCs/>
      <w:szCs w:val="24"/>
    </w:rPr>
  </w:style>
  <w:style w:type="paragraph" w:styleId="Heading5">
    <w:name w:val="heading 5"/>
    <w:basedOn w:val="Normal"/>
    <w:next w:val="Normal"/>
    <w:link w:val="Heading5Char"/>
    <w:uiPriority w:val="9"/>
    <w:unhideWhenUsed/>
    <w:qFormat/>
    <w:rsid w:val="00525B12"/>
    <w:pPr>
      <w:keepNext/>
      <w:keepLines/>
      <w:spacing w:before="200" w:line="240" w:lineRule="auto"/>
      <w:outlineLvl w:val="4"/>
    </w:pPr>
    <w:rPr>
      <w:rFonts w:asciiTheme="majorHAnsi" w:eastAsiaTheme="majorEastAsia" w:hAnsiTheme="majorHAnsi" w:cstheme="majorBidi"/>
      <w:b/>
      <w:color w:val="1F4D78" w:themeColor="accent1" w:themeShade="7F"/>
      <w:szCs w:val="24"/>
      <w:lang w:val="en-US"/>
    </w:rPr>
  </w:style>
  <w:style w:type="paragraph" w:styleId="Heading6">
    <w:name w:val="heading 6"/>
    <w:basedOn w:val="Normal"/>
    <w:next w:val="Normal"/>
    <w:link w:val="Heading6Char"/>
    <w:uiPriority w:val="9"/>
    <w:unhideWhenUsed/>
    <w:qFormat/>
    <w:rsid w:val="00525B12"/>
    <w:pPr>
      <w:keepNext/>
      <w:keepLines/>
      <w:spacing w:before="200" w:after="0" w:line="240" w:lineRule="auto"/>
      <w:outlineLvl w:val="5"/>
    </w:pPr>
    <w:rPr>
      <w:rFonts w:asciiTheme="majorHAnsi" w:eastAsiaTheme="majorEastAsia" w:hAnsiTheme="majorHAnsi" w:cstheme="majorBidi"/>
      <w:i/>
      <w:iCs/>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5B12"/>
    <w:rPr>
      <w:rFonts w:asciiTheme="majorHAnsi" w:eastAsiaTheme="majorEastAsia" w:hAnsiTheme="majorHAnsi" w:cstheme="majorBidi"/>
      <w:b/>
      <w:bCs/>
      <w:noProof/>
      <w:color w:val="2E74B5" w:themeColor="accent1" w:themeShade="BF"/>
      <w:sz w:val="28"/>
      <w:szCs w:val="28"/>
    </w:rPr>
  </w:style>
  <w:style w:type="character" w:customStyle="1" w:styleId="Heading2Char">
    <w:name w:val="Heading 2 Char"/>
    <w:basedOn w:val="DefaultParagraphFont"/>
    <w:link w:val="Heading2"/>
    <w:uiPriority w:val="1"/>
    <w:rsid w:val="001E6C81"/>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525B12"/>
    <w:rPr>
      <w:rFonts w:ascii="Cambria" w:eastAsiaTheme="majorEastAsia" w:hAnsi="Cambria" w:cs="Arial"/>
      <w:b/>
      <w:bCs/>
      <w:noProof/>
      <w:sz w:val="24"/>
    </w:rPr>
  </w:style>
  <w:style w:type="character" w:customStyle="1" w:styleId="Heading4Char">
    <w:name w:val="Heading 4 Char"/>
    <w:basedOn w:val="DefaultParagraphFont"/>
    <w:link w:val="Heading4"/>
    <w:uiPriority w:val="9"/>
    <w:rsid w:val="00525B12"/>
    <w:rPr>
      <w:rFonts w:ascii="Cambria" w:eastAsiaTheme="majorEastAsia" w:hAnsi="Cambria" w:cs="Arial"/>
      <w:b/>
      <w:bCs/>
      <w:iCs/>
      <w:noProof/>
      <w:sz w:val="24"/>
      <w:szCs w:val="24"/>
    </w:rPr>
  </w:style>
  <w:style w:type="character" w:customStyle="1" w:styleId="Heading5Char">
    <w:name w:val="Heading 5 Char"/>
    <w:basedOn w:val="DefaultParagraphFont"/>
    <w:link w:val="Heading5"/>
    <w:uiPriority w:val="9"/>
    <w:rsid w:val="00525B12"/>
    <w:rPr>
      <w:rFonts w:asciiTheme="majorHAnsi" w:eastAsiaTheme="majorEastAsia" w:hAnsiTheme="majorHAnsi" w:cstheme="majorBidi"/>
      <w:b/>
      <w:noProof/>
      <w:color w:val="1F4D78" w:themeColor="accent1" w:themeShade="7F"/>
      <w:sz w:val="24"/>
      <w:szCs w:val="24"/>
      <w:lang w:val="en-US"/>
    </w:rPr>
  </w:style>
  <w:style w:type="character" w:customStyle="1" w:styleId="Heading6Char">
    <w:name w:val="Heading 6 Char"/>
    <w:basedOn w:val="DefaultParagraphFont"/>
    <w:link w:val="Heading6"/>
    <w:uiPriority w:val="9"/>
    <w:rsid w:val="00525B12"/>
    <w:rPr>
      <w:rFonts w:asciiTheme="majorHAnsi" w:eastAsiaTheme="majorEastAsia" w:hAnsiTheme="majorHAnsi" w:cstheme="majorBidi"/>
      <w:i/>
      <w:iCs/>
      <w:noProof/>
      <w:color w:val="1F4D78" w:themeColor="accent1" w:themeShade="7F"/>
      <w:sz w:val="24"/>
      <w:szCs w:val="24"/>
      <w:lang w:val="en-US"/>
    </w:rPr>
  </w:style>
  <w:style w:type="paragraph" w:styleId="BalloonText">
    <w:name w:val="Balloon Text"/>
    <w:basedOn w:val="Normal"/>
    <w:link w:val="BalloonTextChar"/>
    <w:uiPriority w:val="99"/>
    <w:semiHidden/>
    <w:unhideWhenUsed/>
    <w:rsid w:val="005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12"/>
    <w:rPr>
      <w:rFonts w:ascii="Tahoma" w:hAnsi="Tahoma" w:cs="Tahoma"/>
      <w:noProof/>
      <w:sz w:val="16"/>
      <w:szCs w:val="16"/>
    </w:rPr>
  </w:style>
  <w:style w:type="table" w:styleId="TableGrid">
    <w:name w:val="Table Grid"/>
    <w:basedOn w:val="TableNormal"/>
    <w:uiPriority w:val="59"/>
    <w:rsid w:val="00525B12"/>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B12"/>
    <w:pPr>
      <w:ind w:left="720"/>
      <w:contextualSpacing/>
    </w:pPr>
  </w:style>
  <w:style w:type="paragraph" w:customStyle="1" w:styleId="Bulletlisting">
    <w:name w:val="Bullet (listing)"/>
    <w:basedOn w:val="Normal"/>
    <w:uiPriority w:val="99"/>
    <w:rsid w:val="00525B12"/>
    <w:pPr>
      <w:numPr>
        <w:numId w:val="1"/>
      </w:numPr>
      <w:spacing w:before="120" w:after="0" w:line="274" w:lineRule="auto"/>
    </w:pPr>
    <w:rPr>
      <w:rFonts w:ascii="Arial" w:eastAsia="Times New Roman" w:hAnsi="Arial" w:cs="Times New Roman"/>
      <w:szCs w:val="24"/>
      <w:lang w:val="en-US"/>
    </w:rPr>
  </w:style>
  <w:style w:type="paragraph" w:styleId="TOC2">
    <w:name w:val="toc 2"/>
    <w:basedOn w:val="Normal"/>
    <w:next w:val="Normal"/>
    <w:autoRedefine/>
    <w:uiPriority w:val="39"/>
    <w:unhideWhenUsed/>
    <w:rsid w:val="00525B12"/>
    <w:pPr>
      <w:spacing w:after="100"/>
      <w:ind w:left="240"/>
    </w:pPr>
  </w:style>
  <w:style w:type="paragraph" w:styleId="TOC1">
    <w:name w:val="toc 1"/>
    <w:basedOn w:val="Normal"/>
    <w:next w:val="Normal"/>
    <w:autoRedefine/>
    <w:uiPriority w:val="39"/>
    <w:unhideWhenUsed/>
    <w:rsid w:val="00525B12"/>
    <w:pPr>
      <w:spacing w:after="100"/>
    </w:pPr>
  </w:style>
  <w:style w:type="character" w:styleId="Hyperlink">
    <w:name w:val="Hyperlink"/>
    <w:basedOn w:val="DefaultParagraphFont"/>
    <w:uiPriority w:val="99"/>
    <w:unhideWhenUsed/>
    <w:rsid w:val="00525B12"/>
    <w:rPr>
      <w:color w:val="0563C1" w:themeColor="hyperlink"/>
      <w:u w:val="single"/>
    </w:rPr>
  </w:style>
  <w:style w:type="paragraph" w:styleId="TOC3">
    <w:name w:val="toc 3"/>
    <w:basedOn w:val="Normal"/>
    <w:next w:val="Normal"/>
    <w:autoRedefine/>
    <w:uiPriority w:val="39"/>
    <w:unhideWhenUsed/>
    <w:rsid w:val="00525B12"/>
    <w:pPr>
      <w:spacing w:after="100"/>
      <w:ind w:left="480"/>
    </w:pPr>
  </w:style>
  <w:style w:type="paragraph" w:styleId="Header">
    <w:name w:val="header"/>
    <w:basedOn w:val="Normal"/>
    <w:link w:val="HeaderChar"/>
    <w:uiPriority w:val="99"/>
    <w:unhideWhenUsed/>
    <w:rsid w:val="00525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B12"/>
    <w:rPr>
      <w:rFonts w:ascii="Cambria" w:hAnsi="Cambria"/>
      <w:noProof/>
      <w:sz w:val="24"/>
    </w:rPr>
  </w:style>
  <w:style w:type="paragraph" w:styleId="Footer">
    <w:name w:val="footer"/>
    <w:basedOn w:val="Normal"/>
    <w:link w:val="FooterChar"/>
    <w:uiPriority w:val="99"/>
    <w:unhideWhenUsed/>
    <w:rsid w:val="00525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B12"/>
    <w:rPr>
      <w:rFonts w:ascii="Cambria" w:hAnsi="Cambria"/>
      <w:noProof/>
      <w:sz w:val="24"/>
    </w:rPr>
  </w:style>
  <w:style w:type="paragraph" w:styleId="NormalWeb">
    <w:name w:val="Normal (Web)"/>
    <w:basedOn w:val="Normal"/>
    <w:link w:val="NormalWebChar"/>
    <w:uiPriority w:val="99"/>
    <w:unhideWhenUsed/>
    <w:rsid w:val="00525B12"/>
    <w:pPr>
      <w:spacing w:before="100" w:beforeAutospacing="1" w:after="100" w:afterAutospacing="1" w:line="240" w:lineRule="auto"/>
    </w:pPr>
    <w:rPr>
      <w:rFonts w:eastAsia="Times New Roman" w:cs="Times New Roman"/>
      <w:szCs w:val="24"/>
      <w:lang w:eastAsia="en-GB"/>
    </w:rPr>
  </w:style>
  <w:style w:type="paragraph" w:styleId="TableofFigures">
    <w:name w:val="table of figures"/>
    <w:basedOn w:val="Normal"/>
    <w:next w:val="Normal"/>
    <w:uiPriority w:val="99"/>
    <w:unhideWhenUsed/>
    <w:rsid w:val="00525B12"/>
    <w:pPr>
      <w:spacing w:after="0" w:line="360" w:lineRule="auto"/>
      <w:ind w:left="720" w:hanging="720"/>
    </w:pPr>
  </w:style>
  <w:style w:type="character" w:styleId="CommentReference">
    <w:name w:val="annotation reference"/>
    <w:basedOn w:val="DefaultParagraphFont"/>
    <w:uiPriority w:val="99"/>
    <w:semiHidden/>
    <w:unhideWhenUsed/>
    <w:rsid w:val="00525B12"/>
    <w:rPr>
      <w:sz w:val="18"/>
      <w:szCs w:val="18"/>
    </w:rPr>
  </w:style>
  <w:style w:type="paragraph" w:styleId="CommentText">
    <w:name w:val="annotation text"/>
    <w:basedOn w:val="Normal"/>
    <w:link w:val="CommentTextChar"/>
    <w:uiPriority w:val="99"/>
    <w:unhideWhenUsed/>
    <w:rsid w:val="00525B12"/>
    <w:pPr>
      <w:spacing w:line="240" w:lineRule="auto"/>
    </w:pPr>
    <w:rPr>
      <w:szCs w:val="24"/>
    </w:rPr>
  </w:style>
  <w:style w:type="character" w:customStyle="1" w:styleId="CommentTextChar">
    <w:name w:val="Comment Text Char"/>
    <w:basedOn w:val="DefaultParagraphFont"/>
    <w:link w:val="CommentText"/>
    <w:uiPriority w:val="99"/>
    <w:rsid w:val="00525B12"/>
    <w:rPr>
      <w:rFonts w:ascii="Cambria" w:hAnsi="Cambria"/>
      <w:noProof/>
      <w:sz w:val="24"/>
      <w:szCs w:val="24"/>
    </w:rPr>
  </w:style>
  <w:style w:type="paragraph" w:styleId="CommentSubject">
    <w:name w:val="annotation subject"/>
    <w:basedOn w:val="CommentText"/>
    <w:next w:val="CommentText"/>
    <w:link w:val="CommentSubjectChar"/>
    <w:uiPriority w:val="99"/>
    <w:semiHidden/>
    <w:unhideWhenUsed/>
    <w:rsid w:val="00525B12"/>
    <w:rPr>
      <w:b/>
      <w:bCs/>
      <w:sz w:val="20"/>
      <w:szCs w:val="20"/>
    </w:rPr>
  </w:style>
  <w:style w:type="character" w:customStyle="1" w:styleId="CommentSubjectChar">
    <w:name w:val="Comment Subject Char"/>
    <w:basedOn w:val="CommentTextChar"/>
    <w:link w:val="CommentSubject"/>
    <w:uiPriority w:val="99"/>
    <w:semiHidden/>
    <w:rsid w:val="00525B12"/>
    <w:rPr>
      <w:rFonts w:ascii="Cambria" w:hAnsi="Cambria"/>
      <w:b/>
      <w:bCs/>
      <w:noProof/>
      <w:sz w:val="20"/>
      <w:szCs w:val="20"/>
    </w:rPr>
  </w:style>
  <w:style w:type="character" w:styleId="FollowedHyperlink">
    <w:name w:val="FollowedHyperlink"/>
    <w:basedOn w:val="DefaultParagraphFont"/>
    <w:uiPriority w:val="99"/>
    <w:semiHidden/>
    <w:unhideWhenUsed/>
    <w:rsid w:val="00525B12"/>
    <w:rPr>
      <w:color w:val="954F72" w:themeColor="followedHyperlink"/>
      <w:u w:val="single"/>
    </w:rPr>
  </w:style>
  <w:style w:type="paragraph" w:styleId="BodyTextIndent">
    <w:name w:val="Body Text Indent"/>
    <w:basedOn w:val="Normal"/>
    <w:link w:val="BodyTextIndentChar"/>
    <w:rsid w:val="00525B12"/>
    <w:pPr>
      <w:spacing w:after="0" w:line="240" w:lineRule="auto"/>
      <w:ind w:left="720"/>
    </w:pPr>
    <w:rPr>
      <w:rFonts w:ascii="Verdana" w:eastAsia="Times New Roman" w:hAnsi="Verdana" w:cs="Times New Roman"/>
      <w:bCs/>
      <w:i/>
      <w:iCs/>
      <w:szCs w:val="20"/>
    </w:rPr>
  </w:style>
  <w:style w:type="character" w:customStyle="1" w:styleId="BodyTextIndentChar">
    <w:name w:val="Body Text Indent Char"/>
    <w:basedOn w:val="DefaultParagraphFont"/>
    <w:link w:val="BodyTextIndent"/>
    <w:rsid w:val="00525B12"/>
    <w:rPr>
      <w:rFonts w:ascii="Verdana" w:eastAsia="Times New Roman" w:hAnsi="Verdana" w:cs="Times New Roman"/>
      <w:bCs/>
      <w:i/>
      <w:iCs/>
      <w:noProof/>
      <w:sz w:val="24"/>
      <w:szCs w:val="20"/>
    </w:rPr>
  </w:style>
  <w:style w:type="table" w:styleId="MediumGrid2-Accent1">
    <w:name w:val="Medium Grid 2 Accent 1"/>
    <w:basedOn w:val="TableNormal"/>
    <w:uiPriority w:val="68"/>
    <w:rsid w:val="00525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NoSpacing">
    <w:name w:val="No Spacing"/>
    <w:link w:val="NoSpacingChar"/>
    <w:uiPriority w:val="1"/>
    <w:qFormat/>
    <w:rsid w:val="00525B12"/>
    <w:pPr>
      <w:spacing w:after="0" w:line="240" w:lineRule="auto"/>
    </w:pPr>
  </w:style>
  <w:style w:type="character" w:customStyle="1" w:styleId="NoSpacingChar">
    <w:name w:val="No Spacing Char"/>
    <w:link w:val="NoSpacing"/>
    <w:uiPriority w:val="1"/>
    <w:rsid w:val="00525B12"/>
  </w:style>
  <w:style w:type="paragraph" w:customStyle="1" w:styleId="EndNoteBibliographyTitle">
    <w:name w:val="EndNote Bibliography Title"/>
    <w:basedOn w:val="Normal"/>
    <w:link w:val="EndNoteBibliographyTitleChar"/>
    <w:rsid w:val="00525B12"/>
    <w:pPr>
      <w:spacing w:after="0"/>
      <w:jc w:val="center"/>
    </w:pPr>
    <w:rPr>
      <w:rFonts w:cs="Times New Roman"/>
      <w:sz w:val="24"/>
      <w:lang w:val="en-US"/>
    </w:rPr>
  </w:style>
  <w:style w:type="character" w:customStyle="1" w:styleId="EndNoteBibliographyTitleChar">
    <w:name w:val="EndNote Bibliography Title Char"/>
    <w:basedOn w:val="DefaultParagraphFont"/>
    <w:link w:val="EndNoteBibliographyTitle"/>
    <w:rsid w:val="00525B12"/>
    <w:rPr>
      <w:rFonts w:ascii="Times New Roman" w:hAnsi="Times New Roman" w:cs="Times New Roman"/>
      <w:sz w:val="24"/>
      <w:lang w:val="en-US"/>
    </w:rPr>
  </w:style>
  <w:style w:type="paragraph" w:customStyle="1" w:styleId="EndNoteBibliography">
    <w:name w:val="EndNote Bibliography"/>
    <w:basedOn w:val="Normal"/>
    <w:link w:val="EndNoteBibliographyChar"/>
    <w:rsid w:val="00525B12"/>
    <w:pPr>
      <w:spacing w:line="240" w:lineRule="auto"/>
    </w:pPr>
    <w:rPr>
      <w:rFonts w:cs="Times New Roman"/>
      <w:sz w:val="24"/>
      <w:lang w:val="en-US"/>
    </w:rPr>
  </w:style>
  <w:style w:type="character" w:customStyle="1" w:styleId="EndNoteBibliographyChar">
    <w:name w:val="EndNote Bibliography Char"/>
    <w:basedOn w:val="DefaultParagraphFont"/>
    <w:link w:val="EndNoteBibliography"/>
    <w:rsid w:val="00525B12"/>
    <w:rPr>
      <w:rFonts w:ascii="Times New Roman" w:hAnsi="Times New Roman" w:cs="Times New Roman"/>
      <w:sz w:val="24"/>
      <w:lang w:val="en-US"/>
    </w:rPr>
  </w:style>
  <w:style w:type="paragraph" w:styleId="BodyText">
    <w:name w:val="Body Text"/>
    <w:basedOn w:val="Normal"/>
    <w:link w:val="BodyTextChar"/>
    <w:uiPriority w:val="1"/>
    <w:qFormat/>
    <w:rsid w:val="00525B12"/>
    <w:pPr>
      <w:widowControl w:val="0"/>
      <w:spacing w:after="0" w:line="240" w:lineRule="auto"/>
      <w:ind w:left="103"/>
    </w:pPr>
    <w:rPr>
      <w:rFonts w:eastAsia="Times New Roman"/>
      <w:sz w:val="20"/>
      <w:szCs w:val="20"/>
      <w:lang w:val="en-US"/>
    </w:rPr>
  </w:style>
  <w:style w:type="character" w:customStyle="1" w:styleId="BodyTextChar">
    <w:name w:val="Body Text Char"/>
    <w:basedOn w:val="DefaultParagraphFont"/>
    <w:link w:val="BodyText"/>
    <w:uiPriority w:val="1"/>
    <w:rsid w:val="00525B12"/>
    <w:rPr>
      <w:rFonts w:ascii="Times New Roman" w:eastAsia="Times New Roman" w:hAnsi="Times New Roman"/>
      <w:noProof/>
      <w:sz w:val="20"/>
      <w:szCs w:val="20"/>
      <w:lang w:val="en-US"/>
    </w:rPr>
  </w:style>
  <w:style w:type="paragraph" w:customStyle="1" w:styleId="TableParagraph">
    <w:name w:val="Table Paragraph"/>
    <w:basedOn w:val="Normal"/>
    <w:uiPriority w:val="1"/>
    <w:qFormat/>
    <w:rsid w:val="00525B12"/>
    <w:pPr>
      <w:widowControl w:val="0"/>
      <w:spacing w:after="0" w:line="240" w:lineRule="auto"/>
    </w:pPr>
    <w:rPr>
      <w:lang w:val="en-US"/>
    </w:rPr>
  </w:style>
  <w:style w:type="character" w:styleId="Emphasis">
    <w:name w:val="Emphasis"/>
    <w:basedOn w:val="DefaultParagraphFont"/>
    <w:uiPriority w:val="20"/>
    <w:qFormat/>
    <w:rsid w:val="00525B12"/>
    <w:rPr>
      <w:i/>
      <w:iCs/>
    </w:rPr>
  </w:style>
  <w:style w:type="character" w:customStyle="1" w:styleId="apple-converted-space">
    <w:name w:val="apple-converted-space"/>
    <w:basedOn w:val="DefaultParagraphFont"/>
    <w:rsid w:val="00525B12"/>
  </w:style>
  <w:style w:type="paragraph" w:customStyle="1" w:styleId="p1">
    <w:name w:val="p1"/>
    <w:basedOn w:val="Normal"/>
    <w:rsid w:val="00525B12"/>
    <w:pPr>
      <w:spacing w:after="0" w:line="240" w:lineRule="auto"/>
    </w:pPr>
    <w:rPr>
      <w:rFonts w:ascii="Times" w:hAnsi="Times" w:cs="Times New Roman"/>
      <w:sz w:val="16"/>
      <w:szCs w:val="16"/>
      <w:lang w:val="en-US"/>
    </w:rPr>
  </w:style>
  <w:style w:type="character" w:customStyle="1" w:styleId="s1">
    <w:name w:val="s1"/>
    <w:basedOn w:val="DefaultParagraphFont"/>
    <w:rsid w:val="00525B12"/>
    <w:rPr>
      <w:color w:val="0093BA"/>
    </w:rPr>
  </w:style>
  <w:style w:type="paragraph" w:customStyle="1" w:styleId="Default">
    <w:name w:val="Default"/>
    <w:rsid w:val="00525B12"/>
    <w:pPr>
      <w:autoSpaceDE w:val="0"/>
      <w:autoSpaceDN w:val="0"/>
      <w:adjustRightInd w:val="0"/>
      <w:spacing w:after="0" w:line="240" w:lineRule="auto"/>
    </w:pPr>
    <w:rPr>
      <w:rFonts w:ascii="Verdana" w:hAnsi="Verdana" w:cs="Verdana"/>
      <w:color w:val="000000"/>
      <w:sz w:val="24"/>
      <w:szCs w:val="24"/>
    </w:rPr>
  </w:style>
  <w:style w:type="character" w:customStyle="1" w:styleId="Mention1">
    <w:name w:val="Mention1"/>
    <w:basedOn w:val="DefaultParagraphFont"/>
    <w:uiPriority w:val="99"/>
    <w:semiHidden/>
    <w:unhideWhenUsed/>
    <w:rsid w:val="00525B12"/>
    <w:rPr>
      <w:color w:val="2B579A"/>
      <w:shd w:val="clear" w:color="auto" w:fill="E6E6E6"/>
    </w:rPr>
  </w:style>
  <w:style w:type="table" w:customStyle="1" w:styleId="TableGridLight1">
    <w:name w:val="Table Grid Light1"/>
    <w:basedOn w:val="TableNormal"/>
    <w:uiPriority w:val="40"/>
    <w:rsid w:val="00525B12"/>
    <w:pPr>
      <w:spacing w:after="0" w:line="240" w:lineRule="auto"/>
    </w:pPr>
    <w:rPr>
      <w:rFonts w:ascii="Verdana" w:hAnsi="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2">
    <w:name w:val="Mention2"/>
    <w:basedOn w:val="DefaultParagraphFont"/>
    <w:uiPriority w:val="99"/>
    <w:semiHidden/>
    <w:unhideWhenUsed/>
    <w:rsid w:val="00525B12"/>
    <w:rPr>
      <w:color w:val="2B579A"/>
      <w:shd w:val="clear" w:color="auto" w:fill="E6E6E6"/>
    </w:rPr>
  </w:style>
  <w:style w:type="character" w:customStyle="1" w:styleId="Mention3">
    <w:name w:val="Mention3"/>
    <w:basedOn w:val="DefaultParagraphFont"/>
    <w:uiPriority w:val="99"/>
    <w:semiHidden/>
    <w:unhideWhenUsed/>
    <w:rsid w:val="00525B12"/>
    <w:rPr>
      <w:color w:val="2B579A"/>
      <w:shd w:val="clear" w:color="auto" w:fill="E6E6E6"/>
    </w:rPr>
  </w:style>
  <w:style w:type="character" w:customStyle="1" w:styleId="Mention4">
    <w:name w:val="Mention4"/>
    <w:basedOn w:val="DefaultParagraphFont"/>
    <w:uiPriority w:val="99"/>
    <w:semiHidden/>
    <w:unhideWhenUsed/>
    <w:rsid w:val="00525B12"/>
    <w:rPr>
      <w:color w:val="2B579A"/>
      <w:shd w:val="clear" w:color="auto" w:fill="E6E6E6"/>
    </w:rPr>
  </w:style>
  <w:style w:type="character" w:customStyle="1" w:styleId="Mention5">
    <w:name w:val="Mention5"/>
    <w:basedOn w:val="DefaultParagraphFont"/>
    <w:uiPriority w:val="99"/>
    <w:semiHidden/>
    <w:unhideWhenUsed/>
    <w:rsid w:val="00525B12"/>
    <w:rPr>
      <w:color w:val="2B579A"/>
      <w:shd w:val="clear" w:color="auto" w:fill="E6E6E6"/>
    </w:rPr>
  </w:style>
  <w:style w:type="character" w:customStyle="1" w:styleId="Mention6">
    <w:name w:val="Mention6"/>
    <w:basedOn w:val="DefaultParagraphFont"/>
    <w:uiPriority w:val="99"/>
    <w:semiHidden/>
    <w:unhideWhenUsed/>
    <w:rsid w:val="00525B12"/>
    <w:rPr>
      <w:color w:val="2B579A"/>
      <w:shd w:val="clear" w:color="auto" w:fill="E6E6E6"/>
    </w:rPr>
  </w:style>
  <w:style w:type="paragraph" w:styleId="Caption">
    <w:name w:val="caption"/>
    <w:basedOn w:val="Normal"/>
    <w:next w:val="Normal"/>
    <w:uiPriority w:val="35"/>
    <w:unhideWhenUsed/>
    <w:qFormat/>
    <w:rsid w:val="00525B12"/>
    <w:pPr>
      <w:spacing w:line="240" w:lineRule="auto"/>
    </w:pPr>
    <w:rPr>
      <w:i/>
      <w:iCs/>
      <w:color w:val="44546A" w:themeColor="text2"/>
      <w:szCs w:val="18"/>
    </w:rPr>
  </w:style>
  <w:style w:type="paragraph" w:customStyle="1" w:styleId="FiguresCaption">
    <w:name w:val="Figures Caption"/>
    <w:basedOn w:val="NormalWeb"/>
    <w:link w:val="FiguresCaptionChar"/>
    <w:qFormat/>
    <w:rsid w:val="00525B12"/>
    <w:pPr>
      <w:spacing w:before="0" w:beforeAutospacing="0" w:after="0" w:afterAutospacing="0"/>
    </w:pPr>
    <w:rPr>
      <w:rFonts w:ascii="Cambria" w:hAnsi="Cambria"/>
      <w:b/>
      <w:bCs/>
      <w:color w:val="2E74B5" w:themeColor="accent1" w:themeShade="BF"/>
      <w:kern w:val="24"/>
      <w:sz w:val="20"/>
      <w:szCs w:val="20"/>
    </w:rPr>
  </w:style>
  <w:style w:type="paragraph" w:customStyle="1" w:styleId="ListofTablesCaption">
    <w:name w:val="List of Tables Caption"/>
    <w:basedOn w:val="Normal"/>
    <w:link w:val="ListofTablesCaptionChar"/>
    <w:qFormat/>
    <w:rsid w:val="00525B12"/>
    <w:pPr>
      <w:spacing w:after="0" w:line="240" w:lineRule="auto"/>
      <w:jc w:val="both"/>
    </w:pPr>
    <w:rPr>
      <w:rFonts w:cs="Arial"/>
      <w:b/>
      <w:sz w:val="20"/>
    </w:rPr>
  </w:style>
  <w:style w:type="character" w:customStyle="1" w:styleId="NormalWebChar">
    <w:name w:val="Normal (Web) Char"/>
    <w:basedOn w:val="DefaultParagraphFont"/>
    <w:link w:val="NormalWeb"/>
    <w:uiPriority w:val="99"/>
    <w:rsid w:val="00525B12"/>
    <w:rPr>
      <w:rFonts w:ascii="Times New Roman" w:eastAsia="Times New Roman" w:hAnsi="Times New Roman" w:cs="Times New Roman"/>
      <w:noProof/>
      <w:sz w:val="24"/>
      <w:szCs w:val="24"/>
      <w:lang w:eastAsia="en-GB"/>
    </w:rPr>
  </w:style>
  <w:style w:type="character" w:customStyle="1" w:styleId="FiguresCaptionChar">
    <w:name w:val="Figures Caption Char"/>
    <w:basedOn w:val="NormalWebChar"/>
    <w:link w:val="FiguresCaption"/>
    <w:rsid w:val="00525B12"/>
    <w:rPr>
      <w:rFonts w:ascii="Cambria" w:eastAsia="Times New Roman" w:hAnsi="Cambria" w:cs="Times New Roman"/>
      <w:b/>
      <w:bCs/>
      <w:noProof/>
      <w:color w:val="2E74B5" w:themeColor="accent1" w:themeShade="BF"/>
      <w:kern w:val="24"/>
      <w:sz w:val="20"/>
      <w:szCs w:val="20"/>
      <w:lang w:eastAsia="en-GB"/>
    </w:rPr>
  </w:style>
  <w:style w:type="character" w:customStyle="1" w:styleId="ListofTablesCaptionChar">
    <w:name w:val="List of Tables Caption Char"/>
    <w:basedOn w:val="DefaultParagraphFont"/>
    <w:link w:val="ListofTablesCaption"/>
    <w:rsid w:val="00525B12"/>
    <w:rPr>
      <w:rFonts w:ascii="Cambria" w:hAnsi="Cambria" w:cs="Arial"/>
      <w:b/>
      <w:noProof/>
      <w:sz w:val="20"/>
    </w:rPr>
  </w:style>
  <w:style w:type="character" w:customStyle="1" w:styleId="Mention7">
    <w:name w:val="Mention7"/>
    <w:basedOn w:val="DefaultParagraphFont"/>
    <w:uiPriority w:val="99"/>
    <w:semiHidden/>
    <w:unhideWhenUsed/>
    <w:rsid w:val="00525B12"/>
    <w:rPr>
      <w:color w:val="2B579A"/>
      <w:shd w:val="clear" w:color="auto" w:fill="E6E6E6"/>
    </w:rPr>
  </w:style>
  <w:style w:type="paragraph" w:styleId="FootnoteText">
    <w:name w:val="footnote text"/>
    <w:basedOn w:val="Normal"/>
    <w:link w:val="FootnoteTextChar"/>
    <w:rsid w:val="00525B12"/>
    <w:pPr>
      <w:spacing w:after="0" w:line="360" w:lineRule="auto"/>
    </w:pPr>
    <w:rPr>
      <w:rFonts w:eastAsia="Times New Roman" w:cs="Times New Roman"/>
      <w:sz w:val="20"/>
      <w:szCs w:val="20"/>
    </w:rPr>
  </w:style>
  <w:style w:type="character" w:customStyle="1" w:styleId="FootnoteTextChar">
    <w:name w:val="Footnote Text Char"/>
    <w:basedOn w:val="DefaultParagraphFont"/>
    <w:link w:val="FootnoteText"/>
    <w:rsid w:val="00525B12"/>
    <w:rPr>
      <w:rFonts w:ascii="Times New Roman" w:eastAsia="Times New Roman" w:hAnsi="Times New Roman" w:cs="Times New Roman"/>
      <w:noProof/>
      <w:sz w:val="20"/>
      <w:szCs w:val="20"/>
    </w:rPr>
  </w:style>
  <w:style w:type="character" w:styleId="FootnoteReference">
    <w:name w:val="footnote reference"/>
    <w:basedOn w:val="DefaultParagraphFont"/>
    <w:rsid w:val="00525B12"/>
    <w:rPr>
      <w:vertAlign w:val="superscript"/>
    </w:rPr>
  </w:style>
  <w:style w:type="character" w:customStyle="1" w:styleId="Mention8">
    <w:name w:val="Mention8"/>
    <w:basedOn w:val="DefaultParagraphFont"/>
    <w:uiPriority w:val="99"/>
    <w:semiHidden/>
    <w:unhideWhenUsed/>
    <w:rsid w:val="00525B12"/>
    <w:rPr>
      <w:color w:val="2B579A"/>
      <w:shd w:val="clear" w:color="auto" w:fill="E6E6E6"/>
    </w:rPr>
  </w:style>
  <w:style w:type="table" w:customStyle="1" w:styleId="LightList1">
    <w:name w:val="Light List1"/>
    <w:basedOn w:val="TableNormal"/>
    <w:uiPriority w:val="61"/>
    <w:rsid w:val="00525B12"/>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ntion9">
    <w:name w:val="Mention9"/>
    <w:basedOn w:val="DefaultParagraphFont"/>
    <w:uiPriority w:val="99"/>
    <w:semiHidden/>
    <w:unhideWhenUsed/>
    <w:rsid w:val="00525B12"/>
    <w:rPr>
      <w:color w:val="2B579A"/>
      <w:shd w:val="clear" w:color="auto" w:fill="E6E6E6"/>
    </w:rPr>
  </w:style>
  <w:style w:type="character" w:customStyle="1" w:styleId="Mention10">
    <w:name w:val="Mention10"/>
    <w:basedOn w:val="DefaultParagraphFont"/>
    <w:uiPriority w:val="99"/>
    <w:semiHidden/>
    <w:unhideWhenUsed/>
    <w:rsid w:val="00525B12"/>
    <w:rPr>
      <w:color w:val="2B579A"/>
      <w:shd w:val="clear" w:color="auto" w:fill="E6E6E6"/>
    </w:rPr>
  </w:style>
  <w:style w:type="character" w:customStyle="1" w:styleId="UnresolvedMention1">
    <w:name w:val="Unresolved Mention1"/>
    <w:basedOn w:val="DefaultParagraphFont"/>
    <w:uiPriority w:val="99"/>
    <w:semiHidden/>
    <w:unhideWhenUsed/>
    <w:rsid w:val="00525B12"/>
    <w:rPr>
      <w:color w:val="808080"/>
      <w:shd w:val="clear" w:color="auto" w:fill="E6E6E6"/>
    </w:rPr>
  </w:style>
  <w:style w:type="character" w:customStyle="1" w:styleId="UnresolvedMention2">
    <w:name w:val="Unresolved Mention2"/>
    <w:basedOn w:val="DefaultParagraphFont"/>
    <w:uiPriority w:val="99"/>
    <w:semiHidden/>
    <w:unhideWhenUsed/>
    <w:rsid w:val="00525B12"/>
    <w:rPr>
      <w:color w:val="808080"/>
      <w:shd w:val="clear" w:color="auto" w:fill="E6E6E6"/>
    </w:rPr>
  </w:style>
  <w:style w:type="character" w:customStyle="1" w:styleId="citationref">
    <w:name w:val="citationref"/>
    <w:basedOn w:val="DefaultParagraphFont"/>
    <w:rsid w:val="00525B12"/>
  </w:style>
  <w:style w:type="character" w:customStyle="1" w:styleId="UnresolvedMention3">
    <w:name w:val="Unresolved Mention3"/>
    <w:basedOn w:val="DefaultParagraphFont"/>
    <w:uiPriority w:val="99"/>
    <w:semiHidden/>
    <w:unhideWhenUsed/>
    <w:rsid w:val="00525B12"/>
    <w:rPr>
      <w:color w:val="808080"/>
      <w:shd w:val="clear" w:color="auto" w:fill="E6E6E6"/>
    </w:rPr>
  </w:style>
  <w:style w:type="character" w:customStyle="1" w:styleId="UnresolvedMention4">
    <w:name w:val="Unresolved Mention4"/>
    <w:basedOn w:val="DefaultParagraphFont"/>
    <w:uiPriority w:val="99"/>
    <w:semiHidden/>
    <w:unhideWhenUsed/>
    <w:rsid w:val="00525B12"/>
    <w:rPr>
      <w:color w:val="808080"/>
      <w:shd w:val="clear" w:color="auto" w:fill="E6E6E6"/>
    </w:rPr>
  </w:style>
  <w:style w:type="character" w:customStyle="1" w:styleId="UnresolvedMention5">
    <w:name w:val="Unresolved Mention5"/>
    <w:basedOn w:val="DefaultParagraphFont"/>
    <w:uiPriority w:val="99"/>
    <w:semiHidden/>
    <w:unhideWhenUsed/>
    <w:rsid w:val="00525B12"/>
    <w:rPr>
      <w:color w:val="808080"/>
      <w:shd w:val="clear" w:color="auto" w:fill="E6E6E6"/>
    </w:rPr>
  </w:style>
  <w:style w:type="paragraph" w:styleId="Revision">
    <w:name w:val="Revision"/>
    <w:hidden/>
    <w:uiPriority w:val="99"/>
    <w:semiHidden/>
    <w:rsid w:val="00525B12"/>
    <w:pPr>
      <w:spacing w:after="0" w:line="240" w:lineRule="auto"/>
    </w:pPr>
    <w:rPr>
      <w:rFonts w:ascii="Cambria" w:hAnsi="Cambria"/>
      <w:sz w:val="24"/>
    </w:rPr>
  </w:style>
  <w:style w:type="character" w:customStyle="1" w:styleId="notranslate">
    <w:name w:val="notranslate"/>
    <w:basedOn w:val="DefaultParagraphFont"/>
    <w:rsid w:val="00992EDC"/>
  </w:style>
  <w:style w:type="character" w:customStyle="1" w:styleId="UnresolvedMention6">
    <w:name w:val="Unresolved Mention6"/>
    <w:basedOn w:val="DefaultParagraphFont"/>
    <w:uiPriority w:val="99"/>
    <w:semiHidden/>
    <w:unhideWhenUsed/>
    <w:rsid w:val="0089573F"/>
    <w:rPr>
      <w:color w:val="808080"/>
      <w:shd w:val="clear" w:color="auto" w:fill="E6E6E6"/>
    </w:rPr>
  </w:style>
  <w:style w:type="character" w:customStyle="1" w:styleId="UnresolvedMention7">
    <w:name w:val="Unresolved Mention7"/>
    <w:basedOn w:val="DefaultParagraphFont"/>
    <w:uiPriority w:val="99"/>
    <w:semiHidden/>
    <w:unhideWhenUsed/>
    <w:rsid w:val="00483613"/>
    <w:rPr>
      <w:color w:val="808080"/>
      <w:shd w:val="clear" w:color="auto" w:fill="E6E6E6"/>
    </w:rPr>
  </w:style>
  <w:style w:type="character" w:styleId="UnresolvedMention">
    <w:name w:val="Unresolved Mention"/>
    <w:basedOn w:val="DefaultParagraphFont"/>
    <w:uiPriority w:val="99"/>
    <w:semiHidden/>
    <w:unhideWhenUsed/>
    <w:rsid w:val="003206A7"/>
    <w:rPr>
      <w:color w:val="605E5C"/>
      <w:shd w:val="clear" w:color="auto" w:fill="E1DFDD"/>
    </w:rPr>
  </w:style>
  <w:style w:type="paragraph" w:styleId="PlainText">
    <w:name w:val="Plain Text"/>
    <w:basedOn w:val="Normal"/>
    <w:link w:val="PlainTextChar"/>
    <w:uiPriority w:val="99"/>
    <w:unhideWhenUsed/>
    <w:rsid w:val="00D950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509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54059">
      <w:bodyDiv w:val="1"/>
      <w:marLeft w:val="0"/>
      <w:marRight w:val="0"/>
      <w:marTop w:val="0"/>
      <w:marBottom w:val="0"/>
      <w:divBdr>
        <w:top w:val="none" w:sz="0" w:space="0" w:color="auto"/>
        <w:left w:val="none" w:sz="0" w:space="0" w:color="auto"/>
        <w:bottom w:val="none" w:sz="0" w:space="0" w:color="auto"/>
        <w:right w:val="none" w:sz="0" w:space="0" w:color="auto"/>
      </w:divBdr>
    </w:div>
    <w:div w:id="808983563">
      <w:bodyDiv w:val="1"/>
      <w:marLeft w:val="0"/>
      <w:marRight w:val="0"/>
      <w:marTop w:val="0"/>
      <w:marBottom w:val="0"/>
      <w:divBdr>
        <w:top w:val="none" w:sz="0" w:space="0" w:color="auto"/>
        <w:left w:val="none" w:sz="0" w:space="0" w:color="auto"/>
        <w:bottom w:val="none" w:sz="0" w:space="0" w:color="auto"/>
        <w:right w:val="none" w:sz="0" w:space="0" w:color="auto"/>
      </w:divBdr>
    </w:div>
    <w:div w:id="872303945">
      <w:bodyDiv w:val="1"/>
      <w:marLeft w:val="0"/>
      <w:marRight w:val="0"/>
      <w:marTop w:val="0"/>
      <w:marBottom w:val="0"/>
      <w:divBdr>
        <w:top w:val="none" w:sz="0" w:space="0" w:color="auto"/>
        <w:left w:val="none" w:sz="0" w:space="0" w:color="auto"/>
        <w:bottom w:val="none" w:sz="0" w:space="0" w:color="auto"/>
        <w:right w:val="none" w:sz="0" w:space="0" w:color="auto"/>
      </w:divBdr>
    </w:div>
    <w:div w:id="1363826118">
      <w:bodyDiv w:val="1"/>
      <w:marLeft w:val="0"/>
      <w:marRight w:val="0"/>
      <w:marTop w:val="0"/>
      <w:marBottom w:val="0"/>
      <w:divBdr>
        <w:top w:val="none" w:sz="0" w:space="0" w:color="auto"/>
        <w:left w:val="none" w:sz="0" w:space="0" w:color="auto"/>
        <w:bottom w:val="none" w:sz="0" w:space="0" w:color="auto"/>
        <w:right w:val="none" w:sz="0" w:space="0" w:color="auto"/>
      </w:divBdr>
    </w:div>
    <w:div w:id="1488010909">
      <w:bodyDiv w:val="1"/>
      <w:marLeft w:val="0"/>
      <w:marRight w:val="0"/>
      <w:marTop w:val="0"/>
      <w:marBottom w:val="0"/>
      <w:divBdr>
        <w:top w:val="none" w:sz="0" w:space="0" w:color="auto"/>
        <w:left w:val="none" w:sz="0" w:space="0" w:color="auto"/>
        <w:bottom w:val="none" w:sz="0" w:space="0" w:color="auto"/>
        <w:right w:val="none" w:sz="0" w:space="0" w:color="auto"/>
      </w:divBdr>
    </w:div>
    <w:div w:id="1627852640">
      <w:bodyDiv w:val="1"/>
      <w:marLeft w:val="0"/>
      <w:marRight w:val="0"/>
      <w:marTop w:val="0"/>
      <w:marBottom w:val="0"/>
      <w:divBdr>
        <w:top w:val="none" w:sz="0" w:space="0" w:color="auto"/>
        <w:left w:val="none" w:sz="0" w:space="0" w:color="auto"/>
        <w:bottom w:val="none" w:sz="0" w:space="0" w:color="auto"/>
        <w:right w:val="none" w:sz="0" w:space="0" w:color="auto"/>
      </w:divBdr>
    </w:div>
    <w:div w:id="17832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komo@mrc.g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12DD-575A-487C-B040-49DEED10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12372</Words>
  <Characters>70521</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Uduak Okomo</dc:creator>
  <cp:keywords/>
  <dc:description/>
  <cp:lastModifiedBy>Sana Ibrahim</cp:lastModifiedBy>
  <cp:revision>2</cp:revision>
  <cp:lastPrinted>2019-03-14T18:28:00Z</cp:lastPrinted>
  <dcterms:created xsi:type="dcterms:W3CDTF">2019-07-23T14:22:00Z</dcterms:created>
  <dcterms:modified xsi:type="dcterms:W3CDTF">2019-07-23T14:22:00Z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