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C408" w14:textId="61B8C5C6" w:rsidR="001A25CC" w:rsidRDefault="001A25CC"/>
    <w:p w14:paraId="104D454A" w14:textId="77777777" w:rsidR="00225DA6" w:rsidRDefault="00225DA6" w:rsidP="00225DA6">
      <w:pPr>
        <w:jc w:val="center"/>
      </w:pPr>
      <w:r>
        <w:rPr>
          <w:noProof/>
          <w:lang w:eastAsia="en-GB"/>
        </w:rPr>
        <w:drawing>
          <wp:inline distT="0" distB="0" distL="0" distR="0" wp14:anchorId="2694ED94" wp14:editId="3A6B0F86">
            <wp:extent cx="5230821" cy="5883150"/>
            <wp:effectExtent l="0" t="0" r="8255" b="3810"/>
            <wp:docPr id="8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544D78F-4314-4E42-9776-FC1808208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544D78F-4314-4E42-9776-FC18082085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21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D8E2" w14:textId="77777777" w:rsidR="00225DA6" w:rsidRDefault="00225DA6" w:rsidP="00225DA6">
      <w:pPr>
        <w:rPr>
          <w:b/>
          <w:bCs/>
          <w:lang w:val="en-US"/>
        </w:rPr>
      </w:pPr>
    </w:p>
    <w:p w14:paraId="4DF84E5C" w14:textId="77777777" w:rsidR="00225DA6" w:rsidRDefault="00225DA6" w:rsidP="00225DA6">
      <w:pPr>
        <w:rPr>
          <w:b/>
          <w:bCs/>
          <w:lang w:val="en-US"/>
        </w:rPr>
      </w:pPr>
    </w:p>
    <w:p w14:paraId="49E30DCA" w14:textId="5F878865" w:rsidR="00225DA6" w:rsidRPr="00090E55" w:rsidRDefault="00225DA6" w:rsidP="00225DA6">
      <w:pPr>
        <w:rPr>
          <w:b/>
          <w:bCs/>
        </w:rPr>
      </w:pPr>
      <w:r>
        <w:rPr>
          <w:b/>
          <w:bCs/>
          <w:lang w:val="en-US"/>
        </w:rPr>
        <w:t xml:space="preserve">Figure S1. </w:t>
      </w:r>
      <w:r w:rsidRPr="006A13C5">
        <w:rPr>
          <w:b/>
          <w:bCs/>
          <w:lang w:val="en-US"/>
        </w:rPr>
        <w:t>Fc glycosylation profiles of the VRC01 antibody (HEK) and its plant-made glycovariants (WT, ∆XF, Gal</w:t>
      </w:r>
      <w:r w:rsidRPr="00090E55">
        <w:rPr>
          <w:b/>
          <w:bCs/>
        </w:rPr>
        <w:t xml:space="preserve">). </w:t>
      </w:r>
      <w:r w:rsidRPr="006A13C5">
        <w:t xml:space="preserve">Deconvoluted mass spectra of tryptic glycopeptides (EEQYNSTYR, 1189.51 Da) derived from heavy chain of different VRC01 glycovariants as determined by LC-ESI-MS. Only doubly charged ions displayed. Structures of </w:t>
      </w:r>
      <w:r w:rsidRPr="006A13C5">
        <w:rPr>
          <w:i/>
        </w:rPr>
        <w:t>N</w:t>
      </w:r>
      <w:r w:rsidRPr="006A13C5">
        <w:t>-glycans that constitute less than 5% of the total population have not been illustrated</w:t>
      </w:r>
      <w:r w:rsidRPr="00090E55">
        <w:t>.</w:t>
      </w:r>
      <w:r w:rsidRPr="006A13C5">
        <w:t xml:space="preserve"> Glycan cartoons marked with # represent the structure assumed as predominant, while abbreviations list both options.</w:t>
      </w:r>
      <w:r w:rsidRPr="006A13C5">
        <w:rPr>
          <w:lang w:val="en-US"/>
        </w:rPr>
        <w:t xml:space="preserve"> </w:t>
      </w:r>
      <w:r w:rsidRPr="006A13C5">
        <w:rPr>
          <w:i/>
          <w:lang w:val="en-US"/>
        </w:rPr>
        <w:t>N</w:t>
      </w:r>
      <w:r w:rsidRPr="006A13C5">
        <w:rPr>
          <w:lang w:val="en-US"/>
        </w:rPr>
        <w:t>-glycan abbreviations</w:t>
      </w:r>
      <w:r w:rsidRPr="00090E55">
        <w:t xml:space="preserve"> according to the ProGlycAn nomenclature.</w:t>
      </w:r>
    </w:p>
    <w:p w14:paraId="6319ED44" w14:textId="662B5FF9" w:rsidR="00225DA6" w:rsidRDefault="00225DA6">
      <w:r>
        <w:br w:type="page"/>
      </w:r>
    </w:p>
    <w:p w14:paraId="1AA82C08" w14:textId="77777777" w:rsidR="00AD2C6F" w:rsidRPr="00D4527E" w:rsidRDefault="00AD2C6F" w:rsidP="00AD2C6F"/>
    <w:p w14:paraId="40ADEB26" w14:textId="1C95F552" w:rsidR="00AD2C6F" w:rsidRDefault="00AD2C6F" w:rsidP="00AD2C6F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22EC24" wp14:editId="3611870D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6458585" cy="4467225"/>
            <wp:effectExtent l="0" t="0" r="0" b="9525"/>
            <wp:wrapTopAndBottom/>
            <wp:docPr id="2112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E991" w14:textId="785F555C" w:rsidR="00AD2C6F" w:rsidRDefault="00AD2C6F"/>
    <w:p w14:paraId="40BC364B" w14:textId="0E9368A9" w:rsidR="00AD2C6F" w:rsidRDefault="00AD2C6F"/>
    <w:p w14:paraId="0F7BB430" w14:textId="54C20AA5" w:rsidR="00AD2C6F" w:rsidRDefault="00AD2C6F"/>
    <w:p w14:paraId="17BC6038" w14:textId="6F1276C0" w:rsidR="00AD2C6F" w:rsidRDefault="00AD2C6F"/>
    <w:p w14:paraId="30C40276" w14:textId="4401A9B2" w:rsidR="00AD2C6F" w:rsidRDefault="00AD2C6F"/>
    <w:p w14:paraId="6A9F3298" w14:textId="5019D92B" w:rsidR="00AD2C6F" w:rsidRDefault="00AD2C6F"/>
    <w:p w14:paraId="4F41CE44" w14:textId="4E8F859B" w:rsidR="00885451" w:rsidRDefault="00E2259A" w:rsidP="00885451">
      <w:r>
        <w:rPr>
          <w:b/>
          <w:bCs/>
          <w:lang w:val="en-US"/>
        </w:rPr>
        <w:t>Figure S</w:t>
      </w:r>
      <w:r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Comparison</w:t>
      </w:r>
      <w:r w:rsidRPr="006A13C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between 1:1 binding interaction and “heterogeneous antibody with aglycosylation” modelling for </w:t>
      </w:r>
      <w:r w:rsidRPr="006A13C5">
        <w:rPr>
          <w:b/>
          <w:bCs/>
          <w:lang w:val="en-US"/>
        </w:rPr>
        <w:t>VRC01</w:t>
      </w:r>
      <w:r>
        <w:rPr>
          <w:b/>
          <w:bCs/>
          <w:vertAlign w:val="subscript"/>
          <w:lang w:val="en-US"/>
        </w:rPr>
        <w:t>Gal</w:t>
      </w:r>
      <w:r w:rsidRPr="006A13C5">
        <w:rPr>
          <w:b/>
          <w:bCs/>
          <w:lang w:val="en-US"/>
        </w:rPr>
        <w:t xml:space="preserve"> antibody </w:t>
      </w:r>
      <w:r>
        <w:rPr>
          <w:b/>
          <w:bCs/>
          <w:lang w:val="en-US"/>
        </w:rPr>
        <w:t>binding to Fc</w:t>
      </w:r>
      <w:r w:rsidRPr="00E2259A">
        <w:rPr>
          <w:rFonts w:ascii="Symbol" w:hAnsi="Symbol"/>
          <w:b/>
          <w:bCs/>
          <w:lang w:val="en-US"/>
        </w:rPr>
        <w:t></w:t>
      </w:r>
      <w:r>
        <w:rPr>
          <w:b/>
          <w:bCs/>
          <w:lang w:val="en-US"/>
        </w:rPr>
        <w:t xml:space="preserve">RI. </w:t>
      </w:r>
      <w:r w:rsidRPr="00090E5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SPR sensorgrams illustrate binding and dissociation of antibody-receptor complexes. Data were analysed with </w:t>
      </w:r>
      <w:r>
        <w:t xml:space="preserve">either </w:t>
      </w:r>
      <w:r>
        <w:t xml:space="preserve">a </w:t>
      </w:r>
      <w:r w:rsidRPr="0024466B">
        <w:t xml:space="preserve">1:1 binding interaction model </w:t>
      </w:r>
      <w:r>
        <w:t xml:space="preserve">(left) or a “heterogeneous antibody with aglycosylation model (right).  </w:t>
      </w:r>
      <w:r>
        <w:t>Dashed line</w:t>
      </w:r>
      <w:r>
        <w:t>s</w:t>
      </w:r>
      <w:r w:rsidRPr="0024466B">
        <w:t xml:space="preserve"> denotes m</w:t>
      </w:r>
      <w:r>
        <w:t>aximum response</w:t>
      </w:r>
      <w:r>
        <w:t>s</w:t>
      </w:r>
      <w:r>
        <w:t xml:space="preserve"> upon saturation. </w:t>
      </w:r>
      <w:r>
        <w:t>T</w:t>
      </w:r>
      <w:r>
        <w:t>he results are summarise</w:t>
      </w:r>
      <w:r>
        <w:t>d in the table.</w:t>
      </w:r>
      <w:r w:rsidR="004067C3" w:rsidRPr="004067C3">
        <w:t xml:space="preserve"> The 1:1 binding model assumes a reduced maximum response of 50 RU (dark blue lines) and any additional binding above that level (black lines) is attributed to a baseline drift (light blue lines). The ‘heterogeneous antibody with aglycosylation’ model provides a better fit to the data and any additional binding above the glycosylated portion of VRC01Gal (pink) is attributed to aglycosylated antibodies (light blue), resulting in a proper total maximum response (66 RU). Kinetics and affinity parameters for the glycosylated antibodies of the VRC01Gal are not significantly affected by the model choice.</w:t>
      </w:r>
    </w:p>
    <w:p w14:paraId="60527F71" w14:textId="5E553520" w:rsidR="00885451" w:rsidRDefault="00885451">
      <w:r>
        <w:br w:type="page"/>
      </w:r>
    </w:p>
    <w:p w14:paraId="7E37FD2F" w14:textId="207F159F" w:rsidR="00885451" w:rsidRDefault="00885451" w:rsidP="00885451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C8980DC" wp14:editId="7CCC55B4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6629400" cy="6106795"/>
            <wp:effectExtent l="0" t="0" r="0" b="825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0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8F1F4" w14:textId="5D0B95CF" w:rsidR="00885451" w:rsidRDefault="00885451" w:rsidP="00885451">
      <w:pPr>
        <w:rPr>
          <w:b/>
        </w:rPr>
      </w:pPr>
    </w:p>
    <w:p w14:paraId="1D66FD7A" w14:textId="77B79DBB" w:rsidR="00885451" w:rsidRDefault="00885451" w:rsidP="00885451">
      <w:pPr>
        <w:rPr>
          <w:b/>
        </w:rPr>
      </w:pPr>
    </w:p>
    <w:p w14:paraId="1316F103" w14:textId="30D9FBEF" w:rsidR="00885451" w:rsidRDefault="00885451" w:rsidP="00885451">
      <w:pPr>
        <w:rPr>
          <w:b/>
        </w:rPr>
      </w:pPr>
    </w:p>
    <w:p w14:paraId="7228C2B3" w14:textId="77777777" w:rsidR="00885451" w:rsidRDefault="00885451" w:rsidP="00885451">
      <w:pPr>
        <w:rPr>
          <w:b/>
        </w:rPr>
      </w:pPr>
    </w:p>
    <w:p w14:paraId="4600CE14" w14:textId="77777777" w:rsidR="00885451" w:rsidRDefault="00885451" w:rsidP="00885451">
      <w:pPr>
        <w:rPr>
          <w:b/>
        </w:rPr>
      </w:pPr>
    </w:p>
    <w:p w14:paraId="27EEC07D" w14:textId="77777777" w:rsidR="00885451" w:rsidRDefault="00885451" w:rsidP="00885451">
      <w:pPr>
        <w:rPr>
          <w:b/>
        </w:rPr>
      </w:pPr>
    </w:p>
    <w:p w14:paraId="0D5B527B" w14:textId="77777777" w:rsidR="00885451" w:rsidRDefault="00885451" w:rsidP="00885451">
      <w:pPr>
        <w:rPr>
          <w:b/>
        </w:rPr>
      </w:pPr>
    </w:p>
    <w:p w14:paraId="0377EEB6" w14:textId="77777777" w:rsidR="00885451" w:rsidRDefault="00885451" w:rsidP="00885451">
      <w:pPr>
        <w:rPr>
          <w:b/>
        </w:rPr>
      </w:pPr>
    </w:p>
    <w:p w14:paraId="2B0D6E2C" w14:textId="77777777" w:rsidR="00885451" w:rsidRDefault="00885451" w:rsidP="00885451">
      <w:pPr>
        <w:rPr>
          <w:b/>
        </w:rPr>
      </w:pPr>
    </w:p>
    <w:p w14:paraId="3D484E59" w14:textId="77777777" w:rsidR="00885451" w:rsidRDefault="00885451" w:rsidP="00885451">
      <w:pPr>
        <w:rPr>
          <w:b/>
        </w:rPr>
      </w:pPr>
    </w:p>
    <w:p w14:paraId="19F2874C" w14:textId="77777777" w:rsidR="00885451" w:rsidRDefault="00885451" w:rsidP="00885451">
      <w:pPr>
        <w:rPr>
          <w:b/>
        </w:rPr>
      </w:pPr>
    </w:p>
    <w:p w14:paraId="083D35B8" w14:textId="77777777" w:rsidR="00885451" w:rsidRDefault="00885451" w:rsidP="00885451">
      <w:pPr>
        <w:rPr>
          <w:b/>
        </w:rPr>
      </w:pPr>
    </w:p>
    <w:p w14:paraId="2F4295C8" w14:textId="77777777" w:rsidR="00885451" w:rsidRDefault="00885451" w:rsidP="00885451">
      <w:pPr>
        <w:rPr>
          <w:b/>
        </w:rPr>
      </w:pPr>
    </w:p>
    <w:p w14:paraId="2878ED81" w14:textId="77777777" w:rsidR="00885451" w:rsidRDefault="00885451" w:rsidP="00885451">
      <w:pPr>
        <w:rPr>
          <w:b/>
        </w:rPr>
      </w:pPr>
    </w:p>
    <w:p w14:paraId="423C2B28" w14:textId="77777777" w:rsidR="00885451" w:rsidRDefault="00885451" w:rsidP="00885451">
      <w:pPr>
        <w:rPr>
          <w:b/>
        </w:rPr>
      </w:pPr>
    </w:p>
    <w:p w14:paraId="19506757" w14:textId="77777777" w:rsidR="00885451" w:rsidRDefault="00885451" w:rsidP="00885451">
      <w:pPr>
        <w:rPr>
          <w:b/>
        </w:rPr>
      </w:pPr>
    </w:p>
    <w:p w14:paraId="3C9924DC" w14:textId="77777777" w:rsidR="00885451" w:rsidRDefault="00885451" w:rsidP="00885451">
      <w:pPr>
        <w:rPr>
          <w:b/>
        </w:rPr>
      </w:pPr>
    </w:p>
    <w:p w14:paraId="5A27E4DC" w14:textId="77777777" w:rsidR="00885451" w:rsidRDefault="00885451" w:rsidP="00885451">
      <w:pPr>
        <w:rPr>
          <w:b/>
        </w:rPr>
      </w:pPr>
    </w:p>
    <w:p w14:paraId="4783BD10" w14:textId="77777777" w:rsidR="00885451" w:rsidRDefault="00885451" w:rsidP="00885451">
      <w:pPr>
        <w:rPr>
          <w:b/>
        </w:rPr>
      </w:pPr>
    </w:p>
    <w:p w14:paraId="23F8F34B" w14:textId="77777777" w:rsidR="00885451" w:rsidRDefault="00885451" w:rsidP="00885451">
      <w:pPr>
        <w:rPr>
          <w:b/>
        </w:rPr>
      </w:pPr>
    </w:p>
    <w:p w14:paraId="209A4DFA" w14:textId="77777777" w:rsidR="00885451" w:rsidRDefault="00885451" w:rsidP="00885451">
      <w:pPr>
        <w:rPr>
          <w:b/>
        </w:rPr>
      </w:pPr>
    </w:p>
    <w:p w14:paraId="5AAE3F78" w14:textId="77777777" w:rsidR="00885451" w:rsidRDefault="00885451" w:rsidP="00885451">
      <w:pPr>
        <w:rPr>
          <w:b/>
        </w:rPr>
      </w:pPr>
    </w:p>
    <w:p w14:paraId="16F407F7" w14:textId="5FBCB7AA" w:rsidR="00885451" w:rsidRPr="00434CEC" w:rsidRDefault="00885451" w:rsidP="00885451">
      <w:r w:rsidRPr="000B21D7">
        <w:rPr>
          <w:b/>
        </w:rPr>
        <w:t>Figure S</w:t>
      </w:r>
      <w:r>
        <w:rPr>
          <w:b/>
        </w:rPr>
        <w:t>3</w:t>
      </w:r>
      <w:r w:rsidRPr="000B21D7">
        <w:rPr>
          <w:b/>
        </w:rPr>
        <w:t xml:space="preserve">. </w:t>
      </w:r>
      <w:r>
        <w:rPr>
          <w:b/>
        </w:rPr>
        <w:t>Steady-state a</w:t>
      </w:r>
      <w:r w:rsidRPr="000B21D7">
        <w:rPr>
          <w:b/>
        </w:rPr>
        <w:t xml:space="preserve">ffinity </w:t>
      </w:r>
      <w:r>
        <w:rPr>
          <w:b/>
        </w:rPr>
        <w:t xml:space="preserve">measurements </w:t>
      </w:r>
      <w:r w:rsidRPr="000B21D7">
        <w:rPr>
          <w:b/>
        </w:rPr>
        <w:t xml:space="preserve">of </w:t>
      </w:r>
      <w:r>
        <w:rPr>
          <w:b/>
        </w:rPr>
        <w:t>different VRC01 glycovariants binding</w:t>
      </w:r>
      <w:r w:rsidRPr="000B21D7">
        <w:rPr>
          <w:b/>
        </w:rPr>
        <w:t xml:space="preserve"> </w:t>
      </w:r>
      <w:r>
        <w:rPr>
          <w:b/>
          <w:bCs/>
          <w:lang w:val="en-US"/>
        </w:rPr>
        <w:t>Fc</w:t>
      </w:r>
      <w:r w:rsidRPr="00E2259A">
        <w:rPr>
          <w:rFonts w:ascii="Symbol" w:hAnsi="Symbol"/>
          <w:b/>
          <w:bCs/>
          <w:lang w:val="en-US"/>
        </w:rPr>
        <w:t></w:t>
      </w:r>
      <w:r>
        <w:rPr>
          <w:b/>
          <w:bCs/>
          <w:lang w:val="en-US"/>
        </w:rPr>
        <w:t>RI</w:t>
      </w:r>
      <w:r>
        <w:rPr>
          <w:b/>
          <w:bCs/>
          <w:lang w:val="en-US"/>
        </w:rPr>
        <w:t>Ia</w:t>
      </w:r>
      <w:r w:rsidRPr="000B21D7">
        <w:rPr>
          <w:b/>
        </w:rPr>
        <w:t xml:space="preserve">. </w:t>
      </w:r>
      <w:r w:rsidR="00434CEC" w:rsidRPr="00434CEC">
        <w:t>During injection of Fc</w:t>
      </w:r>
      <w:r w:rsidR="00434CEC" w:rsidRPr="00434CEC">
        <w:rPr>
          <w:rFonts w:ascii="Symbol" w:hAnsi="Symbol"/>
        </w:rPr>
        <w:t></w:t>
      </w:r>
      <w:r w:rsidR="00434CEC" w:rsidRPr="00434CEC">
        <w:t>RIIa (0.5-8</w:t>
      </w:r>
      <w:r w:rsidR="00434CEC" w:rsidRPr="00434CEC">
        <w:rPr>
          <w:rFonts w:ascii="Symbol" w:hAnsi="Symbol"/>
        </w:rPr>
        <w:t></w:t>
      </w:r>
      <w:r w:rsidR="00434CEC" w:rsidRPr="00434CEC">
        <w:t xml:space="preserve">M) </w:t>
      </w:r>
      <w:r w:rsidR="00434CEC">
        <w:t xml:space="preserve">over the Protein A captured antibodies, the analytes immediately reach a dynamic equilibrium of complex formation and dissociation, which is represented by the flat binding shown in the sensorgrams. Responses at steady-states are analysed using steady-state affinity evaluation. </w:t>
      </w:r>
      <w:r w:rsidR="0041266D">
        <w:t xml:space="preserve">The Biacore Evaluation software </w:t>
      </w:r>
      <w:r w:rsidR="0041266D">
        <w:t>e</w:t>
      </w:r>
      <w:r w:rsidR="00434CEC">
        <w:t>xtrapolate</w:t>
      </w:r>
      <w:r w:rsidR="0041266D">
        <w:t>s</w:t>
      </w:r>
      <w:r w:rsidR="00434CEC">
        <w:t xml:space="preserve"> affinity values</w:t>
      </w:r>
      <w:r w:rsidR="0041266D">
        <w:t xml:space="preserve"> which </w:t>
      </w:r>
      <w:r w:rsidR="00434CEC">
        <w:t xml:space="preserve">are indicated by a black solid vertical line (when the estimation is robust) or a red dashed line (when the estimation is only approximate). </w:t>
      </w:r>
    </w:p>
    <w:p w14:paraId="361BA352" w14:textId="77777777" w:rsidR="00885451" w:rsidRDefault="00AD2C6F" w:rsidP="00885451">
      <w:r>
        <w:br w:type="page"/>
      </w:r>
    </w:p>
    <w:p w14:paraId="2AA010E9" w14:textId="2DC7FC4B" w:rsidR="00885451" w:rsidRDefault="00885451" w:rsidP="0088545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5EC347C" wp14:editId="1F8AFFB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229350" cy="615759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15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5741D" w14:textId="715039D8" w:rsidR="00885451" w:rsidRDefault="00885451" w:rsidP="00885451"/>
    <w:p w14:paraId="21346297" w14:textId="77777777" w:rsidR="00885451" w:rsidRDefault="00885451" w:rsidP="00885451"/>
    <w:p w14:paraId="71B6FD77" w14:textId="06B1CB18" w:rsidR="00885451" w:rsidRDefault="00885451" w:rsidP="00885451"/>
    <w:p w14:paraId="1426AA6E" w14:textId="77777777" w:rsidR="00885451" w:rsidRDefault="00885451" w:rsidP="00885451"/>
    <w:p w14:paraId="2A64FC87" w14:textId="43F5D078" w:rsidR="00885451" w:rsidRDefault="00885451" w:rsidP="00885451"/>
    <w:p w14:paraId="7F389437" w14:textId="6A73832F" w:rsidR="00885451" w:rsidRDefault="00885451" w:rsidP="00885451"/>
    <w:p w14:paraId="389B05A1" w14:textId="77777777" w:rsidR="00885451" w:rsidRDefault="00885451" w:rsidP="00885451"/>
    <w:p w14:paraId="2E33D0E0" w14:textId="24C0A29B" w:rsidR="00885451" w:rsidRDefault="00885451" w:rsidP="00885451"/>
    <w:p w14:paraId="14E0DD9F" w14:textId="575B8CBF" w:rsidR="00885451" w:rsidRDefault="00885451" w:rsidP="00885451"/>
    <w:p w14:paraId="11A2D1BD" w14:textId="4900F7E3" w:rsidR="00885451" w:rsidRDefault="00885451" w:rsidP="00885451"/>
    <w:p w14:paraId="2E55033F" w14:textId="77777777" w:rsidR="00885451" w:rsidRDefault="00885451" w:rsidP="00885451"/>
    <w:p w14:paraId="0E6A5B96" w14:textId="0987D10F" w:rsidR="00885451" w:rsidRDefault="00885451" w:rsidP="00885451"/>
    <w:p w14:paraId="214838D9" w14:textId="722A03A1" w:rsidR="00885451" w:rsidRDefault="00885451" w:rsidP="00885451"/>
    <w:p w14:paraId="6AB9AEE0" w14:textId="77777777" w:rsidR="00885451" w:rsidRDefault="00885451" w:rsidP="00885451"/>
    <w:p w14:paraId="7076C39A" w14:textId="020391AD" w:rsidR="00885451" w:rsidRDefault="00885451" w:rsidP="00885451"/>
    <w:p w14:paraId="173AF14B" w14:textId="77777777" w:rsidR="00885451" w:rsidRDefault="00885451" w:rsidP="00885451"/>
    <w:p w14:paraId="4B4797F2" w14:textId="56972BBE" w:rsidR="00885451" w:rsidRDefault="00885451" w:rsidP="00885451"/>
    <w:p w14:paraId="149D069E" w14:textId="77777777" w:rsidR="00885451" w:rsidRDefault="00885451" w:rsidP="00885451"/>
    <w:p w14:paraId="67139DDC" w14:textId="538AC794" w:rsidR="00885451" w:rsidRDefault="00885451" w:rsidP="00885451"/>
    <w:p w14:paraId="769BDF2E" w14:textId="77777777" w:rsidR="00885451" w:rsidRDefault="00885451" w:rsidP="00885451"/>
    <w:p w14:paraId="54CDD4E1" w14:textId="07AC8F25" w:rsidR="00885451" w:rsidRDefault="00885451" w:rsidP="00885451"/>
    <w:p w14:paraId="776CAE9A" w14:textId="38FCE66B" w:rsidR="00885451" w:rsidRDefault="00885451" w:rsidP="00885451"/>
    <w:p w14:paraId="0F121AED" w14:textId="3DB4AD01" w:rsidR="0041266D" w:rsidRPr="00434CEC" w:rsidRDefault="00885451" w:rsidP="0041266D">
      <w:r w:rsidRPr="000B21D7">
        <w:rPr>
          <w:b/>
        </w:rPr>
        <w:t>Figure S</w:t>
      </w:r>
      <w:r>
        <w:rPr>
          <w:b/>
        </w:rPr>
        <w:t>4</w:t>
      </w:r>
      <w:r w:rsidRPr="000B21D7">
        <w:rPr>
          <w:b/>
        </w:rPr>
        <w:t xml:space="preserve">. </w:t>
      </w:r>
      <w:r>
        <w:rPr>
          <w:b/>
        </w:rPr>
        <w:t>Steady-state a</w:t>
      </w:r>
      <w:r w:rsidRPr="000B21D7">
        <w:rPr>
          <w:b/>
        </w:rPr>
        <w:t xml:space="preserve">ffinity </w:t>
      </w:r>
      <w:r>
        <w:rPr>
          <w:b/>
        </w:rPr>
        <w:t xml:space="preserve">measurements </w:t>
      </w:r>
      <w:r w:rsidRPr="000B21D7">
        <w:rPr>
          <w:b/>
        </w:rPr>
        <w:t xml:space="preserve">of </w:t>
      </w:r>
      <w:r>
        <w:rPr>
          <w:b/>
        </w:rPr>
        <w:t>different VRC01 glycovariants binding</w:t>
      </w:r>
      <w:r w:rsidRPr="000B21D7">
        <w:rPr>
          <w:b/>
        </w:rPr>
        <w:t xml:space="preserve"> </w:t>
      </w:r>
      <w:r>
        <w:rPr>
          <w:b/>
          <w:bCs/>
          <w:lang w:val="en-US"/>
        </w:rPr>
        <w:t>Fc</w:t>
      </w:r>
      <w:r w:rsidRPr="00E2259A">
        <w:rPr>
          <w:rFonts w:ascii="Symbol" w:hAnsi="Symbol"/>
          <w:b/>
          <w:bCs/>
          <w:lang w:val="en-US"/>
        </w:rPr>
        <w:t></w:t>
      </w:r>
      <w:r>
        <w:rPr>
          <w:b/>
          <w:bCs/>
          <w:lang w:val="en-US"/>
        </w:rPr>
        <w:t>RII</w:t>
      </w:r>
      <w:r>
        <w:rPr>
          <w:b/>
          <w:bCs/>
          <w:lang w:val="en-US"/>
        </w:rPr>
        <w:t>b</w:t>
      </w:r>
      <w:r w:rsidRPr="000B21D7">
        <w:rPr>
          <w:b/>
        </w:rPr>
        <w:t>.</w:t>
      </w:r>
      <w:r w:rsidR="0041266D" w:rsidRPr="000B21D7">
        <w:rPr>
          <w:b/>
        </w:rPr>
        <w:t xml:space="preserve"> </w:t>
      </w:r>
      <w:r w:rsidR="0041266D" w:rsidRPr="00434CEC">
        <w:t>During injection of Fc</w:t>
      </w:r>
      <w:r w:rsidR="0041266D" w:rsidRPr="00434CEC">
        <w:rPr>
          <w:rFonts w:ascii="Symbol" w:hAnsi="Symbol"/>
        </w:rPr>
        <w:t></w:t>
      </w:r>
      <w:r w:rsidR="0041266D" w:rsidRPr="00434CEC">
        <w:t>RIIa (0.5-8</w:t>
      </w:r>
      <w:r w:rsidR="0041266D" w:rsidRPr="00434CEC">
        <w:rPr>
          <w:rFonts w:ascii="Symbol" w:hAnsi="Symbol"/>
        </w:rPr>
        <w:t></w:t>
      </w:r>
      <w:r w:rsidR="0041266D" w:rsidRPr="00434CEC">
        <w:t xml:space="preserve">M) </w:t>
      </w:r>
      <w:r w:rsidR="0041266D">
        <w:t xml:space="preserve">over the Protein A captured antibodies, the analytes immediately reach a dynamic equilibrium of complex formation and dissociation, which is represented by the flat binding shown in the sensorgrams. Responses at steady-states are analysed using steady-state affinity evaluation. The Biacore Evaluation software extrapolates affinity values which are indicated by a black solid vertical line (when the estimation is robust) or a red dashed line (when the estimation is only approximate). </w:t>
      </w:r>
    </w:p>
    <w:p w14:paraId="6E330389" w14:textId="1C544DB9" w:rsidR="00885451" w:rsidRPr="000B21D7" w:rsidRDefault="00885451" w:rsidP="00885451">
      <w:pPr>
        <w:rPr>
          <w:b/>
        </w:rPr>
      </w:pPr>
    </w:p>
    <w:p w14:paraId="290DC50D" w14:textId="5957C7AF" w:rsidR="00885451" w:rsidRDefault="00885451">
      <w:r>
        <w:br w:type="page"/>
      </w:r>
    </w:p>
    <w:p w14:paraId="5DD7D409" w14:textId="77777777" w:rsidR="00AD2C6F" w:rsidRDefault="00AD2C6F" w:rsidP="00885451"/>
    <w:p w14:paraId="1927BC9F" w14:textId="1E0B0657" w:rsidR="0075304E" w:rsidRDefault="0075304E" w:rsidP="0075304E"/>
    <w:p w14:paraId="4394F17B" w14:textId="61DBD2CD" w:rsidR="000B21D7" w:rsidRDefault="00C516CE" w:rsidP="00C516CE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7BA69AD" wp14:editId="7D4DD689">
            <wp:extent cx="4749165" cy="341376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57C07" w14:textId="25D421E2" w:rsidR="000B21D7" w:rsidRPr="000B21D7" w:rsidRDefault="00934465" w:rsidP="00A60432">
      <w:pPr>
        <w:rPr>
          <w:b/>
        </w:rPr>
      </w:pPr>
      <w:r w:rsidRPr="000B21D7">
        <w:rPr>
          <w:b/>
        </w:rPr>
        <w:t>Figure S</w:t>
      </w:r>
      <w:r w:rsidR="003A07F3">
        <w:rPr>
          <w:b/>
        </w:rPr>
        <w:t>5</w:t>
      </w:r>
      <w:bookmarkStart w:id="0" w:name="_GoBack"/>
      <w:bookmarkEnd w:id="0"/>
      <w:r w:rsidRPr="000B21D7">
        <w:rPr>
          <w:b/>
        </w:rPr>
        <w:t xml:space="preserve">. </w:t>
      </w:r>
      <w:r w:rsidR="000B21D7">
        <w:rPr>
          <w:b/>
        </w:rPr>
        <w:t>Steady-state a</w:t>
      </w:r>
      <w:r w:rsidR="000B21D7" w:rsidRPr="000B21D7">
        <w:rPr>
          <w:b/>
        </w:rPr>
        <w:t xml:space="preserve">ffinity </w:t>
      </w:r>
      <w:r w:rsidR="000B21D7">
        <w:rPr>
          <w:b/>
        </w:rPr>
        <w:t xml:space="preserve">measurements </w:t>
      </w:r>
      <w:r w:rsidR="000B21D7" w:rsidRPr="000B21D7">
        <w:rPr>
          <w:b/>
        </w:rPr>
        <w:t xml:space="preserve">of </w:t>
      </w:r>
      <w:r w:rsidR="000B21D7">
        <w:rPr>
          <w:b/>
        </w:rPr>
        <w:t>different VRC01 glycovariants binding</w:t>
      </w:r>
      <w:r w:rsidR="000B21D7" w:rsidRPr="000B21D7">
        <w:rPr>
          <w:b/>
        </w:rPr>
        <w:t xml:space="preserve"> FcRn. </w:t>
      </w:r>
    </w:p>
    <w:p w14:paraId="3C28635C" w14:textId="5D4CFD9A" w:rsidR="00D610ED" w:rsidRDefault="000B21D7" w:rsidP="00A60432">
      <w:r w:rsidRPr="000B21D7">
        <w:t>Each VRC01 glycovariant was captured onto the anti-human Fab surface to the same level, followed by injection of recombinant human FcRn ectodomains at different concentrations (800 nM, 400 nM, 2</w:t>
      </w:r>
      <w:r>
        <w:t>00 nM, 50 nM, 12.5 nM).</w:t>
      </w:r>
      <w:r w:rsidR="00D610ED">
        <w:t xml:space="preserve"> </w:t>
      </w:r>
      <w:r w:rsidR="00D610ED" w:rsidRPr="00F13116">
        <w:t>Since clear steady-state equilibrium responses could not be reached, probably due to a presence of receptor dimers causing slow sensorgram upward drifts, the responses shortly after injection (as indicated by black crosses) were selected for steady-state affinity evaluation</w:t>
      </w:r>
      <w:r w:rsidR="00D610ED">
        <w:t xml:space="preserve">. </w:t>
      </w:r>
      <w:r w:rsidR="00D610ED" w:rsidRPr="00F13116">
        <w:t>Responses at this time point are believed to represent best 1:1 interaction between FcRn and VRC01 heavy chains, before the dimer-artefacts come into effect.</w:t>
      </w:r>
      <w:r w:rsidR="00D610ED">
        <w:t xml:space="preserve"> Dashed horizontal lines indicate</w:t>
      </w:r>
      <w:r w:rsidRPr="000B21D7">
        <w:t xml:space="preserve"> maximum response upon saturation. </w:t>
      </w:r>
    </w:p>
    <w:p w14:paraId="6B19125C" w14:textId="60735662" w:rsidR="00701277" w:rsidRDefault="00701277" w:rsidP="00A60432"/>
    <w:p w14:paraId="78424F8C" w14:textId="18C35BB5" w:rsidR="00895B4D" w:rsidRDefault="00D610ED" w:rsidP="00A60432">
      <w:r>
        <w:t xml:space="preserve"> </w:t>
      </w:r>
    </w:p>
    <w:p w14:paraId="19A1DF9C" w14:textId="3A34C5A6" w:rsidR="00895B4D" w:rsidRDefault="00895B4D">
      <w:r>
        <w:br w:type="page"/>
      </w:r>
    </w:p>
    <w:p w14:paraId="5222B695" w14:textId="140C34D3" w:rsidR="00A60432" w:rsidRDefault="00A60432" w:rsidP="00A60432"/>
    <w:p w14:paraId="4F846031" w14:textId="354DE959" w:rsidR="00CB64B1" w:rsidRPr="001A25CC" w:rsidRDefault="00CB64B1" w:rsidP="001A25C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CB64B1" w:rsidRPr="001A25CC" w:rsidSect="00DE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4B8F" w14:textId="77777777" w:rsidR="001D3585" w:rsidRDefault="001D3585" w:rsidP="009C3FAE">
      <w:pPr>
        <w:spacing w:after="0" w:line="240" w:lineRule="auto"/>
      </w:pPr>
      <w:r>
        <w:separator/>
      </w:r>
    </w:p>
  </w:endnote>
  <w:endnote w:type="continuationSeparator" w:id="0">
    <w:p w14:paraId="6E5D70F7" w14:textId="77777777" w:rsidR="001D3585" w:rsidRDefault="001D3585" w:rsidP="009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675B" w14:textId="77777777" w:rsidR="001D3585" w:rsidRDefault="001D3585" w:rsidP="009C3FAE">
      <w:pPr>
        <w:spacing w:after="0" w:line="240" w:lineRule="auto"/>
      </w:pPr>
      <w:r>
        <w:separator/>
      </w:r>
    </w:p>
  </w:footnote>
  <w:footnote w:type="continuationSeparator" w:id="0">
    <w:p w14:paraId="27CFBD31" w14:textId="77777777" w:rsidR="001D3585" w:rsidRDefault="001D3585" w:rsidP="009C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4D5"/>
    <w:multiLevelType w:val="hybridMultilevel"/>
    <w:tmpl w:val="FA402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A72"/>
    <w:multiLevelType w:val="hybridMultilevel"/>
    <w:tmpl w:val="51A47C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AB4"/>
    <w:multiLevelType w:val="hybridMultilevel"/>
    <w:tmpl w:val="52B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01A2"/>
    <w:multiLevelType w:val="hybridMultilevel"/>
    <w:tmpl w:val="84BEEA26"/>
    <w:lvl w:ilvl="0" w:tplc="C4E879C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23462"/>
    <w:multiLevelType w:val="hybridMultilevel"/>
    <w:tmpl w:val="AB16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6613"/>
    <w:multiLevelType w:val="hybridMultilevel"/>
    <w:tmpl w:val="9018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188C"/>
    <w:multiLevelType w:val="hybridMultilevel"/>
    <w:tmpl w:val="D7DE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984"/>
    <w:multiLevelType w:val="hybridMultilevel"/>
    <w:tmpl w:val="2D5434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05B9"/>
    <w:multiLevelType w:val="hybridMultilevel"/>
    <w:tmpl w:val="7C94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08EA"/>
    <w:multiLevelType w:val="hybridMultilevel"/>
    <w:tmpl w:val="09A0B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20x5arcvv0ezea9ed5922brx0zfwvvr2va&quot;&gt;My EndNote Library&lt;record-ids&gt;&lt;item&gt;2360&lt;/item&gt;&lt;item&gt;2369&lt;/item&gt;&lt;item&gt;2492&lt;/item&gt;&lt;item&gt;2494&lt;/item&gt;&lt;item&gt;2503&lt;/item&gt;&lt;item&gt;2517&lt;/item&gt;&lt;item&gt;2518&lt;/item&gt;&lt;item&gt;2525&lt;/item&gt;&lt;item&gt;2659&lt;/item&gt;&lt;item&gt;2667&lt;/item&gt;&lt;item&gt;2669&lt;/item&gt;&lt;item&gt;2677&lt;/item&gt;&lt;item&gt;2716&lt;/item&gt;&lt;item&gt;2723&lt;/item&gt;&lt;item&gt;2724&lt;/item&gt;&lt;item&gt;2725&lt;/item&gt;&lt;item&gt;2726&lt;/item&gt;&lt;item&gt;2727&lt;/item&gt;&lt;item&gt;2728&lt;/item&gt;&lt;item&gt;2729&lt;/item&gt;&lt;item&gt;2730&lt;/item&gt;&lt;item&gt;2731&lt;/item&gt;&lt;item&gt;2732&lt;/item&gt;&lt;/record-ids&gt;&lt;/item&gt;&lt;/Libraries&gt;"/>
  </w:docVars>
  <w:rsids>
    <w:rsidRoot w:val="00F44314"/>
    <w:rsid w:val="00012B5D"/>
    <w:rsid w:val="000133A7"/>
    <w:rsid w:val="00021E36"/>
    <w:rsid w:val="00030102"/>
    <w:rsid w:val="00030A2F"/>
    <w:rsid w:val="00032F11"/>
    <w:rsid w:val="00036FDA"/>
    <w:rsid w:val="0004130C"/>
    <w:rsid w:val="000426B3"/>
    <w:rsid w:val="00047AF5"/>
    <w:rsid w:val="00051814"/>
    <w:rsid w:val="00054AF4"/>
    <w:rsid w:val="000578C4"/>
    <w:rsid w:val="00062051"/>
    <w:rsid w:val="00067C34"/>
    <w:rsid w:val="00076F3A"/>
    <w:rsid w:val="00086469"/>
    <w:rsid w:val="00090E55"/>
    <w:rsid w:val="0009320E"/>
    <w:rsid w:val="000932B6"/>
    <w:rsid w:val="00095AE6"/>
    <w:rsid w:val="00095FD0"/>
    <w:rsid w:val="000A1E11"/>
    <w:rsid w:val="000A2908"/>
    <w:rsid w:val="000A505D"/>
    <w:rsid w:val="000B0852"/>
    <w:rsid w:val="000B21D7"/>
    <w:rsid w:val="000B481A"/>
    <w:rsid w:val="000B7649"/>
    <w:rsid w:val="000C05F9"/>
    <w:rsid w:val="000C2A0F"/>
    <w:rsid w:val="000C7F70"/>
    <w:rsid w:val="000E238D"/>
    <w:rsid w:val="000E3762"/>
    <w:rsid w:val="000E6837"/>
    <w:rsid w:val="000F264D"/>
    <w:rsid w:val="000F610E"/>
    <w:rsid w:val="000F647D"/>
    <w:rsid w:val="000F76CB"/>
    <w:rsid w:val="00100323"/>
    <w:rsid w:val="00116B78"/>
    <w:rsid w:val="001302D7"/>
    <w:rsid w:val="00131980"/>
    <w:rsid w:val="00134D9C"/>
    <w:rsid w:val="00142DEA"/>
    <w:rsid w:val="001471CC"/>
    <w:rsid w:val="00156E54"/>
    <w:rsid w:val="001617D8"/>
    <w:rsid w:val="001626AD"/>
    <w:rsid w:val="0016749E"/>
    <w:rsid w:val="00171BB3"/>
    <w:rsid w:val="00175E38"/>
    <w:rsid w:val="00177806"/>
    <w:rsid w:val="001845D1"/>
    <w:rsid w:val="001862D9"/>
    <w:rsid w:val="00187B48"/>
    <w:rsid w:val="001906F5"/>
    <w:rsid w:val="00197B9C"/>
    <w:rsid w:val="001A25CC"/>
    <w:rsid w:val="001A4F67"/>
    <w:rsid w:val="001A60BC"/>
    <w:rsid w:val="001A65A6"/>
    <w:rsid w:val="001B01F1"/>
    <w:rsid w:val="001B3348"/>
    <w:rsid w:val="001B5170"/>
    <w:rsid w:val="001C1AE6"/>
    <w:rsid w:val="001C43A3"/>
    <w:rsid w:val="001C675A"/>
    <w:rsid w:val="001D3053"/>
    <w:rsid w:val="001D3585"/>
    <w:rsid w:val="001D369C"/>
    <w:rsid w:val="001E187A"/>
    <w:rsid w:val="001E5409"/>
    <w:rsid w:val="001E64DD"/>
    <w:rsid w:val="001E6954"/>
    <w:rsid w:val="001E76ED"/>
    <w:rsid w:val="001F063F"/>
    <w:rsid w:val="001F13DF"/>
    <w:rsid w:val="001F1BC6"/>
    <w:rsid w:val="00205D28"/>
    <w:rsid w:val="002061A6"/>
    <w:rsid w:val="0020781C"/>
    <w:rsid w:val="002117B3"/>
    <w:rsid w:val="00211977"/>
    <w:rsid w:val="00212705"/>
    <w:rsid w:val="002130F9"/>
    <w:rsid w:val="00217CD4"/>
    <w:rsid w:val="00224BE5"/>
    <w:rsid w:val="00225DA6"/>
    <w:rsid w:val="00231B8C"/>
    <w:rsid w:val="002408C9"/>
    <w:rsid w:val="00240CE5"/>
    <w:rsid w:val="00243C7D"/>
    <w:rsid w:val="0024466B"/>
    <w:rsid w:val="0024671D"/>
    <w:rsid w:val="0025031A"/>
    <w:rsid w:val="002549DC"/>
    <w:rsid w:val="00254DF6"/>
    <w:rsid w:val="0025539D"/>
    <w:rsid w:val="00260DF4"/>
    <w:rsid w:val="00260F24"/>
    <w:rsid w:val="00263E95"/>
    <w:rsid w:val="00264E5A"/>
    <w:rsid w:val="00265461"/>
    <w:rsid w:val="002740BE"/>
    <w:rsid w:val="002774A4"/>
    <w:rsid w:val="002822B8"/>
    <w:rsid w:val="002844E6"/>
    <w:rsid w:val="00295B5F"/>
    <w:rsid w:val="002A00DC"/>
    <w:rsid w:val="002A1C21"/>
    <w:rsid w:val="002A5A34"/>
    <w:rsid w:val="002B5EC9"/>
    <w:rsid w:val="002B6A77"/>
    <w:rsid w:val="002B6D04"/>
    <w:rsid w:val="002C1C5D"/>
    <w:rsid w:val="002C4880"/>
    <w:rsid w:val="002C5215"/>
    <w:rsid w:val="002D0570"/>
    <w:rsid w:val="002D3037"/>
    <w:rsid w:val="002D7104"/>
    <w:rsid w:val="002E0A13"/>
    <w:rsid w:val="002F0277"/>
    <w:rsid w:val="002F320F"/>
    <w:rsid w:val="002F4304"/>
    <w:rsid w:val="00301135"/>
    <w:rsid w:val="0030401C"/>
    <w:rsid w:val="0031121A"/>
    <w:rsid w:val="0031382E"/>
    <w:rsid w:val="003141E8"/>
    <w:rsid w:val="00314629"/>
    <w:rsid w:val="00320F4D"/>
    <w:rsid w:val="003215C7"/>
    <w:rsid w:val="00321F89"/>
    <w:rsid w:val="0032301A"/>
    <w:rsid w:val="00323346"/>
    <w:rsid w:val="00323743"/>
    <w:rsid w:val="0034331F"/>
    <w:rsid w:val="00343C9B"/>
    <w:rsid w:val="00347EDE"/>
    <w:rsid w:val="00351C44"/>
    <w:rsid w:val="00360E01"/>
    <w:rsid w:val="00361C22"/>
    <w:rsid w:val="0036610E"/>
    <w:rsid w:val="00367E66"/>
    <w:rsid w:val="00376E28"/>
    <w:rsid w:val="00380D62"/>
    <w:rsid w:val="0038135A"/>
    <w:rsid w:val="0038580E"/>
    <w:rsid w:val="00386D74"/>
    <w:rsid w:val="00393533"/>
    <w:rsid w:val="0039546C"/>
    <w:rsid w:val="00395A9E"/>
    <w:rsid w:val="0039661E"/>
    <w:rsid w:val="003A03D3"/>
    <w:rsid w:val="003A07F3"/>
    <w:rsid w:val="003A3DBA"/>
    <w:rsid w:val="003A5842"/>
    <w:rsid w:val="003A5968"/>
    <w:rsid w:val="003B3D16"/>
    <w:rsid w:val="003C085D"/>
    <w:rsid w:val="003C0B8C"/>
    <w:rsid w:val="003D1F35"/>
    <w:rsid w:val="003D4821"/>
    <w:rsid w:val="003D5B61"/>
    <w:rsid w:val="003F1D50"/>
    <w:rsid w:val="003F2160"/>
    <w:rsid w:val="003F2D7C"/>
    <w:rsid w:val="003F5A97"/>
    <w:rsid w:val="0040053E"/>
    <w:rsid w:val="004067C3"/>
    <w:rsid w:val="00411778"/>
    <w:rsid w:val="0041266D"/>
    <w:rsid w:val="00420146"/>
    <w:rsid w:val="00420D19"/>
    <w:rsid w:val="00422F50"/>
    <w:rsid w:val="00426C36"/>
    <w:rsid w:val="00427356"/>
    <w:rsid w:val="004327B6"/>
    <w:rsid w:val="00434CEC"/>
    <w:rsid w:val="00435364"/>
    <w:rsid w:val="00440E40"/>
    <w:rsid w:val="004516FF"/>
    <w:rsid w:val="00456366"/>
    <w:rsid w:val="00456C01"/>
    <w:rsid w:val="004617F3"/>
    <w:rsid w:val="00466C07"/>
    <w:rsid w:val="0047085E"/>
    <w:rsid w:val="00486281"/>
    <w:rsid w:val="004866D9"/>
    <w:rsid w:val="0048780F"/>
    <w:rsid w:val="004A42EA"/>
    <w:rsid w:val="004B0740"/>
    <w:rsid w:val="004B44B1"/>
    <w:rsid w:val="004C6AE6"/>
    <w:rsid w:val="004D333B"/>
    <w:rsid w:val="004D5A9A"/>
    <w:rsid w:val="004E3186"/>
    <w:rsid w:val="004E4587"/>
    <w:rsid w:val="004E508C"/>
    <w:rsid w:val="004E5C4B"/>
    <w:rsid w:val="004E633F"/>
    <w:rsid w:val="004F3103"/>
    <w:rsid w:val="004F3AEC"/>
    <w:rsid w:val="004F64E9"/>
    <w:rsid w:val="00511361"/>
    <w:rsid w:val="00513419"/>
    <w:rsid w:val="005327CE"/>
    <w:rsid w:val="00536D37"/>
    <w:rsid w:val="00537172"/>
    <w:rsid w:val="00541DD6"/>
    <w:rsid w:val="00542349"/>
    <w:rsid w:val="00543A58"/>
    <w:rsid w:val="00543E59"/>
    <w:rsid w:val="00551DB1"/>
    <w:rsid w:val="00551E5A"/>
    <w:rsid w:val="00554FD9"/>
    <w:rsid w:val="0056195F"/>
    <w:rsid w:val="00564CB2"/>
    <w:rsid w:val="0057113C"/>
    <w:rsid w:val="00572DC6"/>
    <w:rsid w:val="005734FB"/>
    <w:rsid w:val="00577F9F"/>
    <w:rsid w:val="00584834"/>
    <w:rsid w:val="0059165F"/>
    <w:rsid w:val="0059254A"/>
    <w:rsid w:val="00594BF1"/>
    <w:rsid w:val="00594CD8"/>
    <w:rsid w:val="005A15FA"/>
    <w:rsid w:val="005A16DF"/>
    <w:rsid w:val="005A19A9"/>
    <w:rsid w:val="005A59AE"/>
    <w:rsid w:val="005B51A1"/>
    <w:rsid w:val="005C4C60"/>
    <w:rsid w:val="005C6852"/>
    <w:rsid w:val="005D00B8"/>
    <w:rsid w:val="005D2CA0"/>
    <w:rsid w:val="005D3861"/>
    <w:rsid w:val="005D6551"/>
    <w:rsid w:val="005D6BDD"/>
    <w:rsid w:val="005E2938"/>
    <w:rsid w:val="005F34C2"/>
    <w:rsid w:val="005F7508"/>
    <w:rsid w:val="005F7A86"/>
    <w:rsid w:val="00601A14"/>
    <w:rsid w:val="0060513B"/>
    <w:rsid w:val="0060683C"/>
    <w:rsid w:val="006079C5"/>
    <w:rsid w:val="006104B3"/>
    <w:rsid w:val="00617A72"/>
    <w:rsid w:val="0062419F"/>
    <w:rsid w:val="0062707C"/>
    <w:rsid w:val="006360C4"/>
    <w:rsid w:val="006514C9"/>
    <w:rsid w:val="00653712"/>
    <w:rsid w:val="006562F4"/>
    <w:rsid w:val="006644FB"/>
    <w:rsid w:val="00671D13"/>
    <w:rsid w:val="00673216"/>
    <w:rsid w:val="00680970"/>
    <w:rsid w:val="00685B0F"/>
    <w:rsid w:val="0068695C"/>
    <w:rsid w:val="006A0427"/>
    <w:rsid w:val="006A06E8"/>
    <w:rsid w:val="006A1130"/>
    <w:rsid w:val="006A13C5"/>
    <w:rsid w:val="006A17C3"/>
    <w:rsid w:val="006A23C3"/>
    <w:rsid w:val="006A3A29"/>
    <w:rsid w:val="006A4763"/>
    <w:rsid w:val="006A62CA"/>
    <w:rsid w:val="006B1774"/>
    <w:rsid w:val="006B4BCA"/>
    <w:rsid w:val="006D034E"/>
    <w:rsid w:val="006D7512"/>
    <w:rsid w:val="006E1CC4"/>
    <w:rsid w:val="006F32F9"/>
    <w:rsid w:val="00701277"/>
    <w:rsid w:val="007036FD"/>
    <w:rsid w:val="00713334"/>
    <w:rsid w:val="007275D2"/>
    <w:rsid w:val="0073444B"/>
    <w:rsid w:val="007421F1"/>
    <w:rsid w:val="0075304E"/>
    <w:rsid w:val="00754E75"/>
    <w:rsid w:val="00761B03"/>
    <w:rsid w:val="0076589F"/>
    <w:rsid w:val="00767B61"/>
    <w:rsid w:val="00767F1A"/>
    <w:rsid w:val="0077531E"/>
    <w:rsid w:val="0078220A"/>
    <w:rsid w:val="00782770"/>
    <w:rsid w:val="00785DA6"/>
    <w:rsid w:val="007877C6"/>
    <w:rsid w:val="00790C58"/>
    <w:rsid w:val="007941BD"/>
    <w:rsid w:val="0079561A"/>
    <w:rsid w:val="00796924"/>
    <w:rsid w:val="007A2038"/>
    <w:rsid w:val="007A3517"/>
    <w:rsid w:val="007A46F4"/>
    <w:rsid w:val="007B00A8"/>
    <w:rsid w:val="007B4B7B"/>
    <w:rsid w:val="007B5EE7"/>
    <w:rsid w:val="007B6083"/>
    <w:rsid w:val="007D6B41"/>
    <w:rsid w:val="007E0DEB"/>
    <w:rsid w:val="007E110C"/>
    <w:rsid w:val="007E581C"/>
    <w:rsid w:val="007E5D22"/>
    <w:rsid w:val="007E6CD2"/>
    <w:rsid w:val="007F1F9C"/>
    <w:rsid w:val="007F59F0"/>
    <w:rsid w:val="007F6165"/>
    <w:rsid w:val="007F7B4B"/>
    <w:rsid w:val="008059A2"/>
    <w:rsid w:val="00814F75"/>
    <w:rsid w:val="00815FC7"/>
    <w:rsid w:val="00816035"/>
    <w:rsid w:val="00825A5A"/>
    <w:rsid w:val="00830A18"/>
    <w:rsid w:val="00831245"/>
    <w:rsid w:val="00831F0B"/>
    <w:rsid w:val="008506F4"/>
    <w:rsid w:val="008511CF"/>
    <w:rsid w:val="008520DB"/>
    <w:rsid w:val="00853F17"/>
    <w:rsid w:val="00861203"/>
    <w:rsid w:val="0086440E"/>
    <w:rsid w:val="00870500"/>
    <w:rsid w:val="00876287"/>
    <w:rsid w:val="008762DF"/>
    <w:rsid w:val="00876E6E"/>
    <w:rsid w:val="00882EAC"/>
    <w:rsid w:val="00883787"/>
    <w:rsid w:val="00885451"/>
    <w:rsid w:val="008878C8"/>
    <w:rsid w:val="008949A2"/>
    <w:rsid w:val="00894C04"/>
    <w:rsid w:val="00894DC8"/>
    <w:rsid w:val="00895B4D"/>
    <w:rsid w:val="008A1BDA"/>
    <w:rsid w:val="008A3529"/>
    <w:rsid w:val="008A4578"/>
    <w:rsid w:val="008B7C5F"/>
    <w:rsid w:val="008C04AA"/>
    <w:rsid w:val="008C2B9B"/>
    <w:rsid w:val="008C6E05"/>
    <w:rsid w:val="008D068D"/>
    <w:rsid w:val="008D4D55"/>
    <w:rsid w:val="008E2D29"/>
    <w:rsid w:val="008E3D46"/>
    <w:rsid w:val="008E4F15"/>
    <w:rsid w:val="008F272E"/>
    <w:rsid w:val="008F63E7"/>
    <w:rsid w:val="009040BA"/>
    <w:rsid w:val="00934465"/>
    <w:rsid w:val="00936B75"/>
    <w:rsid w:val="0094293E"/>
    <w:rsid w:val="00942E6D"/>
    <w:rsid w:val="009439DE"/>
    <w:rsid w:val="00946747"/>
    <w:rsid w:val="009469A5"/>
    <w:rsid w:val="00946D3B"/>
    <w:rsid w:val="009601DA"/>
    <w:rsid w:val="009640D9"/>
    <w:rsid w:val="009704BC"/>
    <w:rsid w:val="0097513D"/>
    <w:rsid w:val="00980312"/>
    <w:rsid w:val="009845D0"/>
    <w:rsid w:val="009861CB"/>
    <w:rsid w:val="00995CFB"/>
    <w:rsid w:val="009A181D"/>
    <w:rsid w:val="009A48B9"/>
    <w:rsid w:val="009B0C7A"/>
    <w:rsid w:val="009B1CDA"/>
    <w:rsid w:val="009B5FDD"/>
    <w:rsid w:val="009C2496"/>
    <w:rsid w:val="009C3FAE"/>
    <w:rsid w:val="009C41E9"/>
    <w:rsid w:val="009D3720"/>
    <w:rsid w:val="009D61E8"/>
    <w:rsid w:val="009D6B27"/>
    <w:rsid w:val="009D7B67"/>
    <w:rsid w:val="009E1E41"/>
    <w:rsid w:val="009F1E4D"/>
    <w:rsid w:val="009F64FB"/>
    <w:rsid w:val="009F6B15"/>
    <w:rsid w:val="00A02A3B"/>
    <w:rsid w:val="00A03370"/>
    <w:rsid w:val="00A03A51"/>
    <w:rsid w:val="00A05002"/>
    <w:rsid w:val="00A07455"/>
    <w:rsid w:val="00A131C4"/>
    <w:rsid w:val="00A138E6"/>
    <w:rsid w:val="00A232EF"/>
    <w:rsid w:val="00A235BE"/>
    <w:rsid w:val="00A27AFB"/>
    <w:rsid w:val="00A31179"/>
    <w:rsid w:val="00A356E6"/>
    <w:rsid w:val="00A4365A"/>
    <w:rsid w:val="00A43669"/>
    <w:rsid w:val="00A56658"/>
    <w:rsid w:val="00A60432"/>
    <w:rsid w:val="00A60BC0"/>
    <w:rsid w:val="00A61D77"/>
    <w:rsid w:val="00A63E64"/>
    <w:rsid w:val="00A66927"/>
    <w:rsid w:val="00A67137"/>
    <w:rsid w:val="00A7393F"/>
    <w:rsid w:val="00A8111B"/>
    <w:rsid w:val="00A82C23"/>
    <w:rsid w:val="00A86587"/>
    <w:rsid w:val="00A866E1"/>
    <w:rsid w:val="00A90D2A"/>
    <w:rsid w:val="00A91D10"/>
    <w:rsid w:val="00A94E9B"/>
    <w:rsid w:val="00A95B9B"/>
    <w:rsid w:val="00AA2895"/>
    <w:rsid w:val="00AA421C"/>
    <w:rsid w:val="00AA6F82"/>
    <w:rsid w:val="00AA7066"/>
    <w:rsid w:val="00AB6C15"/>
    <w:rsid w:val="00AC0E19"/>
    <w:rsid w:val="00AC5124"/>
    <w:rsid w:val="00AC72FB"/>
    <w:rsid w:val="00AD2611"/>
    <w:rsid w:val="00AD2C6F"/>
    <w:rsid w:val="00AD3C61"/>
    <w:rsid w:val="00AD56E2"/>
    <w:rsid w:val="00AD664F"/>
    <w:rsid w:val="00AE00F4"/>
    <w:rsid w:val="00AE048E"/>
    <w:rsid w:val="00AE0641"/>
    <w:rsid w:val="00AE5629"/>
    <w:rsid w:val="00AF21C0"/>
    <w:rsid w:val="00AF5105"/>
    <w:rsid w:val="00AF5753"/>
    <w:rsid w:val="00B00BCC"/>
    <w:rsid w:val="00B04616"/>
    <w:rsid w:val="00B06C2E"/>
    <w:rsid w:val="00B07910"/>
    <w:rsid w:val="00B12500"/>
    <w:rsid w:val="00B14169"/>
    <w:rsid w:val="00B14387"/>
    <w:rsid w:val="00B1461A"/>
    <w:rsid w:val="00B2297F"/>
    <w:rsid w:val="00B22DD7"/>
    <w:rsid w:val="00B2382C"/>
    <w:rsid w:val="00B2574D"/>
    <w:rsid w:val="00B300E7"/>
    <w:rsid w:val="00B32AAD"/>
    <w:rsid w:val="00B332A1"/>
    <w:rsid w:val="00B36C12"/>
    <w:rsid w:val="00B41A4D"/>
    <w:rsid w:val="00B439B9"/>
    <w:rsid w:val="00B43F49"/>
    <w:rsid w:val="00B52681"/>
    <w:rsid w:val="00B5423E"/>
    <w:rsid w:val="00B54AF8"/>
    <w:rsid w:val="00B60241"/>
    <w:rsid w:val="00B70D34"/>
    <w:rsid w:val="00B74012"/>
    <w:rsid w:val="00B75C7B"/>
    <w:rsid w:val="00B869BA"/>
    <w:rsid w:val="00B93583"/>
    <w:rsid w:val="00BA1377"/>
    <w:rsid w:val="00BA5C5C"/>
    <w:rsid w:val="00BC0906"/>
    <w:rsid w:val="00BC1360"/>
    <w:rsid w:val="00BD09FA"/>
    <w:rsid w:val="00BD1A56"/>
    <w:rsid w:val="00BD4696"/>
    <w:rsid w:val="00BE01E5"/>
    <w:rsid w:val="00BE1668"/>
    <w:rsid w:val="00BE245C"/>
    <w:rsid w:val="00BE6CC2"/>
    <w:rsid w:val="00BF533A"/>
    <w:rsid w:val="00BF5BB9"/>
    <w:rsid w:val="00BF6534"/>
    <w:rsid w:val="00C0169B"/>
    <w:rsid w:val="00C01C6E"/>
    <w:rsid w:val="00C07902"/>
    <w:rsid w:val="00C21BF4"/>
    <w:rsid w:val="00C24B5A"/>
    <w:rsid w:val="00C24C10"/>
    <w:rsid w:val="00C273C7"/>
    <w:rsid w:val="00C30AAA"/>
    <w:rsid w:val="00C33515"/>
    <w:rsid w:val="00C3356E"/>
    <w:rsid w:val="00C35F1B"/>
    <w:rsid w:val="00C45590"/>
    <w:rsid w:val="00C5101F"/>
    <w:rsid w:val="00C516CE"/>
    <w:rsid w:val="00C64964"/>
    <w:rsid w:val="00C64BAD"/>
    <w:rsid w:val="00C653D2"/>
    <w:rsid w:val="00C6759C"/>
    <w:rsid w:val="00C676AA"/>
    <w:rsid w:val="00C74B6C"/>
    <w:rsid w:val="00C75199"/>
    <w:rsid w:val="00C752AE"/>
    <w:rsid w:val="00C75A9D"/>
    <w:rsid w:val="00C8187D"/>
    <w:rsid w:val="00C85DE3"/>
    <w:rsid w:val="00C94A51"/>
    <w:rsid w:val="00C966A4"/>
    <w:rsid w:val="00CA2DDF"/>
    <w:rsid w:val="00CA5E64"/>
    <w:rsid w:val="00CB16BE"/>
    <w:rsid w:val="00CB4CB0"/>
    <w:rsid w:val="00CB64B1"/>
    <w:rsid w:val="00CC7850"/>
    <w:rsid w:val="00CD1E90"/>
    <w:rsid w:val="00CD7995"/>
    <w:rsid w:val="00CE3C7F"/>
    <w:rsid w:val="00CF1FB7"/>
    <w:rsid w:val="00CF349A"/>
    <w:rsid w:val="00CF4813"/>
    <w:rsid w:val="00CF4B6D"/>
    <w:rsid w:val="00CF4D0F"/>
    <w:rsid w:val="00CF5E6F"/>
    <w:rsid w:val="00D0198D"/>
    <w:rsid w:val="00D04D5D"/>
    <w:rsid w:val="00D06D94"/>
    <w:rsid w:val="00D13302"/>
    <w:rsid w:val="00D14922"/>
    <w:rsid w:val="00D16179"/>
    <w:rsid w:val="00D16609"/>
    <w:rsid w:val="00D25ABC"/>
    <w:rsid w:val="00D26DD4"/>
    <w:rsid w:val="00D30166"/>
    <w:rsid w:val="00D34790"/>
    <w:rsid w:val="00D40D79"/>
    <w:rsid w:val="00D43E0C"/>
    <w:rsid w:val="00D4527E"/>
    <w:rsid w:val="00D46DA2"/>
    <w:rsid w:val="00D50BE4"/>
    <w:rsid w:val="00D538D3"/>
    <w:rsid w:val="00D56D74"/>
    <w:rsid w:val="00D56F78"/>
    <w:rsid w:val="00D610ED"/>
    <w:rsid w:val="00D6214A"/>
    <w:rsid w:val="00D641B7"/>
    <w:rsid w:val="00D662E4"/>
    <w:rsid w:val="00D672C3"/>
    <w:rsid w:val="00D67994"/>
    <w:rsid w:val="00D70F05"/>
    <w:rsid w:val="00D737C8"/>
    <w:rsid w:val="00D7424B"/>
    <w:rsid w:val="00D74438"/>
    <w:rsid w:val="00D81F9F"/>
    <w:rsid w:val="00D84945"/>
    <w:rsid w:val="00D84A73"/>
    <w:rsid w:val="00D8715E"/>
    <w:rsid w:val="00D91638"/>
    <w:rsid w:val="00DA1AA8"/>
    <w:rsid w:val="00DA5F4E"/>
    <w:rsid w:val="00DA6CEF"/>
    <w:rsid w:val="00DB3459"/>
    <w:rsid w:val="00DB7E2C"/>
    <w:rsid w:val="00DD0D5A"/>
    <w:rsid w:val="00DD109F"/>
    <w:rsid w:val="00DE5AD0"/>
    <w:rsid w:val="00DE5D83"/>
    <w:rsid w:val="00DF0EB9"/>
    <w:rsid w:val="00E00B3B"/>
    <w:rsid w:val="00E102E4"/>
    <w:rsid w:val="00E127D5"/>
    <w:rsid w:val="00E200E1"/>
    <w:rsid w:val="00E21B79"/>
    <w:rsid w:val="00E2259A"/>
    <w:rsid w:val="00E26818"/>
    <w:rsid w:val="00E406D2"/>
    <w:rsid w:val="00E40A97"/>
    <w:rsid w:val="00E462A0"/>
    <w:rsid w:val="00E503DE"/>
    <w:rsid w:val="00E5784F"/>
    <w:rsid w:val="00E62CBB"/>
    <w:rsid w:val="00E63DC2"/>
    <w:rsid w:val="00E71686"/>
    <w:rsid w:val="00E71B12"/>
    <w:rsid w:val="00E71B37"/>
    <w:rsid w:val="00E776AD"/>
    <w:rsid w:val="00E83296"/>
    <w:rsid w:val="00E872A2"/>
    <w:rsid w:val="00E87C72"/>
    <w:rsid w:val="00E947B2"/>
    <w:rsid w:val="00E9742F"/>
    <w:rsid w:val="00EA1E31"/>
    <w:rsid w:val="00EA7F55"/>
    <w:rsid w:val="00EB348C"/>
    <w:rsid w:val="00EB34E8"/>
    <w:rsid w:val="00EB4EEC"/>
    <w:rsid w:val="00EB5464"/>
    <w:rsid w:val="00EB5A15"/>
    <w:rsid w:val="00EC1A30"/>
    <w:rsid w:val="00EC385F"/>
    <w:rsid w:val="00EC3CF3"/>
    <w:rsid w:val="00EC691E"/>
    <w:rsid w:val="00EC6B24"/>
    <w:rsid w:val="00ED12AD"/>
    <w:rsid w:val="00ED1D2A"/>
    <w:rsid w:val="00EE15B2"/>
    <w:rsid w:val="00EE4E05"/>
    <w:rsid w:val="00EF165B"/>
    <w:rsid w:val="00EF365A"/>
    <w:rsid w:val="00EF4BB7"/>
    <w:rsid w:val="00F00BF2"/>
    <w:rsid w:val="00F065AE"/>
    <w:rsid w:val="00F11C16"/>
    <w:rsid w:val="00F12A56"/>
    <w:rsid w:val="00F12D27"/>
    <w:rsid w:val="00F13116"/>
    <w:rsid w:val="00F13A3A"/>
    <w:rsid w:val="00F21EA1"/>
    <w:rsid w:val="00F30F0B"/>
    <w:rsid w:val="00F321C4"/>
    <w:rsid w:val="00F35C21"/>
    <w:rsid w:val="00F44314"/>
    <w:rsid w:val="00F44CA3"/>
    <w:rsid w:val="00F50C16"/>
    <w:rsid w:val="00F57C8B"/>
    <w:rsid w:val="00F65020"/>
    <w:rsid w:val="00F675FB"/>
    <w:rsid w:val="00F76987"/>
    <w:rsid w:val="00F81CAD"/>
    <w:rsid w:val="00F8259F"/>
    <w:rsid w:val="00F83FA5"/>
    <w:rsid w:val="00F84CFA"/>
    <w:rsid w:val="00F85F12"/>
    <w:rsid w:val="00F9081D"/>
    <w:rsid w:val="00F90931"/>
    <w:rsid w:val="00F91443"/>
    <w:rsid w:val="00F923D6"/>
    <w:rsid w:val="00F93194"/>
    <w:rsid w:val="00FA02ED"/>
    <w:rsid w:val="00FA32C8"/>
    <w:rsid w:val="00FA3B47"/>
    <w:rsid w:val="00FC3BB3"/>
    <w:rsid w:val="00FC4833"/>
    <w:rsid w:val="00FC5AD6"/>
    <w:rsid w:val="00FC6B8C"/>
    <w:rsid w:val="00FC7FBA"/>
    <w:rsid w:val="00FD31F4"/>
    <w:rsid w:val="00FD6544"/>
    <w:rsid w:val="00FD7457"/>
    <w:rsid w:val="00FE2BC9"/>
    <w:rsid w:val="00FE4888"/>
    <w:rsid w:val="00FF1621"/>
    <w:rsid w:val="00FF2661"/>
    <w:rsid w:val="00FF424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3F33F"/>
  <w15:docId w15:val="{4800EBE5-F130-4B6A-AC92-DFAE3B8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0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6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0E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B64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F64FB"/>
  </w:style>
  <w:style w:type="character" w:styleId="FollowedHyperlink">
    <w:name w:val="FollowedHyperlink"/>
    <w:basedOn w:val="DefaultParagraphFont"/>
    <w:uiPriority w:val="99"/>
    <w:semiHidden/>
    <w:unhideWhenUsed/>
    <w:rsid w:val="003F216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60432"/>
    <w:pPr>
      <w:keepNext/>
      <w:spacing w:after="200" w:line="240" w:lineRule="auto"/>
      <w:jc w:val="both"/>
    </w:pPr>
    <w:rPr>
      <w:rFonts w:ascii="Arial" w:hAnsi="Arial"/>
      <w:b/>
      <w:bCs/>
      <w:sz w:val="18"/>
      <w:szCs w:val="18"/>
    </w:rPr>
  </w:style>
  <w:style w:type="paragraph" w:customStyle="1" w:styleId="CaptionBody">
    <w:name w:val="Caption Body"/>
    <w:basedOn w:val="Normal"/>
    <w:autoRedefine/>
    <w:qFormat/>
    <w:rsid w:val="00A60432"/>
    <w:pPr>
      <w:spacing w:after="200" w:line="276" w:lineRule="auto"/>
      <w:jc w:val="both"/>
    </w:pPr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F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F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FA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70127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127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127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1277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E2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5D8E-BCFC-449E-A4A3-EB74580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 Georges, University of London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Stelter</dc:creator>
  <cp:keywords/>
  <dc:description/>
  <cp:lastModifiedBy>Julian Ma</cp:lastModifiedBy>
  <cp:revision>2</cp:revision>
  <cp:lastPrinted>2018-05-25T12:50:00Z</cp:lastPrinted>
  <dcterms:created xsi:type="dcterms:W3CDTF">2019-06-18T11:22:00Z</dcterms:created>
  <dcterms:modified xsi:type="dcterms:W3CDTF">2019-06-18T11:22:00Z</dcterms:modified>
</cp:coreProperties>
</file>