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1415" w14:textId="04092F39" w:rsidR="00DF0EB9" w:rsidRDefault="00FA32C8" w:rsidP="00376E28">
      <w:r w:rsidRPr="00FA32C8">
        <w:rPr>
          <w:b/>
        </w:rPr>
        <w:t xml:space="preserve">Table 1. Percentage composition of </w:t>
      </w:r>
      <w:r w:rsidRPr="00FA32C8">
        <w:rPr>
          <w:b/>
          <w:i/>
        </w:rPr>
        <w:t>N</w:t>
      </w:r>
      <w:r w:rsidRPr="00FA32C8">
        <w:rPr>
          <w:b/>
        </w:rPr>
        <w:t>-glycan populations on the heavy chains of different VRC01 glycovariants</w:t>
      </w:r>
      <w:r w:rsidRPr="00FA32C8">
        <w:t xml:space="preserve">. Structures and abbreviations of </w:t>
      </w:r>
      <w:r w:rsidRPr="00FA32C8">
        <w:rPr>
          <w:i/>
        </w:rPr>
        <w:t>N</w:t>
      </w:r>
      <w:r w:rsidRPr="00FA32C8">
        <w:t>-glycans which constitute less than 5% of the total populat</w:t>
      </w:r>
      <w:r>
        <w:t>ion have been shaded</w:t>
      </w:r>
      <w:r w:rsidRPr="00FA32C8">
        <w:t>). Unglyc. – unglycosylated heavy chain.</w:t>
      </w:r>
      <w:r>
        <w:t xml:space="preserve"> Abbreviations according to the Pro</w:t>
      </w:r>
      <w:r w:rsidR="00D84945">
        <w:t>GlycAn nomenclature (</w:t>
      </w:r>
      <w:r w:rsidRPr="00FA32C8">
        <w:t>http://www.proglycan.com/protein-glycosylation-analysis/nomenclature</w:t>
      </w:r>
      <w:r w:rsidR="00D84945">
        <w:t>)</w:t>
      </w:r>
      <w:r>
        <w:t>.</w:t>
      </w:r>
    </w:p>
    <w:tbl>
      <w:tblPr>
        <w:tblStyle w:val="TableGrid"/>
        <w:tblW w:w="0" w:type="auto"/>
        <w:tblInd w:w="-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664"/>
        <w:gridCol w:w="222"/>
        <w:gridCol w:w="870"/>
        <w:gridCol w:w="664"/>
        <w:gridCol w:w="222"/>
        <w:gridCol w:w="735"/>
        <w:gridCol w:w="664"/>
        <w:gridCol w:w="222"/>
        <w:gridCol w:w="1669"/>
        <w:gridCol w:w="664"/>
      </w:tblGrid>
      <w:tr w:rsidR="00936B75" w:rsidRPr="005924D9" w14:paraId="3E436FB6" w14:textId="77777777" w:rsidTr="00FA32C8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F6186" w14:textId="77777777" w:rsidR="00936B75" w:rsidRPr="005924D9" w:rsidRDefault="00936B75" w:rsidP="0024466B">
            <w:pPr>
              <w:jc w:val="center"/>
              <w:rPr>
                <w:b/>
                <w:sz w:val="18"/>
                <w:szCs w:val="18"/>
              </w:rPr>
            </w:pPr>
            <w:r w:rsidRPr="005924D9">
              <w:rPr>
                <w:b/>
                <w:sz w:val="18"/>
                <w:szCs w:val="18"/>
              </w:rPr>
              <w:t>VRC01 HEK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6D36E8" w14:textId="77777777" w:rsidR="00936B75" w:rsidRPr="005924D9" w:rsidRDefault="00936B75" w:rsidP="002446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04B55" w14:textId="77777777" w:rsidR="00936B75" w:rsidRPr="005924D9" w:rsidRDefault="00936B75" w:rsidP="0024466B">
            <w:pPr>
              <w:jc w:val="center"/>
              <w:rPr>
                <w:b/>
                <w:sz w:val="18"/>
                <w:szCs w:val="18"/>
              </w:rPr>
            </w:pPr>
            <w:r w:rsidRPr="005924D9">
              <w:rPr>
                <w:b/>
                <w:sz w:val="18"/>
                <w:szCs w:val="18"/>
              </w:rPr>
              <w:t>VRC01 WT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B6C8AD" w14:textId="77777777" w:rsidR="00936B75" w:rsidRPr="005924D9" w:rsidRDefault="00936B75" w:rsidP="002446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D9C05" w14:textId="77777777" w:rsidR="00936B75" w:rsidRPr="005924D9" w:rsidRDefault="00936B75" w:rsidP="0024466B">
            <w:pPr>
              <w:jc w:val="center"/>
              <w:rPr>
                <w:b/>
                <w:sz w:val="18"/>
                <w:szCs w:val="18"/>
              </w:rPr>
            </w:pPr>
            <w:r w:rsidRPr="005924D9">
              <w:rPr>
                <w:b/>
                <w:sz w:val="18"/>
                <w:szCs w:val="18"/>
              </w:rPr>
              <w:t xml:space="preserve">VRC01 </w:t>
            </w:r>
            <w:r w:rsidRPr="005924D9">
              <w:rPr>
                <w:b/>
                <w:bCs/>
                <w:sz w:val="18"/>
                <w:szCs w:val="18"/>
              </w:rPr>
              <w:t>∆XF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97395D" w14:textId="77777777" w:rsidR="00936B75" w:rsidRPr="005924D9" w:rsidRDefault="00936B75" w:rsidP="002446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0A4EA" w14:textId="77777777" w:rsidR="00936B75" w:rsidRPr="005924D9" w:rsidRDefault="00936B75" w:rsidP="0024466B">
            <w:pPr>
              <w:jc w:val="center"/>
              <w:rPr>
                <w:b/>
                <w:sz w:val="18"/>
                <w:szCs w:val="18"/>
              </w:rPr>
            </w:pPr>
            <w:r w:rsidRPr="005924D9">
              <w:rPr>
                <w:b/>
                <w:sz w:val="18"/>
                <w:szCs w:val="18"/>
              </w:rPr>
              <w:t>VRC01 Gal</w:t>
            </w:r>
          </w:p>
        </w:tc>
      </w:tr>
      <w:tr w:rsidR="00936B75" w:rsidRPr="005924D9" w14:paraId="6AC8282D" w14:textId="77777777" w:rsidTr="00FA32C8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C2176A1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GnGnF</w:t>
            </w:r>
            <w:r w:rsidRPr="000323A7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AD0CC56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70.5%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3BF4E1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22E3C7A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GnGnXF</w:t>
            </w:r>
            <w:r w:rsidRPr="000323A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2D2B48A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54.1%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64F006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58D126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GnGn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15C76C5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74.6%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4546D9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14:paraId="63BBC028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unglyc.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4C7A9C1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29.4%</w:t>
            </w:r>
          </w:p>
        </w:tc>
      </w:tr>
      <w:tr w:rsidR="00936B75" w:rsidRPr="005924D9" w14:paraId="68E55285" w14:textId="77777777" w:rsidTr="00FA32C8">
        <w:tc>
          <w:tcPr>
            <w:tcW w:w="0" w:type="auto"/>
            <w:vAlign w:val="center"/>
          </w:tcPr>
          <w:p w14:paraId="1BBA491A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GnAF</w:t>
            </w:r>
            <w:r w:rsidRPr="000323A7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54931C92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17.2%</w:t>
            </w:r>
          </w:p>
        </w:tc>
        <w:tc>
          <w:tcPr>
            <w:tcW w:w="0" w:type="auto"/>
          </w:tcPr>
          <w:p w14:paraId="2ABBFABC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8ED524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unglyc.</w:t>
            </w:r>
          </w:p>
        </w:tc>
        <w:tc>
          <w:tcPr>
            <w:tcW w:w="0" w:type="auto"/>
            <w:vAlign w:val="center"/>
          </w:tcPr>
          <w:p w14:paraId="6A938D8F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35.9%</w:t>
            </w:r>
          </w:p>
        </w:tc>
        <w:tc>
          <w:tcPr>
            <w:tcW w:w="0" w:type="auto"/>
          </w:tcPr>
          <w:p w14:paraId="39AA8BBA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EBF442C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unglyc.</w:t>
            </w:r>
          </w:p>
        </w:tc>
        <w:tc>
          <w:tcPr>
            <w:tcW w:w="0" w:type="auto"/>
            <w:vAlign w:val="center"/>
          </w:tcPr>
          <w:p w14:paraId="6AA73183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21.1%</w:t>
            </w:r>
          </w:p>
        </w:tc>
        <w:tc>
          <w:tcPr>
            <w:tcW w:w="0" w:type="auto"/>
          </w:tcPr>
          <w:p w14:paraId="2B234D27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04538D7D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MA + Man4Gn</w:t>
            </w:r>
          </w:p>
        </w:tc>
        <w:tc>
          <w:tcPr>
            <w:tcW w:w="425" w:type="dxa"/>
            <w:vAlign w:val="center"/>
          </w:tcPr>
          <w:p w14:paraId="1467B05B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28.7%</w:t>
            </w:r>
          </w:p>
        </w:tc>
      </w:tr>
      <w:tr w:rsidR="00936B75" w:rsidRPr="005924D9" w14:paraId="04FB5826" w14:textId="77777777" w:rsidTr="00FA32C8">
        <w:tc>
          <w:tcPr>
            <w:tcW w:w="0" w:type="auto"/>
            <w:vAlign w:val="center"/>
          </w:tcPr>
          <w:p w14:paraId="409BB2C0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unglyc.</w:t>
            </w:r>
          </w:p>
        </w:tc>
        <w:tc>
          <w:tcPr>
            <w:tcW w:w="0" w:type="auto"/>
            <w:vAlign w:val="center"/>
          </w:tcPr>
          <w:p w14:paraId="302541F3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3.1%</w:t>
            </w:r>
          </w:p>
        </w:tc>
        <w:tc>
          <w:tcPr>
            <w:tcW w:w="0" w:type="auto"/>
          </w:tcPr>
          <w:p w14:paraId="205FC4B9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50A9E96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MGnXF</w:t>
            </w:r>
            <w:r w:rsidRPr="000323A7">
              <w:rPr>
                <w:color w:val="595959" w:themeColor="text1" w:themeTint="A6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5372AEDE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3.7%</w:t>
            </w:r>
          </w:p>
        </w:tc>
        <w:tc>
          <w:tcPr>
            <w:tcW w:w="0" w:type="auto"/>
          </w:tcPr>
          <w:p w14:paraId="71AB5456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CF5157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MGn</w:t>
            </w:r>
          </w:p>
        </w:tc>
        <w:tc>
          <w:tcPr>
            <w:tcW w:w="0" w:type="auto"/>
            <w:vAlign w:val="center"/>
          </w:tcPr>
          <w:p w14:paraId="3070583D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4.3%</w:t>
            </w:r>
          </w:p>
        </w:tc>
        <w:tc>
          <w:tcPr>
            <w:tcW w:w="0" w:type="auto"/>
          </w:tcPr>
          <w:p w14:paraId="60F5E9A2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5510E502" w14:textId="7BA843E2" w:rsidR="00936B75" w:rsidRPr="000323A7" w:rsidRDefault="00FA32C8" w:rsidP="00244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Man4A + </w:t>
            </w:r>
            <w:r w:rsidR="00936B75" w:rsidRPr="000323A7">
              <w:rPr>
                <w:sz w:val="18"/>
                <w:szCs w:val="18"/>
              </w:rPr>
              <w:t>Man5Gn</w:t>
            </w:r>
          </w:p>
        </w:tc>
        <w:tc>
          <w:tcPr>
            <w:tcW w:w="425" w:type="dxa"/>
            <w:vAlign w:val="center"/>
          </w:tcPr>
          <w:p w14:paraId="042E72EB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10.8%</w:t>
            </w:r>
          </w:p>
        </w:tc>
      </w:tr>
      <w:tr w:rsidR="00936B75" w:rsidRPr="005924D9" w14:paraId="7A47AEE7" w14:textId="77777777" w:rsidTr="00FA32C8">
        <w:tc>
          <w:tcPr>
            <w:tcW w:w="0" w:type="auto"/>
            <w:vAlign w:val="center"/>
          </w:tcPr>
          <w:p w14:paraId="397154D0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MGnF</w:t>
            </w:r>
            <w:r w:rsidRPr="000323A7">
              <w:rPr>
                <w:color w:val="595959" w:themeColor="text1" w:themeTint="A6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4BCF9371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2.7%</w:t>
            </w:r>
          </w:p>
        </w:tc>
        <w:tc>
          <w:tcPr>
            <w:tcW w:w="0" w:type="auto"/>
          </w:tcPr>
          <w:p w14:paraId="755834C2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ECE718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MMXF</w:t>
            </w:r>
            <w:r w:rsidRPr="000323A7">
              <w:rPr>
                <w:color w:val="595959" w:themeColor="text1" w:themeTint="A6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426A5DDC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2.5%</w:t>
            </w:r>
          </w:p>
        </w:tc>
        <w:tc>
          <w:tcPr>
            <w:tcW w:w="0" w:type="auto"/>
          </w:tcPr>
          <w:p w14:paraId="059F881C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353CB7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670835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0B296EC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7E54A203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Man5A</w:t>
            </w:r>
          </w:p>
        </w:tc>
        <w:tc>
          <w:tcPr>
            <w:tcW w:w="425" w:type="dxa"/>
            <w:vAlign w:val="center"/>
          </w:tcPr>
          <w:p w14:paraId="0FD85BD5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9.9%</w:t>
            </w:r>
          </w:p>
        </w:tc>
      </w:tr>
      <w:tr w:rsidR="00936B75" w:rsidRPr="005924D9" w14:paraId="1E57A94D" w14:textId="77777777" w:rsidTr="00FA32C8">
        <w:tc>
          <w:tcPr>
            <w:tcW w:w="0" w:type="auto"/>
            <w:vAlign w:val="center"/>
          </w:tcPr>
          <w:p w14:paraId="2B0DBA6C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GnAF</w:t>
            </w:r>
            <w:r w:rsidRPr="000323A7">
              <w:rPr>
                <w:color w:val="595959" w:themeColor="text1" w:themeTint="A6"/>
                <w:sz w:val="18"/>
                <w:szCs w:val="18"/>
                <w:vertAlign w:val="superscript"/>
              </w:rPr>
              <w:t>6</w:t>
            </w:r>
            <w:r w:rsidRPr="000323A7">
              <w:rPr>
                <w:color w:val="595959" w:themeColor="text1" w:themeTint="A6"/>
                <w:sz w:val="18"/>
                <w:szCs w:val="18"/>
              </w:rPr>
              <w:t>bi</w:t>
            </w:r>
          </w:p>
        </w:tc>
        <w:tc>
          <w:tcPr>
            <w:tcW w:w="0" w:type="auto"/>
            <w:vAlign w:val="center"/>
          </w:tcPr>
          <w:p w14:paraId="48B5874B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2.4%</w:t>
            </w:r>
          </w:p>
        </w:tc>
        <w:tc>
          <w:tcPr>
            <w:tcW w:w="0" w:type="auto"/>
          </w:tcPr>
          <w:p w14:paraId="77141BB7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97822A8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Man8</w:t>
            </w:r>
          </w:p>
        </w:tc>
        <w:tc>
          <w:tcPr>
            <w:tcW w:w="0" w:type="auto"/>
            <w:vAlign w:val="center"/>
          </w:tcPr>
          <w:p w14:paraId="70D66583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1.2%</w:t>
            </w:r>
          </w:p>
        </w:tc>
        <w:tc>
          <w:tcPr>
            <w:tcW w:w="0" w:type="auto"/>
          </w:tcPr>
          <w:p w14:paraId="6C0154AA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19E430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53C49B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EAA2682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3094058C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MGn</w:t>
            </w:r>
          </w:p>
        </w:tc>
        <w:tc>
          <w:tcPr>
            <w:tcW w:w="425" w:type="dxa"/>
            <w:vAlign w:val="center"/>
          </w:tcPr>
          <w:p w14:paraId="39A587CD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9.3%</w:t>
            </w:r>
          </w:p>
        </w:tc>
      </w:tr>
      <w:tr w:rsidR="00936B75" w:rsidRPr="005924D9" w14:paraId="5ACE73DA" w14:textId="77777777" w:rsidTr="00FA32C8">
        <w:tc>
          <w:tcPr>
            <w:tcW w:w="0" w:type="auto"/>
            <w:vAlign w:val="center"/>
          </w:tcPr>
          <w:p w14:paraId="2406C30B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AAF</w:t>
            </w:r>
            <w:r w:rsidRPr="000323A7">
              <w:rPr>
                <w:color w:val="595959" w:themeColor="text1" w:themeTint="A6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32754F32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1.9%</w:t>
            </w:r>
          </w:p>
        </w:tc>
        <w:tc>
          <w:tcPr>
            <w:tcW w:w="0" w:type="auto"/>
          </w:tcPr>
          <w:p w14:paraId="596BEE9B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CAD880D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Man9</w:t>
            </w:r>
          </w:p>
        </w:tc>
        <w:tc>
          <w:tcPr>
            <w:tcW w:w="0" w:type="auto"/>
            <w:vAlign w:val="center"/>
          </w:tcPr>
          <w:p w14:paraId="48492919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1.0%</w:t>
            </w:r>
          </w:p>
        </w:tc>
        <w:tc>
          <w:tcPr>
            <w:tcW w:w="0" w:type="auto"/>
          </w:tcPr>
          <w:p w14:paraId="39BA7DC6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277D8AA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BFD365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C1D70CD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107D61A3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AA</w:t>
            </w:r>
          </w:p>
        </w:tc>
        <w:tc>
          <w:tcPr>
            <w:tcW w:w="425" w:type="dxa"/>
            <w:vAlign w:val="center"/>
          </w:tcPr>
          <w:p w14:paraId="351752C1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  <w:r w:rsidRPr="000323A7">
              <w:rPr>
                <w:sz w:val="18"/>
                <w:szCs w:val="18"/>
              </w:rPr>
              <w:t>7.8%</w:t>
            </w:r>
          </w:p>
        </w:tc>
      </w:tr>
      <w:tr w:rsidR="00936B75" w:rsidRPr="005924D9" w14:paraId="28246D12" w14:textId="77777777" w:rsidTr="00FA32C8">
        <w:tc>
          <w:tcPr>
            <w:tcW w:w="0" w:type="auto"/>
            <w:vAlign w:val="center"/>
          </w:tcPr>
          <w:p w14:paraId="3D3F65CF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Man5</w:t>
            </w:r>
          </w:p>
        </w:tc>
        <w:tc>
          <w:tcPr>
            <w:tcW w:w="0" w:type="auto"/>
            <w:vAlign w:val="center"/>
          </w:tcPr>
          <w:p w14:paraId="44319A74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1.2%</w:t>
            </w:r>
          </w:p>
        </w:tc>
        <w:tc>
          <w:tcPr>
            <w:tcW w:w="0" w:type="auto"/>
          </w:tcPr>
          <w:p w14:paraId="3DFF2F54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C78588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Man7</w:t>
            </w:r>
          </w:p>
        </w:tc>
        <w:tc>
          <w:tcPr>
            <w:tcW w:w="0" w:type="auto"/>
            <w:vAlign w:val="center"/>
          </w:tcPr>
          <w:p w14:paraId="5E5A67FA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0.7%</w:t>
            </w:r>
          </w:p>
        </w:tc>
        <w:tc>
          <w:tcPr>
            <w:tcW w:w="0" w:type="auto"/>
          </w:tcPr>
          <w:p w14:paraId="4D53DD27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581143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E9B06FD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C67F4F8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1B2DBEDD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GnGn</w:t>
            </w:r>
          </w:p>
        </w:tc>
        <w:tc>
          <w:tcPr>
            <w:tcW w:w="425" w:type="dxa"/>
            <w:vAlign w:val="center"/>
          </w:tcPr>
          <w:p w14:paraId="44FFE5EC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3.3%</w:t>
            </w:r>
          </w:p>
        </w:tc>
      </w:tr>
      <w:tr w:rsidR="00936B75" w:rsidRPr="005924D9" w14:paraId="023A5D88" w14:textId="77777777" w:rsidTr="00FA32C8">
        <w:tc>
          <w:tcPr>
            <w:tcW w:w="0" w:type="auto"/>
            <w:vAlign w:val="center"/>
          </w:tcPr>
          <w:p w14:paraId="18791951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UGnF</w:t>
            </w:r>
            <w:r w:rsidRPr="000323A7">
              <w:rPr>
                <w:color w:val="595959" w:themeColor="text1" w:themeTint="A6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78CD00BA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0.9%</w:t>
            </w:r>
          </w:p>
        </w:tc>
        <w:tc>
          <w:tcPr>
            <w:tcW w:w="0" w:type="auto"/>
          </w:tcPr>
          <w:p w14:paraId="6BA1EAA3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DB34DDA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Man5</w:t>
            </w:r>
          </w:p>
        </w:tc>
        <w:tc>
          <w:tcPr>
            <w:tcW w:w="0" w:type="auto"/>
            <w:vAlign w:val="center"/>
          </w:tcPr>
          <w:p w14:paraId="22BE678F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0.7%</w:t>
            </w:r>
          </w:p>
        </w:tc>
        <w:tc>
          <w:tcPr>
            <w:tcW w:w="0" w:type="auto"/>
          </w:tcPr>
          <w:p w14:paraId="7D9797BC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BA50FBE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59BD05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BB55037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14:paraId="75D3414B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MM</w:t>
            </w:r>
          </w:p>
        </w:tc>
        <w:tc>
          <w:tcPr>
            <w:tcW w:w="425" w:type="dxa"/>
            <w:vAlign w:val="center"/>
          </w:tcPr>
          <w:p w14:paraId="447CC911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0.9%</w:t>
            </w:r>
          </w:p>
        </w:tc>
      </w:tr>
      <w:tr w:rsidR="00936B75" w:rsidRPr="005924D9" w14:paraId="333FAB07" w14:textId="77777777" w:rsidTr="00FA32C8">
        <w:trPr>
          <w:trHeight w:val="14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22E168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2E12B3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902530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EF52D8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Man6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49E8FB" w14:textId="77777777" w:rsidR="00936B75" w:rsidRPr="000323A7" w:rsidRDefault="00936B75" w:rsidP="0024466B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0323A7">
              <w:rPr>
                <w:color w:val="595959" w:themeColor="text1" w:themeTint="A6"/>
                <w:sz w:val="18"/>
                <w:szCs w:val="18"/>
              </w:rPr>
              <w:t>0.4%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7BCE16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9DE0DB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C81A9D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B19F7A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143FC5C5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D92C941" w14:textId="77777777" w:rsidR="00936B75" w:rsidRPr="000323A7" w:rsidRDefault="00936B75" w:rsidP="0024466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6FA149B" w14:textId="455654C0" w:rsidR="001A25CC" w:rsidRDefault="003A5968" w:rsidP="00C752AE">
      <w:pPr>
        <w:tabs>
          <w:tab w:val="left" w:pos="3740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/>
      </w:r>
      <w:r>
        <w:br/>
      </w:r>
    </w:p>
    <w:p w14:paraId="1BFE12CF" w14:textId="77777777" w:rsidR="00C752AE" w:rsidRDefault="00C752AE" w:rsidP="00C752AE">
      <w:pPr>
        <w:tabs>
          <w:tab w:val="left" w:pos="3740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D24467E" w14:textId="77777777" w:rsidR="00C752AE" w:rsidRDefault="00C752AE" w:rsidP="00C752AE">
      <w:pPr>
        <w:tabs>
          <w:tab w:val="left" w:pos="3740"/>
        </w:tabs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4A0B834" w14:textId="77777777" w:rsidR="00C752AE" w:rsidRDefault="00C752AE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3B41405" w14:textId="31BF9862" w:rsidR="001A25CC" w:rsidRDefault="001A25CC"/>
    <w:p w14:paraId="0A572EAF" w14:textId="3D51D151" w:rsidR="006A13C5" w:rsidRDefault="00D538D3" w:rsidP="00C516CE">
      <w:pPr>
        <w:jc w:val="center"/>
      </w:pPr>
      <w:r>
        <w:rPr>
          <w:noProof/>
          <w:lang w:eastAsia="en-GB"/>
        </w:rPr>
        <w:drawing>
          <wp:inline distT="0" distB="0" distL="0" distR="0" wp14:anchorId="5BF71247" wp14:editId="08C3098B">
            <wp:extent cx="5231130" cy="675513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675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0F4FBB" w14:textId="2E5FF17A" w:rsidR="00DE5AD0" w:rsidRDefault="00DE5AD0" w:rsidP="00DE5AD0">
      <w:r w:rsidRPr="00EE4E05">
        <w:rPr>
          <w:b/>
        </w:rPr>
        <w:t xml:space="preserve">Figure </w:t>
      </w:r>
      <w:r w:rsidR="009D7B67">
        <w:rPr>
          <w:b/>
        </w:rPr>
        <w:t>1</w:t>
      </w:r>
      <w:r w:rsidRPr="00EE4E05">
        <w:rPr>
          <w:b/>
        </w:rPr>
        <w:t>. Interaction of VRC01 glycovariants with recombinant human FcγRI and FcγRIII</w:t>
      </w:r>
      <w:r w:rsidRPr="00086469">
        <w:rPr>
          <w:b/>
        </w:rPr>
        <w:t>a</w:t>
      </w:r>
      <w:r w:rsidRPr="0024466B">
        <w:t xml:space="preserve">. </w:t>
      </w:r>
      <w:r w:rsidRPr="00D40D79">
        <w:rPr>
          <w:u w:val="single"/>
        </w:rPr>
        <w:t>A.</w:t>
      </w:r>
      <w:r>
        <w:t xml:space="preserve"> SPR sensorgrams illustrate binding and dissociation of antibody-receptor complexes. Data were analysed with a </w:t>
      </w:r>
      <w:r w:rsidRPr="0024466B">
        <w:t xml:space="preserve">1:1 binding interaction model </w:t>
      </w:r>
      <w:r>
        <w:t>for FcγRI (except VRC01</w:t>
      </w:r>
      <w:r w:rsidRPr="00617A72">
        <w:rPr>
          <w:vertAlign w:val="subscript"/>
        </w:rPr>
        <w:t xml:space="preserve">WT </w:t>
      </w:r>
      <w:r>
        <w:t xml:space="preserve">, see text for details) and a two-state </w:t>
      </w:r>
      <w:r w:rsidRPr="0024466B">
        <w:t>reaction interaction model</w:t>
      </w:r>
      <w:r>
        <w:t xml:space="preserve"> for FcγRIIIa. Dashed line</w:t>
      </w:r>
      <w:r w:rsidRPr="0024466B">
        <w:t xml:space="preserve"> denotes m</w:t>
      </w:r>
      <w:r>
        <w:t>aximum response upon saturation. Theoretical saturation level is displayed separately as a solid line if it differs or could not be extrapolated from the data. Receptor</w:t>
      </w:r>
      <w:r w:rsidRPr="0024466B">
        <w:t xml:space="preserve"> concentrations use</w:t>
      </w:r>
      <w:r>
        <w:t>d: FcγRI at 2-240 nM</w:t>
      </w:r>
      <w:r w:rsidRPr="0024466B">
        <w:t xml:space="preserve"> </w:t>
      </w:r>
      <w:r>
        <w:t>(15-480 nM for VRC01</w:t>
      </w:r>
      <w:r w:rsidRPr="00B00BCC">
        <w:rPr>
          <w:vertAlign w:val="subscript"/>
        </w:rPr>
        <w:t>aglyco</w:t>
      </w:r>
      <w:r>
        <w:t xml:space="preserve">), FcγRIIIa at 125-4000 nM for fucosylated antibodies and 12-800 nM for afucosylated ones. </w:t>
      </w:r>
      <w:r w:rsidRPr="00D40D79">
        <w:rPr>
          <w:u w:val="single"/>
        </w:rPr>
        <w:t>B.</w:t>
      </w:r>
      <w:r>
        <w:t xml:space="preserve"> Kinetic map</w:t>
      </w:r>
      <w:r w:rsidRPr="0024466B">
        <w:t xml:space="preserve"> for the </w:t>
      </w:r>
      <w:r>
        <w:t>interaction of antibodies with FcγRI based on association rate (on-rate) and</w:t>
      </w:r>
      <w:r w:rsidRPr="0024466B">
        <w:t xml:space="preserve"> dissoci</w:t>
      </w:r>
      <w:r>
        <w:t xml:space="preserve">ation rate (off-rate) constants. </w:t>
      </w:r>
      <w:r w:rsidRPr="0024466B">
        <w:t>For VRC01</w:t>
      </w:r>
      <w:r w:rsidRPr="00617A72">
        <w:rPr>
          <w:vertAlign w:val="subscript"/>
        </w:rPr>
        <w:t>WT</w:t>
      </w:r>
      <w:r w:rsidRPr="0024466B">
        <w:t>, the kinetics parameters of the glycosylated portion were used.</w:t>
      </w:r>
      <w:r>
        <w:t xml:space="preserve"> </w:t>
      </w:r>
      <w:r w:rsidRPr="00D40D79">
        <w:rPr>
          <w:u w:val="single"/>
        </w:rPr>
        <w:t>C.</w:t>
      </w:r>
      <w:r w:rsidRPr="0024466B">
        <w:t xml:space="preserve"> Half-life of the antibody–FcγRI complex</w:t>
      </w:r>
      <w:r>
        <w:t xml:space="preserve">es as </w:t>
      </w:r>
      <w:r w:rsidRPr="0024466B">
        <w:t>calculated from the dissociation rate constants.</w:t>
      </w:r>
    </w:p>
    <w:p w14:paraId="1CAB971F" w14:textId="77777777" w:rsidR="00DE5AD0" w:rsidRDefault="00D40D79" w:rsidP="00D40D79">
      <w:r w:rsidRPr="0024466B">
        <w:t xml:space="preserve"> </w:t>
      </w:r>
    </w:p>
    <w:p w14:paraId="5FB77471" w14:textId="77777777" w:rsidR="00DE5AD0" w:rsidRDefault="00DE5AD0" w:rsidP="00D40D79"/>
    <w:p w14:paraId="1BFAEBFE" w14:textId="337E399F" w:rsidR="00DE5AD0" w:rsidRDefault="00DE5AD0" w:rsidP="00D40D79"/>
    <w:p w14:paraId="158BE934" w14:textId="77777777" w:rsidR="00DE5AD0" w:rsidRDefault="00DE5AD0" w:rsidP="00D40D79"/>
    <w:p w14:paraId="14DCC190" w14:textId="14DD36E7" w:rsidR="00D40D79" w:rsidRDefault="00D40D79" w:rsidP="00D40D79"/>
    <w:p w14:paraId="38FB6C2A" w14:textId="2DB95602" w:rsidR="001A25CC" w:rsidRDefault="001E6954">
      <w:r>
        <w:rPr>
          <w:noProof/>
          <w:lang w:eastAsia="en-GB"/>
        </w:rPr>
        <w:drawing>
          <wp:inline distT="0" distB="0" distL="0" distR="0" wp14:anchorId="4ADFB82F" wp14:editId="1BF58099">
            <wp:extent cx="5524500" cy="704684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30" cy="7050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CD9135" w14:textId="16532EF9" w:rsidR="00DE5AD0" w:rsidRDefault="00DE5AD0" w:rsidP="00DE5AD0">
      <w:r w:rsidRPr="00411778">
        <w:rPr>
          <w:b/>
        </w:rPr>
        <w:t xml:space="preserve">Figure </w:t>
      </w:r>
      <w:r w:rsidR="009D7B67">
        <w:rPr>
          <w:b/>
        </w:rPr>
        <w:t>2</w:t>
      </w:r>
      <w:r w:rsidRPr="00411778">
        <w:rPr>
          <w:b/>
        </w:rPr>
        <w:t>. Affinity of VRC01 glycovariants to the human FcγRIIa and FcγRIIb</w:t>
      </w:r>
      <w:r w:rsidRPr="00411778">
        <w:t>.</w:t>
      </w:r>
      <w:r>
        <w:t xml:space="preserve"> SPR sensorgrams show binding responses at the injection of different receptor</w:t>
      </w:r>
      <w:r w:rsidRPr="00411778">
        <w:t xml:space="preserve"> </w:t>
      </w:r>
      <w:r>
        <w:t xml:space="preserve">concentrations </w:t>
      </w:r>
      <w:r w:rsidRPr="00411778">
        <w:t>(0.5-8 μM) over the Protein A-captured antibodies</w:t>
      </w:r>
      <w:r>
        <w:t xml:space="preserve">. </w:t>
      </w:r>
      <w:r w:rsidRPr="00411778">
        <w:t xml:space="preserve"> </w:t>
      </w:r>
      <w:r>
        <w:t xml:space="preserve">Dissociation constants are calculated from steady-state responses at </w:t>
      </w:r>
      <w:r w:rsidRPr="00411778">
        <w:t>a dynamic equilibrium of complex formation</w:t>
      </w:r>
      <w:r>
        <w:t>.</w:t>
      </w:r>
      <w:r w:rsidRPr="00411778">
        <w:t xml:space="preserve"> </w:t>
      </w:r>
      <w:r>
        <w:t xml:space="preserve">Maximum response at the saturation level is marked with dashed horizontal lines. When the experimentally-measured response at saturation does not overlap with expected response, theoretical saturation levels are indicated with solid horizontal lines. </w:t>
      </w:r>
    </w:p>
    <w:p w14:paraId="2B7010D7" w14:textId="0F627542" w:rsidR="006A13C5" w:rsidRDefault="006A13C5" w:rsidP="00D4527E"/>
    <w:p w14:paraId="160FA9FF" w14:textId="78AD4D6F" w:rsidR="001A25CC" w:rsidRDefault="001A25CC">
      <w:r>
        <w:br w:type="page"/>
      </w:r>
    </w:p>
    <w:p w14:paraId="5262B447" w14:textId="4EA1FACE" w:rsidR="00DE5AD0" w:rsidRDefault="00DE5AD0" w:rsidP="00DE5AD0">
      <w:pPr>
        <w:rPr>
          <w:b/>
        </w:rPr>
      </w:pPr>
    </w:p>
    <w:p w14:paraId="4B3FA2C5" w14:textId="03C05F51" w:rsidR="00DE5AD0" w:rsidRDefault="00DE5AD0" w:rsidP="00DE5AD0">
      <w:pPr>
        <w:rPr>
          <w:b/>
        </w:rPr>
      </w:pPr>
    </w:p>
    <w:p w14:paraId="63544937" w14:textId="6DFDE357" w:rsidR="00DE5AD0" w:rsidRDefault="00DE5AD0" w:rsidP="00DE5AD0">
      <w:pPr>
        <w:rPr>
          <w:b/>
        </w:rPr>
      </w:pPr>
      <w:r w:rsidRPr="001E6954">
        <w:rPr>
          <w:b/>
          <w:noProof/>
          <w:lang w:eastAsia="en-GB"/>
        </w:rPr>
        <w:drawing>
          <wp:inline distT="0" distB="0" distL="0" distR="0" wp14:anchorId="40077CB0" wp14:editId="7A473DFB">
            <wp:extent cx="5730737" cy="3493311"/>
            <wp:effectExtent l="0" t="0" r="381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737" cy="349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9A12B" w14:textId="77777777" w:rsidR="00DE5AD0" w:rsidRDefault="00DE5AD0" w:rsidP="00DE5AD0">
      <w:pPr>
        <w:rPr>
          <w:b/>
        </w:rPr>
      </w:pPr>
    </w:p>
    <w:p w14:paraId="11A35A3E" w14:textId="05F04C43" w:rsidR="00DE5AD0" w:rsidRPr="00934465" w:rsidRDefault="00DE5AD0" w:rsidP="00DE5AD0">
      <w:pPr>
        <w:rPr>
          <w:b/>
        </w:rPr>
      </w:pPr>
      <w:r w:rsidRPr="00934465">
        <w:rPr>
          <w:b/>
        </w:rPr>
        <w:t xml:space="preserve">Figure </w:t>
      </w:r>
      <w:r w:rsidR="009D7B67">
        <w:rPr>
          <w:b/>
        </w:rPr>
        <w:t>3</w:t>
      </w:r>
      <w:r w:rsidRPr="00934465">
        <w:rPr>
          <w:b/>
        </w:rPr>
        <w:t xml:space="preserve">. </w:t>
      </w:r>
      <w:r w:rsidRPr="004E5C4B">
        <w:rPr>
          <w:b/>
        </w:rPr>
        <w:t xml:space="preserve">Affinity of VRC01 glycovariants to human FcγRs. </w:t>
      </w:r>
      <w:r>
        <w:rPr>
          <w:b/>
        </w:rPr>
        <w:t xml:space="preserve"> </w:t>
      </w:r>
      <w:r w:rsidRPr="004E5C4B">
        <w:t>The graph summarises the affinity values (K</w:t>
      </w:r>
      <w:r w:rsidRPr="004E5C4B">
        <w:rPr>
          <w:vertAlign w:val="subscript"/>
        </w:rPr>
        <w:t>D</w:t>
      </w:r>
      <w:r w:rsidRPr="004E5C4B">
        <w:t>) for the interaction of different glycovariants with human FcγRI, FcγRIIa, FcγRIIb and FcγRIIIa.</w:t>
      </w:r>
    </w:p>
    <w:p w14:paraId="7C49B569" w14:textId="77777777" w:rsidR="00DE5AD0" w:rsidRDefault="00DE5AD0">
      <w:pPr>
        <w:rPr>
          <w:b/>
        </w:rPr>
      </w:pPr>
      <w:r>
        <w:rPr>
          <w:b/>
        </w:rPr>
        <w:br w:type="page"/>
      </w:r>
    </w:p>
    <w:p w14:paraId="3176BD92" w14:textId="77777777" w:rsidR="0075304E" w:rsidRDefault="0075304E" w:rsidP="00C516CE">
      <w:pPr>
        <w:jc w:val="center"/>
      </w:pPr>
    </w:p>
    <w:p w14:paraId="719815F2" w14:textId="576A2DC6" w:rsidR="00934465" w:rsidRDefault="00AF5105" w:rsidP="00C516CE">
      <w:pPr>
        <w:jc w:val="center"/>
      </w:pPr>
      <w:r>
        <w:rPr>
          <w:noProof/>
          <w:lang w:eastAsia="en-GB"/>
        </w:rPr>
        <w:drawing>
          <wp:inline distT="0" distB="0" distL="0" distR="0" wp14:anchorId="01982D7E" wp14:editId="4D1C8A9D">
            <wp:extent cx="4025735" cy="366175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34" cy="367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E5F90D" w14:textId="681F3B23" w:rsidR="00393533" w:rsidRDefault="00AF5105" w:rsidP="00C516C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129474" wp14:editId="25B0FE10">
                <wp:simplePos x="0" y="0"/>
                <wp:positionH relativeFrom="column">
                  <wp:posOffset>974832</wp:posOffset>
                </wp:positionH>
                <wp:positionV relativeFrom="paragraph">
                  <wp:posOffset>283210</wp:posOffset>
                </wp:positionV>
                <wp:extent cx="295275" cy="36766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4CD98" w14:textId="557FECF3" w:rsidR="00EB5A15" w:rsidRPr="00D40D79" w:rsidRDefault="00EB5A1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40D79">
                              <w:rPr>
                                <w:b/>
                                <w:sz w:val="44"/>
                                <w:szCs w:val="4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129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75pt;margin-top:22.3pt;width:23.25pt;height:2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" stroked="f">
                <v:textbox>
                  <w:txbxContent>
                    <w:p w14:paraId="47F4CD98" w14:textId="557FECF3" w:rsidR="00EB5A15" w:rsidRPr="00D40D79" w:rsidRDefault="00EB5A1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D40D79">
                        <w:rPr>
                          <w:b/>
                          <w:sz w:val="44"/>
                          <w:szCs w:val="44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2EB655" w14:textId="4BFA0DF8" w:rsidR="00EC691E" w:rsidRDefault="004F3103" w:rsidP="00C516CE">
      <w:pPr>
        <w:jc w:val="center"/>
      </w:pPr>
      <w:r>
        <w:rPr>
          <w:noProof/>
          <w:lang w:eastAsia="en-GB"/>
        </w:rPr>
        <w:drawing>
          <wp:inline distT="0" distB="0" distL="0" distR="0" wp14:anchorId="3D4BB3D2" wp14:editId="1DEE14D6">
            <wp:extent cx="4257675" cy="30384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C2C3CA5" w14:textId="722BF923" w:rsidR="00DE5AD0" w:rsidRDefault="00DE5AD0" w:rsidP="00DE5AD0">
      <w:pPr>
        <w:rPr>
          <w:bCs/>
          <w:lang w:val="en-US"/>
        </w:rPr>
      </w:pPr>
      <w:r w:rsidRPr="00934465">
        <w:rPr>
          <w:b/>
        </w:rPr>
        <w:t xml:space="preserve">Figure </w:t>
      </w:r>
      <w:r w:rsidR="009D7B67">
        <w:rPr>
          <w:b/>
        </w:rPr>
        <w:t>4</w:t>
      </w:r>
      <w:r w:rsidRPr="00934465">
        <w:rPr>
          <w:b/>
        </w:rPr>
        <w:t>.</w:t>
      </w:r>
      <w:r>
        <w:rPr>
          <w:b/>
        </w:rPr>
        <w:t xml:space="preserve"> </w:t>
      </w:r>
      <w:r w:rsidRPr="00934465">
        <w:rPr>
          <w:b/>
        </w:rPr>
        <w:t xml:space="preserve">Binding of monomeric VRC01 glycovariants to </w:t>
      </w:r>
      <w:r>
        <w:rPr>
          <w:b/>
        </w:rPr>
        <w:t xml:space="preserve">cell </w:t>
      </w:r>
      <w:r w:rsidRPr="00934465">
        <w:rPr>
          <w:b/>
        </w:rPr>
        <w:t>surface Fc receptors</w:t>
      </w:r>
      <w:r>
        <w:rPr>
          <w:b/>
        </w:rPr>
        <w:t xml:space="preserve"> on THP-1 monocytes</w:t>
      </w:r>
      <w:r w:rsidRPr="00934465">
        <w:rPr>
          <w:b/>
        </w:rPr>
        <w:t>.</w:t>
      </w:r>
      <w:r>
        <w:rPr>
          <w:b/>
        </w:rPr>
        <w:t xml:space="preserve"> </w:t>
      </w:r>
      <w:r w:rsidRPr="0075304E">
        <w:rPr>
          <w:u w:val="single"/>
        </w:rPr>
        <w:t>A.</w:t>
      </w:r>
      <w:r>
        <w:t xml:space="preserve"> Flow cytometric analysis with </w:t>
      </w:r>
      <w:r w:rsidRPr="00934465">
        <w:t>FITC-conjugate</w:t>
      </w:r>
      <w:r>
        <w:t xml:space="preserve">d antibodies specific to FcγRI, </w:t>
      </w:r>
      <w:r w:rsidRPr="00934465">
        <w:t xml:space="preserve">FcγRII or FcγRIII </w:t>
      </w:r>
      <w:r>
        <w:t>on the surface of THP-1 cells (r</w:t>
      </w:r>
      <w:r w:rsidRPr="00934465">
        <w:t>ed histograms</w:t>
      </w:r>
      <w:r>
        <w:t xml:space="preserve">) as compared to the isotype controls (blue histograms). </w:t>
      </w:r>
      <w:r w:rsidRPr="00934465">
        <w:t>The numbers indicate m</w:t>
      </w:r>
      <w:r>
        <w:t xml:space="preserve">ean fluorescent intensity (MFI) of the populations. </w:t>
      </w:r>
      <w:r w:rsidRPr="0075304E">
        <w:rPr>
          <w:u w:val="single"/>
        </w:rPr>
        <w:t>B.</w:t>
      </w:r>
      <w:r>
        <w:t xml:space="preserve"> </w:t>
      </w:r>
      <w:r w:rsidRPr="00934465">
        <w:t xml:space="preserve">Binding of </w:t>
      </w:r>
      <w:r>
        <w:t>serially-diluted VRC01 antibodies to THP-1 cells</w:t>
      </w:r>
      <w:r w:rsidRPr="00934465">
        <w:t xml:space="preserve"> was detected with a FITC-labelled F(ab’)2 fragment against human </w:t>
      </w:r>
      <w:r>
        <w:t>antibodies using flow cytometry. MFI responses were corrected by subtracting background response levels from cells incubated with</w:t>
      </w:r>
      <w:r w:rsidRPr="00934465">
        <w:t xml:space="preserve"> the</w:t>
      </w:r>
      <w:r>
        <w:t xml:space="preserve"> FITC-labelled F(ab’)2 fragment only (no VRC01). Nonlinear regression </w:t>
      </w:r>
      <w:r w:rsidRPr="00934465">
        <w:t>curv</w:t>
      </w:r>
      <w:r>
        <w:t>e fit was applied</w:t>
      </w:r>
      <w:r w:rsidRPr="00934465">
        <w:t>. The results represent one of two biological repeats</w:t>
      </w:r>
      <w:r>
        <w:t xml:space="preserve">. </w:t>
      </w:r>
      <w:r w:rsidRPr="0075304E">
        <w:rPr>
          <w:bCs/>
          <w:u w:val="single"/>
          <w:lang w:val="en-US"/>
        </w:rPr>
        <w:t>C.</w:t>
      </w:r>
      <w:r w:rsidRPr="00F50C16">
        <w:rPr>
          <w:bCs/>
          <w:lang w:val="en-US"/>
        </w:rPr>
        <w:t xml:space="preserve"> FcγRIIIa activation </w:t>
      </w:r>
      <w:r>
        <w:rPr>
          <w:bCs/>
          <w:lang w:val="en-US"/>
        </w:rPr>
        <w:t>by</w:t>
      </w:r>
      <w:r w:rsidRPr="00F50C16">
        <w:rPr>
          <w:bCs/>
          <w:lang w:val="en-US"/>
        </w:rPr>
        <w:t xml:space="preserve"> VRC01</w:t>
      </w:r>
      <w:r w:rsidRPr="00F50C16">
        <w:rPr>
          <w:bCs/>
          <w:vertAlign w:val="subscript"/>
          <w:lang w:val="en-US"/>
        </w:rPr>
        <w:t>WT</w:t>
      </w:r>
      <w:r w:rsidRPr="00F50C16">
        <w:rPr>
          <w:bCs/>
          <w:lang w:val="en-US"/>
        </w:rPr>
        <w:t>, VRC01</w:t>
      </w:r>
      <w:r w:rsidRPr="00F50C16">
        <w:rPr>
          <w:bCs/>
          <w:vertAlign w:val="subscript"/>
          <w:lang w:val="en-US"/>
        </w:rPr>
        <w:t xml:space="preserve">ΔXF </w:t>
      </w:r>
      <w:r w:rsidRPr="00F50C16">
        <w:rPr>
          <w:bCs/>
          <w:lang w:val="en-US"/>
        </w:rPr>
        <w:t>and VRC01</w:t>
      </w:r>
      <w:r w:rsidRPr="00F50C16">
        <w:rPr>
          <w:bCs/>
          <w:vertAlign w:val="subscript"/>
          <w:lang w:val="en-US"/>
        </w:rPr>
        <w:t>HEK</w:t>
      </w:r>
      <w:r>
        <w:rPr>
          <w:bCs/>
          <w:lang w:val="en-US"/>
        </w:rPr>
        <w:t xml:space="preserve"> w</w:t>
      </w:r>
      <w:r w:rsidRPr="00F50C16">
        <w:rPr>
          <w:bCs/>
          <w:lang w:val="en-US"/>
        </w:rPr>
        <w:t xml:space="preserve">as </w:t>
      </w:r>
      <w:r>
        <w:rPr>
          <w:bCs/>
          <w:lang w:val="en-US"/>
        </w:rPr>
        <w:t>demonstrated</w:t>
      </w:r>
      <w:r w:rsidRPr="00F50C16">
        <w:rPr>
          <w:bCs/>
          <w:lang w:val="en-US"/>
        </w:rPr>
        <w:t xml:space="preserve"> </w:t>
      </w:r>
      <w:r>
        <w:rPr>
          <w:bCs/>
          <w:lang w:val="en-US"/>
        </w:rPr>
        <w:t xml:space="preserve">by </w:t>
      </w:r>
      <w:r w:rsidRPr="00F50C16">
        <w:rPr>
          <w:bCs/>
          <w:lang w:val="en-US"/>
        </w:rPr>
        <w:t>luciferase activity of ADCC Bioassay Reporter cells</w:t>
      </w:r>
      <w:r>
        <w:rPr>
          <w:bCs/>
          <w:lang w:val="en-US"/>
        </w:rPr>
        <w:t xml:space="preserve">. </w:t>
      </w:r>
      <w:r w:rsidRPr="00F50C16">
        <w:rPr>
          <w:bCs/>
          <w:lang w:val="en-US"/>
        </w:rPr>
        <w:t xml:space="preserve">Antibodies were pre-incubated with HIV-1 UG37 gp140 before </w:t>
      </w:r>
      <w:r>
        <w:rPr>
          <w:bCs/>
          <w:lang w:val="en-US"/>
        </w:rPr>
        <w:t>e</w:t>
      </w:r>
      <w:r w:rsidRPr="00F50C16">
        <w:rPr>
          <w:bCs/>
          <w:lang w:val="en-US"/>
        </w:rPr>
        <w:t>ffector cells (Jurkat NFAT-</w:t>
      </w:r>
      <w:r w:rsidRPr="00F50C16">
        <w:rPr>
          <w:bCs/>
          <w:i/>
          <w:lang w:val="en-US"/>
        </w:rPr>
        <w:t>luc</w:t>
      </w:r>
      <w:r w:rsidRPr="00F50C16">
        <w:rPr>
          <w:bCs/>
          <w:lang w:val="en-US"/>
        </w:rPr>
        <w:t xml:space="preserve">) were added. Luciferase activity was the average result of 3 independent experimental repeats. Error bars equals ±SD and PBS was used as negative control. </w:t>
      </w:r>
      <w:r>
        <w:rPr>
          <w:bCs/>
          <w:lang w:val="en-US"/>
        </w:rPr>
        <w:t xml:space="preserve">        * </w:t>
      </w:r>
      <w:r w:rsidRPr="00F50C16">
        <w:rPr>
          <w:bCs/>
          <w:lang w:val="en-US"/>
        </w:rPr>
        <w:t>VRC01</w:t>
      </w:r>
      <w:r w:rsidRPr="00F50C16">
        <w:rPr>
          <w:bCs/>
          <w:vertAlign w:val="subscript"/>
          <w:lang w:val="en-US"/>
        </w:rPr>
        <w:t>ΔXF</w:t>
      </w:r>
      <w:r w:rsidRPr="00F50C16">
        <w:rPr>
          <w:bCs/>
          <w:lang w:val="en-US"/>
        </w:rPr>
        <w:t xml:space="preserve"> at 10ug/mL was omitted because the readings exceeded the range of the assay.</w:t>
      </w:r>
    </w:p>
    <w:p w14:paraId="3EE726CE" w14:textId="25C148CA" w:rsidR="0075304E" w:rsidRDefault="001A25CC" w:rsidP="0075304E">
      <w:r>
        <w:br w:type="page"/>
      </w:r>
      <w:r w:rsidR="0075304E" w:rsidRPr="00A60432">
        <w:lastRenderedPageBreak/>
        <w:t xml:space="preserve"> </w:t>
      </w:r>
    </w:p>
    <w:p w14:paraId="2BCA2C90" w14:textId="77777777" w:rsidR="00DE5AD0" w:rsidRDefault="00DE5AD0" w:rsidP="00D4527E">
      <w:pPr>
        <w:rPr>
          <w:noProof/>
          <w:lang w:eastAsia="en-GB"/>
        </w:rPr>
      </w:pPr>
    </w:p>
    <w:p w14:paraId="061C6C41" w14:textId="4C906AB0" w:rsidR="00DE5AD0" w:rsidRDefault="00DE5AD0" w:rsidP="00D4527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CAE8D5D" wp14:editId="0A8F9233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6323965" cy="425704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425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69021" w14:textId="32F06CF3" w:rsidR="00411778" w:rsidRDefault="00411778" w:rsidP="00D4527E"/>
    <w:p w14:paraId="450B08EC" w14:textId="313DF236" w:rsidR="00DE5AD0" w:rsidRDefault="00DE5AD0" w:rsidP="00DE5AD0">
      <w:pPr>
        <w:rPr>
          <w:b/>
        </w:rPr>
      </w:pPr>
    </w:p>
    <w:p w14:paraId="53621B60" w14:textId="4362037A" w:rsidR="00DE5AD0" w:rsidRDefault="00DE5AD0" w:rsidP="00DE5AD0">
      <w:pPr>
        <w:rPr>
          <w:b/>
        </w:rPr>
      </w:pPr>
    </w:p>
    <w:p w14:paraId="75C12350" w14:textId="1897C426" w:rsidR="00DE5AD0" w:rsidRDefault="00DE5AD0" w:rsidP="00DE5AD0">
      <w:pPr>
        <w:rPr>
          <w:b/>
        </w:rPr>
      </w:pPr>
    </w:p>
    <w:p w14:paraId="0D74B46B" w14:textId="5C5C6F45" w:rsidR="00DE5AD0" w:rsidRDefault="00DE5AD0" w:rsidP="00DE5AD0">
      <w:pPr>
        <w:rPr>
          <w:b/>
        </w:rPr>
      </w:pPr>
    </w:p>
    <w:p w14:paraId="513A2631" w14:textId="20407BC3" w:rsidR="00DE5AD0" w:rsidRDefault="00DE5AD0" w:rsidP="00DE5AD0">
      <w:pPr>
        <w:rPr>
          <w:b/>
        </w:rPr>
      </w:pPr>
    </w:p>
    <w:p w14:paraId="3ED7FDEB" w14:textId="77DC5B9D" w:rsidR="00DE5AD0" w:rsidRDefault="00DE5AD0" w:rsidP="00DE5AD0">
      <w:pPr>
        <w:rPr>
          <w:b/>
        </w:rPr>
      </w:pPr>
    </w:p>
    <w:p w14:paraId="7F34EB39" w14:textId="38AD78D1" w:rsidR="00DE5AD0" w:rsidRDefault="00DE5AD0" w:rsidP="00DE5AD0">
      <w:pPr>
        <w:rPr>
          <w:b/>
        </w:rPr>
      </w:pPr>
    </w:p>
    <w:p w14:paraId="2C30D528" w14:textId="3D94F3CC" w:rsidR="00DE5AD0" w:rsidRDefault="00DE5AD0" w:rsidP="00DE5AD0">
      <w:pPr>
        <w:rPr>
          <w:b/>
        </w:rPr>
      </w:pPr>
    </w:p>
    <w:p w14:paraId="686E254A" w14:textId="77777777" w:rsidR="00DE5AD0" w:rsidRDefault="00DE5AD0" w:rsidP="00DE5AD0">
      <w:pPr>
        <w:rPr>
          <w:b/>
        </w:rPr>
      </w:pPr>
    </w:p>
    <w:p w14:paraId="649965D7" w14:textId="4A04D0A6" w:rsidR="00DE5AD0" w:rsidRDefault="00DE5AD0" w:rsidP="00DE5AD0">
      <w:pPr>
        <w:rPr>
          <w:b/>
        </w:rPr>
      </w:pPr>
    </w:p>
    <w:p w14:paraId="6BE4E0C3" w14:textId="77777777" w:rsidR="00DE5AD0" w:rsidRDefault="00DE5AD0" w:rsidP="00DE5AD0">
      <w:pPr>
        <w:rPr>
          <w:b/>
        </w:rPr>
      </w:pPr>
    </w:p>
    <w:p w14:paraId="468F9C1D" w14:textId="58816D44" w:rsidR="00DE5AD0" w:rsidRDefault="00DE5AD0" w:rsidP="00DE5AD0">
      <w:pPr>
        <w:rPr>
          <w:b/>
        </w:rPr>
      </w:pPr>
    </w:p>
    <w:p w14:paraId="0E64E75E" w14:textId="77777777" w:rsidR="00DE5AD0" w:rsidRDefault="00DE5AD0" w:rsidP="00DE5AD0">
      <w:pPr>
        <w:rPr>
          <w:b/>
        </w:rPr>
      </w:pPr>
    </w:p>
    <w:p w14:paraId="500CCB07" w14:textId="1C329672" w:rsidR="00DE5AD0" w:rsidRDefault="00DE5AD0" w:rsidP="00DE5AD0">
      <w:pPr>
        <w:rPr>
          <w:b/>
        </w:rPr>
      </w:pPr>
    </w:p>
    <w:p w14:paraId="15D5A922" w14:textId="418CF2B8" w:rsidR="00DE5AD0" w:rsidRDefault="00DE5AD0" w:rsidP="00DE5AD0">
      <w:pPr>
        <w:rPr>
          <w:b/>
        </w:rPr>
      </w:pPr>
    </w:p>
    <w:p w14:paraId="212B4547" w14:textId="6FEC9980" w:rsidR="00DE5AD0" w:rsidRPr="00DE5AD0" w:rsidRDefault="00DE5AD0" w:rsidP="00DE5AD0">
      <w:r w:rsidRPr="00934465">
        <w:rPr>
          <w:b/>
        </w:rPr>
        <w:t xml:space="preserve">Figure </w:t>
      </w:r>
      <w:r w:rsidR="009D7B67">
        <w:rPr>
          <w:b/>
        </w:rPr>
        <w:t>5</w:t>
      </w:r>
      <w:r w:rsidRPr="00934465">
        <w:rPr>
          <w:b/>
        </w:rPr>
        <w:t>.</w:t>
      </w:r>
      <w:r>
        <w:rPr>
          <w:b/>
        </w:rPr>
        <w:t xml:space="preserve">  </w:t>
      </w:r>
      <w:r w:rsidRPr="00A60432">
        <w:rPr>
          <w:b/>
        </w:rPr>
        <w:t>Binding analysis of VRC01 glycovariants to FcRn.</w:t>
      </w:r>
      <w:r w:rsidRPr="00A60432">
        <w:t xml:space="preserve"> </w:t>
      </w:r>
      <w:r>
        <w:t xml:space="preserve"> </w:t>
      </w:r>
      <w:r w:rsidRPr="0075304E">
        <w:rPr>
          <w:u w:val="single"/>
        </w:rPr>
        <w:t>A.</w:t>
      </w:r>
      <w:r w:rsidRPr="00A60432">
        <w:t xml:space="preserve"> Human recombinant FcRn ectodomains were covalently immobilised on the CM5 sensor chip surfac</w:t>
      </w:r>
      <w:r>
        <w:t xml:space="preserve">e and </w:t>
      </w:r>
      <w:r w:rsidRPr="00A60432">
        <w:t xml:space="preserve">different </w:t>
      </w:r>
      <w:r>
        <w:t>VRC01 glycovariants were</w:t>
      </w:r>
      <w:r w:rsidRPr="00A60432">
        <w:t xml:space="preserve"> injected</w:t>
      </w:r>
      <w:r>
        <w:t xml:space="preserve"> at 200 nM concentration in duplicates</w:t>
      </w:r>
      <w:r w:rsidRPr="00A60432">
        <w:t>. Binding and dissociation of different antibodies was observed at pH 6.0 and the FcRn surface was regenerated with PBS pH 7.4.</w:t>
      </w:r>
      <w:r>
        <w:t xml:space="preserve"> </w:t>
      </w:r>
      <w:r w:rsidRPr="0075304E">
        <w:rPr>
          <w:u w:val="single"/>
        </w:rPr>
        <w:t>B.</w:t>
      </w:r>
      <w:r w:rsidRPr="00A60432">
        <w:t xml:space="preserve"> Each VRC01 glycovariant was captured onto the anti-human Fab surface to the same level and tested for binding to 200 nM FcRn. Sensorgrams represent binding and dissociation at pH 6.0 for two independent repeats. </w:t>
      </w:r>
      <w:r>
        <w:t xml:space="preserve">Maximum binding level is marked with a dashed horizontal line.  </w:t>
      </w:r>
    </w:p>
    <w:p w14:paraId="333F4639" w14:textId="77777777" w:rsidR="00DE5AD0" w:rsidRDefault="00DE5AD0">
      <w:pPr>
        <w:rPr>
          <w:b/>
        </w:rPr>
      </w:pPr>
      <w:r>
        <w:rPr>
          <w:b/>
        </w:rPr>
        <w:br w:type="page"/>
      </w:r>
    </w:p>
    <w:p w14:paraId="29C57398" w14:textId="77777777" w:rsidR="00DE5AD0" w:rsidRDefault="00DE5AD0"/>
    <w:p w14:paraId="16F045E5" w14:textId="2CA9C0BC" w:rsidR="00DE5AD0" w:rsidRDefault="00DE5AD0"/>
    <w:p w14:paraId="1AB61419" w14:textId="79BA093B" w:rsidR="00DE5AD0" w:rsidRDefault="00DE5AD0"/>
    <w:p w14:paraId="562DB582" w14:textId="68F10216" w:rsidR="00DE5AD0" w:rsidRDefault="00DE5AD0"/>
    <w:p w14:paraId="32991F6F" w14:textId="0FA257D7" w:rsidR="00DE5AD0" w:rsidRDefault="00DE5AD0"/>
    <w:p w14:paraId="3757ABAF" w14:textId="6D53928A" w:rsidR="00DE5AD0" w:rsidRDefault="00DE5AD0"/>
    <w:p w14:paraId="3962218E" w14:textId="3A29B63D" w:rsidR="00DE5AD0" w:rsidRDefault="00DE5AD0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D3DFBEB" wp14:editId="19D0A9A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054090" cy="1798320"/>
            <wp:effectExtent l="0" t="0" r="3810" b="0"/>
            <wp:wrapTight wrapText="bothSides">
              <wp:wrapPolygon edited="0">
                <wp:start x="0" y="0"/>
                <wp:lineTo x="0" y="20364"/>
                <wp:lineTo x="9176" y="21280"/>
                <wp:lineTo x="16788" y="21280"/>
                <wp:lineTo x="16788" y="10983"/>
                <wp:lineTo x="21546" y="10525"/>
                <wp:lineTo x="215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AE1B48" w14:textId="0CB0A8B2" w:rsidR="00DE5AD0" w:rsidRDefault="00DE5AD0"/>
    <w:p w14:paraId="265952B4" w14:textId="77777777" w:rsidR="00DE5AD0" w:rsidRDefault="00DE5AD0"/>
    <w:p w14:paraId="4BC68A0C" w14:textId="1C54D588" w:rsidR="00DE5AD0" w:rsidRDefault="00DE5AD0"/>
    <w:p w14:paraId="1AAAD337" w14:textId="77777777" w:rsidR="00DE5AD0" w:rsidRDefault="00DE5AD0"/>
    <w:p w14:paraId="2675AB31" w14:textId="6E5FEFDB" w:rsidR="00DE5AD0" w:rsidRDefault="00DE5AD0"/>
    <w:p w14:paraId="0B3531D9" w14:textId="77777777" w:rsidR="00DE5AD0" w:rsidRDefault="00DE5AD0"/>
    <w:p w14:paraId="12C60A68" w14:textId="1EEA4B7E" w:rsidR="00DE5AD0" w:rsidRDefault="00DE5AD0"/>
    <w:p w14:paraId="5289F093" w14:textId="47782B8E" w:rsidR="00DE5AD0" w:rsidRDefault="00DE5AD0" w:rsidP="00DE5AD0">
      <w:r>
        <w:rPr>
          <w:b/>
        </w:rPr>
        <w:t xml:space="preserve">Figure </w:t>
      </w:r>
      <w:r w:rsidR="009D7B67">
        <w:rPr>
          <w:b/>
        </w:rPr>
        <w:t>6</w:t>
      </w:r>
      <w:r>
        <w:rPr>
          <w:b/>
        </w:rPr>
        <w:t xml:space="preserve">. </w:t>
      </w:r>
      <w:r w:rsidRPr="00A27AFB">
        <w:rPr>
          <w:b/>
        </w:rPr>
        <w:t>Methionine oxidation of VRC01 gl</w:t>
      </w:r>
      <w:r>
        <w:rPr>
          <w:b/>
        </w:rPr>
        <w:t xml:space="preserve">ycovariants.  </w:t>
      </w:r>
      <w:r w:rsidRPr="0075304E">
        <w:rPr>
          <w:u w:val="single"/>
        </w:rPr>
        <w:t>A.</w:t>
      </w:r>
      <w:r>
        <w:t xml:space="preserve"> Percentage oxidation</w:t>
      </w:r>
      <w:r w:rsidRPr="004F64E9">
        <w:t xml:space="preserve"> of Met252 and M</w:t>
      </w:r>
      <w:r>
        <w:t xml:space="preserve">et428 on antibody heavy chains, as determined by </w:t>
      </w:r>
      <w:r w:rsidRPr="004F64E9">
        <w:t>mass s</w:t>
      </w:r>
      <w:r>
        <w:t>pectrometry</w:t>
      </w:r>
      <w:r w:rsidRPr="004F64E9">
        <w:t>. All plant-made VRC01 glycovariants we</w:t>
      </w:r>
      <w:r>
        <w:t>re produced at the same time</w:t>
      </w:r>
      <w:r w:rsidRPr="004F64E9">
        <w:t xml:space="preserve"> under the </w:t>
      </w:r>
      <w:r>
        <w:t>same conditions and stored in</w:t>
      </w:r>
      <w:r w:rsidRPr="004F64E9">
        <w:t xml:space="preserve"> n</w:t>
      </w:r>
      <w:r>
        <w:t>on-oxidising atmosphere</w:t>
      </w:r>
      <w:r w:rsidRPr="004F64E9">
        <w:t xml:space="preserve">.  </w:t>
      </w:r>
      <w:r w:rsidRPr="0075304E">
        <w:rPr>
          <w:u w:val="single"/>
        </w:rPr>
        <w:t>B.</w:t>
      </w:r>
      <w:r>
        <w:t xml:space="preserve"> Relative affinity of plant-made VRC01 glycovariants to FcRn compared to VRC01</w:t>
      </w:r>
      <w:r>
        <w:rPr>
          <w:vertAlign w:val="subscript"/>
        </w:rPr>
        <w:t>HEK</w:t>
      </w:r>
      <w:r>
        <w:t xml:space="preserve">. Values obtained from SPR analysis.  </w:t>
      </w:r>
      <w:bookmarkStart w:id="0" w:name="_GoBack"/>
      <w:bookmarkEnd w:id="0"/>
    </w:p>
    <w:sectPr w:rsidR="00DE5AD0" w:rsidSect="00DE5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55E4A" w14:textId="77777777" w:rsidR="00E3227B" w:rsidRDefault="00E3227B" w:rsidP="009C3FAE">
      <w:pPr>
        <w:spacing w:after="0" w:line="240" w:lineRule="auto"/>
      </w:pPr>
      <w:r>
        <w:separator/>
      </w:r>
    </w:p>
  </w:endnote>
  <w:endnote w:type="continuationSeparator" w:id="0">
    <w:p w14:paraId="55695509" w14:textId="77777777" w:rsidR="00E3227B" w:rsidRDefault="00E3227B" w:rsidP="009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E6A80" w14:textId="77777777" w:rsidR="00E3227B" w:rsidRDefault="00E3227B" w:rsidP="009C3FAE">
      <w:pPr>
        <w:spacing w:after="0" w:line="240" w:lineRule="auto"/>
      </w:pPr>
      <w:r>
        <w:separator/>
      </w:r>
    </w:p>
  </w:footnote>
  <w:footnote w:type="continuationSeparator" w:id="0">
    <w:p w14:paraId="47FD6846" w14:textId="77777777" w:rsidR="00E3227B" w:rsidRDefault="00E3227B" w:rsidP="009C3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4D5"/>
    <w:multiLevelType w:val="hybridMultilevel"/>
    <w:tmpl w:val="FA4026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4A72"/>
    <w:multiLevelType w:val="hybridMultilevel"/>
    <w:tmpl w:val="51A47C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7AB4"/>
    <w:multiLevelType w:val="hybridMultilevel"/>
    <w:tmpl w:val="52B2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F01A2"/>
    <w:multiLevelType w:val="hybridMultilevel"/>
    <w:tmpl w:val="84BEEA26"/>
    <w:lvl w:ilvl="0" w:tplc="C4E879C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23462"/>
    <w:multiLevelType w:val="hybridMultilevel"/>
    <w:tmpl w:val="AB16D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06613"/>
    <w:multiLevelType w:val="hybridMultilevel"/>
    <w:tmpl w:val="90185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9188C"/>
    <w:multiLevelType w:val="hybridMultilevel"/>
    <w:tmpl w:val="D7DE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F1984"/>
    <w:multiLevelType w:val="hybridMultilevel"/>
    <w:tmpl w:val="2D5434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505B9"/>
    <w:multiLevelType w:val="hybridMultilevel"/>
    <w:tmpl w:val="7C949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708EA"/>
    <w:multiLevelType w:val="hybridMultilevel"/>
    <w:tmpl w:val="09A0BC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z20x5arcvv0ezea9ed5922brx0zfwvvr2va&quot;&gt;My EndNote Library&lt;record-ids&gt;&lt;item&gt;2360&lt;/item&gt;&lt;item&gt;2369&lt;/item&gt;&lt;item&gt;2492&lt;/item&gt;&lt;item&gt;2494&lt;/item&gt;&lt;item&gt;2503&lt;/item&gt;&lt;item&gt;2517&lt;/item&gt;&lt;item&gt;2518&lt;/item&gt;&lt;item&gt;2525&lt;/item&gt;&lt;item&gt;2659&lt;/item&gt;&lt;item&gt;2667&lt;/item&gt;&lt;item&gt;2669&lt;/item&gt;&lt;item&gt;2677&lt;/item&gt;&lt;item&gt;2716&lt;/item&gt;&lt;item&gt;2723&lt;/item&gt;&lt;item&gt;2724&lt;/item&gt;&lt;item&gt;2725&lt;/item&gt;&lt;item&gt;2726&lt;/item&gt;&lt;item&gt;2727&lt;/item&gt;&lt;item&gt;2728&lt;/item&gt;&lt;item&gt;2729&lt;/item&gt;&lt;item&gt;2730&lt;/item&gt;&lt;item&gt;2731&lt;/item&gt;&lt;item&gt;2732&lt;/item&gt;&lt;/record-ids&gt;&lt;/item&gt;&lt;/Libraries&gt;"/>
  </w:docVars>
  <w:rsids>
    <w:rsidRoot w:val="00F44314"/>
    <w:rsid w:val="00012B5D"/>
    <w:rsid w:val="000133A7"/>
    <w:rsid w:val="00021E36"/>
    <w:rsid w:val="00030102"/>
    <w:rsid w:val="00030A2F"/>
    <w:rsid w:val="00032F11"/>
    <w:rsid w:val="00036FDA"/>
    <w:rsid w:val="0004130C"/>
    <w:rsid w:val="000426B3"/>
    <w:rsid w:val="00047AF5"/>
    <w:rsid w:val="00051814"/>
    <w:rsid w:val="00054AF4"/>
    <w:rsid w:val="000578C4"/>
    <w:rsid w:val="00062051"/>
    <w:rsid w:val="00067C34"/>
    <w:rsid w:val="00076F3A"/>
    <w:rsid w:val="00086469"/>
    <w:rsid w:val="00090E55"/>
    <w:rsid w:val="0009320E"/>
    <w:rsid w:val="000932B6"/>
    <w:rsid w:val="00095AE6"/>
    <w:rsid w:val="00095FD0"/>
    <w:rsid w:val="000A1E11"/>
    <w:rsid w:val="000A2908"/>
    <w:rsid w:val="000A505D"/>
    <w:rsid w:val="000B0852"/>
    <w:rsid w:val="000B21D7"/>
    <w:rsid w:val="000B481A"/>
    <w:rsid w:val="000B7649"/>
    <w:rsid w:val="000C05F9"/>
    <w:rsid w:val="000C2A0F"/>
    <w:rsid w:val="000C7F70"/>
    <w:rsid w:val="000E238D"/>
    <w:rsid w:val="000E3762"/>
    <w:rsid w:val="000E6837"/>
    <w:rsid w:val="000F264D"/>
    <w:rsid w:val="000F610E"/>
    <w:rsid w:val="000F647D"/>
    <w:rsid w:val="000F76CB"/>
    <w:rsid w:val="00100323"/>
    <w:rsid w:val="00116B78"/>
    <w:rsid w:val="001302D7"/>
    <w:rsid w:val="00131980"/>
    <w:rsid w:val="00134D9C"/>
    <w:rsid w:val="00142DEA"/>
    <w:rsid w:val="001471CC"/>
    <w:rsid w:val="00156E54"/>
    <w:rsid w:val="001617D8"/>
    <w:rsid w:val="001626AD"/>
    <w:rsid w:val="0016749E"/>
    <w:rsid w:val="00171BB3"/>
    <w:rsid w:val="00175E38"/>
    <w:rsid w:val="00177806"/>
    <w:rsid w:val="001845D1"/>
    <w:rsid w:val="001862D9"/>
    <w:rsid w:val="00187B48"/>
    <w:rsid w:val="001906F5"/>
    <w:rsid w:val="00197B9C"/>
    <w:rsid w:val="001A25CC"/>
    <w:rsid w:val="001A4F67"/>
    <w:rsid w:val="001A60BC"/>
    <w:rsid w:val="001A65A6"/>
    <w:rsid w:val="001B01F1"/>
    <w:rsid w:val="001B3348"/>
    <w:rsid w:val="001B5170"/>
    <w:rsid w:val="001C1AE6"/>
    <w:rsid w:val="001C43A3"/>
    <w:rsid w:val="001C675A"/>
    <w:rsid w:val="001D3053"/>
    <w:rsid w:val="001D369C"/>
    <w:rsid w:val="001E187A"/>
    <w:rsid w:val="001E5409"/>
    <w:rsid w:val="001E64DD"/>
    <w:rsid w:val="001E6954"/>
    <w:rsid w:val="001E76ED"/>
    <w:rsid w:val="001F063F"/>
    <w:rsid w:val="001F13DF"/>
    <w:rsid w:val="001F1BC6"/>
    <w:rsid w:val="00205D28"/>
    <w:rsid w:val="002061A6"/>
    <w:rsid w:val="0020781C"/>
    <w:rsid w:val="002117B3"/>
    <w:rsid w:val="00211977"/>
    <w:rsid w:val="00212705"/>
    <w:rsid w:val="002130F9"/>
    <w:rsid w:val="00217CD4"/>
    <w:rsid w:val="00224BE5"/>
    <w:rsid w:val="00225DA6"/>
    <w:rsid w:val="00231B8C"/>
    <w:rsid w:val="002408C9"/>
    <w:rsid w:val="00240CE5"/>
    <w:rsid w:val="00243C7D"/>
    <w:rsid w:val="0024466B"/>
    <w:rsid w:val="0024671D"/>
    <w:rsid w:val="0025031A"/>
    <w:rsid w:val="002549DC"/>
    <w:rsid w:val="00254DF6"/>
    <w:rsid w:val="0025539D"/>
    <w:rsid w:val="00260DF4"/>
    <w:rsid w:val="00260F24"/>
    <w:rsid w:val="00263E95"/>
    <w:rsid w:val="00264E5A"/>
    <w:rsid w:val="00265461"/>
    <w:rsid w:val="002740BE"/>
    <w:rsid w:val="002774A4"/>
    <w:rsid w:val="002822B8"/>
    <w:rsid w:val="002844E6"/>
    <w:rsid w:val="00295B5F"/>
    <w:rsid w:val="002A00DC"/>
    <w:rsid w:val="002A1C21"/>
    <w:rsid w:val="002A5A34"/>
    <w:rsid w:val="002B5EC9"/>
    <w:rsid w:val="002B6A77"/>
    <w:rsid w:val="002B6D04"/>
    <w:rsid w:val="002C1C5D"/>
    <w:rsid w:val="002C4880"/>
    <w:rsid w:val="002C5215"/>
    <w:rsid w:val="002D0570"/>
    <w:rsid w:val="002D3037"/>
    <w:rsid w:val="002D7104"/>
    <w:rsid w:val="002E0A13"/>
    <w:rsid w:val="002F0277"/>
    <w:rsid w:val="002F320F"/>
    <w:rsid w:val="002F4304"/>
    <w:rsid w:val="00301135"/>
    <w:rsid w:val="0030401C"/>
    <w:rsid w:val="0031121A"/>
    <w:rsid w:val="0031382E"/>
    <w:rsid w:val="003141E8"/>
    <w:rsid w:val="00314629"/>
    <w:rsid w:val="00320F4D"/>
    <w:rsid w:val="003215C7"/>
    <w:rsid w:val="00321F89"/>
    <w:rsid w:val="0032301A"/>
    <w:rsid w:val="00323346"/>
    <w:rsid w:val="00323743"/>
    <w:rsid w:val="0034331F"/>
    <w:rsid w:val="00343C9B"/>
    <w:rsid w:val="00347EDE"/>
    <w:rsid w:val="00351C44"/>
    <w:rsid w:val="00360E01"/>
    <w:rsid w:val="00361C22"/>
    <w:rsid w:val="0036610E"/>
    <w:rsid w:val="00367E66"/>
    <w:rsid w:val="00376E28"/>
    <w:rsid w:val="00380D62"/>
    <w:rsid w:val="0038135A"/>
    <w:rsid w:val="0038580E"/>
    <w:rsid w:val="00386D74"/>
    <w:rsid w:val="00393533"/>
    <w:rsid w:val="0039546C"/>
    <w:rsid w:val="00395A9E"/>
    <w:rsid w:val="0039661E"/>
    <w:rsid w:val="003A03D3"/>
    <w:rsid w:val="003A3DBA"/>
    <w:rsid w:val="003A5842"/>
    <w:rsid w:val="003A5968"/>
    <w:rsid w:val="003B3D16"/>
    <w:rsid w:val="003C085D"/>
    <w:rsid w:val="003C0B8C"/>
    <w:rsid w:val="003D1F35"/>
    <w:rsid w:val="003D4821"/>
    <w:rsid w:val="003D5B61"/>
    <w:rsid w:val="003F1D50"/>
    <w:rsid w:val="003F2160"/>
    <w:rsid w:val="003F2D7C"/>
    <w:rsid w:val="003F5A97"/>
    <w:rsid w:val="0040053E"/>
    <w:rsid w:val="00411778"/>
    <w:rsid w:val="00420146"/>
    <w:rsid w:val="00420D19"/>
    <w:rsid w:val="00422F50"/>
    <w:rsid w:val="00426C36"/>
    <w:rsid w:val="00427356"/>
    <w:rsid w:val="004327B6"/>
    <w:rsid w:val="00435364"/>
    <w:rsid w:val="00440E40"/>
    <w:rsid w:val="004516FF"/>
    <w:rsid w:val="00456366"/>
    <w:rsid w:val="00456C01"/>
    <w:rsid w:val="004617F3"/>
    <w:rsid w:val="00466C07"/>
    <w:rsid w:val="0047085E"/>
    <w:rsid w:val="00486281"/>
    <w:rsid w:val="004866D9"/>
    <w:rsid w:val="0048780F"/>
    <w:rsid w:val="004A42EA"/>
    <w:rsid w:val="004B0740"/>
    <w:rsid w:val="004B44B1"/>
    <w:rsid w:val="004C6AE6"/>
    <w:rsid w:val="004D333B"/>
    <w:rsid w:val="004D5A9A"/>
    <w:rsid w:val="004E3186"/>
    <w:rsid w:val="004E4587"/>
    <w:rsid w:val="004E508C"/>
    <w:rsid w:val="004E5C4B"/>
    <w:rsid w:val="004E633F"/>
    <w:rsid w:val="004F3103"/>
    <w:rsid w:val="004F3AEC"/>
    <w:rsid w:val="004F64E9"/>
    <w:rsid w:val="00511361"/>
    <w:rsid w:val="00513419"/>
    <w:rsid w:val="005327CE"/>
    <w:rsid w:val="00536D37"/>
    <w:rsid w:val="00537172"/>
    <w:rsid w:val="00541DD6"/>
    <w:rsid w:val="00542349"/>
    <w:rsid w:val="00543A58"/>
    <w:rsid w:val="00543E59"/>
    <w:rsid w:val="00551DB1"/>
    <w:rsid w:val="00551E5A"/>
    <w:rsid w:val="00554FD9"/>
    <w:rsid w:val="0056195F"/>
    <w:rsid w:val="00564CB2"/>
    <w:rsid w:val="0057113C"/>
    <w:rsid w:val="00572DC6"/>
    <w:rsid w:val="005734FB"/>
    <w:rsid w:val="00577F9F"/>
    <w:rsid w:val="00584834"/>
    <w:rsid w:val="0059165F"/>
    <w:rsid w:val="0059254A"/>
    <w:rsid w:val="00594BF1"/>
    <w:rsid w:val="00594CD8"/>
    <w:rsid w:val="005A15FA"/>
    <w:rsid w:val="005A16DF"/>
    <w:rsid w:val="005A19A9"/>
    <w:rsid w:val="005A59AE"/>
    <w:rsid w:val="005B51A1"/>
    <w:rsid w:val="005C4C60"/>
    <w:rsid w:val="005C6852"/>
    <w:rsid w:val="005D00B8"/>
    <w:rsid w:val="005D2CA0"/>
    <w:rsid w:val="005D3861"/>
    <w:rsid w:val="005D6551"/>
    <w:rsid w:val="005D6BDD"/>
    <w:rsid w:val="005E2938"/>
    <w:rsid w:val="005F34C2"/>
    <w:rsid w:val="005F7508"/>
    <w:rsid w:val="005F7A86"/>
    <w:rsid w:val="00601A14"/>
    <w:rsid w:val="0060513B"/>
    <w:rsid w:val="0060683C"/>
    <w:rsid w:val="006079C5"/>
    <w:rsid w:val="006104B3"/>
    <w:rsid w:val="00617A72"/>
    <w:rsid w:val="0062419F"/>
    <w:rsid w:val="0062707C"/>
    <w:rsid w:val="006360C4"/>
    <w:rsid w:val="006514C9"/>
    <w:rsid w:val="00653712"/>
    <w:rsid w:val="006562F4"/>
    <w:rsid w:val="006644FB"/>
    <w:rsid w:val="00671D13"/>
    <w:rsid w:val="00673216"/>
    <w:rsid w:val="00680970"/>
    <w:rsid w:val="00685B0F"/>
    <w:rsid w:val="0068695C"/>
    <w:rsid w:val="006A0427"/>
    <w:rsid w:val="006A06E8"/>
    <w:rsid w:val="006A1130"/>
    <w:rsid w:val="006A13C5"/>
    <w:rsid w:val="006A17C3"/>
    <w:rsid w:val="006A23C3"/>
    <w:rsid w:val="006A3A29"/>
    <w:rsid w:val="006A4763"/>
    <w:rsid w:val="006A62CA"/>
    <w:rsid w:val="006B1774"/>
    <w:rsid w:val="006B4BCA"/>
    <w:rsid w:val="006D034E"/>
    <w:rsid w:val="006D7512"/>
    <w:rsid w:val="006E1CC4"/>
    <w:rsid w:val="006F32F9"/>
    <w:rsid w:val="00701277"/>
    <w:rsid w:val="007036FD"/>
    <w:rsid w:val="00713334"/>
    <w:rsid w:val="007275D2"/>
    <w:rsid w:val="0073444B"/>
    <w:rsid w:val="007421F1"/>
    <w:rsid w:val="0075304E"/>
    <w:rsid w:val="00754E75"/>
    <w:rsid w:val="00761B03"/>
    <w:rsid w:val="0076589F"/>
    <w:rsid w:val="00767B61"/>
    <w:rsid w:val="00767F1A"/>
    <w:rsid w:val="0077531E"/>
    <w:rsid w:val="0078220A"/>
    <w:rsid w:val="00782770"/>
    <w:rsid w:val="00785DA6"/>
    <w:rsid w:val="007877C6"/>
    <w:rsid w:val="00790C58"/>
    <w:rsid w:val="007941BD"/>
    <w:rsid w:val="0079561A"/>
    <w:rsid w:val="00796924"/>
    <w:rsid w:val="007A2038"/>
    <w:rsid w:val="007A3517"/>
    <w:rsid w:val="007A46F4"/>
    <w:rsid w:val="007B00A8"/>
    <w:rsid w:val="007B4B7B"/>
    <w:rsid w:val="007B5EE7"/>
    <w:rsid w:val="007B6083"/>
    <w:rsid w:val="007D6B41"/>
    <w:rsid w:val="007E0DEB"/>
    <w:rsid w:val="007E110C"/>
    <w:rsid w:val="007E581C"/>
    <w:rsid w:val="007E5D22"/>
    <w:rsid w:val="007E6CD2"/>
    <w:rsid w:val="007F1F9C"/>
    <w:rsid w:val="007F59F0"/>
    <w:rsid w:val="007F6165"/>
    <w:rsid w:val="007F7B4B"/>
    <w:rsid w:val="008059A2"/>
    <w:rsid w:val="00814F75"/>
    <w:rsid w:val="00815FC7"/>
    <w:rsid w:val="00816035"/>
    <w:rsid w:val="00825A5A"/>
    <w:rsid w:val="00830A18"/>
    <w:rsid w:val="00831245"/>
    <w:rsid w:val="00831F0B"/>
    <w:rsid w:val="008506F4"/>
    <w:rsid w:val="008511CF"/>
    <w:rsid w:val="008520DB"/>
    <w:rsid w:val="00853F17"/>
    <w:rsid w:val="00861203"/>
    <w:rsid w:val="0086440E"/>
    <w:rsid w:val="00870500"/>
    <w:rsid w:val="00876287"/>
    <w:rsid w:val="008762DF"/>
    <w:rsid w:val="00876E6E"/>
    <w:rsid w:val="00882EAC"/>
    <w:rsid w:val="00883787"/>
    <w:rsid w:val="008878C8"/>
    <w:rsid w:val="008949A2"/>
    <w:rsid w:val="00894C04"/>
    <w:rsid w:val="00894DC8"/>
    <w:rsid w:val="008A1BDA"/>
    <w:rsid w:val="008A3529"/>
    <w:rsid w:val="008A4578"/>
    <w:rsid w:val="008B7C5F"/>
    <w:rsid w:val="008C04AA"/>
    <w:rsid w:val="008C2B9B"/>
    <w:rsid w:val="008C6E05"/>
    <w:rsid w:val="008D068D"/>
    <w:rsid w:val="008D4D55"/>
    <w:rsid w:val="008E2D29"/>
    <w:rsid w:val="008E3D46"/>
    <w:rsid w:val="008E4F15"/>
    <w:rsid w:val="008F272E"/>
    <w:rsid w:val="008F63E7"/>
    <w:rsid w:val="009040BA"/>
    <w:rsid w:val="00934465"/>
    <w:rsid w:val="00936B75"/>
    <w:rsid w:val="0094293E"/>
    <w:rsid w:val="00942E6D"/>
    <w:rsid w:val="009439DE"/>
    <w:rsid w:val="00946747"/>
    <w:rsid w:val="009469A5"/>
    <w:rsid w:val="00946D3B"/>
    <w:rsid w:val="009601DA"/>
    <w:rsid w:val="009640D9"/>
    <w:rsid w:val="009704BC"/>
    <w:rsid w:val="0097513D"/>
    <w:rsid w:val="00980312"/>
    <w:rsid w:val="009845D0"/>
    <w:rsid w:val="009861CB"/>
    <w:rsid w:val="00995CFB"/>
    <w:rsid w:val="009A181D"/>
    <w:rsid w:val="009A48B9"/>
    <w:rsid w:val="009B0C7A"/>
    <w:rsid w:val="009B1CDA"/>
    <w:rsid w:val="009B5FDD"/>
    <w:rsid w:val="009C2496"/>
    <w:rsid w:val="009C3FAE"/>
    <w:rsid w:val="009C41E9"/>
    <w:rsid w:val="009D3720"/>
    <w:rsid w:val="009D61E8"/>
    <w:rsid w:val="009D6B27"/>
    <w:rsid w:val="009D7B67"/>
    <w:rsid w:val="009E1E41"/>
    <w:rsid w:val="009F1E4D"/>
    <w:rsid w:val="009F64FB"/>
    <w:rsid w:val="009F6B15"/>
    <w:rsid w:val="00A02A3B"/>
    <w:rsid w:val="00A03370"/>
    <w:rsid w:val="00A03A51"/>
    <w:rsid w:val="00A05002"/>
    <w:rsid w:val="00A07455"/>
    <w:rsid w:val="00A131C4"/>
    <w:rsid w:val="00A138E6"/>
    <w:rsid w:val="00A232EF"/>
    <w:rsid w:val="00A235BE"/>
    <w:rsid w:val="00A27AFB"/>
    <w:rsid w:val="00A31179"/>
    <w:rsid w:val="00A356E6"/>
    <w:rsid w:val="00A4365A"/>
    <w:rsid w:val="00A43669"/>
    <w:rsid w:val="00A56658"/>
    <w:rsid w:val="00A60432"/>
    <w:rsid w:val="00A60BC0"/>
    <w:rsid w:val="00A61D77"/>
    <w:rsid w:val="00A63E64"/>
    <w:rsid w:val="00A66927"/>
    <w:rsid w:val="00A67137"/>
    <w:rsid w:val="00A7393F"/>
    <w:rsid w:val="00A8111B"/>
    <w:rsid w:val="00A82C23"/>
    <w:rsid w:val="00A86587"/>
    <w:rsid w:val="00A866E1"/>
    <w:rsid w:val="00A90D2A"/>
    <w:rsid w:val="00A91D10"/>
    <w:rsid w:val="00A94E9B"/>
    <w:rsid w:val="00A95B9B"/>
    <w:rsid w:val="00AA2895"/>
    <w:rsid w:val="00AA421C"/>
    <w:rsid w:val="00AA6F82"/>
    <w:rsid w:val="00AA7066"/>
    <w:rsid w:val="00AB6C15"/>
    <w:rsid w:val="00AC0E19"/>
    <w:rsid w:val="00AC5124"/>
    <w:rsid w:val="00AC72FB"/>
    <w:rsid w:val="00AD2611"/>
    <w:rsid w:val="00AD3C61"/>
    <w:rsid w:val="00AD56E2"/>
    <w:rsid w:val="00AD664F"/>
    <w:rsid w:val="00AE00F4"/>
    <w:rsid w:val="00AE048E"/>
    <w:rsid w:val="00AE0641"/>
    <w:rsid w:val="00AE5629"/>
    <w:rsid w:val="00AF21C0"/>
    <w:rsid w:val="00AF5105"/>
    <w:rsid w:val="00AF5753"/>
    <w:rsid w:val="00B00BCC"/>
    <w:rsid w:val="00B04616"/>
    <w:rsid w:val="00B06C2E"/>
    <w:rsid w:val="00B07910"/>
    <w:rsid w:val="00B12500"/>
    <w:rsid w:val="00B14169"/>
    <w:rsid w:val="00B14387"/>
    <w:rsid w:val="00B1461A"/>
    <w:rsid w:val="00B2297F"/>
    <w:rsid w:val="00B22DD7"/>
    <w:rsid w:val="00B2382C"/>
    <w:rsid w:val="00B2574D"/>
    <w:rsid w:val="00B300E7"/>
    <w:rsid w:val="00B32AAD"/>
    <w:rsid w:val="00B332A1"/>
    <w:rsid w:val="00B36C12"/>
    <w:rsid w:val="00B41A4D"/>
    <w:rsid w:val="00B439B9"/>
    <w:rsid w:val="00B43F49"/>
    <w:rsid w:val="00B52681"/>
    <w:rsid w:val="00B5423E"/>
    <w:rsid w:val="00B54AF8"/>
    <w:rsid w:val="00B60241"/>
    <w:rsid w:val="00B70D34"/>
    <w:rsid w:val="00B74012"/>
    <w:rsid w:val="00B75C7B"/>
    <w:rsid w:val="00B869BA"/>
    <w:rsid w:val="00B93583"/>
    <w:rsid w:val="00BA1377"/>
    <w:rsid w:val="00BA5C5C"/>
    <w:rsid w:val="00BC0906"/>
    <w:rsid w:val="00BC1360"/>
    <w:rsid w:val="00BD09FA"/>
    <w:rsid w:val="00BD1A56"/>
    <w:rsid w:val="00BD4696"/>
    <w:rsid w:val="00BE01E5"/>
    <w:rsid w:val="00BE1668"/>
    <w:rsid w:val="00BE245C"/>
    <w:rsid w:val="00BE6CC2"/>
    <w:rsid w:val="00BF533A"/>
    <w:rsid w:val="00BF5BB9"/>
    <w:rsid w:val="00BF6534"/>
    <w:rsid w:val="00C0169B"/>
    <w:rsid w:val="00C01C6E"/>
    <w:rsid w:val="00C07902"/>
    <w:rsid w:val="00C21BF4"/>
    <w:rsid w:val="00C24B5A"/>
    <w:rsid w:val="00C24C10"/>
    <w:rsid w:val="00C273C7"/>
    <w:rsid w:val="00C30AAA"/>
    <w:rsid w:val="00C33515"/>
    <w:rsid w:val="00C3356E"/>
    <w:rsid w:val="00C35F1B"/>
    <w:rsid w:val="00C5101F"/>
    <w:rsid w:val="00C516CE"/>
    <w:rsid w:val="00C64964"/>
    <w:rsid w:val="00C64BAD"/>
    <w:rsid w:val="00C653D2"/>
    <w:rsid w:val="00C6759C"/>
    <w:rsid w:val="00C676AA"/>
    <w:rsid w:val="00C74B6C"/>
    <w:rsid w:val="00C75199"/>
    <w:rsid w:val="00C752AE"/>
    <w:rsid w:val="00C75A9D"/>
    <w:rsid w:val="00C8187D"/>
    <w:rsid w:val="00C85DE3"/>
    <w:rsid w:val="00C94A51"/>
    <w:rsid w:val="00C966A4"/>
    <w:rsid w:val="00CA2DDF"/>
    <w:rsid w:val="00CA5E64"/>
    <w:rsid w:val="00CB16BE"/>
    <w:rsid w:val="00CB4CB0"/>
    <w:rsid w:val="00CB64B1"/>
    <w:rsid w:val="00CC7850"/>
    <w:rsid w:val="00CD1E90"/>
    <w:rsid w:val="00CD7995"/>
    <w:rsid w:val="00CE3C7F"/>
    <w:rsid w:val="00CF1FB7"/>
    <w:rsid w:val="00CF349A"/>
    <w:rsid w:val="00CF4813"/>
    <w:rsid w:val="00CF4B6D"/>
    <w:rsid w:val="00CF4D0F"/>
    <w:rsid w:val="00CF5E6F"/>
    <w:rsid w:val="00D0198D"/>
    <w:rsid w:val="00D04D5D"/>
    <w:rsid w:val="00D06D94"/>
    <w:rsid w:val="00D13302"/>
    <w:rsid w:val="00D14922"/>
    <w:rsid w:val="00D16179"/>
    <w:rsid w:val="00D16609"/>
    <w:rsid w:val="00D25ABC"/>
    <w:rsid w:val="00D26DD4"/>
    <w:rsid w:val="00D30166"/>
    <w:rsid w:val="00D34790"/>
    <w:rsid w:val="00D40D79"/>
    <w:rsid w:val="00D43E0C"/>
    <w:rsid w:val="00D4527E"/>
    <w:rsid w:val="00D46DA2"/>
    <w:rsid w:val="00D50BE4"/>
    <w:rsid w:val="00D538D3"/>
    <w:rsid w:val="00D56D74"/>
    <w:rsid w:val="00D56F78"/>
    <w:rsid w:val="00D610ED"/>
    <w:rsid w:val="00D6214A"/>
    <w:rsid w:val="00D641B7"/>
    <w:rsid w:val="00D662E4"/>
    <w:rsid w:val="00D672C3"/>
    <w:rsid w:val="00D67994"/>
    <w:rsid w:val="00D70F05"/>
    <w:rsid w:val="00D737C8"/>
    <w:rsid w:val="00D7424B"/>
    <w:rsid w:val="00D74438"/>
    <w:rsid w:val="00D81F9F"/>
    <w:rsid w:val="00D84945"/>
    <w:rsid w:val="00D84A73"/>
    <w:rsid w:val="00D8715E"/>
    <w:rsid w:val="00D91638"/>
    <w:rsid w:val="00DA1AA8"/>
    <w:rsid w:val="00DA5F4E"/>
    <w:rsid w:val="00DA6CEF"/>
    <w:rsid w:val="00DB3459"/>
    <w:rsid w:val="00DB7E2C"/>
    <w:rsid w:val="00DD0D5A"/>
    <w:rsid w:val="00DD109F"/>
    <w:rsid w:val="00DE5AD0"/>
    <w:rsid w:val="00DE5D83"/>
    <w:rsid w:val="00DF0EB9"/>
    <w:rsid w:val="00E00B3B"/>
    <w:rsid w:val="00E102E4"/>
    <w:rsid w:val="00E127D5"/>
    <w:rsid w:val="00E200E1"/>
    <w:rsid w:val="00E21B79"/>
    <w:rsid w:val="00E26818"/>
    <w:rsid w:val="00E3227B"/>
    <w:rsid w:val="00E406D2"/>
    <w:rsid w:val="00E40A97"/>
    <w:rsid w:val="00E462A0"/>
    <w:rsid w:val="00E503DE"/>
    <w:rsid w:val="00E5784F"/>
    <w:rsid w:val="00E62CBB"/>
    <w:rsid w:val="00E63DC2"/>
    <w:rsid w:val="00E71686"/>
    <w:rsid w:val="00E71B12"/>
    <w:rsid w:val="00E71B37"/>
    <w:rsid w:val="00E776AD"/>
    <w:rsid w:val="00E83296"/>
    <w:rsid w:val="00E872A2"/>
    <w:rsid w:val="00E87C72"/>
    <w:rsid w:val="00E947B2"/>
    <w:rsid w:val="00E9742F"/>
    <w:rsid w:val="00EA1E31"/>
    <w:rsid w:val="00EA7F55"/>
    <w:rsid w:val="00EB348C"/>
    <w:rsid w:val="00EB34E8"/>
    <w:rsid w:val="00EB4EEC"/>
    <w:rsid w:val="00EB5464"/>
    <w:rsid w:val="00EB5A15"/>
    <w:rsid w:val="00EC1A30"/>
    <w:rsid w:val="00EC385F"/>
    <w:rsid w:val="00EC3CF3"/>
    <w:rsid w:val="00EC691E"/>
    <w:rsid w:val="00EC6B24"/>
    <w:rsid w:val="00ED12AD"/>
    <w:rsid w:val="00ED1D2A"/>
    <w:rsid w:val="00EE15B2"/>
    <w:rsid w:val="00EE4E05"/>
    <w:rsid w:val="00EF165B"/>
    <w:rsid w:val="00EF365A"/>
    <w:rsid w:val="00EF4BB7"/>
    <w:rsid w:val="00F00BF2"/>
    <w:rsid w:val="00F065AE"/>
    <w:rsid w:val="00F11C16"/>
    <w:rsid w:val="00F12A56"/>
    <w:rsid w:val="00F12D27"/>
    <w:rsid w:val="00F13116"/>
    <w:rsid w:val="00F13A3A"/>
    <w:rsid w:val="00F21EA1"/>
    <w:rsid w:val="00F30F0B"/>
    <w:rsid w:val="00F321C4"/>
    <w:rsid w:val="00F35C21"/>
    <w:rsid w:val="00F44314"/>
    <w:rsid w:val="00F44CA3"/>
    <w:rsid w:val="00F50C16"/>
    <w:rsid w:val="00F57C8B"/>
    <w:rsid w:val="00F65020"/>
    <w:rsid w:val="00F675FB"/>
    <w:rsid w:val="00F76987"/>
    <w:rsid w:val="00F81CAD"/>
    <w:rsid w:val="00F8259F"/>
    <w:rsid w:val="00F83FA5"/>
    <w:rsid w:val="00F84CFA"/>
    <w:rsid w:val="00F85F12"/>
    <w:rsid w:val="00F9081D"/>
    <w:rsid w:val="00F90931"/>
    <w:rsid w:val="00F91443"/>
    <w:rsid w:val="00F923D6"/>
    <w:rsid w:val="00F93194"/>
    <w:rsid w:val="00FA02ED"/>
    <w:rsid w:val="00FA32C8"/>
    <w:rsid w:val="00FA3B47"/>
    <w:rsid w:val="00FC3BB3"/>
    <w:rsid w:val="00FC4833"/>
    <w:rsid w:val="00FC5AD6"/>
    <w:rsid w:val="00FC6B8C"/>
    <w:rsid w:val="00FD31F4"/>
    <w:rsid w:val="00FD6544"/>
    <w:rsid w:val="00FD7457"/>
    <w:rsid w:val="00FE2BC9"/>
    <w:rsid w:val="00FE4888"/>
    <w:rsid w:val="00FF1621"/>
    <w:rsid w:val="00FF2661"/>
    <w:rsid w:val="00FF4249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3F33F"/>
  <w15:docId w15:val="{4800EBE5-F130-4B6A-AC92-DFAE3B87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6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0E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4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5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302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F26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0E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B64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A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9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9F64FB"/>
  </w:style>
  <w:style w:type="character" w:styleId="FollowedHyperlink">
    <w:name w:val="FollowedHyperlink"/>
    <w:basedOn w:val="DefaultParagraphFont"/>
    <w:uiPriority w:val="99"/>
    <w:semiHidden/>
    <w:unhideWhenUsed/>
    <w:rsid w:val="003F2160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60432"/>
    <w:pPr>
      <w:keepNext/>
      <w:spacing w:after="200" w:line="240" w:lineRule="auto"/>
      <w:jc w:val="both"/>
    </w:pPr>
    <w:rPr>
      <w:rFonts w:ascii="Arial" w:hAnsi="Arial"/>
      <w:b/>
      <w:bCs/>
      <w:sz w:val="18"/>
      <w:szCs w:val="18"/>
    </w:rPr>
  </w:style>
  <w:style w:type="paragraph" w:customStyle="1" w:styleId="CaptionBody">
    <w:name w:val="Caption Body"/>
    <w:basedOn w:val="Normal"/>
    <w:autoRedefine/>
    <w:qFormat/>
    <w:rsid w:val="00A60432"/>
    <w:pPr>
      <w:spacing w:after="200" w:line="276" w:lineRule="auto"/>
      <w:jc w:val="both"/>
    </w:pPr>
    <w:rPr>
      <w:rFonts w:ascii="Arial" w:hAnsi="Arial" w:cs="Arial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3F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3F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3FAE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70127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127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0127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01277"/>
    <w:rPr>
      <w:rFonts w:ascii="Calibri" w:hAnsi="Calibri"/>
      <w:noProof/>
      <w:lang w:val="en-US"/>
    </w:rPr>
  </w:style>
  <w:style w:type="paragraph" w:styleId="Revision">
    <w:name w:val="Revision"/>
    <w:hidden/>
    <w:uiPriority w:val="99"/>
    <w:semiHidden/>
    <w:rsid w:val="00E26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teh\Dropbox\SGUL%202012-\People\Szymon%20Stelter\Paper\Results%20VRC01%20WT%20DXF%20HEK%20CD16a%20activation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452893891619252"/>
          <c:y val="4.6405515924929447E-2"/>
          <c:w val="0.56763468324848654"/>
          <c:h val="0.848885378355918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Avstdev!$C$2</c:f>
              <c:strCache>
                <c:ptCount val="1"/>
                <c:pt idx="0">
                  <c:v>10ug/mL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Avstdev!$C$13:$C$16</c:f>
                <c:numCache>
                  <c:formatCode>General</c:formatCode>
                  <c:ptCount val="4"/>
                  <c:pt idx="0">
                    <c:v>152.59662998074847</c:v>
                  </c:pt>
                  <c:pt idx="1">
                    <c:v>144.53664792222278</c:v>
                  </c:pt>
                  <c:pt idx="3">
                    <c:v>204.97901879984715</c:v>
                  </c:pt>
                </c:numCache>
              </c:numRef>
            </c:plus>
            <c:minus>
              <c:numRef>
                <c:f>Avstdev!$C$13:$C$16</c:f>
                <c:numCache>
                  <c:formatCode>General</c:formatCode>
                  <c:ptCount val="4"/>
                  <c:pt idx="0">
                    <c:v>152.59662998074847</c:v>
                  </c:pt>
                  <c:pt idx="1">
                    <c:v>144.53664792222278</c:v>
                  </c:pt>
                  <c:pt idx="3">
                    <c:v>204.97901879984715</c:v>
                  </c:pt>
                </c:numCache>
              </c:numRef>
            </c:minus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strRef>
              <c:f>Avstdev!$B$3:$B$6</c:f>
              <c:strCache>
                <c:ptCount val="4"/>
                <c:pt idx="0">
                  <c:v>PBS</c:v>
                </c:pt>
                <c:pt idx="1">
                  <c:v>VRC01 WT</c:v>
                </c:pt>
                <c:pt idx="2">
                  <c:v>VRC01 ΔXF</c:v>
                </c:pt>
                <c:pt idx="3">
                  <c:v>VRC01 HEK</c:v>
                </c:pt>
              </c:strCache>
            </c:strRef>
          </c:cat>
          <c:val>
            <c:numRef>
              <c:f>Avstdev!$C$3:$C$6</c:f>
              <c:numCache>
                <c:formatCode>0</c:formatCode>
                <c:ptCount val="4"/>
                <c:pt idx="0">
                  <c:v>194.61111111111117</c:v>
                </c:pt>
                <c:pt idx="1">
                  <c:v>707.27777777777783</c:v>
                </c:pt>
                <c:pt idx="2">
                  <c:v>0</c:v>
                </c:pt>
                <c:pt idx="3">
                  <c:v>787.6111111111112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53-421E-984A-A1F8E526589F}"/>
            </c:ext>
          </c:extLst>
        </c:ser>
        <c:ser>
          <c:idx val="1"/>
          <c:order val="1"/>
          <c:tx>
            <c:strRef>
              <c:f>Avstdev!$D$2</c:f>
              <c:strCache>
                <c:ptCount val="1"/>
                <c:pt idx="0">
                  <c:v>2ug/mL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Avstdev!$D$13:$D$16</c:f>
                <c:numCache>
                  <c:formatCode>General</c:formatCode>
                  <c:ptCount val="4"/>
                  <c:pt idx="0">
                    <c:v>100.29682798425723</c:v>
                  </c:pt>
                  <c:pt idx="1">
                    <c:v>125.85279466871563</c:v>
                  </c:pt>
                  <c:pt idx="2">
                    <c:v>1293.2508600565534</c:v>
                  </c:pt>
                  <c:pt idx="3">
                    <c:v>111.1485909009161</c:v>
                  </c:pt>
                </c:numCache>
              </c:numRef>
            </c:plus>
            <c:minus>
              <c:numRef>
                <c:f>Avstdev!$D$13:$D$16</c:f>
                <c:numCache>
                  <c:formatCode>General</c:formatCode>
                  <c:ptCount val="4"/>
                  <c:pt idx="0">
                    <c:v>100.29682798425723</c:v>
                  </c:pt>
                  <c:pt idx="1">
                    <c:v>125.85279466871563</c:v>
                  </c:pt>
                  <c:pt idx="2">
                    <c:v>1293.2508600565534</c:v>
                  </c:pt>
                  <c:pt idx="3">
                    <c:v>111.1485909009161</c:v>
                  </c:pt>
                </c:numCache>
              </c:numRef>
            </c:minus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strRef>
              <c:f>Avstdev!$B$3:$B$6</c:f>
              <c:strCache>
                <c:ptCount val="4"/>
                <c:pt idx="0">
                  <c:v>PBS</c:v>
                </c:pt>
                <c:pt idx="1">
                  <c:v>VRC01 WT</c:v>
                </c:pt>
                <c:pt idx="2">
                  <c:v>VRC01 ΔXF</c:v>
                </c:pt>
                <c:pt idx="3">
                  <c:v>VRC01 HEK</c:v>
                </c:pt>
              </c:strCache>
            </c:strRef>
          </c:cat>
          <c:val>
            <c:numRef>
              <c:f>Avstdev!$D$3:$D$6</c:f>
              <c:numCache>
                <c:formatCode>0</c:formatCode>
                <c:ptCount val="4"/>
                <c:pt idx="0">
                  <c:v>133.44444444444449</c:v>
                </c:pt>
                <c:pt idx="1">
                  <c:v>462.27777777777783</c:v>
                </c:pt>
                <c:pt idx="2">
                  <c:v>7626.9444444444453</c:v>
                </c:pt>
                <c:pt idx="3">
                  <c:v>461.27777777777783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53-421E-984A-A1F8E526589F}"/>
            </c:ext>
          </c:extLst>
        </c:ser>
        <c:ser>
          <c:idx val="2"/>
          <c:order val="2"/>
          <c:tx>
            <c:strRef>
              <c:f>Avstdev!$E$2</c:f>
              <c:strCache>
                <c:ptCount val="1"/>
                <c:pt idx="0">
                  <c:v>0.4ug/mL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Avstdev!$E$13:$E$16</c:f>
                <c:numCache>
                  <c:formatCode>General</c:formatCode>
                  <c:ptCount val="4"/>
                  <c:pt idx="0">
                    <c:v>162.652521015177</c:v>
                  </c:pt>
                  <c:pt idx="1">
                    <c:v>168.8890442250748</c:v>
                  </c:pt>
                  <c:pt idx="2">
                    <c:v>319.66237976502083</c:v>
                  </c:pt>
                  <c:pt idx="3">
                    <c:v>85.433589109600987</c:v>
                  </c:pt>
                </c:numCache>
              </c:numRef>
            </c:plus>
            <c:minus>
              <c:numRef>
                <c:f>Avstdev!$E$13:$E$16</c:f>
                <c:numCache>
                  <c:formatCode>General</c:formatCode>
                  <c:ptCount val="4"/>
                  <c:pt idx="0">
                    <c:v>162.652521015177</c:v>
                  </c:pt>
                  <c:pt idx="1">
                    <c:v>168.8890442250748</c:v>
                  </c:pt>
                  <c:pt idx="2">
                    <c:v>319.66237976502083</c:v>
                  </c:pt>
                  <c:pt idx="3">
                    <c:v>85.433589109600987</c:v>
                  </c:pt>
                </c:numCache>
              </c:numRef>
            </c:minus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strRef>
              <c:f>Avstdev!$B$3:$B$6</c:f>
              <c:strCache>
                <c:ptCount val="4"/>
                <c:pt idx="0">
                  <c:v>PBS</c:v>
                </c:pt>
                <c:pt idx="1">
                  <c:v>VRC01 WT</c:v>
                </c:pt>
                <c:pt idx="2">
                  <c:v>VRC01 ΔXF</c:v>
                </c:pt>
                <c:pt idx="3">
                  <c:v>VRC01 HEK</c:v>
                </c:pt>
              </c:strCache>
            </c:strRef>
          </c:cat>
          <c:val>
            <c:numRef>
              <c:f>Avstdev!$E$3:$E$6</c:f>
              <c:numCache>
                <c:formatCode>0</c:formatCode>
                <c:ptCount val="4"/>
                <c:pt idx="0">
                  <c:v>132.77777777777783</c:v>
                </c:pt>
                <c:pt idx="1">
                  <c:v>392.27777777777783</c:v>
                </c:pt>
                <c:pt idx="2">
                  <c:v>1591.4444444444446</c:v>
                </c:pt>
                <c:pt idx="3">
                  <c:v>285.61111111111114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A53-421E-984A-A1F8E526589F}"/>
            </c:ext>
          </c:extLst>
        </c:ser>
        <c:ser>
          <c:idx val="3"/>
          <c:order val="3"/>
          <c:tx>
            <c:strRef>
              <c:f>Avstdev!$F$2</c:f>
              <c:strCache>
                <c:ptCount val="1"/>
                <c:pt idx="0">
                  <c:v>0.08ug/mL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Avstdev!$F$13:$F$16</c:f>
                <c:numCache>
                  <c:formatCode>General</c:formatCode>
                  <c:ptCount val="4"/>
                  <c:pt idx="0">
                    <c:v>90.358288885803631</c:v>
                  </c:pt>
                  <c:pt idx="1">
                    <c:v>157.17120295091289</c:v>
                  </c:pt>
                  <c:pt idx="2">
                    <c:v>172.99504916915114</c:v>
                  </c:pt>
                  <c:pt idx="3">
                    <c:v>108.97990810406434</c:v>
                  </c:pt>
                </c:numCache>
              </c:numRef>
            </c:plus>
            <c:minus>
              <c:numRef>
                <c:f>Avstdev!$F$13:$F$16</c:f>
                <c:numCache>
                  <c:formatCode>General</c:formatCode>
                  <c:ptCount val="4"/>
                  <c:pt idx="0">
                    <c:v>90.358288885803631</c:v>
                  </c:pt>
                  <c:pt idx="1">
                    <c:v>157.17120295091289</c:v>
                  </c:pt>
                  <c:pt idx="2">
                    <c:v>172.99504916915114</c:v>
                  </c:pt>
                  <c:pt idx="3">
                    <c:v>108.97990810406434</c:v>
                  </c:pt>
                </c:numCache>
              </c:numRef>
            </c:minus>
            <c:spPr>
              <a:solidFill>
                <a:schemeClr val="tx1"/>
              </a:solidFill>
              <a:ln w="6350" cap="flat" cmpd="sng" algn="ctr">
                <a:solidFill>
                  <a:schemeClr val="tx1"/>
                </a:solidFill>
                <a:prstDash val="solid"/>
                <a:round/>
              </a:ln>
              <a:effectLst/>
            </c:spPr>
          </c:errBars>
          <c:cat>
            <c:strRef>
              <c:f>Avstdev!$B$3:$B$6</c:f>
              <c:strCache>
                <c:ptCount val="4"/>
                <c:pt idx="0">
                  <c:v>PBS</c:v>
                </c:pt>
                <c:pt idx="1">
                  <c:v>VRC01 WT</c:v>
                </c:pt>
                <c:pt idx="2">
                  <c:v>VRC01 ΔXF</c:v>
                </c:pt>
                <c:pt idx="3">
                  <c:v>VRC01 HEK</c:v>
                </c:pt>
              </c:strCache>
            </c:strRef>
          </c:cat>
          <c:val>
            <c:numRef>
              <c:f>Avstdev!$F$3:$F$6</c:f>
              <c:numCache>
                <c:formatCode>0</c:formatCode>
                <c:ptCount val="4"/>
                <c:pt idx="0">
                  <c:v>148.94444444444449</c:v>
                </c:pt>
                <c:pt idx="1">
                  <c:v>319.94444444444451</c:v>
                </c:pt>
                <c:pt idx="2">
                  <c:v>467.94444444444451</c:v>
                </c:pt>
                <c:pt idx="3">
                  <c:v>314.94444444444451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A53-421E-984A-A1F8E52658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7048504"/>
        <c:axId val="939110376"/>
      </c:barChart>
      <c:catAx>
        <c:axId val="947048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9110376"/>
        <c:crosses val="autoZero"/>
        <c:auto val="1"/>
        <c:lblAlgn val="ctr"/>
        <c:lblOffset val="100"/>
        <c:noMultiLvlLbl val="0"/>
      </c:catAx>
      <c:valAx>
        <c:axId val="939110376"/>
        <c:scaling>
          <c:orientation val="minMax"/>
          <c:min val="0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 b="1"/>
                  <a:t>Luminescence (RLU)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704850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0.4886</cdr:x>
      <cdr:y>0.73919</cdr:y>
    </cdr:from>
    <cdr:to>
      <cdr:x>0.53305</cdr:x>
      <cdr:y>0.84458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03680" y="2483536"/>
          <a:ext cx="209576" cy="3540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600" b="1"/>
            <a:t>*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C062-4A2A-4A6E-B2B0-3BA834E0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 Georges, University of London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Stelter</dc:creator>
  <cp:keywords/>
  <dc:description/>
  <cp:lastModifiedBy>Julian Ma</cp:lastModifiedBy>
  <cp:revision>5</cp:revision>
  <cp:lastPrinted>2018-05-25T12:50:00Z</cp:lastPrinted>
  <dcterms:created xsi:type="dcterms:W3CDTF">2018-11-13T14:06:00Z</dcterms:created>
  <dcterms:modified xsi:type="dcterms:W3CDTF">2019-03-12T09:59:00Z</dcterms:modified>
</cp:coreProperties>
</file>