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912A" w14:textId="77777777" w:rsidR="005817F6" w:rsidRDefault="005817F6" w:rsidP="001A2532">
      <w:pPr>
        <w:pStyle w:val="Kop1"/>
        <w:spacing w:before="0" w:after="0"/>
        <w:jc w:val="center"/>
      </w:pPr>
      <w:r w:rsidRPr="00DD05AC">
        <w:t xml:space="preserve">Implantable Cardioverter-Defibrillators in </w:t>
      </w:r>
      <w:r>
        <w:t xml:space="preserve">Previously </w:t>
      </w:r>
      <w:r w:rsidRPr="00DC3728">
        <w:t>Undiagnosed</w:t>
      </w:r>
      <w:r>
        <w:t xml:space="preserve"> </w:t>
      </w:r>
      <w:r w:rsidRPr="00DD05AC">
        <w:t xml:space="preserve">Patients with </w:t>
      </w:r>
      <w:proofErr w:type="spellStart"/>
      <w:r w:rsidRPr="00DD05AC">
        <w:t>Catecholaminergic</w:t>
      </w:r>
      <w:proofErr w:type="spellEnd"/>
      <w:r w:rsidRPr="00DD05AC">
        <w:t xml:space="preserve"> Polymorphic Ventricular Tachycardia</w:t>
      </w:r>
      <w:r>
        <w:t xml:space="preserve"> Resuscitated from Sudden Cardiac Arrest</w:t>
      </w:r>
    </w:p>
    <w:p w14:paraId="430BC202" w14:textId="22465EDB" w:rsidR="008165DA" w:rsidRPr="008165DA" w:rsidRDefault="00DD05AC" w:rsidP="001A2532">
      <w:r w:rsidRPr="006975CC">
        <w:t>Christian van der Werf</w:t>
      </w:r>
      <w:r w:rsidR="00594711">
        <w:rPr>
          <w:vertAlign w:val="superscript"/>
        </w:rPr>
        <w:t>1</w:t>
      </w:r>
      <w:r w:rsidR="00ED5602" w:rsidRPr="006975CC">
        <w:rPr>
          <w:vertAlign w:val="superscript"/>
        </w:rPr>
        <w:t xml:space="preserve">, *, </w:t>
      </w:r>
      <w:r w:rsidR="00ED5602" w:rsidRPr="006975CC">
        <w:rPr>
          <w:vertAlign w:val="superscript"/>
          <w:lang w:eastAsia="nl-NL"/>
        </w:rPr>
        <w:t>†</w:t>
      </w:r>
      <w:r w:rsidR="00594711">
        <w:t xml:space="preserve">, </w:t>
      </w:r>
      <w:r w:rsidR="008165DA" w:rsidRPr="006975CC">
        <w:t>K</w:t>
      </w:r>
      <w:r w:rsidR="00D302A7" w:rsidRPr="006975CC">
        <w:t>rystien</w:t>
      </w:r>
      <w:r w:rsidR="00C91F6D" w:rsidRPr="006975CC">
        <w:t xml:space="preserve"> </w:t>
      </w:r>
      <w:r w:rsidR="008165DA" w:rsidRPr="006975CC">
        <w:t>V. Lieve</w:t>
      </w:r>
      <w:r w:rsidR="00594711">
        <w:rPr>
          <w:vertAlign w:val="superscript"/>
        </w:rPr>
        <w:t>1</w:t>
      </w:r>
      <w:r w:rsidR="00ED5602" w:rsidRPr="006975CC">
        <w:rPr>
          <w:vertAlign w:val="superscript"/>
        </w:rPr>
        <w:t xml:space="preserve">, *, </w:t>
      </w:r>
      <w:r w:rsidR="00ED5602" w:rsidRPr="006975CC">
        <w:rPr>
          <w:vertAlign w:val="superscript"/>
          <w:lang w:eastAsia="nl-NL"/>
        </w:rPr>
        <w:t>†</w:t>
      </w:r>
      <w:r w:rsidR="00594711">
        <w:t xml:space="preserve">, </w:t>
      </w:r>
      <w:r w:rsidR="00ED5602" w:rsidRPr="006975CC">
        <w:t>J. Martijn Bos</w:t>
      </w:r>
      <w:r w:rsidR="00594711">
        <w:rPr>
          <w:vertAlign w:val="superscript"/>
        </w:rPr>
        <w:t>2</w:t>
      </w:r>
      <w:r w:rsidR="00594711">
        <w:t xml:space="preserve">, </w:t>
      </w:r>
      <w:r w:rsidRPr="006975CC">
        <w:t>Conor M. Lane</w:t>
      </w:r>
      <w:r w:rsidR="00594711">
        <w:rPr>
          <w:vertAlign w:val="superscript"/>
        </w:rPr>
        <w:t>2</w:t>
      </w:r>
      <w:r w:rsidR="00594711">
        <w:t xml:space="preserve">, </w:t>
      </w:r>
      <w:r w:rsidR="008165DA" w:rsidRPr="006975CC">
        <w:t>I</w:t>
      </w:r>
      <w:r w:rsidR="00C07899" w:rsidRPr="006975CC">
        <w:t>sabelle</w:t>
      </w:r>
      <w:r w:rsidR="008165DA" w:rsidRPr="006975CC">
        <w:t xml:space="preserve"> Denjoy</w:t>
      </w:r>
      <w:r w:rsidR="00594711">
        <w:rPr>
          <w:vertAlign w:val="superscript"/>
        </w:rPr>
        <w:t>3</w:t>
      </w:r>
      <w:r w:rsidR="00570B47" w:rsidRPr="006975CC">
        <w:rPr>
          <w:vertAlign w:val="superscript"/>
        </w:rPr>
        <w:t xml:space="preserve">, </w:t>
      </w:r>
      <w:r w:rsidR="00570B47" w:rsidRPr="006975CC">
        <w:rPr>
          <w:vertAlign w:val="superscript"/>
          <w:lang w:eastAsia="nl-NL"/>
        </w:rPr>
        <w:t>†</w:t>
      </w:r>
      <w:r w:rsidR="00594711">
        <w:t xml:space="preserve">, </w:t>
      </w:r>
      <w:r w:rsidR="008165DA" w:rsidRPr="006975CC">
        <w:t>F</w:t>
      </w:r>
      <w:r w:rsidR="00C07899" w:rsidRPr="006975CC">
        <w:t>erran</w:t>
      </w:r>
      <w:r w:rsidR="008165DA" w:rsidRPr="006975CC">
        <w:t xml:space="preserve"> Roses</w:t>
      </w:r>
      <w:r w:rsidR="005E6AB1" w:rsidRPr="006975CC">
        <w:t>-</w:t>
      </w:r>
      <w:r w:rsidR="008165DA" w:rsidRPr="006975CC">
        <w:t>Noguer</w:t>
      </w:r>
      <w:r w:rsidR="00594711">
        <w:rPr>
          <w:vertAlign w:val="superscript"/>
        </w:rPr>
        <w:t>4</w:t>
      </w:r>
      <w:r w:rsidR="00594711">
        <w:t xml:space="preserve">, </w:t>
      </w:r>
      <w:r w:rsidR="008165DA" w:rsidRPr="006975CC">
        <w:t>T</w:t>
      </w:r>
      <w:r w:rsidR="00C07899" w:rsidRPr="006975CC">
        <w:t>akeshi</w:t>
      </w:r>
      <w:r w:rsidR="008165DA" w:rsidRPr="006975CC">
        <w:t xml:space="preserve"> Aiba</w:t>
      </w:r>
      <w:r w:rsidR="00594711">
        <w:rPr>
          <w:vertAlign w:val="superscript"/>
        </w:rPr>
        <w:t>5</w:t>
      </w:r>
      <w:r w:rsidR="00594711">
        <w:t xml:space="preserve">, </w:t>
      </w:r>
      <w:r w:rsidR="009944C6" w:rsidRPr="006975CC">
        <w:t>Yuko Wada</w:t>
      </w:r>
      <w:r w:rsidR="00594711">
        <w:rPr>
          <w:vertAlign w:val="superscript"/>
        </w:rPr>
        <w:t>6</w:t>
      </w:r>
      <w:r w:rsidR="00594711">
        <w:t xml:space="preserve">, </w:t>
      </w:r>
      <w:r w:rsidR="00FA70E2" w:rsidRPr="006975CC">
        <w:t>Jodie Ingles</w:t>
      </w:r>
      <w:r w:rsidR="00594711">
        <w:rPr>
          <w:vertAlign w:val="superscript"/>
        </w:rPr>
        <w:t>7</w:t>
      </w:r>
      <w:r w:rsidR="00594711">
        <w:t xml:space="preserve">, </w:t>
      </w:r>
      <w:r w:rsidR="00814914" w:rsidRPr="006975CC">
        <w:t xml:space="preserve">Ida S. </w:t>
      </w:r>
      <w:r w:rsidR="00D36D81" w:rsidRPr="006975CC">
        <w:t>Leren</w:t>
      </w:r>
      <w:r w:rsidR="00594711">
        <w:rPr>
          <w:vertAlign w:val="superscript"/>
        </w:rPr>
        <w:t>8</w:t>
      </w:r>
      <w:r w:rsidR="00594711">
        <w:t xml:space="preserve">, </w:t>
      </w:r>
      <w:r w:rsidR="0080361D" w:rsidRPr="006975CC">
        <w:t>Boris Rudic</w:t>
      </w:r>
      <w:r w:rsidR="00594711">
        <w:rPr>
          <w:vertAlign w:val="superscript"/>
        </w:rPr>
        <w:t>9</w:t>
      </w:r>
      <w:r w:rsidR="00594711">
        <w:t xml:space="preserve">, </w:t>
      </w:r>
      <w:r w:rsidR="008165DA" w:rsidRPr="006975CC">
        <w:t>P</w:t>
      </w:r>
      <w:r w:rsidR="0080361D" w:rsidRPr="006975CC">
        <w:t xml:space="preserve">eter </w:t>
      </w:r>
      <w:r w:rsidR="008165DA" w:rsidRPr="006975CC">
        <w:t>J. Schwartz</w:t>
      </w:r>
      <w:r w:rsidR="00594711" w:rsidRPr="00594711">
        <w:rPr>
          <w:vertAlign w:val="superscript"/>
        </w:rPr>
        <w:t>10</w:t>
      </w:r>
      <w:r w:rsidR="00570B47" w:rsidRPr="006975CC">
        <w:rPr>
          <w:vertAlign w:val="superscript"/>
        </w:rPr>
        <w:t xml:space="preserve">, </w:t>
      </w:r>
      <w:r w:rsidR="00570B47" w:rsidRPr="006975CC">
        <w:rPr>
          <w:vertAlign w:val="superscript"/>
          <w:lang w:eastAsia="nl-NL"/>
        </w:rPr>
        <w:t>†</w:t>
      </w:r>
      <w:r w:rsidR="00594711">
        <w:t xml:space="preserve">, </w:t>
      </w:r>
      <w:r w:rsidR="00307F68" w:rsidRPr="006975CC">
        <w:t>Alice Maltret</w:t>
      </w:r>
      <w:r w:rsidR="00594711">
        <w:rPr>
          <w:vertAlign w:val="superscript"/>
        </w:rPr>
        <w:t>11</w:t>
      </w:r>
      <w:r w:rsidR="00594711">
        <w:t xml:space="preserve">, </w:t>
      </w:r>
      <w:r w:rsidR="00307F68" w:rsidRPr="006975CC">
        <w:t>Frederic Sacher</w:t>
      </w:r>
      <w:r w:rsidR="00307F68" w:rsidRPr="006975CC">
        <w:rPr>
          <w:vertAlign w:val="superscript"/>
        </w:rPr>
        <w:t>l</w:t>
      </w:r>
      <w:r w:rsidR="00594711">
        <w:rPr>
          <w:vertAlign w:val="superscript"/>
        </w:rPr>
        <w:t>2</w:t>
      </w:r>
      <w:r w:rsidR="00594711">
        <w:t xml:space="preserve">, </w:t>
      </w:r>
      <w:r w:rsidR="0022560E" w:rsidRPr="006975CC">
        <w:t>Jonathan R.</w:t>
      </w:r>
      <w:r w:rsidR="00DA7F93">
        <w:t xml:space="preserve"> </w:t>
      </w:r>
      <w:r w:rsidR="0022560E" w:rsidRPr="006975CC">
        <w:t>Skinner</w:t>
      </w:r>
      <w:r w:rsidR="00594711">
        <w:rPr>
          <w:vertAlign w:val="superscript"/>
        </w:rPr>
        <w:t>13</w:t>
      </w:r>
      <w:r w:rsidR="00594711">
        <w:t xml:space="preserve">, </w:t>
      </w:r>
      <w:r w:rsidR="00DC3648" w:rsidRPr="006975CC">
        <w:t>Andrew D. Krahn</w:t>
      </w:r>
      <w:r w:rsidR="00594711">
        <w:rPr>
          <w:vertAlign w:val="superscript"/>
        </w:rPr>
        <w:t>14</w:t>
      </w:r>
      <w:r w:rsidR="00594711">
        <w:t xml:space="preserve">, </w:t>
      </w:r>
      <w:r w:rsidR="008F00C6" w:rsidRPr="006975CC">
        <w:t>Thomas M. Roston</w:t>
      </w:r>
      <w:r w:rsidR="00594711">
        <w:rPr>
          <w:vertAlign w:val="superscript"/>
        </w:rPr>
        <w:t>14</w:t>
      </w:r>
      <w:r w:rsidR="0022560E" w:rsidRPr="006975CC">
        <w:rPr>
          <w:vertAlign w:val="superscript"/>
        </w:rPr>
        <w:t>,</w:t>
      </w:r>
      <w:r w:rsidR="00594711">
        <w:rPr>
          <w:vertAlign w:val="superscript"/>
        </w:rPr>
        <w:t xml:space="preserve"> 15</w:t>
      </w:r>
      <w:r w:rsidR="00594711">
        <w:t xml:space="preserve">, </w:t>
      </w:r>
      <w:r w:rsidR="00763206" w:rsidRPr="006975CC">
        <w:t>Jacob</w:t>
      </w:r>
      <w:r w:rsidR="009E5513" w:rsidRPr="006975CC">
        <w:t xml:space="preserve"> </w:t>
      </w:r>
      <w:r w:rsidR="00763206" w:rsidRPr="006975CC">
        <w:t>Tfelt-Hansen</w:t>
      </w:r>
      <w:r w:rsidR="00594711">
        <w:rPr>
          <w:vertAlign w:val="superscript"/>
        </w:rPr>
        <w:t>16</w:t>
      </w:r>
      <w:r w:rsidR="00594711">
        <w:t xml:space="preserve">, </w:t>
      </w:r>
      <w:proofErr w:type="spellStart"/>
      <w:r w:rsidR="00763206" w:rsidRPr="008F3EC9">
        <w:t>Heikki</w:t>
      </w:r>
      <w:proofErr w:type="spellEnd"/>
      <w:r w:rsidR="00763206" w:rsidRPr="008F3EC9">
        <w:t xml:space="preserve"> Swan</w:t>
      </w:r>
      <w:r w:rsidR="00594711" w:rsidRPr="008F3EC9">
        <w:rPr>
          <w:vertAlign w:val="superscript"/>
        </w:rPr>
        <w:t>17</w:t>
      </w:r>
      <w:r w:rsidR="00594711">
        <w:t xml:space="preserve">, </w:t>
      </w:r>
      <w:r w:rsidR="00595045" w:rsidRPr="006975CC">
        <w:t>Tomas Robyns</w:t>
      </w:r>
      <w:r w:rsidR="00594711">
        <w:rPr>
          <w:vertAlign w:val="superscript"/>
        </w:rPr>
        <w:t>18</w:t>
      </w:r>
      <w:r w:rsidR="00570B47" w:rsidRPr="006975CC">
        <w:rPr>
          <w:vertAlign w:val="superscript"/>
        </w:rPr>
        <w:t xml:space="preserve">, </w:t>
      </w:r>
      <w:r w:rsidR="00570B47" w:rsidRPr="006975CC">
        <w:rPr>
          <w:vertAlign w:val="superscript"/>
          <w:lang w:eastAsia="nl-NL"/>
        </w:rPr>
        <w:t>†</w:t>
      </w:r>
      <w:r w:rsidR="00594711">
        <w:t xml:space="preserve">, </w:t>
      </w:r>
      <w:r w:rsidR="000741B8" w:rsidRPr="006975CC">
        <w:t>Seiko Ohno</w:t>
      </w:r>
      <w:r w:rsidR="00594711" w:rsidRPr="00594711">
        <w:rPr>
          <w:vertAlign w:val="superscript"/>
        </w:rPr>
        <w:t>6</w:t>
      </w:r>
      <w:r w:rsidR="00594711">
        <w:rPr>
          <w:vertAlign w:val="superscript"/>
        </w:rPr>
        <w:t>, 19</w:t>
      </w:r>
      <w:r w:rsidR="00594711">
        <w:t xml:space="preserve">, </w:t>
      </w:r>
      <w:r w:rsidR="00595045" w:rsidRPr="006975CC">
        <w:t>Jason D.</w:t>
      </w:r>
      <w:r w:rsidR="00181E67">
        <w:t xml:space="preserve"> Roberts</w:t>
      </w:r>
      <w:r w:rsidR="00594711">
        <w:rPr>
          <w:vertAlign w:val="superscript"/>
        </w:rPr>
        <w:t>20</w:t>
      </w:r>
      <w:r w:rsidR="00594711">
        <w:t xml:space="preserve">, </w:t>
      </w:r>
      <w:r w:rsidR="00C3500E" w:rsidRPr="006975CC">
        <w:t>Maarten P. van den Berg</w:t>
      </w:r>
      <w:r w:rsidR="00594711">
        <w:rPr>
          <w:vertAlign w:val="superscript"/>
        </w:rPr>
        <w:t>21</w:t>
      </w:r>
      <w:r w:rsidR="00594711">
        <w:t xml:space="preserve">, </w:t>
      </w:r>
      <w:r w:rsidR="00C3500E" w:rsidRPr="006975CC">
        <w:t xml:space="preserve">Janneke </w:t>
      </w:r>
      <w:r w:rsidR="005817F6">
        <w:t>A.</w:t>
      </w:r>
      <w:r w:rsidR="0083379E" w:rsidRPr="006975CC">
        <w:t xml:space="preserve"> </w:t>
      </w:r>
      <w:r w:rsidR="00C3500E" w:rsidRPr="006975CC">
        <w:t>Kammeraad</w:t>
      </w:r>
      <w:r w:rsidR="00594711">
        <w:rPr>
          <w:vertAlign w:val="superscript"/>
        </w:rPr>
        <w:t>22</w:t>
      </w:r>
      <w:r w:rsidR="00594711">
        <w:t xml:space="preserve">, </w:t>
      </w:r>
      <w:r w:rsidR="00C3500E" w:rsidRPr="006975CC">
        <w:t>Vincent Probst</w:t>
      </w:r>
      <w:r w:rsidR="00594711">
        <w:rPr>
          <w:vertAlign w:val="superscript"/>
        </w:rPr>
        <w:t>23</w:t>
      </w:r>
      <w:r w:rsidR="00570B47" w:rsidRPr="006975CC">
        <w:rPr>
          <w:vertAlign w:val="superscript"/>
        </w:rPr>
        <w:t xml:space="preserve">, </w:t>
      </w:r>
      <w:r w:rsidR="00570B47" w:rsidRPr="006975CC">
        <w:rPr>
          <w:vertAlign w:val="superscript"/>
          <w:lang w:eastAsia="nl-NL"/>
        </w:rPr>
        <w:t>†</w:t>
      </w:r>
      <w:r w:rsidR="00594711">
        <w:t xml:space="preserve">, </w:t>
      </w:r>
      <w:r w:rsidR="00C3500E" w:rsidRPr="006975CC">
        <w:t>Prince J. Kannankeril</w:t>
      </w:r>
      <w:r w:rsidR="00594711">
        <w:rPr>
          <w:vertAlign w:val="superscript"/>
        </w:rPr>
        <w:t>24</w:t>
      </w:r>
      <w:r w:rsidR="00594711">
        <w:t xml:space="preserve">, </w:t>
      </w:r>
      <w:r w:rsidR="00C3500E" w:rsidRPr="006975CC">
        <w:t>Nico A. Blom</w:t>
      </w:r>
      <w:r w:rsidR="00594711">
        <w:rPr>
          <w:vertAlign w:val="superscript"/>
        </w:rPr>
        <w:t>25</w:t>
      </w:r>
      <w:r w:rsidR="00594711">
        <w:t xml:space="preserve">, </w:t>
      </w:r>
      <w:r w:rsidR="0080361D" w:rsidRPr="006975CC">
        <w:t>Elijah R.</w:t>
      </w:r>
      <w:r w:rsidR="00B25C66" w:rsidRPr="006975CC">
        <w:t xml:space="preserve"> </w:t>
      </w:r>
      <w:r w:rsidR="0080361D" w:rsidRPr="006975CC">
        <w:t>Behr</w:t>
      </w:r>
      <w:r w:rsidR="00594711">
        <w:rPr>
          <w:vertAlign w:val="superscript"/>
        </w:rPr>
        <w:t>26</w:t>
      </w:r>
      <w:r w:rsidR="00570B47" w:rsidRPr="006975CC">
        <w:rPr>
          <w:vertAlign w:val="superscript"/>
        </w:rPr>
        <w:t xml:space="preserve">, </w:t>
      </w:r>
      <w:r w:rsidR="00570B47" w:rsidRPr="006975CC">
        <w:rPr>
          <w:vertAlign w:val="superscript"/>
          <w:lang w:eastAsia="nl-NL"/>
        </w:rPr>
        <w:t>†</w:t>
      </w:r>
      <w:r w:rsidR="00594711">
        <w:t>, Martin Borggrefe</w:t>
      </w:r>
      <w:r w:rsidR="00594711" w:rsidRPr="00594711">
        <w:rPr>
          <w:vertAlign w:val="superscript"/>
        </w:rPr>
        <w:t>9</w:t>
      </w:r>
      <w:r w:rsidR="00594711">
        <w:t xml:space="preserve">, </w:t>
      </w:r>
      <w:r w:rsidR="0080361D" w:rsidRPr="006975CC">
        <w:t>Kristina H. Haugaa</w:t>
      </w:r>
      <w:r w:rsidR="00594711">
        <w:rPr>
          <w:vertAlign w:val="superscript"/>
        </w:rPr>
        <w:t>8</w:t>
      </w:r>
      <w:r w:rsidR="00594711">
        <w:t xml:space="preserve">, </w:t>
      </w:r>
      <w:r w:rsidR="009944C6" w:rsidRPr="006975CC">
        <w:t>Chris</w:t>
      </w:r>
      <w:r w:rsidR="001B66DC" w:rsidRPr="006975CC">
        <w:t>topher</w:t>
      </w:r>
      <w:r w:rsidR="009944C6" w:rsidRPr="006975CC">
        <w:t xml:space="preserve"> Semsarian</w:t>
      </w:r>
      <w:r w:rsidR="00594711">
        <w:rPr>
          <w:vertAlign w:val="superscript"/>
        </w:rPr>
        <w:t>7</w:t>
      </w:r>
      <w:r w:rsidR="00594711">
        <w:t xml:space="preserve">, </w:t>
      </w:r>
      <w:r w:rsidR="008165DA" w:rsidRPr="006975CC">
        <w:t>M</w:t>
      </w:r>
      <w:r w:rsidR="00C07899" w:rsidRPr="006975CC">
        <w:t>inoru</w:t>
      </w:r>
      <w:r w:rsidR="008165DA" w:rsidRPr="006975CC">
        <w:t xml:space="preserve"> Horie</w:t>
      </w:r>
      <w:r w:rsidR="00594711">
        <w:rPr>
          <w:vertAlign w:val="superscript"/>
        </w:rPr>
        <w:t>6</w:t>
      </w:r>
      <w:r w:rsidR="00594711">
        <w:t xml:space="preserve">, </w:t>
      </w:r>
      <w:proofErr w:type="spellStart"/>
      <w:r w:rsidR="008165DA" w:rsidRPr="006975CC">
        <w:t>W</w:t>
      </w:r>
      <w:r w:rsidR="00C07899" w:rsidRPr="006975CC">
        <w:t>ataru</w:t>
      </w:r>
      <w:proofErr w:type="spellEnd"/>
      <w:r w:rsidR="008165DA" w:rsidRPr="006975CC">
        <w:t xml:space="preserve"> Shimizu</w:t>
      </w:r>
      <w:r w:rsidR="00594711">
        <w:rPr>
          <w:vertAlign w:val="superscript"/>
        </w:rPr>
        <w:t>5</w:t>
      </w:r>
      <w:r w:rsidR="009944C6" w:rsidRPr="006975CC">
        <w:rPr>
          <w:vertAlign w:val="superscript"/>
        </w:rPr>
        <w:t xml:space="preserve">, </w:t>
      </w:r>
      <w:r w:rsidR="00594711">
        <w:rPr>
          <w:vertAlign w:val="superscript"/>
        </w:rPr>
        <w:t>27</w:t>
      </w:r>
      <w:r w:rsidR="00594711">
        <w:t xml:space="preserve">, </w:t>
      </w:r>
      <w:r w:rsidR="008165DA" w:rsidRPr="006975CC">
        <w:t>J</w:t>
      </w:r>
      <w:r w:rsidR="00C07899" w:rsidRPr="006975CC">
        <w:t>an</w:t>
      </w:r>
      <w:r w:rsidR="001026F9">
        <w:t>ice A.</w:t>
      </w:r>
      <w:r w:rsidR="008165DA" w:rsidRPr="006975CC">
        <w:t xml:space="preserve"> Till</w:t>
      </w:r>
      <w:r w:rsidR="00594711">
        <w:rPr>
          <w:vertAlign w:val="superscript"/>
        </w:rPr>
        <w:t>4</w:t>
      </w:r>
      <w:r w:rsidR="00594711">
        <w:t xml:space="preserve">, </w:t>
      </w:r>
      <w:r w:rsidR="008165DA" w:rsidRPr="006975CC">
        <w:t>A</w:t>
      </w:r>
      <w:r w:rsidR="00C07899" w:rsidRPr="006975CC">
        <w:t>ntoine</w:t>
      </w:r>
      <w:r w:rsidR="008165DA" w:rsidRPr="006975CC">
        <w:t xml:space="preserve"> Leenhardt</w:t>
      </w:r>
      <w:r w:rsidR="00594711">
        <w:rPr>
          <w:vertAlign w:val="superscript"/>
        </w:rPr>
        <w:t>3</w:t>
      </w:r>
      <w:r w:rsidR="00570B47" w:rsidRPr="006975CC">
        <w:rPr>
          <w:vertAlign w:val="superscript"/>
        </w:rPr>
        <w:t xml:space="preserve">, </w:t>
      </w:r>
      <w:r w:rsidR="00570B47" w:rsidRPr="006975CC">
        <w:rPr>
          <w:vertAlign w:val="superscript"/>
          <w:lang w:eastAsia="nl-NL"/>
        </w:rPr>
        <w:t>†</w:t>
      </w:r>
      <w:r w:rsidR="00594711">
        <w:t xml:space="preserve">, </w:t>
      </w:r>
      <w:r w:rsidR="008165DA" w:rsidRPr="006975CC">
        <w:t>M</w:t>
      </w:r>
      <w:r w:rsidR="00C07899" w:rsidRPr="006975CC">
        <w:t xml:space="preserve">ichael </w:t>
      </w:r>
      <w:r w:rsidR="008165DA" w:rsidRPr="006975CC">
        <w:t>J. Ackerman</w:t>
      </w:r>
      <w:r w:rsidR="00594711">
        <w:rPr>
          <w:vertAlign w:val="superscript"/>
        </w:rPr>
        <w:t>2</w:t>
      </w:r>
      <w:r w:rsidR="00DC3728" w:rsidRPr="006975CC">
        <w:rPr>
          <w:vertAlign w:val="superscript"/>
        </w:rPr>
        <w:t>,</w:t>
      </w:r>
      <w:r w:rsidR="00560B45" w:rsidRPr="00560B45">
        <w:rPr>
          <w:vertAlign w:val="superscript"/>
        </w:rPr>
        <w:t xml:space="preserve"> ‡</w:t>
      </w:r>
      <w:r w:rsidR="008165DA" w:rsidRPr="006975CC">
        <w:t xml:space="preserve"> </w:t>
      </w:r>
      <w:r w:rsidRPr="006975CC">
        <w:t xml:space="preserve">and </w:t>
      </w:r>
      <w:r w:rsidR="008165DA" w:rsidRPr="006975CC">
        <w:t>A</w:t>
      </w:r>
      <w:r w:rsidR="00D302A7" w:rsidRPr="006975CC">
        <w:t xml:space="preserve">rthur </w:t>
      </w:r>
      <w:r w:rsidR="008165DA" w:rsidRPr="006975CC">
        <w:t>A. Wilde</w:t>
      </w:r>
      <w:r w:rsidR="00594711">
        <w:rPr>
          <w:vertAlign w:val="superscript"/>
        </w:rPr>
        <w:t>1</w:t>
      </w:r>
      <w:r w:rsidR="00C3500E" w:rsidRPr="006975CC">
        <w:rPr>
          <w:vertAlign w:val="superscript"/>
        </w:rPr>
        <w:t xml:space="preserve">, </w:t>
      </w:r>
      <w:r w:rsidR="00594711">
        <w:rPr>
          <w:vertAlign w:val="superscript"/>
        </w:rPr>
        <w:t>28</w:t>
      </w:r>
      <w:r w:rsidR="00DC3728" w:rsidRPr="006975CC">
        <w:rPr>
          <w:vertAlign w:val="superscript"/>
        </w:rPr>
        <w:t>,</w:t>
      </w:r>
      <w:r w:rsidR="00DC3728" w:rsidRPr="00DC3728">
        <w:rPr>
          <w:vertAlign w:val="superscript"/>
        </w:rPr>
        <w:t xml:space="preserve"> </w:t>
      </w:r>
      <w:r w:rsidR="00DC3728" w:rsidRPr="006975CC">
        <w:rPr>
          <w:vertAlign w:val="superscript"/>
          <w:lang w:eastAsia="nl-NL"/>
        </w:rPr>
        <w:t>†</w:t>
      </w:r>
      <w:r w:rsidR="00560B45">
        <w:rPr>
          <w:vertAlign w:val="superscript"/>
          <w:lang w:eastAsia="nl-NL"/>
        </w:rPr>
        <w:t xml:space="preserve">, </w:t>
      </w:r>
      <w:r w:rsidR="00560B45" w:rsidRPr="00560B45">
        <w:rPr>
          <w:vertAlign w:val="superscript"/>
        </w:rPr>
        <w:t>‡</w:t>
      </w:r>
      <w:r w:rsidR="008165DA" w:rsidRPr="008165DA">
        <w:t xml:space="preserve"> </w:t>
      </w:r>
    </w:p>
    <w:p w14:paraId="351EAAE8" w14:textId="77777777" w:rsidR="008165DA" w:rsidRDefault="008165DA" w:rsidP="001A2532"/>
    <w:p w14:paraId="748F5A7F" w14:textId="77777777" w:rsidR="00ED5602" w:rsidRDefault="00ED5602" w:rsidP="001A2532">
      <w:r w:rsidRPr="00ED5602">
        <w:rPr>
          <w:vertAlign w:val="superscript"/>
        </w:rPr>
        <w:t>*</w:t>
      </w:r>
      <w:proofErr w:type="spellStart"/>
      <w:r w:rsidR="00560B45">
        <w:t>Drs</w:t>
      </w:r>
      <w:proofErr w:type="spellEnd"/>
      <w:r w:rsidR="00560B45">
        <w:t xml:space="preserve"> Van der Werf and Lieve are co-first authors. </w:t>
      </w:r>
    </w:p>
    <w:p w14:paraId="3A8FC0A2" w14:textId="77777777" w:rsidR="00560B45" w:rsidRDefault="00ED5602" w:rsidP="001A2532">
      <w:r w:rsidRPr="00ED5602">
        <w:rPr>
          <w:vertAlign w:val="superscript"/>
          <w:lang w:eastAsia="nl-NL"/>
        </w:rPr>
        <w:t>†</w:t>
      </w:r>
      <w:r w:rsidRPr="009A6D88">
        <w:t>European Re</w:t>
      </w:r>
      <w:r>
        <w:t>ference</w:t>
      </w:r>
      <w:r w:rsidRPr="009A6D88">
        <w:t xml:space="preserve"> Network </w:t>
      </w:r>
      <w:r>
        <w:t xml:space="preserve">‘ERN </w:t>
      </w:r>
      <w:r w:rsidRPr="009A6D88">
        <w:t>GUARD</w:t>
      </w:r>
      <w:r>
        <w:t>-</w:t>
      </w:r>
      <w:r w:rsidRPr="004B3B60">
        <w:t>heart</w:t>
      </w:r>
      <w:r>
        <w:t>’</w:t>
      </w:r>
    </w:p>
    <w:p w14:paraId="37DDE27D" w14:textId="25FB9C99" w:rsidR="00ED5602" w:rsidRDefault="00560B45" w:rsidP="001A2532">
      <w:pPr>
        <w:rPr>
          <w:vertAlign w:val="superscript"/>
        </w:rPr>
      </w:pPr>
      <w:r w:rsidRPr="00560B45">
        <w:rPr>
          <w:vertAlign w:val="superscript"/>
        </w:rPr>
        <w:t>‡</w:t>
      </w:r>
      <w:r>
        <w:t>Drs</w:t>
      </w:r>
      <w:r w:rsidR="009416F2">
        <w:t>.</w:t>
      </w:r>
      <w:r>
        <w:t xml:space="preserve"> Ackerman and Wilde are co-senior authors.</w:t>
      </w:r>
      <w:r w:rsidR="00594711">
        <w:rPr>
          <w:vertAlign w:val="superscript"/>
        </w:rPr>
        <w:br/>
        <w:t>1</w:t>
      </w:r>
      <w:r w:rsidR="00F11675" w:rsidRPr="00F11675">
        <w:t>Amsterdam UMC, Univ</w:t>
      </w:r>
      <w:r w:rsidR="00D0204D">
        <w:t>ersity of Amsterdam, Heart Cent</w:t>
      </w:r>
      <w:r w:rsidR="00F11675" w:rsidRPr="00F11675">
        <w:t>r</w:t>
      </w:r>
      <w:r w:rsidR="00D0204D">
        <w:t>e</w:t>
      </w:r>
      <w:r w:rsidR="00F11675" w:rsidRPr="00F11675">
        <w:t xml:space="preserve">; </w:t>
      </w:r>
      <w:r w:rsidR="009416F2">
        <w:t>D</w:t>
      </w:r>
      <w:r w:rsidR="00F11675" w:rsidRPr="00F11675">
        <w:t>epartment of Clinical and Experimental Cardiology, Amsterdam Cardiovascular Sciences</w:t>
      </w:r>
      <w:r w:rsidR="00F11675">
        <w:t xml:space="preserve">, </w:t>
      </w:r>
      <w:r w:rsidR="00ED5602" w:rsidRPr="003D0338">
        <w:t>Amsterdam, the Netherlands</w:t>
      </w:r>
      <w:r w:rsidR="00ED5602">
        <w:rPr>
          <w:vertAlign w:val="superscript"/>
        </w:rPr>
        <w:t xml:space="preserve"> </w:t>
      </w:r>
    </w:p>
    <w:p w14:paraId="5646B4DE" w14:textId="77777777" w:rsidR="00B44190" w:rsidRDefault="00594711" w:rsidP="001A2532">
      <w:r>
        <w:rPr>
          <w:vertAlign w:val="superscript"/>
        </w:rPr>
        <w:t>2</w:t>
      </w:r>
      <w:r w:rsidR="00ED5602" w:rsidRPr="003D0338">
        <w:t>Department</w:t>
      </w:r>
      <w:r w:rsidR="00ED5602">
        <w:t xml:space="preserve">s of Cardiovascular Medicine (Division of </w:t>
      </w:r>
      <w:r w:rsidR="00ED5602" w:rsidRPr="003D0338">
        <w:t>Heart Rhythm Services</w:t>
      </w:r>
      <w:r w:rsidR="00ED5602">
        <w:t>), Pediatric and Adolescent Medicine (Division of Pediatric Cardiology), and Mo</w:t>
      </w:r>
      <w:r w:rsidR="00ED5602" w:rsidRPr="003D0338">
        <w:t>lecular Pharmacology &amp; Expe</w:t>
      </w:r>
      <w:r w:rsidR="00ED5602">
        <w:t>rimental Therapeutics (</w:t>
      </w:r>
      <w:proofErr w:type="spellStart"/>
      <w:r w:rsidR="00ED5602" w:rsidRPr="003D0338">
        <w:t>Windland</w:t>
      </w:r>
      <w:proofErr w:type="spellEnd"/>
      <w:r w:rsidR="00ED5602" w:rsidRPr="003D0338">
        <w:t xml:space="preserve"> Smith Rice Sudden Death Genomics Laboratory</w:t>
      </w:r>
      <w:r w:rsidR="00ED5602">
        <w:t>)</w:t>
      </w:r>
      <w:r w:rsidR="00ED5602" w:rsidRPr="003D0338">
        <w:t>, Mayo Clinic, Rochester, MN, United States</w:t>
      </w:r>
    </w:p>
    <w:p w14:paraId="71959238" w14:textId="77777777" w:rsidR="005E6AB1" w:rsidRDefault="00594711" w:rsidP="001A2532">
      <w:r w:rsidRPr="00594711">
        <w:rPr>
          <w:vertAlign w:val="superscript"/>
        </w:rPr>
        <w:t>3</w:t>
      </w:r>
      <w:r w:rsidR="005E6AB1" w:rsidRPr="005E6AB1">
        <w:t xml:space="preserve">Service de Cardiologie et CNMR Maladies </w:t>
      </w:r>
      <w:proofErr w:type="spellStart"/>
      <w:r w:rsidR="005E6AB1" w:rsidRPr="005E6AB1">
        <w:t>Cardiaques</w:t>
      </w:r>
      <w:proofErr w:type="spellEnd"/>
      <w:r w:rsidR="005E6AB1" w:rsidRPr="005E6AB1">
        <w:t xml:space="preserve"> </w:t>
      </w:r>
      <w:proofErr w:type="spellStart"/>
      <w:r w:rsidR="005E6AB1" w:rsidRPr="005E6AB1">
        <w:t>Héréditaires</w:t>
      </w:r>
      <w:proofErr w:type="spellEnd"/>
      <w:r w:rsidR="005E6AB1" w:rsidRPr="005E6AB1">
        <w:t xml:space="preserve"> </w:t>
      </w:r>
      <w:proofErr w:type="spellStart"/>
      <w:r w:rsidR="005E6AB1" w:rsidRPr="005E6AB1">
        <w:t>Rares</w:t>
      </w:r>
      <w:proofErr w:type="spellEnd"/>
      <w:r w:rsidR="005E6AB1" w:rsidRPr="005E6AB1">
        <w:t xml:space="preserve">, </w:t>
      </w:r>
      <w:proofErr w:type="spellStart"/>
      <w:r w:rsidR="005E6AB1" w:rsidRPr="005E6AB1">
        <w:t>Hôpital</w:t>
      </w:r>
      <w:proofErr w:type="spellEnd"/>
      <w:r w:rsidR="005E6AB1" w:rsidRPr="005E6AB1">
        <w:t xml:space="preserve"> Bichat, Paris, France</w:t>
      </w:r>
    </w:p>
    <w:p w14:paraId="12176BED" w14:textId="77777777" w:rsidR="005E6AB1" w:rsidRDefault="00594711" w:rsidP="001A2532">
      <w:r>
        <w:rPr>
          <w:vertAlign w:val="superscript"/>
        </w:rPr>
        <w:t>4</w:t>
      </w:r>
      <w:r w:rsidR="00CA2BDD" w:rsidRPr="00BA72DA">
        <w:t xml:space="preserve">Department of Cardiology, Royal </w:t>
      </w:r>
      <w:proofErr w:type="spellStart"/>
      <w:r w:rsidR="00CA2BDD" w:rsidRPr="00BA72DA">
        <w:t>Brompton</w:t>
      </w:r>
      <w:proofErr w:type="spellEnd"/>
      <w:r w:rsidR="00CA2BDD" w:rsidRPr="00BA72DA">
        <w:t xml:space="preserve"> Hospital, London, United Kingdom</w:t>
      </w:r>
    </w:p>
    <w:p w14:paraId="2794270F" w14:textId="07DDE1B4" w:rsidR="00CA2BDD" w:rsidRDefault="00594711" w:rsidP="001A2532">
      <w:r>
        <w:rPr>
          <w:vertAlign w:val="superscript"/>
        </w:rPr>
        <w:t>5</w:t>
      </w:r>
      <w:r w:rsidR="00CA2BDD" w:rsidRPr="00CA2BDD">
        <w:t>Division of Arrhythmia and Electrophysiology, Department of Cardiovascular Medicine, National C</w:t>
      </w:r>
      <w:r w:rsidR="00D0204D">
        <w:t>erebral and Cardiovascular Cent</w:t>
      </w:r>
      <w:r w:rsidR="00CA2BDD" w:rsidRPr="00CA2BDD">
        <w:t>r</w:t>
      </w:r>
      <w:r w:rsidR="00D0204D">
        <w:t>e</w:t>
      </w:r>
      <w:r w:rsidR="00CA2BDD" w:rsidRPr="00CA2BDD">
        <w:t xml:space="preserve">, </w:t>
      </w:r>
      <w:r w:rsidR="00CA2BDD">
        <w:t xml:space="preserve">Suita, </w:t>
      </w:r>
      <w:r w:rsidR="00CA2BDD" w:rsidRPr="00CA2BDD">
        <w:t>Osaka, Japan</w:t>
      </w:r>
    </w:p>
    <w:p w14:paraId="79AB3A9F" w14:textId="77777777" w:rsidR="009944C6" w:rsidRPr="00CA2BDD" w:rsidRDefault="00594711" w:rsidP="001A2532">
      <w:r>
        <w:rPr>
          <w:vertAlign w:val="superscript"/>
        </w:rPr>
        <w:lastRenderedPageBreak/>
        <w:t>6</w:t>
      </w:r>
      <w:r w:rsidR="009944C6" w:rsidRPr="009944C6">
        <w:t>Department of Cardiovascular Medicine, Shiga University of Medical Science, Otsu, Japan</w:t>
      </w:r>
    </w:p>
    <w:p w14:paraId="38F4CD3D" w14:textId="77777777" w:rsidR="00CA2BDD" w:rsidRPr="009944C6" w:rsidRDefault="00594711" w:rsidP="001A2532">
      <w:r>
        <w:rPr>
          <w:vertAlign w:val="superscript"/>
        </w:rPr>
        <w:t>7</w:t>
      </w:r>
      <w:r w:rsidR="009944C6" w:rsidRPr="009944C6">
        <w:t xml:space="preserve">Agnes </w:t>
      </w:r>
      <w:proofErr w:type="spellStart"/>
      <w:r w:rsidR="009944C6" w:rsidRPr="009944C6">
        <w:t>Ginges</w:t>
      </w:r>
      <w:proofErr w:type="spellEnd"/>
      <w:r w:rsidR="009944C6" w:rsidRPr="009944C6">
        <w:t xml:space="preserve"> Centre for Molecular Cardiology, Centenary Institute, Sydney, New South Wales, Australia; Sydney Medical School, University of Sydney, Sydney, New South Wales, Australia; Department of Cardiology, Royal Prince Alfred Hospital, Sydney, New South Wales, Australia</w:t>
      </w:r>
    </w:p>
    <w:p w14:paraId="22727128" w14:textId="69491A4A" w:rsidR="0080361D" w:rsidRPr="0080361D" w:rsidRDefault="00594711" w:rsidP="001A2532">
      <w:r>
        <w:rPr>
          <w:vertAlign w:val="superscript"/>
        </w:rPr>
        <w:t>8</w:t>
      </w:r>
      <w:r w:rsidR="00D0204D">
        <w:t>Department of Cardiology, Cent</w:t>
      </w:r>
      <w:r w:rsidR="0080361D" w:rsidRPr="0001200B">
        <w:t>r</w:t>
      </w:r>
      <w:r w:rsidR="00D0204D">
        <w:t>e</w:t>
      </w:r>
      <w:r w:rsidR="0080361D" w:rsidRPr="0001200B">
        <w:t xml:space="preserve"> for </w:t>
      </w:r>
      <w:proofErr w:type="spellStart"/>
      <w:r w:rsidR="0080361D" w:rsidRPr="0001200B">
        <w:t>Cardiological</w:t>
      </w:r>
      <w:proofErr w:type="spellEnd"/>
      <w:r w:rsidR="0080361D" w:rsidRPr="0001200B">
        <w:t xml:space="preserve"> Innovation, Oslo University Hospital, </w:t>
      </w:r>
      <w:proofErr w:type="spellStart"/>
      <w:r w:rsidR="0080361D" w:rsidRPr="0001200B">
        <w:t>Rikshospitalet</w:t>
      </w:r>
      <w:proofErr w:type="spellEnd"/>
      <w:r w:rsidR="0080361D" w:rsidRPr="0001200B">
        <w:t xml:space="preserve">, </w:t>
      </w:r>
      <w:r w:rsidR="00D36D81">
        <w:t xml:space="preserve">and University of Oslo, </w:t>
      </w:r>
      <w:r w:rsidR="00D36D81" w:rsidRPr="0001200B">
        <w:t>Oslo, Norway</w:t>
      </w:r>
    </w:p>
    <w:p w14:paraId="1B6BD6C3" w14:textId="0D0CA972" w:rsidR="0080361D" w:rsidRDefault="00594711" w:rsidP="001A2532">
      <w:r>
        <w:rPr>
          <w:vertAlign w:val="superscript"/>
        </w:rPr>
        <w:t>9</w:t>
      </w:r>
      <w:r w:rsidR="0080361D">
        <w:t xml:space="preserve">Department of </w:t>
      </w:r>
      <w:r w:rsidR="00A836FB">
        <w:t>Cardiology</w:t>
      </w:r>
      <w:r w:rsidR="00D0204D">
        <w:t>, University Medical Cent</w:t>
      </w:r>
      <w:r w:rsidR="0080361D">
        <w:t>r</w:t>
      </w:r>
      <w:r w:rsidR="00D0204D">
        <w:t>e</w:t>
      </w:r>
      <w:r w:rsidR="0080361D">
        <w:t xml:space="preserve"> Mannheim,</w:t>
      </w:r>
      <w:r w:rsidR="00D0204D">
        <w:t xml:space="preserve"> Mannheim, Germany; German Cent</w:t>
      </w:r>
      <w:r w:rsidR="0080361D">
        <w:t>r</w:t>
      </w:r>
      <w:r w:rsidR="00D0204D">
        <w:t>e</w:t>
      </w:r>
      <w:r w:rsidR="0080361D">
        <w:t xml:space="preserve"> for Cardiovascular Research (DZHK), Partner Site Heidelberg/Mannheim, Mannheim, Germany</w:t>
      </w:r>
    </w:p>
    <w:p w14:paraId="131AB868" w14:textId="02AF26B2" w:rsidR="00307F68" w:rsidRDefault="00594711" w:rsidP="001A2532">
      <w:r>
        <w:rPr>
          <w:vertAlign w:val="superscript"/>
        </w:rPr>
        <w:t>10</w:t>
      </w:r>
      <w:r w:rsidR="00DB156F" w:rsidRPr="00DB156F">
        <w:t xml:space="preserve">Istituto </w:t>
      </w:r>
      <w:proofErr w:type="spellStart"/>
      <w:r w:rsidR="00DB156F" w:rsidRPr="00DB156F">
        <w:t>Auxologico</w:t>
      </w:r>
      <w:proofErr w:type="spellEnd"/>
      <w:r w:rsidR="00DB156F" w:rsidRPr="00DB156F">
        <w:t xml:space="preserve"> </w:t>
      </w:r>
      <w:proofErr w:type="spellStart"/>
      <w:r w:rsidR="00DB156F" w:rsidRPr="00DB156F">
        <w:t>Italiano</w:t>
      </w:r>
      <w:proofErr w:type="spellEnd"/>
      <w:r w:rsidR="00DB156F" w:rsidRPr="00DB156F">
        <w:t>, IRCCS, Center for Cardiac Arrhythmias of Genetic Origin</w:t>
      </w:r>
      <w:r w:rsidR="00307F68" w:rsidRPr="00307F68">
        <w:t xml:space="preserve">, Milan, Italy </w:t>
      </w:r>
    </w:p>
    <w:p w14:paraId="03211ECA" w14:textId="77777777" w:rsidR="00307F68" w:rsidRPr="00307F68" w:rsidRDefault="00594711" w:rsidP="001A2532">
      <w:r>
        <w:rPr>
          <w:vertAlign w:val="superscript"/>
        </w:rPr>
        <w:t>11</w:t>
      </w:r>
      <w:r w:rsidR="00307F68" w:rsidRPr="00307F68">
        <w:t xml:space="preserve">Cardiologie </w:t>
      </w:r>
      <w:proofErr w:type="spellStart"/>
      <w:r w:rsidR="00307F68" w:rsidRPr="00307F68">
        <w:t>P</w:t>
      </w:r>
      <w:r w:rsidR="00307F68">
        <w:t>é</w:t>
      </w:r>
      <w:r w:rsidR="00307F68" w:rsidRPr="00307F68">
        <w:t>diatrique</w:t>
      </w:r>
      <w:proofErr w:type="spellEnd"/>
      <w:r w:rsidR="00307F68" w:rsidRPr="00307F68">
        <w:t xml:space="preserve">, </w:t>
      </w:r>
      <w:proofErr w:type="spellStart"/>
      <w:r w:rsidR="00307F68" w:rsidRPr="00307F68">
        <w:t>H</w:t>
      </w:r>
      <w:r w:rsidR="00307F68">
        <w:t>ô</w:t>
      </w:r>
      <w:r w:rsidR="00307F68" w:rsidRPr="00307F68">
        <w:t>pital</w:t>
      </w:r>
      <w:proofErr w:type="spellEnd"/>
      <w:r w:rsidR="00307F68" w:rsidRPr="00307F68">
        <w:t xml:space="preserve"> Necker-</w:t>
      </w:r>
      <w:proofErr w:type="spellStart"/>
      <w:r w:rsidR="00307F68" w:rsidRPr="00307F68">
        <w:t>Enfants</w:t>
      </w:r>
      <w:proofErr w:type="spellEnd"/>
      <w:r w:rsidR="00307F68" w:rsidRPr="00307F68">
        <w:t>-</w:t>
      </w:r>
      <w:proofErr w:type="spellStart"/>
      <w:r w:rsidR="00307F68" w:rsidRPr="00307F68">
        <w:t>Malades</w:t>
      </w:r>
      <w:proofErr w:type="spellEnd"/>
      <w:r w:rsidR="00307F68" w:rsidRPr="00307F68">
        <w:t>, Paris, France</w:t>
      </w:r>
    </w:p>
    <w:p w14:paraId="28A6D6EB" w14:textId="6D1920DB" w:rsidR="008B4AC0" w:rsidRPr="00DB156F" w:rsidRDefault="00594711" w:rsidP="001A2532">
      <w:r w:rsidRPr="00DB156F">
        <w:rPr>
          <w:vertAlign w:val="superscript"/>
        </w:rPr>
        <w:t>12</w:t>
      </w:r>
      <w:r w:rsidR="00DB156F" w:rsidRPr="00DB156F">
        <w:t>LIRYC Institute</w:t>
      </w:r>
      <w:r w:rsidR="00DB156F">
        <w:t xml:space="preserve">, </w:t>
      </w:r>
      <w:r w:rsidR="00DB156F" w:rsidRPr="00DB156F">
        <w:t>Bordeaux University Hospital</w:t>
      </w:r>
      <w:r w:rsidR="00DB156F">
        <w:t xml:space="preserve">, </w:t>
      </w:r>
      <w:bookmarkStart w:id="0" w:name="_GoBack"/>
      <w:bookmarkEnd w:id="0"/>
      <w:r w:rsidR="00DB156F" w:rsidRPr="00DB156F">
        <w:t>Bordeaux University</w:t>
      </w:r>
      <w:r w:rsidR="008B4AC0" w:rsidRPr="00DB156F">
        <w:t>, Bordeaux, France</w:t>
      </w:r>
    </w:p>
    <w:p w14:paraId="238FBD4F" w14:textId="77777777" w:rsidR="0022560E" w:rsidRDefault="00594711" w:rsidP="001A2532">
      <w:r w:rsidRPr="00594711">
        <w:rPr>
          <w:vertAlign w:val="superscript"/>
        </w:rPr>
        <w:t>13</w:t>
      </w:r>
      <w:r w:rsidR="0022560E" w:rsidRPr="0022560E">
        <w:t xml:space="preserve">Cardiac Inherited Disease Group New Zealand, Green Lane </w:t>
      </w:r>
      <w:proofErr w:type="spellStart"/>
      <w:r w:rsidR="0022560E" w:rsidRPr="0022560E">
        <w:t>Paediatric</w:t>
      </w:r>
      <w:proofErr w:type="spellEnd"/>
      <w:r w:rsidR="0022560E" w:rsidRPr="0022560E">
        <w:t xml:space="preserve"> and Congenital Cardiac Services, Starship Children's Hospital, Auckland New Zealand; The University of Auckland, Department of </w:t>
      </w:r>
      <w:proofErr w:type="spellStart"/>
      <w:r w:rsidR="0022560E" w:rsidRPr="0022560E">
        <w:t>Paediatrics</w:t>
      </w:r>
      <w:proofErr w:type="spellEnd"/>
      <w:r w:rsidR="0022560E" w:rsidRPr="0022560E">
        <w:t xml:space="preserve"> Child and Youth Health, Auckland, New Zealand</w:t>
      </w:r>
    </w:p>
    <w:p w14:paraId="5C5E3233" w14:textId="77777777" w:rsidR="008B4AC0" w:rsidRPr="00FE49AE" w:rsidRDefault="00594711" w:rsidP="001A2532">
      <w:r>
        <w:rPr>
          <w:vertAlign w:val="superscript"/>
        </w:rPr>
        <w:t>14</w:t>
      </w:r>
      <w:r w:rsidR="008B4AC0" w:rsidRPr="00FE49AE">
        <w:t>Heart Rhythm Services, Division of Cardiology, University of British Columbia, Vancouver, BC, Canada</w:t>
      </w:r>
    </w:p>
    <w:p w14:paraId="24B8B8B4" w14:textId="77777777" w:rsidR="00763206" w:rsidRDefault="00594711" w:rsidP="001A2532">
      <w:r>
        <w:rPr>
          <w:vertAlign w:val="superscript"/>
        </w:rPr>
        <w:t>15</w:t>
      </w:r>
      <w:r w:rsidR="00763206" w:rsidRPr="00763206">
        <w:t>BC Children's Hospital</w:t>
      </w:r>
      <w:r w:rsidR="006975CC">
        <w:t xml:space="preserve"> </w:t>
      </w:r>
      <w:r w:rsidR="00763206" w:rsidRPr="00763206">
        <w:t>and Department of Pediatrics, University of British Columbia, Vancouver, British Columbia, Canada</w:t>
      </w:r>
    </w:p>
    <w:p w14:paraId="5D9293A0" w14:textId="77777777" w:rsidR="00763206" w:rsidRDefault="00594711" w:rsidP="001A2532">
      <w:r>
        <w:rPr>
          <w:vertAlign w:val="superscript"/>
        </w:rPr>
        <w:t>16</w:t>
      </w:r>
      <w:r w:rsidR="00763206" w:rsidRPr="00763206">
        <w:t xml:space="preserve">Department of Cardiology, </w:t>
      </w:r>
      <w:proofErr w:type="spellStart"/>
      <w:r w:rsidR="00763206" w:rsidRPr="00763206">
        <w:t>Rigshospitalet</w:t>
      </w:r>
      <w:proofErr w:type="spellEnd"/>
      <w:r w:rsidR="00763206" w:rsidRPr="00763206">
        <w:t>, Copenhagen, Denmark</w:t>
      </w:r>
    </w:p>
    <w:p w14:paraId="5B3650D7" w14:textId="45E04B57" w:rsidR="00763206" w:rsidRDefault="00594711" w:rsidP="001A2532">
      <w:r>
        <w:rPr>
          <w:vertAlign w:val="superscript"/>
        </w:rPr>
        <w:t>17</w:t>
      </w:r>
      <w:r w:rsidR="00D0204D">
        <w:t>Heart and Lung Cent</w:t>
      </w:r>
      <w:r w:rsidR="00763206" w:rsidRPr="00763206">
        <w:t>r</w:t>
      </w:r>
      <w:r w:rsidR="00D0204D">
        <w:t>e</w:t>
      </w:r>
      <w:r w:rsidR="00763206" w:rsidRPr="00763206">
        <w:t>, Helsinki University Hospital and Helsinki University, Helsinki, Finland</w:t>
      </w:r>
    </w:p>
    <w:p w14:paraId="4DC841A3" w14:textId="77777777" w:rsidR="00595045" w:rsidRDefault="00594711" w:rsidP="001A2532">
      <w:r>
        <w:rPr>
          <w:vertAlign w:val="superscript"/>
        </w:rPr>
        <w:t>18</w:t>
      </w:r>
      <w:r w:rsidR="00595045" w:rsidRPr="003D0338">
        <w:t xml:space="preserve">Department of Cardiovascular Diseases, University </w:t>
      </w:r>
      <w:r w:rsidR="00595045" w:rsidRPr="008C26FC">
        <w:t>Hospitals Leuven, Leuven, Belgium</w:t>
      </w:r>
    </w:p>
    <w:p w14:paraId="168AFBE2" w14:textId="765B517A" w:rsidR="00814914" w:rsidRPr="006975CC" w:rsidRDefault="00594711" w:rsidP="001A2532">
      <w:r>
        <w:rPr>
          <w:vertAlign w:val="superscript"/>
        </w:rPr>
        <w:t>19</w:t>
      </w:r>
      <w:r w:rsidR="00814914" w:rsidRPr="006975CC">
        <w:t>Department of Bioscience and Genetics, National C</w:t>
      </w:r>
      <w:r w:rsidR="00D0204D">
        <w:t>erebral and Cardiovascular Cent</w:t>
      </w:r>
      <w:r w:rsidR="00814914" w:rsidRPr="006975CC">
        <w:t>r</w:t>
      </w:r>
      <w:r w:rsidR="00D0204D">
        <w:t>e</w:t>
      </w:r>
      <w:r w:rsidR="00814914" w:rsidRPr="006975CC">
        <w:t>, Suita, Osaka</w:t>
      </w:r>
    </w:p>
    <w:p w14:paraId="6CEDD5A1" w14:textId="77777777" w:rsidR="00555E87" w:rsidRDefault="00594711" w:rsidP="001A2532">
      <w:r>
        <w:rPr>
          <w:vertAlign w:val="superscript"/>
        </w:rPr>
        <w:t>20</w:t>
      </w:r>
      <w:r w:rsidR="00555E87" w:rsidRPr="00555E87">
        <w:t>Section of Cardiac Electrophysiology, Division of Cardiology, Department of Medicine, Western University, London, Ontario, Canada</w:t>
      </w:r>
    </w:p>
    <w:p w14:paraId="7B297B18" w14:textId="62010399" w:rsidR="00C3500E" w:rsidRDefault="00594711" w:rsidP="001A2532">
      <w:r>
        <w:rPr>
          <w:vertAlign w:val="superscript"/>
        </w:rPr>
        <w:t>21</w:t>
      </w:r>
      <w:r w:rsidR="00C3500E">
        <w:t>Department of Cardiology, University of Groningen, University Medical Centr</w:t>
      </w:r>
      <w:r w:rsidR="00D0204D">
        <w:t>e</w:t>
      </w:r>
      <w:r w:rsidR="00C3500E">
        <w:t xml:space="preserve"> Groningen, Groningen, the Netherlands</w:t>
      </w:r>
    </w:p>
    <w:p w14:paraId="0164406F" w14:textId="2F0AD0CC" w:rsidR="00C3500E" w:rsidRDefault="00594711" w:rsidP="001A2532">
      <w:r>
        <w:rPr>
          <w:vertAlign w:val="superscript"/>
        </w:rPr>
        <w:lastRenderedPageBreak/>
        <w:t>22</w:t>
      </w:r>
      <w:r w:rsidR="00C3500E">
        <w:t xml:space="preserve">Department of Pediatric Cardiology, Sophia Children’s Hospital, </w:t>
      </w:r>
      <w:r w:rsidR="00D0204D">
        <w:t>Erasmus University Medical Cent</w:t>
      </w:r>
      <w:r w:rsidR="00C3500E">
        <w:t>r</w:t>
      </w:r>
      <w:r w:rsidR="00D0204D">
        <w:t>e</w:t>
      </w:r>
      <w:r w:rsidR="00C3500E">
        <w:t>, Rotterdam, the Netherlands</w:t>
      </w:r>
    </w:p>
    <w:p w14:paraId="7E088769" w14:textId="77777777" w:rsidR="00C3500E" w:rsidRDefault="00594711" w:rsidP="001A2532">
      <w:r>
        <w:rPr>
          <w:vertAlign w:val="superscript"/>
        </w:rPr>
        <w:t>23</w:t>
      </w:r>
      <w:r w:rsidR="00C3500E" w:rsidRPr="00C3500E">
        <w:t xml:space="preserve">Service de Cardiologie du CHU de Nantes, </w:t>
      </w:r>
      <w:proofErr w:type="spellStart"/>
      <w:r w:rsidR="00C3500E" w:rsidRPr="00C3500E">
        <w:t>Hopital</w:t>
      </w:r>
      <w:proofErr w:type="spellEnd"/>
      <w:r w:rsidR="00C3500E" w:rsidRPr="00C3500E">
        <w:t xml:space="preserve"> Nord, </w:t>
      </w:r>
      <w:proofErr w:type="spellStart"/>
      <w:r w:rsidR="00C3500E" w:rsidRPr="00C3500E">
        <w:t>Bd</w:t>
      </w:r>
      <w:proofErr w:type="spellEnd"/>
      <w:r w:rsidR="00C3500E" w:rsidRPr="00C3500E">
        <w:t xml:space="preserve"> Jacques Monod 44093, Nantes </w:t>
      </w:r>
      <w:proofErr w:type="spellStart"/>
      <w:r w:rsidR="00C3500E" w:rsidRPr="00C3500E">
        <w:t>Cedex</w:t>
      </w:r>
      <w:proofErr w:type="spellEnd"/>
      <w:r w:rsidR="00C3500E" w:rsidRPr="00C3500E">
        <w:t>, France</w:t>
      </w:r>
    </w:p>
    <w:p w14:paraId="283FC3FA" w14:textId="196F022C" w:rsidR="00C3500E" w:rsidRDefault="00594711" w:rsidP="001A2532">
      <w:r>
        <w:rPr>
          <w:vertAlign w:val="superscript"/>
        </w:rPr>
        <w:t>24</w:t>
      </w:r>
      <w:r w:rsidR="00C3500E" w:rsidRPr="00C3500E">
        <w:t>Department of Pediatrics, Monroe Carell Jr. Children's Hospital at Vanderbilt and Van</w:t>
      </w:r>
      <w:r w:rsidR="00D0204D">
        <w:t>derbilt University Medical Cent</w:t>
      </w:r>
      <w:r w:rsidR="00C3500E" w:rsidRPr="00C3500E">
        <w:t>r</w:t>
      </w:r>
      <w:r w:rsidR="00D0204D">
        <w:t>e</w:t>
      </w:r>
      <w:r w:rsidR="00C3500E" w:rsidRPr="00C3500E">
        <w:t>, Nashville, TN, USA</w:t>
      </w:r>
    </w:p>
    <w:p w14:paraId="314E245D" w14:textId="77777777" w:rsidR="00C3500E" w:rsidRDefault="00594711" w:rsidP="001A2532">
      <w:r>
        <w:rPr>
          <w:vertAlign w:val="superscript"/>
        </w:rPr>
        <w:t>25</w:t>
      </w:r>
      <w:r w:rsidR="00C3500E" w:rsidRPr="00C3500E">
        <w:t>Department of Pediatric Cardiology, Emma Children's Hospital, Academic Medical Centre, Amsterdam, The Netherlands; Department of Pediatric Cardiology, Willem-Alexander Children's Hospital, University Medical Centre, Leiden, The Netherlands</w:t>
      </w:r>
    </w:p>
    <w:p w14:paraId="1DD5D5C2" w14:textId="77777777" w:rsidR="00FE49AE" w:rsidRDefault="00594711" w:rsidP="001A2532">
      <w:r>
        <w:rPr>
          <w:vertAlign w:val="superscript"/>
        </w:rPr>
        <w:t>26</w:t>
      </w:r>
      <w:r w:rsidR="00FE49AE" w:rsidRPr="00FE49AE">
        <w:t>Molecular and Clinical Sciences Research Institute, St. George's, University of London, London, United Kingdom; Cardiology Clinical Academic Group, St. George’s University Hospitals NHS Foundation Trust, London, United Kingdom</w:t>
      </w:r>
    </w:p>
    <w:p w14:paraId="2F764261" w14:textId="77777777" w:rsidR="00CA2BDD" w:rsidRPr="00CA2BDD" w:rsidRDefault="00594711" w:rsidP="001A2532">
      <w:r>
        <w:rPr>
          <w:vertAlign w:val="superscript"/>
        </w:rPr>
        <w:t>27</w:t>
      </w:r>
      <w:r w:rsidR="00CA2BDD" w:rsidRPr="00CA2BDD">
        <w:t>Department of Cardiovascular Medicine, Nipp</w:t>
      </w:r>
      <w:r w:rsidR="00CA2BDD">
        <w:t>on Medical School, Tokyo, Japan</w:t>
      </w:r>
    </w:p>
    <w:p w14:paraId="66DD40FA" w14:textId="77777777" w:rsidR="00ED5602" w:rsidRDefault="00594711" w:rsidP="001A2532">
      <w:r>
        <w:rPr>
          <w:vertAlign w:val="superscript"/>
        </w:rPr>
        <w:t>28</w:t>
      </w:r>
      <w:r w:rsidR="00ED5602" w:rsidRPr="003D0338">
        <w:t>Princess Al-</w:t>
      </w:r>
      <w:proofErr w:type="spellStart"/>
      <w:r w:rsidR="00ED5602" w:rsidRPr="003D0338">
        <w:t>Jawhara</w:t>
      </w:r>
      <w:proofErr w:type="spellEnd"/>
      <w:r w:rsidR="00ED5602" w:rsidRPr="003D0338">
        <w:t xml:space="preserve"> Al-</w:t>
      </w:r>
      <w:proofErr w:type="spellStart"/>
      <w:r w:rsidR="00ED5602" w:rsidRPr="003D0338">
        <w:t>Brahim</w:t>
      </w:r>
      <w:proofErr w:type="spellEnd"/>
      <w:r w:rsidR="00ED5602" w:rsidRPr="003D0338">
        <w:t xml:space="preserve"> Centre of Excellence in Research of Hereditary Disorders, Jeddah, Kingdom of Saudi Arabia</w:t>
      </w:r>
    </w:p>
    <w:p w14:paraId="5112AA6F" w14:textId="77777777" w:rsidR="004F33AC" w:rsidRDefault="004F33AC" w:rsidP="001A2532"/>
    <w:p w14:paraId="54214894" w14:textId="2AAD47B3" w:rsidR="004F33AC" w:rsidRDefault="00594711" w:rsidP="001A2532">
      <w:pPr>
        <w:rPr>
          <w:b/>
        </w:rPr>
      </w:pPr>
      <w:r>
        <w:rPr>
          <w:b/>
        </w:rPr>
        <w:t xml:space="preserve">Corresponding </w:t>
      </w:r>
      <w:r w:rsidR="009416F2">
        <w:rPr>
          <w:b/>
        </w:rPr>
        <w:t>A</w:t>
      </w:r>
      <w:r>
        <w:rPr>
          <w:b/>
        </w:rPr>
        <w:t>ut</w:t>
      </w:r>
      <w:r w:rsidR="007E6853">
        <w:rPr>
          <w:b/>
        </w:rPr>
        <w:t>h</w:t>
      </w:r>
      <w:r>
        <w:rPr>
          <w:b/>
        </w:rPr>
        <w:t>or</w:t>
      </w:r>
    </w:p>
    <w:p w14:paraId="1BEA30F5" w14:textId="77777777" w:rsidR="004F33AC" w:rsidRPr="00322F06" w:rsidRDefault="004F33AC" w:rsidP="001A2532">
      <w:r w:rsidRPr="00322F06">
        <w:t>Christian van der Werf, MD, PhD</w:t>
      </w:r>
    </w:p>
    <w:p w14:paraId="0264DCA8" w14:textId="77777777" w:rsidR="00F11675" w:rsidRDefault="00F11675" w:rsidP="001A2532">
      <w:r w:rsidRPr="00F11675">
        <w:t>Amsterdam UMC, University of Amsterdam</w:t>
      </w:r>
    </w:p>
    <w:p w14:paraId="7271CE9A" w14:textId="77D605F9" w:rsidR="004F33AC" w:rsidRPr="004F33AC" w:rsidRDefault="00D0204D" w:rsidP="001A2532">
      <w:r>
        <w:t>Heart Cent</w:t>
      </w:r>
      <w:r w:rsidR="00F11675" w:rsidRPr="00F11675">
        <w:t>r</w:t>
      </w:r>
      <w:r>
        <w:t>e</w:t>
      </w:r>
      <w:r w:rsidR="00F11675" w:rsidRPr="00F11675">
        <w:t>; department of Clinical and Experimental Cardiology, Amsterdam Cardiovascular Sciences</w:t>
      </w:r>
      <w:r w:rsidR="00F11675">
        <w:rPr>
          <w:vertAlign w:val="superscript"/>
        </w:rPr>
        <w:t xml:space="preserve"> </w:t>
      </w:r>
    </w:p>
    <w:p w14:paraId="130FE548" w14:textId="77777777" w:rsidR="004F33AC" w:rsidRPr="004F33AC" w:rsidRDefault="004F33AC" w:rsidP="001A2532">
      <w:proofErr w:type="spellStart"/>
      <w:r w:rsidRPr="004F33AC">
        <w:t>Meibergdreef</w:t>
      </w:r>
      <w:proofErr w:type="spellEnd"/>
      <w:r w:rsidRPr="004F33AC">
        <w:t xml:space="preserve"> 9</w:t>
      </w:r>
    </w:p>
    <w:p w14:paraId="63DBC4F5" w14:textId="77777777" w:rsidR="004F33AC" w:rsidRPr="004F33AC" w:rsidRDefault="004F33AC" w:rsidP="001A2532">
      <w:r w:rsidRPr="004F33AC">
        <w:t>1105 AZ Amsterdam</w:t>
      </w:r>
    </w:p>
    <w:p w14:paraId="011FE7FD" w14:textId="77777777" w:rsidR="004F33AC" w:rsidRPr="004F33AC" w:rsidRDefault="004F33AC" w:rsidP="001A2532">
      <w:r w:rsidRPr="004F33AC">
        <w:t>The Netherlands</w:t>
      </w:r>
    </w:p>
    <w:p w14:paraId="4013877D" w14:textId="77777777" w:rsidR="004F33AC" w:rsidRPr="004F33AC" w:rsidRDefault="004F33AC" w:rsidP="001A2532">
      <w:r w:rsidRPr="004F33AC">
        <w:t xml:space="preserve">Telephone: +31205662904 </w:t>
      </w:r>
    </w:p>
    <w:p w14:paraId="48419131" w14:textId="77777777" w:rsidR="004F33AC" w:rsidRPr="004F33AC" w:rsidRDefault="004F33AC" w:rsidP="001A2532">
      <w:r w:rsidRPr="004F33AC">
        <w:t>Fax: +31206971385</w:t>
      </w:r>
    </w:p>
    <w:p w14:paraId="166BCE62" w14:textId="77777777" w:rsidR="004F33AC" w:rsidRPr="004F33AC" w:rsidRDefault="004F33AC" w:rsidP="001A2532">
      <w:r w:rsidRPr="004F33AC">
        <w:t xml:space="preserve">E-mail: </w:t>
      </w:r>
      <w:r>
        <w:t>c.vanderwerf</w:t>
      </w:r>
      <w:r w:rsidRPr="004F33AC">
        <w:t>@amc.uva.nl</w:t>
      </w:r>
    </w:p>
    <w:p w14:paraId="6F82CC48" w14:textId="77777777" w:rsidR="008165DA" w:rsidRPr="00837763" w:rsidRDefault="00FD2A5A" w:rsidP="001A2532">
      <w:pPr>
        <w:pStyle w:val="Kop1"/>
        <w:spacing w:before="0" w:after="0"/>
      </w:pPr>
      <w:r w:rsidRPr="00ED5602">
        <w:br w:type="page"/>
      </w:r>
      <w:r w:rsidR="008165DA" w:rsidRPr="00837763">
        <w:lastRenderedPageBreak/>
        <w:t>Abstract</w:t>
      </w:r>
      <w:r w:rsidR="00F53830" w:rsidRPr="00837763">
        <w:t xml:space="preserve"> </w:t>
      </w:r>
    </w:p>
    <w:p w14:paraId="07E3E47D" w14:textId="439570C8" w:rsidR="008165DA" w:rsidRPr="004879E1" w:rsidRDefault="00D80302" w:rsidP="001A2532">
      <w:pPr>
        <w:pStyle w:val="Kop2"/>
        <w:spacing w:before="0" w:after="0"/>
      </w:pPr>
      <w:r>
        <w:t>Aims</w:t>
      </w:r>
    </w:p>
    <w:p w14:paraId="4CC14C7A" w14:textId="3FEDE85E" w:rsidR="008165DA" w:rsidRPr="004879E1" w:rsidRDefault="008165DA" w:rsidP="001A2532">
      <w:r w:rsidRPr="004879E1">
        <w:t>I</w:t>
      </w:r>
      <w:r w:rsidR="007E6853">
        <w:t>n</w:t>
      </w:r>
      <w:r w:rsidRPr="004879E1">
        <w:t xml:space="preserve"> patients with </w:t>
      </w:r>
      <w:proofErr w:type="spellStart"/>
      <w:r w:rsidR="007E6853" w:rsidRPr="004879E1">
        <w:t>catecholaminergic</w:t>
      </w:r>
      <w:proofErr w:type="spellEnd"/>
      <w:r w:rsidR="007E6853" w:rsidRPr="004879E1">
        <w:t xml:space="preserve"> polymorphic ventricular tachycardia </w:t>
      </w:r>
      <w:r w:rsidRPr="004879E1">
        <w:t xml:space="preserve">(CPVT), </w:t>
      </w:r>
      <w:r w:rsidR="007E6853">
        <w:t>implantable cardioverter-defibrillator (</w:t>
      </w:r>
      <w:r w:rsidRPr="004879E1">
        <w:t>ICD</w:t>
      </w:r>
      <w:r w:rsidR="007E6853">
        <w:t>)</w:t>
      </w:r>
      <w:r w:rsidRPr="004879E1">
        <w:t xml:space="preserve"> shocks are sometimes ineffective and </w:t>
      </w:r>
      <w:r w:rsidR="00754A1D" w:rsidRPr="004879E1">
        <w:t xml:space="preserve">may </w:t>
      </w:r>
      <w:r w:rsidR="000813A3">
        <w:t xml:space="preserve">even </w:t>
      </w:r>
      <w:r w:rsidR="00754A1D" w:rsidRPr="004879E1">
        <w:t xml:space="preserve">trigger </w:t>
      </w:r>
      <w:r w:rsidRPr="004879E1">
        <w:t xml:space="preserve">fatal electrical storms. </w:t>
      </w:r>
      <w:r w:rsidR="008F3EC9">
        <w:t xml:space="preserve">We </w:t>
      </w:r>
      <w:r w:rsidR="006E3BBB" w:rsidRPr="004879E1">
        <w:t>assess</w:t>
      </w:r>
      <w:r w:rsidR="008F3EC9">
        <w:t>ed</w:t>
      </w:r>
      <w:r w:rsidR="00754A1D" w:rsidRPr="004879E1">
        <w:t xml:space="preserve"> </w:t>
      </w:r>
      <w:r w:rsidRPr="004879E1">
        <w:t xml:space="preserve">the efficacy and complications of ICDs </w:t>
      </w:r>
      <w:r w:rsidR="000813A3">
        <w:t>placed in patients</w:t>
      </w:r>
      <w:r w:rsidRPr="004879E1">
        <w:t xml:space="preserve"> with CPVT </w:t>
      </w:r>
      <w:r w:rsidR="00FB19A4" w:rsidRPr="004879E1">
        <w:t xml:space="preserve">who presented with a sentinel event of </w:t>
      </w:r>
      <w:r w:rsidR="007E6853">
        <w:t>sudden cardiac arrest (</w:t>
      </w:r>
      <w:r w:rsidR="00FB19A4" w:rsidRPr="004879E1">
        <w:t>SCA</w:t>
      </w:r>
      <w:r w:rsidR="007E6853">
        <w:t>)</w:t>
      </w:r>
      <w:r w:rsidR="000813A3">
        <w:t xml:space="preserve"> while undiagnosed and therefore untreated</w:t>
      </w:r>
      <w:r w:rsidRPr="004879E1">
        <w:t xml:space="preserve">. </w:t>
      </w:r>
    </w:p>
    <w:p w14:paraId="2C2BAC67" w14:textId="2E1D1A2E" w:rsidR="00235B99" w:rsidRDefault="008165DA" w:rsidP="001A2532">
      <w:pPr>
        <w:pStyle w:val="Kop2"/>
        <w:spacing w:before="0" w:after="0"/>
      </w:pPr>
      <w:r w:rsidRPr="004879E1">
        <w:t>Methods</w:t>
      </w:r>
      <w:r w:rsidR="007E6853">
        <w:t xml:space="preserve"> </w:t>
      </w:r>
      <w:r w:rsidR="00D80302">
        <w:t>and Results</w:t>
      </w:r>
    </w:p>
    <w:p w14:paraId="41859A1C" w14:textId="0D95B39E" w:rsidR="008165DA" w:rsidRPr="004879E1" w:rsidRDefault="00D00719" w:rsidP="001A2532">
      <w:r w:rsidRPr="004879E1">
        <w:t>W</w:t>
      </w:r>
      <w:r w:rsidR="008165DA" w:rsidRPr="004879E1">
        <w:t xml:space="preserve">e analyzed </w:t>
      </w:r>
      <w:r w:rsidR="00DD05AC" w:rsidRPr="004879E1">
        <w:t>13</w:t>
      </w:r>
      <w:r w:rsidR="00F8729C">
        <w:t>6</w:t>
      </w:r>
      <w:r w:rsidR="00DD05AC" w:rsidRPr="004879E1">
        <w:t xml:space="preserve"> </w:t>
      </w:r>
      <w:r w:rsidR="008165DA" w:rsidRPr="004879E1">
        <w:t>patients who presented with</w:t>
      </w:r>
      <w:r w:rsidR="00FB19A4" w:rsidRPr="004879E1">
        <w:t xml:space="preserve"> SCA </w:t>
      </w:r>
      <w:r w:rsidR="008165DA" w:rsidRPr="004879E1">
        <w:t>and in whom CPVT was diagnosed subsequently, leading to the initiation of guideline-</w:t>
      </w:r>
      <w:r w:rsidR="00B44190" w:rsidRPr="004879E1">
        <w:t>directed</w:t>
      </w:r>
      <w:r w:rsidR="008165DA" w:rsidRPr="004879E1">
        <w:t xml:space="preserve"> therapy</w:t>
      </w:r>
      <w:r w:rsidR="00C80B67" w:rsidRPr="004879E1">
        <w:t xml:space="preserve">, including β-blockers, </w:t>
      </w:r>
      <w:proofErr w:type="spellStart"/>
      <w:r w:rsidR="00C80B67" w:rsidRPr="004879E1">
        <w:t>flecainide</w:t>
      </w:r>
      <w:proofErr w:type="spellEnd"/>
      <w:r w:rsidR="00C80B67" w:rsidRPr="004879E1">
        <w:t xml:space="preserve">, </w:t>
      </w:r>
      <w:r w:rsidR="007E6853" w:rsidRPr="004879E1">
        <w:t xml:space="preserve">and/or </w:t>
      </w:r>
      <w:r w:rsidR="00C80B67" w:rsidRPr="004879E1">
        <w:t>left cardiac sympathetic denervation</w:t>
      </w:r>
      <w:r w:rsidR="007E6853">
        <w:t xml:space="preserve">. </w:t>
      </w:r>
      <w:r w:rsidR="001E7D11" w:rsidRPr="00CE54D3">
        <w:t xml:space="preserve">An ICD was implanted in 79 patients (58.1%). </w:t>
      </w:r>
      <w:r w:rsidR="008F3EC9" w:rsidRPr="008F3EC9">
        <w:t xml:space="preserve">The primary outcome </w:t>
      </w:r>
      <w:r w:rsidR="008F3EC9">
        <w:t xml:space="preserve">of the study </w:t>
      </w:r>
      <w:r w:rsidR="008F3EC9" w:rsidRPr="008F3EC9">
        <w:t>was SCD</w:t>
      </w:r>
      <w:r w:rsidR="008F3EC9">
        <w:t xml:space="preserve">. </w:t>
      </w:r>
      <w:r w:rsidR="008F3EC9" w:rsidRPr="008F3EC9">
        <w:t>The secondary outcomes were composite outcomes of SCD, SCA, appropriate ICD shocks</w:t>
      </w:r>
      <w:r w:rsidR="00D0204D">
        <w:t xml:space="preserve">, and </w:t>
      </w:r>
      <w:r w:rsidR="008F3EC9" w:rsidRPr="008F3EC9">
        <w:t>syncope.</w:t>
      </w:r>
      <w:r w:rsidR="00D80302">
        <w:t xml:space="preserve"> </w:t>
      </w:r>
      <w:r w:rsidRPr="00CE54D3">
        <w:t>After a median follow-up of 4.</w:t>
      </w:r>
      <w:r w:rsidR="00B44190" w:rsidRPr="00CE54D3">
        <w:t>8</w:t>
      </w:r>
      <w:r w:rsidRPr="00CE54D3">
        <w:t xml:space="preserve"> years, SCD had occurred in </w:t>
      </w:r>
      <w:r w:rsidR="0095368F" w:rsidRPr="00CE54D3">
        <w:t>3</w:t>
      </w:r>
      <w:r w:rsidR="00DD4481" w:rsidRPr="00CE54D3">
        <w:t xml:space="preserve"> patients (</w:t>
      </w:r>
      <w:r w:rsidR="0095368F" w:rsidRPr="00CE54D3">
        <w:t>3</w:t>
      </w:r>
      <w:r w:rsidR="00DD4481" w:rsidRPr="00CE54D3">
        <w:t>.</w:t>
      </w:r>
      <w:r w:rsidR="0095368F" w:rsidRPr="00CE54D3">
        <w:t>8</w:t>
      </w:r>
      <w:r w:rsidRPr="00CE54D3">
        <w:t xml:space="preserve">%) with an ICD and </w:t>
      </w:r>
      <w:r w:rsidR="00DD4481" w:rsidRPr="00CE54D3">
        <w:t xml:space="preserve">none of the patients without an </w:t>
      </w:r>
      <w:r w:rsidR="00786ED2" w:rsidRPr="001828C2">
        <w:t>ICD</w:t>
      </w:r>
      <w:r w:rsidRPr="001828C2">
        <w:t xml:space="preserve"> </w:t>
      </w:r>
      <w:r w:rsidR="001E7D11" w:rsidRPr="001828C2">
        <w:t>(</w:t>
      </w:r>
      <w:r w:rsidR="001E7D11" w:rsidRPr="001828C2">
        <w:rPr>
          <w:i/>
        </w:rPr>
        <w:t>P</w:t>
      </w:r>
      <w:r w:rsidR="00754A1D" w:rsidRPr="001828C2">
        <w:t xml:space="preserve"> </w:t>
      </w:r>
      <w:r w:rsidR="008165DA" w:rsidRPr="001828C2">
        <w:t>=</w:t>
      </w:r>
      <w:r w:rsidR="00754A1D" w:rsidRPr="001828C2">
        <w:t xml:space="preserve"> 0.</w:t>
      </w:r>
      <w:r w:rsidR="00DD4481" w:rsidRPr="001828C2">
        <w:t>1</w:t>
      </w:r>
      <w:r w:rsidR="008165DA" w:rsidRPr="001828C2">
        <w:t>).</w:t>
      </w:r>
      <w:r w:rsidR="008165DA" w:rsidRPr="00CE54D3">
        <w:t xml:space="preserve"> </w:t>
      </w:r>
      <w:r w:rsidR="00754A1D" w:rsidRPr="00CE54D3">
        <w:t>SCD</w:t>
      </w:r>
      <w:r w:rsidR="00827796" w:rsidRPr="00CE54D3">
        <w:t>,</w:t>
      </w:r>
      <w:r w:rsidR="00754A1D" w:rsidRPr="00CE54D3">
        <w:t xml:space="preserve"> </w:t>
      </w:r>
      <w:r w:rsidR="00596653" w:rsidRPr="00CE54D3">
        <w:t>SCA</w:t>
      </w:r>
      <w:r w:rsidR="000813A3" w:rsidRPr="00CE54D3">
        <w:t>,</w:t>
      </w:r>
      <w:r w:rsidR="00827796" w:rsidRPr="00CE54D3">
        <w:t xml:space="preserve"> or</w:t>
      </w:r>
      <w:r w:rsidR="00754A1D" w:rsidRPr="00CE54D3">
        <w:t xml:space="preserve"> appropriate ICD shocks occurred in 3</w:t>
      </w:r>
      <w:r w:rsidR="00DD4481" w:rsidRPr="00CE54D3">
        <w:t>7</w:t>
      </w:r>
      <w:r w:rsidR="00754A1D" w:rsidRPr="00CE54D3">
        <w:t xml:space="preserve"> patients (4</w:t>
      </w:r>
      <w:r w:rsidR="00CE54D3" w:rsidRPr="00CE54D3">
        <w:t>6</w:t>
      </w:r>
      <w:r w:rsidR="00754A1D" w:rsidRPr="00CE54D3">
        <w:t>.</w:t>
      </w:r>
      <w:r w:rsidR="00CE54D3" w:rsidRPr="00CE54D3">
        <w:t>8</w:t>
      </w:r>
      <w:r w:rsidR="00754A1D" w:rsidRPr="00CE54D3">
        <w:t xml:space="preserve">%) with an ICD and </w:t>
      </w:r>
      <w:r w:rsidR="00CE54D3" w:rsidRPr="00CE54D3">
        <w:t>9</w:t>
      </w:r>
      <w:r w:rsidR="00754A1D" w:rsidRPr="00CE54D3">
        <w:t xml:space="preserve"> patients (</w:t>
      </w:r>
      <w:r w:rsidR="00B44190" w:rsidRPr="00CE54D3">
        <w:t>1</w:t>
      </w:r>
      <w:r w:rsidR="00CE54D3" w:rsidRPr="00CE54D3">
        <w:t>5</w:t>
      </w:r>
      <w:r w:rsidR="00B44190" w:rsidRPr="00CE54D3">
        <w:t>.</w:t>
      </w:r>
      <w:r w:rsidR="00CE54D3" w:rsidRPr="00CE54D3">
        <w:t>8</w:t>
      </w:r>
      <w:r w:rsidR="00754A1D" w:rsidRPr="00CE54D3">
        <w:t>%) without an ICD (</w:t>
      </w:r>
      <w:r w:rsidR="001E7D11" w:rsidRPr="001E7D11">
        <w:rPr>
          <w:i/>
        </w:rPr>
        <w:t>P</w:t>
      </w:r>
      <w:r w:rsidR="00754A1D" w:rsidRPr="00CE54D3">
        <w:t xml:space="preserve"> &lt; 0.00</w:t>
      </w:r>
      <w:r w:rsidR="001E7D11">
        <w:t>0</w:t>
      </w:r>
      <w:r w:rsidR="00754A1D" w:rsidRPr="00CE54D3">
        <w:t>1). Inappropriate</w:t>
      </w:r>
      <w:r w:rsidR="00754A1D" w:rsidRPr="0095368F">
        <w:t xml:space="preserve"> ICD shocks </w:t>
      </w:r>
      <w:r w:rsidR="00B44CF5" w:rsidRPr="0095368F">
        <w:t>occurred in 1</w:t>
      </w:r>
      <w:r w:rsidR="0095368F" w:rsidRPr="0095368F">
        <w:t>9</w:t>
      </w:r>
      <w:r w:rsidR="00B44CF5" w:rsidRPr="0095368F">
        <w:t xml:space="preserve"> patients </w:t>
      </w:r>
      <w:r w:rsidR="0015744E" w:rsidRPr="0095368F">
        <w:t>(2</w:t>
      </w:r>
      <w:r w:rsidR="0095368F" w:rsidRPr="0095368F">
        <w:t>4</w:t>
      </w:r>
      <w:r w:rsidR="0015744E" w:rsidRPr="0095368F">
        <w:t xml:space="preserve">.7%) </w:t>
      </w:r>
      <w:r w:rsidR="00754A1D" w:rsidRPr="0095368F">
        <w:t xml:space="preserve">and other device-related complications </w:t>
      </w:r>
      <w:r w:rsidR="00B44CF5" w:rsidRPr="0095368F">
        <w:t xml:space="preserve">in </w:t>
      </w:r>
      <w:r w:rsidR="00754A1D" w:rsidRPr="0095368F">
        <w:t>2</w:t>
      </w:r>
      <w:r w:rsidR="004879E1" w:rsidRPr="0095368F">
        <w:t>2</w:t>
      </w:r>
      <w:r w:rsidR="00CF2389" w:rsidRPr="0095368F">
        <w:t xml:space="preserve"> </w:t>
      </w:r>
      <w:r w:rsidR="00754A1D" w:rsidRPr="0095368F">
        <w:t>patients</w:t>
      </w:r>
      <w:r w:rsidR="0015744E" w:rsidRPr="0095368F">
        <w:t xml:space="preserve"> (2</w:t>
      </w:r>
      <w:r w:rsidR="0095368F" w:rsidRPr="0095368F">
        <w:t>8</w:t>
      </w:r>
      <w:r w:rsidR="0015744E" w:rsidRPr="0095368F">
        <w:t>.</w:t>
      </w:r>
      <w:r w:rsidR="0095368F" w:rsidRPr="0095368F">
        <w:t>9</w:t>
      </w:r>
      <w:r w:rsidR="0015744E" w:rsidRPr="0095368F">
        <w:t>%)</w:t>
      </w:r>
      <w:r w:rsidR="00754A1D" w:rsidRPr="0095368F">
        <w:t>.</w:t>
      </w:r>
      <w:r w:rsidR="00754A1D" w:rsidRPr="004879E1">
        <w:t xml:space="preserve">  </w:t>
      </w:r>
    </w:p>
    <w:p w14:paraId="3D75FBFD" w14:textId="46D6449C" w:rsidR="008165DA" w:rsidRPr="004879E1" w:rsidRDefault="008165DA" w:rsidP="001A2532">
      <w:pPr>
        <w:pStyle w:val="Kop2"/>
        <w:spacing w:before="0" w:after="0"/>
      </w:pPr>
      <w:r w:rsidRPr="004879E1">
        <w:t>Conclusion</w:t>
      </w:r>
    </w:p>
    <w:p w14:paraId="25D1092F" w14:textId="7B6AD992" w:rsidR="007E6853" w:rsidRDefault="008165DA" w:rsidP="001A2532">
      <w:r w:rsidRPr="004879E1">
        <w:t xml:space="preserve">In previously undiagnosed </w:t>
      </w:r>
      <w:r w:rsidR="00754A1D" w:rsidRPr="004879E1">
        <w:t xml:space="preserve">patients with CPVT </w:t>
      </w:r>
      <w:r w:rsidR="000813A3">
        <w:t xml:space="preserve">who </w:t>
      </w:r>
      <w:r w:rsidR="000813A3" w:rsidRPr="004879E1">
        <w:t>present</w:t>
      </w:r>
      <w:r w:rsidR="000813A3">
        <w:t xml:space="preserve">ed </w:t>
      </w:r>
      <w:r w:rsidR="00754A1D" w:rsidRPr="004879E1">
        <w:t xml:space="preserve">with </w:t>
      </w:r>
      <w:r w:rsidR="00596653" w:rsidRPr="004879E1">
        <w:t>SCA</w:t>
      </w:r>
      <w:r w:rsidR="00754A1D" w:rsidRPr="004879E1">
        <w:t xml:space="preserve">, </w:t>
      </w:r>
      <w:r w:rsidR="00596653" w:rsidRPr="004879E1">
        <w:t xml:space="preserve">an </w:t>
      </w:r>
      <w:r w:rsidR="00754A1D" w:rsidRPr="004879E1">
        <w:t xml:space="preserve">ICD was not associated with </w:t>
      </w:r>
      <w:r w:rsidR="000813A3">
        <w:t>improved survival</w:t>
      </w:r>
      <w:r w:rsidR="00754A1D" w:rsidRPr="004879E1">
        <w:t xml:space="preserve">. </w:t>
      </w:r>
      <w:r w:rsidR="000813A3">
        <w:t>Instead, t</w:t>
      </w:r>
      <w:r w:rsidR="0095368F" w:rsidRPr="0095368F">
        <w:t>he ICD was associated with both a high rate of appropriate ICD shocks</w:t>
      </w:r>
      <w:r w:rsidR="000813A3">
        <w:t xml:space="preserve"> </w:t>
      </w:r>
      <w:r w:rsidR="0095368F" w:rsidRPr="0095368F">
        <w:t xml:space="preserve">and inappropriate ICD shocks along with other device-related complications. </w:t>
      </w:r>
      <w:r w:rsidRPr="004879E1">
        <w:t>Strict adherence to guideline-</w:t>
      </w:r>
      <w:r w:rsidR="00B44190" w:rsidRPr="004879E1">
        <w:t>directed</w:t>
      </w:r>
      <w:r w:rsidRPr="004879E1">
        <w:t xml:space="preserve"> therapy without an ICD may provide adequate protection in these patients</w:t>
      </w:r>
      <w:r w:rsidR="000813A3">
        <w:t xml:space="preserve"> without all the potential </w:t>
      </w:r>
      <w:r w:rsidR="008F3EC9">
        <w:t>disadvantages</w:t>
      </w:r>
      <w:r w:rsidR="000813A3">
        <w:t xml:space="preserve"> of an ICD</w:t>
      </w:r>
      <w:r w:rsidRPr="004879E1">
        <w:t>.</w:t>
      </w:r>
      <w:r w:rsidR="00072339" w:rsidRPr="004879E1">
        <w:t xml:space="preserve"> </w:t>
      </w:r>
    </w:p>
    <w:p w14:paraId="0AED4848" w14:textId="77777777" w:rsidR="00D80302" w:rsidRDefault="00D80302" w:rsidP="001A2532">
      <w:pPr>
        <w:pStyle w:val="Kop2"/>
      </w:pPr>
      <w:r>
        <w:t>Keywords</w:t>
      </w:r>
    </w:p>
    <w:p w14:paraId="7D260FCD" w14:textId="2BA7FFFC" w:rsidR="00AB6F2F" w:rsidRDefault="00D80302" w:rsidP="001A2532">
      <w:pPr>
        <w:rPr>
          <w:kern w:val="32"/>
          <w:sz w:val="28"/>
          <w:szCs w:val="28"/>
        </w:rPr>
      </w:pPr>
      <w:proofErr w:type="spellStart"/>
      <w:r>
        <w:t>C</w:t>
      </w:r>
      <w:r w:rsidRPr="004879E1">
        <w:t>atecholaminergic</w:t>
      </w:r>
      <w:proofErr w:type="spellEnd"/>
      <w:r w:rsidRPr="004879E1">
        <w:t xml:space="preserve"> polymorphic ventricular tachycardia </w:t>
      </w:r>
      <w:r>
        <w:t xml:space="preserve">– implantable cardioverter-defibrillator – secondary prevention – sudden cardiac arrest – sudden cardiac death </w:t>
      </w:r>
      <w:r w:rsidR="00AB6F2F">
        <w:br w:type="page"/>
      </w:r>
    </w:p>
    <w:p w14:paraId="0CF01718" w14:textId="2571151C" w:rsidR="007A574B" w:rsidRPr="00507CEE" w:rsidRDefault="007A574B" w:rsidP="001A2532">
      <w:pPr>
        <w:pStyle w:val="Kop1"/>
        <w:spacing w:before="0" w:after="0"/>
      </w:pPr>
      <w:r w:rsidRPr="00507CEE">
        <w:lastRenderedPageBreak/>
        <w:t>Introduction</w:t>
      </w:r>
    </w:p>
    <w:p w14:paraId="71B2A2C5" w14:textId="285F0B79" w:rsidR="009375D5" w:rsidRPr="00507CEE" w:rsidRDefault="00597760" w:rsidP="001A2532">
      <w:r>
        <w:t>Survivors</w:t>
      </w:r>
      <w:r w:rsidR="007A574B" w:rsidRPr="00507CEE">
        <w:t xml:space="preserve"> of </w:t>
      </w:r>
      <w:r w:rsidR="00596653">
        <w:t>sudden</w:t>
      </w:r>
      <w:r w:rsidR="007A574B" w:rsidRPr="00507CEE">
        <w:t xml:space="preserve"> cardiac arrest (</w:t>
      </w:r>
      <w:r w:rsidR="00596653">
        <w:t>S</w:t>
      </w:r>
      <w:r w:rsidR="007A574B" w:rsidRPr="00507CEE">
        <w:t>CA) due to non-reversible cardiac disease</w:t>
      </w:r>
      <w:r w:rsidR="00DD05AC">
        <w:t>s</w:t>
      </w:r>
      <w:r w:rsidR="007A574B" w:rsidRPr="00507CEE">
        <w:t xml:space="preserve"> are a</w:t>
      </w:r>
      <w:r w:rsidR="0090170C" w:rsidRPr="00507CEE">
        <w:t xml:space="preserve">t </w:t>
      </w:r>
      <w:r w:rsidR="004E55E1">
        <w:t>increased</w:t>
      </w:r>
      <w:r w:rsidR="004E55E1" w:rsidRPr="00507CEE">
        <w:t xml:space="preserve"> </w:t>
      </w:r>
      <w:r w:rsidR="0090170C" w:rsidRPr="00507CEE">
        <w:t xml:space="preserve">risk of recurrent </w:t>
      </w:r>
      <w:r w:rsidR="00CD1FCC" w:rsidRPr="00507CEE">
        <w:t xml:space="preserve">and </w:t>
      </w:r>
      <w:r w:rsidR="00490EF5" w:rsidRPr="00507CEE">
        <w:t xml:space="preserve">potentially fatal </w:t>
      </w:r>
      <w:r w:rsidR="00CA0A39" w:rsidRPr="00507CEE">
        <w:t xml:space="preserve">arrhythmic </w:t>
      </w:r>
      <w:r w:rsidR="0090170C" w:rsidRPr="00507CEE">
        <w:t>events</w:t>
      </w:r>
      <w:r w:rsidR="007A574B" w:rsidRPr="00507CEE">
        <w:t xml:space="preserve">. </w:t>
      </w:r>
      <w:r w:rsidR="004E55E1">
        <w:t>Accordingly, i</w:t>
      </w:r>
      <w:r w:rsidR="007A574B" w:rsidRPr="00507CEE">
        <w:t xml:space="preserve">mplantable cardioverter-defibrillators (ICDs) </w:t>
      </w:r>
      <w:r w:rsidR="007B6D5A" w:rsidRPr="00507CEE">
        <w:t xml:space="preserve">are </w:t>
      </w:r>
      <w:r w:rsidR="00623C96" w:rsidRPr="00507CEE">
        <w:t>generally</w:t>
      </w:r>
      <w:r w:rsidR="007B6D5A" w:rsidRPr="00507CEE">
        <w:t xml:space="preserve"> </w:t>
      </w:r>
      <w:r w:rsidR="008165DA">
        <w:t>a class I indication</w:t>
      </w:r>
      <w:r w:rsidR="007B6D5A" w:rsidRPr="00507CEE">
        <w:t xml:space="preserve"> in these patients to reduce the risk of sudden cardiac death (SCD)</w:t>
      </w:r>
      <w:r w:rsidR="0020716C">
        <w:t>.</w:t>
      </w:r>
      <w:r w:rsidR="00B22AAA" w:rsidRPr="00B22AAA">
        <w:rPr>
          <w:vertAlign w:val="superscript"/>
        </w:rPr>
        <w:t>1-2</w:t>
      </w:r>
      <w:r w:rsidR="007B6D5A" w:rsidRPr="00507CEE">
        <w:t xml:space="preserve"> </w:t>
      </w:r>
    </w:p>
    <w:p w14:paraId="6D1B6277" w14:textId="373C7B5D" w:rsidR="002802FD" w:rsidRPr="00507CEE" w:rsidRDefault="00C443B9" w:rsidP="001A2532">
      <w:pPr>
        <w:ind w:firstLine="708"/>
      </w:pPr>
      <w:r w:rsidRPr="00507CEE">
        <w:t xml:space="preserve">In patients with </w:t>
      </w:r>
      <w:proofErr w:type="spellStart"/>
      <w:r w:rsidRPr="00507CEE">
        <w:t>catecholaminergic</w:t>
      </w:r>
      <w:proofErr w:type="spellEnd"/>
      <w:r w:rsidRPr="00507CEE">
        <w:t xml:space="preserve"> polymorphic ventricular tachycardia (CPVT) however, </w:t>
      </w:r>
      <w:r w:rsidR="007B6D5A" w:rsidRPr="00507CEE">
        <w:t xml:space="preserve">this may be different. This inherited arrhythmia syndrome is characterized by </w:t>
      </w:r>
      <w:proofErr w:type="spellStart"/>
      <w:r w:rsidR="007B6D5A" w:rsidRPr="00507CEE">
        <w:t>adrenergically</w:t>
      </w:r>
      <w:proofErr w:type="spellEnd"/>
      <w:r w:rsidR="007B6D5A" w:rsidRPr="00507CEE">
        <w:t xml:space="preserve">-mediated </w:t>
      </w:r>
      <w:r w:rsidR="00AE3CCA">
        <w:t xml:space="preserve">ventricular arrhythmias, including </w:t>
      </w:r>
      <w:r w:rsidR="007B6D5A" w:rsidRPr="00507CEE">
        <w:t xml:space="preserve">bidirectional </w:t>
      </w:r>
      <w:r w:rsidR="00DB434C">
        <w:t>or</w:t>
      </w:r>
      <w:r w:rsidR="007B6D5A" w:rsidRPr="00507CEE">
        <w:t xml:space="preserve"> polymorphic ventricular tachycardia (VT) and ventricular fibrillation</w:t>
      </w:r>
      <w:r w:rsidR="00DD05AC">
        <w:t xml:space="preserve"> (VF)</w:t>
      </w:r>
      <w:r w:rsidR="007B6D5A" w:rsidRPr="00507CEE">
        <w:t xml:space="preserve"> in individuals with a normal resting ECG </w:t>
      </w:r>
      <w:r w:rsidR="0057292A">
        <w:t>and no structural heart disease</w:t>
      </w:r>
      <w:r w:rsidR="0020716C">
        <w:t>.</w:t>
      </w:r>
      <w:r w:rsidR="00B22AAA" w:rsidRPr="00B22AAA">
        <w:rPr>
          <w:vertAlign w:val="superscript"/>
        </w:rPr>
        <w:t>3</w:t>
      </w:r>
      <w:r w:rsidR="007B6D5A" w:rsidRPr="00507CEE">
        <w:t xml:space="preserve"> </w:t>
      </w:r>
      <w:r w:rsidR="00344383" w:rsidRPr="008165DA">
        <w:t xml:space="preserve">In the current </w:t>
      </w:r>
      <w:r w:rsidR="00344383">
        <w:t xml:space="preserve">North American and European </w:t>
      </w:r>
      <w:r w:rsidR="00344383" w:rsidRPr="008165DA">
        <w:t xml:space="preserve">guidelines, </w:t>
      </w:r>
      <w:r w:rsidR="00344383">
        <w:t>an ICD  is a class 1 recommendation for CPVT patients</w:t>
      </w:r>
      <w:r w:rsidR="00344383" w:rsidRPr="008165DA">
        <w:t xml:space="preserve"> </w:t>
      </w:r>
      <w:r w:rsidR="00344383">
        <w:t>presenting with SCA,</w:t>
      </w:r>
      <w:r w:rsidR="00B22AAA">
        <w:rPr>
          <w:vertAlign w:val="superscript"/>
        </w:rPr>
        <w:t>1, 2, 4</w:t>
      </w:r>
      <w:r w:rsidR="00B22AAA">
        <w:t xml:space="preserve"> </w:t>
      </w:r>
      <w:r w:rsidR="00FC2A46">
        <w:t xml:space="preserve">even when CPVT had not been diagnosed </w:t>
      </w:r>
      <w:r w:rsidR="00414317">
        <w:t>previously</w:t>
      </w:r>
      <w:r w:rsidR="00FC2A46">
        <w:t xml:space="preserve"> and the patient was</w:t>
      </w:r>
      <w:r w:rsidR="000366DF">
        <w:t xml:space="preserve"> therefore</w:t>
      </w:r>
      <w:r w:rsidR="00FC2A46">
        <w:t xml:space="preserve"> </w:t>
      </w:r>
      <w:r w:rsidR="00FC2A46" w:rsidRPr="00507CEE">
        <w:t xml:space="preserve">untreated. </w:t>
      </w:r>
      <w:r w:rsidR="00FC2A46">
        <w:t>However, i</w:t>
      </w:r>
      <w:r w:rsidR="007B6D5A" w:rsidRPr="00507CEE">
        <w:t xml:space="preserve">n patients with </w:t>
      </w:r>
      <w:r w:rsidR="00FC2A46">
        <w:t>CPVT</w:t>
      </w:r>
      <w:r w:rsidR="000366DF">
        <w:t>,</w:t>
      </w:r>
      <w:r w:rsidR="00FC2A46">
        <w:t xml:space="preserve"> </w:t>
      </w:r>
      <w:r w:rsidR="007B6D5A" w:rsidRPr="00507CEE">
        <w:t xml:space="preserve">ICD </w:t>
      </w:r>
      <w:r w:rsidR="00FC2A46">
        <w:t xml:space="preserve">shocks are </w:t>
      </w:r>
      <w:r w:rsidR="008165DA">
        <w:t xml:space="preserve">sometimes ineffective and </w:t>
      </w:r>
      <w:r w:rsidR="00ED10C9" w:rsidRPr="00507CEE">
        <w:t>potentially proarrhythmic</w:t>
      </w:r>
      <w:r w:rsidR="0020716C">
        <w:t>.</w:t>
      </w:r>
      <w:r w:rsidR="00B22AAA" w:rsidRPr="00B22AAA">
        <w:rPr>
          <w:vertAlign w:val="superscript"/>
        </w:rPr>
        <w:t>5-8</w:t>
      </w:r>
      <w:r w:rsidR="00BD092C">
        <w:fldChar w:fldCharType="begin" w:fldLock="1"/>
      </w:r>
      <w:r w:rsidR="00322F06">
        <w:instrText>ADDIN CSL_CITATION { "citationItems" : [ { "id" : "ITEM-1", "itemData" : { "DOI" : "10.1016/j.hrthm.2013.10.027", "ISSN" : "1556-3871", "PMID" : "24120999", "abstract" : "BACKGROUND: Catecholaminergic polymorphic ventricular tachycardia (CPVT) is an inherited arrhythmia syndrome characterized by adrenergically induced ventricular arrhythmias in patients with structurally normal hearts. Initiating triggered arrhythmias, such as bidirectional ventricular tachycardia, often degenerate into reentrant arrhythmias, such as ventricular fibrillation (VF).\n\nOBJECTIVE: To determine whether the effectiveness of implantable cardioverter-defibrillator (ICD) shocks is dependent on rhythm type.\n\nMETHODS: It is a retrospective study of patients with CPVT who had undergone ICD implantation. Thirteen patients received ICDs (median age 15 years; range 9-43 years): 7 of 13 (54{%}) for cardiac arrest and 6 of 13 (46{%}) for syncope despite drug therapy. The median follow-up duration was 4.0 years (range 1.7-19.9 years). Nineteen reinterventions occurred, excluding generator replacements. Ten patients received 96 shocks (median 4 shocks; range 1-30 shocks). Eighty-seven shock electrograms were reviewed. Sixty-three (72{%}) shocks were appropriate, and 24 (28{%}) were inappropriate (T-wave oversensing 7 [29{%}], supraventricular arrhythmia 16 [67{%}], after self-terminating VF 1 [4{%}]).\n\nRESULTS: Among appropriate shocks, 20 (32{%}) were effective in terminating sustained arrhythmia and 43 (68{%}) were ineffective. Shocks delivered to triggered arrhythmias nearly always failed (1 of 40 [3{%}] effective), while shocks delivered to VF were usually successful (19 of 23 [83{%}] effective; P {&lt;} .001). Four patients received 17 appropriate antitachycardia pacing therapies for ventricular tachycardia: only 2 (12{%}) were effective. No patient died.\n\nCONCLUSIONS: The effectiveness of ICD shock therapy in CPVT depends on the mechanism of the rhythm treated. Shocks delivered to initiating triggered arrhythmias nearly always fail, whereas those for subsequent VF are usually effective. ICD programming in these patients is exceptionally challenging.", "author" : [ { "dropping-particle" : "", "family" : "Roses-Noguer", "given" : "Ferran", "non-dropping-particle" : "", "parse-names" : false, "suffix" : "" }, { "dropping-particle" : "", "family" : "Jarman", "given" : "Julian W E", "non-dropping-particle" : "", "parse-names" : false, "suffix" : "" }, { "dropping-particle" : "", "family" : "Clague", "given" : "Jonathan R", "non-dropping-particle" : "", "parse-names" : false, "suffix" : "" }, { "dropping-particle" : "", "family" : "Till", "given" : "Jan", "non-dropping-particle" : "", "parse-names" : false, "suffix" : "" } ], "container-title" : "Heart rhythm : the official journal of the Heart Rhythm Society", "id" : "ITEM-1", "issue" : "1", "issued" : { "date-parts" : [ [ "2014", "1" ] ] }, "page" : "58-66", "title" : "Outcomes of defibrillator therapy in catecholaminergic polymorphic ventricular tachycardia.", "type" : "article-journal", "volume" : "11" }, "uris" : [ "http://www.mendeley.com/documents/?uuid=6ca0ddb0-ed04-4120-a758-87e4c60c070a", "http://www.mendeley.com/documents/?uuid=59f42342-bcda-4966-b9eb-574249bf64fb" ] }, { "id" : "ITEM-2", "itemData" : { "DOI" : "10.1161/CIRCEP.113.000170", "ISSN" : "1941-3084", "PMID" : "23667268", "abstract" : "BACKGROUND: The effectiveness of implantable cardioverter-defibrillator (ICD) therapy for the management of catecholaminergic polymorphic ventricular tachycardia (VT) in young patients is not known. ICD discharges are not always effective and inappropriate discharges are common, both resulting in morbidity and mortality.\n\nMETHODS AND RESULTS: This is a multicenter, retrospective review of young patients with catecholaminergic polymorphic VT and ICDs from 5 centers. ICD discharges were evaluated to determine arrhythmia mechanism, appropriateness, efficacy of therapy, and complications. A total of 24 patients were included. Median (interquartile range) ages at onset of catecholaminergic polymorphic VT symptoms and ICD implant were 10.6 (5.0-13.8) years and 13.7 (10.7-16.3) years, respectively. Fourteen patients received 140 shocks. Ten patients (42{%}) experienced 75 appropriate shocks and 11 patients (46{%}) received 65 inappropriate shocks. On actuarial analysis, freedom from appropriate shock at 1 year after ICD implant was 75{%}. Of appropriate shocks, only 43 (57{%}) demonstrated successful primary termination. All successful appropriate ICD discharges were for ventricular fibrillation. No episodes of polymorphic VT or bidirectional VT demonstrated successful primary termination. The adjusted mean (95{%} confidence interval) cycle length of successful discharges was significantly shorter than unsuccessful discharges (168 [152-184] ms versus 245 [229-262] ms; adjusted P=0.002). Electrical storm occurred in 29{%} (4/14) and induction of more malignant ventricular arrhythmias in 36{%} (5/14). There were no deaths.\n\nCONCLUSIONS: ICD efficacy in catecholaminergic polymorphic VT depends on arrhythmia mechanism. Episodes of ventricular fibrillation were uniformly successfully treated, whereas polymorphic and bidirectional VT did not demonstrate successful primary termination. Inappropriate shocks, electrical storm, and ICD complications were common.", "author" : [ { "dropping-particle" : "", "family" : "Miyake", "given" : "Christina Y", "non-dropping-particle" : "", "parse-names" : false, "suffix" : "" }, { "dropping-particle" : "", "family" : "Webster", "given" : "Gregory", "non-dropping-particle" : "", "parse-names" : false, "suffix" : "" }, { "dropping-particle" : "", "family" : "Czosek", "given" : "Richard J", "non-dropping-particle" : "", "parse-names" : false, "suffix" : "" }, { "dropping-particle" : "", "family" : "Kantoch", "given" : "Michal J", "non-dropping-particle" : "", "parse-names" : false, "suffix" : "" }, { "dropping-particle" : "", "family" : "Dubin", "given" : "Anne M", "non-dropping-particle" : "", "parse-names" : false, "suffix" : "" }, { "dropping-particle" : "", "family" : "Avasarala", "given" : "Kishor", "non-dropping-particle" : "", "parse-names" : false, "suffix" : "" }, { "dropping-particle" : "", "family" : "Atallah", "given" : "Joseph", "non-dropping-particle" : "", "parse-names" : false, "suffix" : "" } ], "container-title" : "Circulation. Arrhythmia and electrophysiology", "id" : "ITEM-2", "issue" : "3", "issued" : { "date-parts" : [ [ "2013", "6" ] ] }, "page" : "579-587", "title" : "Efficacy of implantable cardioverter defibrillators in young patients with catecholaminergic polymorphic ventricular tachycardia: success depends on substrate.", "type" : "article-journal", "volume" : "6" }, "uris" : [ "http://www.mendeley.com/documents/?uuid=74d9a966-7959-457f-8b3a-4683a8b896b9", "http://www.mendeley.com/documents/?uuid=846b1c88-2229-473b-ad40-73843808d4b2" ] }, { "id" : "ITEM-3", "itemData" : { "DOI" : "10.1016/j.amjcard.2012.02.049", "ISSN" : "1879-1913 (Electronic)", "PMID" : "22481011", "abstract" : "In this study, the clinical and implantable cardioverter-defibrillator (ICD)-related follow-up of patients with catecholaminergic polymorphic ventricular tachycardia (CPVT) with homogenous missense mutations in CASQ2 was summarized. Patients were followed in a pediatric cardiology clinic and an ICD clinic. All patients were treated with high-dose beta blockers. ICDs were recommended for patients who remained symptomatic despite medical treatment. Twenty-seven patients were followed for 1 to 15 years (median 9). Twenty patients (74%) were symptomatic at diagnosis; 13 (65%) remained symptomatic after treatment with high-dose beta blockers and thus were advised to receive ICDs. Eight of these patients refused ICDs, and eventually 6 (75%) died suddenly. Four of the 5 patients who received ICDs had ventricular tachycardia storms treated but not terminated by recurrent ICD shocks. These ventricular tachycardia storms (2 episodes in 2 patients and 1 episode in 2 patient) terminated spontaneously after finishing the programmed ICD shocks, without degeneration to ventricular fibrillation. None of the patients who received ICDs died. In conclusion, patients with CASQ2-associated CPVT should be recommended to receive ICDs to prevent sudden death when medical therapy is not effective. These patients may have recurrent ventricular tachycardia storms treated but not terminated by recurrent ICD shocks, without degeneration to ventricular fibrillation.", "author" : [ { "dropping-particle" : "", "family" : "Marai", "given" : "Ibrahim", "non-dropping-particle" : "", "parse-names" : false, "suffix" : "" }, { "dropping-particle" : "", "family" : "Khoury", "given" : "Asaad", "non-dropping-particle" : "", "parse-names" : false, "suffix" : "" }, { "dropping-particle" : "", "family" : "Suleiman", "given" : "Mahmoud", "non-dropping-particle" : "", "parse-names" : false, "suffix" : "" }, { "dropping-particle" : "", "family" : "Gepstein", "given" : "Lior", "non-dropping-particle" : "", "parse-names" : false, "suffix" : "" }, { "dropping-particle" : "", "family" : "Blich", "given" : "Miri", "non-dropping-particle" : "", "parse-names" : false, "suffix" : "" }, { "dropping-particle" : "", "family" : "Lorber", "given" : "Abraham", "non-dropping-particle" : "", "parse-names" : false, "suffix" : "" }, { "dropping-particle" : "", "family" : "Boulos", "given" : "Monther", "non-dropping-particle" : "", "parse-names" : false, "suffix" : "" } ], "container-title" : "The American journal of cardiology", "id" : "ITEM-3", "issue" : "1", "issued" : { "date-parts" : [ [ "2012", "7" ] ] }, "language" : "eng", "page" : "72-76", "publisher-place" : "United States", "title" : "Importance of ventricular tachycardia storms not terminated by implantable cardioverter defibrillators shocks in patients with CASQ2 associated catecholaminergic polymorphic ventricular tachycardia.", "type" : "article-journal", "volume" : "110" }, "uris" : [ "http://www.mendeley.com/documents/?uuid=31d3ccd4-c325-4d21-875e-e64bbf95ca89", "http://www.mendeley.com/documents/?uuid=4b6787ec-d9a0-4d14-b368-baf19cc49a2e", "http://www.mendeley.com/documents/?uuid=1fd1d1e2-9492-47b2-b55d-9e01ae92d188" ] }, { "id" : "ITEM-4", "itemData" : { "DOI" : "10.1161/CIRCEP.114.002217", "ISSN" : "1941-3084", "PMID" : "25713214", "abstract" : "BACKGROUND: Catecholaminergic polymorphic ventricular tachycardia is an uncommon, potentially lethal, ion channelopathy. Standard therapies have high failure rates and little is known about treatment in children. Newer options such as flecainide and left cardiac sympathetic denervation are not well validated. We sought to define treatment outcomes in children with catecholaminergic polymorphic ventricular tachycardia.\n\nMETHODS AND RESULTS: This is a Pediatric and Congenital Electrophysiology Society multicenter, retrospective cohort study of catecholaminergic polymorphic ventricular tachycardia patients diagnosed before 19 years of age. The cohort included 226 patients, including 170 probands and 56 relatives. Symptomatic presentation was reported in 176 (78{%}). Symptom onset occurred at 10.8 (interquartile range, 6.8-13.2) years with a delay to diagnosis of 0.5 (0-2.6) years. Syncope (P{&lt;}0.001), cardiac arrest (P{&lt;}0.001), and treatment failure (P=0.008) occurred more often in probands. $\u03b2$-Blockers were prescribed in 205 of 211 patients (97{%}) on medication, and 25{%} experienced at least 1 treatment failure event. Implantable cardioverter defibrillators were placed in 121 (54{%}) and was associated with electrical storm in 22 (18{%}). Flecainide was used in 24{%} and left cardiac sympathetic denervation in 8{%}. Six deaths (3{%}) occurred during a cumulative follow-up of 788 patient-years.\n\nCONCLUSIONS: This study demonstrates a malignant phenotype and lengthy delay to diagnosis in catecholaminergic polymorphic ventricular tachycardia. Probands were typically severely affected. $\u03b2$-Blockers were almost universally initiated; however, treatment failure, noncompliance and subtherapeutic dosing were often reported. Implantable cardioverter defibrillators were common despite numerous device-related complications. Treatment failure was rare in the quarter of patients on flecainide. Left cardiac sympathetic denervation was not uncommon although the indication was variable.", "author" : [ { "dropping-particle" : "", "family" : "Roston", "given" : "Thomas M", "non-dropping-particle" : "", "parse-names" : false, "suffix" : "" }, { "dropping-particle" : "", "family" : "Vinocur", "given" : "Jeffrey M", "non-dropping-particle" : "", "parse-names" : false, "suffix" : "" }, { "dropping-particle" : "", "family" : "Maginot", "given" : "Kathleen R", "non-dropping-particle" : "", "parse-names" : false, "suffix" : "" }, { "dropping-particle" : "", "family" : "Mohammed", "given" : "Saira", "non-dropping-particle" : "", "parse-names" : false, "suffix" : "" }, { "dropping-particle" : "", "family" : "Salerno", "given" : "Jack C", "non-dropping-particle" : "", "parse-names" : false, "suffix" : "" }, { "dropping-particle" : "", "family" : "Etheridge", "given" : "Susan P", "non-dropping-particle" : "", "parse-names" : false, "suffix" : "" }, { "dropping-particle" : "", "family" : "Cohen", "given" : "Mitchell", "non-dropping-particle" : "", "parse-names" : false, "suffix" : "" }, { "dropping-particle" : "", "family" : "Hamilton", "given" : "Robert M", "non-dropping-particle" : "", "parse-names" : false, "suffix" : "" }, { "dropping-particle" : "", "family" : "Pflaumer", "given" : "Andreas", "non-dropping-particle" : "", "parse-names" : false, "suffix" : "" }, { "dropping-particle" : "", "family" : "Kanter", "given" : "Ronald J", "non-dropping-particle" : "", "parse-names" : false, "suffix" : "" }, { "dropping-particle" : "", "family" : "Potts", "given" : "James E", "non-dropping-particle" : "", "parse-names" : false, "suffix" : "" }, { "dropping-particle" : "", "family" : "LaPage", "given" : "Martin J", "non-dropping-particle" : "", "parse-names" : false, "suffix" : "" }, { "dropping-particle" : "", "family" : "Collins", "given" : "Kathryn K", "non-dropping-particle" : "", "parse-names" : false, "suffix" : "" }, { "dropping-particle" : "", "family" : "Gebauer", "given" : "Roman A", "non-dropping-particle" : "", "parse-names" : false, "suffix" : "" }, { "dropping-particle" : "", "family" : "Temple", "given" : "Joel D", "non-dropping-particle" : "", "parse-names" : false, "suffix" : "" }, { "dropping-particle" : "", "family" : "Batra", "given" : "Anjan S", "non-dropping-particle" : "", "parse-names" : false, "suffix" : "" }, { "dropping-particle" : "", "family" : "Erickson", "given" : "Christopher", "non-dropping-particle" : "", "parse-names" : false, "suffix" : "" }, { "dropping-particle" : "", "family" : "Miszczak-Knecht", "given" : "Maria", "non-dropping-particle" : "", "parse-names" : false, "suffix" : "" }, { "dropping-particle" : "", "family" : "Kubu\u0161", "given" : "Peter", "non-dropping-particle" : "", "parse-names" : false, "suffix" : "" }, { "dropping-particle" : "", "family" : "Bar-Cohen", "given" : "Yaniv", "non-dropping-particle" : "", "parse-names" : false, "suffix" : "" }, { "dropping-particle" : "", "family" : "Kantoch", "given" : "Michal", "non-dropping-particle" : "", "parse-names" : false, "suffix" : "" }, { "dropping-particle" : "", "family" : "Thomas", "given" : "Vincent C", "non-dropping-particle" : "", "parse-names" : false, "suffix" : "" }, { "dropping-particle" : "", "family" : "Hessling", "given" : "Gabriele", "non-dropping-particle" : "", "parse-names" : false, "suffix" : "" }, { "dropping-particle" : "", "family" : "Anderson", "given" : "Chris", "non-dropping-particle" : "", "parse-names" : false, "suffix" : "" }, { "dropping-particle" : "", "family" : "Young", "given" : "Ming-Lon", "non-dropping-particle" : "", "parse-names" : false, "suffix" : "" }, { "dropping-particle" : "", "family" : "Cabrera Ortega", "given" : "Michel", "non-dropping-particle" : "", "parse-names" : false, "suffix" : "" }, { "dropping-particle" : "", "family" : "Lau", "given" : "Yung R", "non-dropping-particle" : "", "parse-names" : false, "suffix" : "" }, { "dropping-particle" : "", "family" : "Johnsrude", "given" : "Christopher L", "non-dropping-particle" : "", "parse-names" : false, "suffix" : "" }, { "dropping-particle" : "", "family" : "Fournier", "given" : "Anne", "non-dropping-particle" : "", "parse-names" : false, "suffix" : "" }, { "dropping-particle" : "", "family" : "Kannankeril", "given" : "Prince J", "non-dropping-particle" : "", "parse-names" : false, "suffix" : "" }, { "dropping-particle" : "", "family" : "Sanatani", "given" : "Shubhayan", "non-dropping-particle" : "", "parse-names" : false, "suffix" : "" } ], "container-title" : "Circulation. Arrhythmia and electrophysiology", "id" : "ITEM-4", "issue" : "3", "issued" : { "date-parts" : [ [ "2015", "6" ] ] }, "page" : "633-642", "title" : "Catecholaminergic polymorphic ventricular tachycardia in children: analysis of therapeutic strategies and outcomes from an international multicenter registry.", "type" : "article-journal", "volume" : "8" }, "uris" : [ "http://www.mendeley.com/documents/?uuid=e34dec3c-30b1-45d5-83c6-1d468688b444" ] } ], "mendeley" : { "formattedCitation" : "(5\u20138)", "plainTextFormattedCitation" : "(5\u20138)", "previouslyFormattedCitation" : "(Marai et al., 2012; Miyake et al., 2013; Roses-Noguer, Jarman, Clague, &amp; Till, 2014; Roston et al., 2015)" }, "properties" : {  }, "schema" : "https://github.com/citation-style-language/schema/raw/master/csl-citation.json" }</w:instrText>
      </w:r>
      <w:r w:rsidR="00BD092C">
        <w:fldChar w:fldCharType="end"/>
      </w:r>
      <w:r w:rsidR="007B6D5A" w:rsidRPr="009E1913">
        <w:t xml:space="preserve"> </w:t>
      </w:r>
      <w:r w:rsidR="007B6D5A" w:rsidRPr="00507CEE">
        <w:t xml:space="preserve">Fatal </w:t>
      </w:r>
      <w:r w:rsidR="00D050F8" w:rsidRPr="00507CEE">
        <w:t xml:space="preserve">electrical </w:t>
      </w:r>
      <w:r w:rsidR="007B6D5A" w:rsidRPr="00507CEE">
        <w:t>storms, initiated by both appropriate and</w:t>
      </w:r>
      <w:r w:rsidR="00C878ED">
        <w:t xml:space="preserve">, more </w:t>
      </w:r>
      <w:r w:rsidR="004E55E1">
        <w:t>disturbingly</w:t>
      </w:r>
      <w:r w:rsidR="00C878ED">
        <w:t xml:space="preserve">, </w:t>
      </w:r>
      <w:r w:rsidR="000366DF">
        <w:t xml:space="preserve">following </w:t>
      </w:r>
      <w:r w:rsidR="007B6D5A" w:rsidRPr="00507CEE">
        <w:t xml:space="preserve">inappropriate </w:t>
      </w:r>
      <w:r w:rsidR="00FC2A46">
        <w:t>ICD shocks</w:t>
      </w:r>
      <w:r w:rsidR="007B6D5A" w:rsidRPr="00507CEE">
        <w:t>, have been reported</w:t>
      </w:r>
      <w:r w:rsidR="0020716C">
        <w:t>.</w:t>
      </w:r>
      <w:r w:rsidR="00B22AAA" w:rsidRPr="00B22AAA">
        <w:rPr>
          <w:vertAlign w:val="superscript"/>
        </w:rPr>
        <w:t>9-11</w:t>
      </w:r>
      <w:r w:rsidR="007B6D5A" w:rsidRPr="00507CEE">
        <w:t xml:space="preserve"> </w:t>
      </w:r>
      <w:r w:rsidR="008165DA" w:rsidRPr="008165DA">
        <w:t xml:space="preserve">Therefore, the risk-benefit of ICD therapy in patients with CPVT requires further evaluation.  </w:t>
      </w:r>
    </w:p>
    <w:p w14:paraId="4E9D55A8" w14:textId="77777777" w:rsidR="008165DA" w:rsidRPr="008165DA" w:rsidRDefault="00051235" w:rsidP="001A2532">
      <w:pPr>
        <w:ind w:firstLine="708"/>
      </w:pPr>
      <w:r w:rsidRPr="00507CEE">
        <w:t xml:space="preserve">Here, we </w:t>
      </w:r>
      <w:r w:rsidR="00AE3CCA">
        <w:t>studied</w:t>
      </w:r>
      <w:r w:rsidR="000366DF">
        <w:t xml:space="preserve"> patients with previously undiagnosed</w:t>
      </w:r>
      <w:r w:rsidR="00F91D4C">
        <w:t xml:space="preserve"> and </w:t>
      </w:r>
      <w:r w:rsidR="000366DF">
        <w:t>untreated</w:t>
      </w:r>
      <w:r w:rsidR="00AE3CCA">
        <w:t xml:space="preserve"> CPVT </w:t>
      </w:r>
      <w:r w:rsidR="000366DF">
        <w:t>who presented with SCA as their sentinel event, w</w:t>
      </w:r>
      <w:r w:rsidR="00AE3CCA">
        <w:t>ith an emphasis on</w:t>
      </w:r>
      <w:r w:rsidR="00AE3CCA" w:rsidRPr="00507CEE">
        <w:t xml:space="preserve"> </w:t>
      </w:r>
      <w:r w:rsidR="008165DA" w:rsidRPr="008165DA">
        <w:t>the efficacy and complications of ICDs</w:t>
      </w:r>
      <w:r w:rsidR="00566CC5">
        <w:t xml:space="preserve"> during follow-up</w:t>
      </w:r>
      <w:r w:rsidR="008165DA" w:rsidRPr="008165DA">
        <w:t xml:space="preserve">. </w:t>
      </w:r>
    </w:p>
    <w:p w14:paraId="04EBF390" w14:textId="77777777" w:rsidR="008165DA" w:rsidRPr="00507CEE" w:rsidRDefault="008165DA" w:rsidP="001A2532"/>
    <w:p w14:paraId="6AEB9382" w14:textId="77777777" w:rsidR="00002F8E" w:rsidRPr="00507CEE" w:rsidRDefault="00770262" w:rsidP="001A2532">
      <w:pPr>
        <w:pStyle w:val="Kop1"/>
        <w:spacing w:before="0" w:after="0"/>
      </w:pPr>
      <w:r>
        <w:br w:type="page"/>
      </w:r>
      <w:r w:rsidR="00002F8E" w:rsidRPr="00507CEE">
        <w:lastRenderedPageBreak/>
        <w:t>Methods</w:t>
      </w:r>
    </w:p>
    <w:p w14:paraId="6A86C4E8" w14:textId="77777777" w:rsidR="00E10E81" w:rsidRPr="00507CEE" w:rsidRDefault="00F87BDB" w:rsidP="001A2532">
      <w:pPr>
        <w:pStyle w:val="Kop2"/>
        <w:spacing w:before="0" w:after="0"/>
      </w:pPr>
      <w:r w:rsidRPr="00507CEE">
        <w:t>Study population</w:t>
      </w:r>
    </w:p>
    <w:p w14:paraId="4F3CDAA9" w14:textId="6E44FC62" w:rsidR="007E50CC" w:rsidRPr="00507CEE" w:rsidRDefault="008F40AE" w:rsidP="001A2532">
      <w:r w:rsidRPr="00507CEE">
        <w:t>The study</w:t>
      </w:r>
      <w:r w:rsidR="00FA08BC">
        <w:t xml:space="preserve"> population comprised 1</w:t>
      </w:r>
      <w:r w:rsidR="009E1913">
        <w:t>3</w:t>
      </w:r>
      <w:r w:rsidR="009D30CD">
        <w:t>6</w:t>
      </w:r>
      <w:r w:rsidRPr="00507CEE">
        <w:t xml:space="preserve"> patients from the International CPVT Registry</w:t>
      </w:r>
      <w:r w:rsidR="00AD6F6E">
        <w:t xml:space="preserve">, </w:t>
      </w:r>
      <w:r w:rsidR="00414317">
        <w:t xml:space="preserve">a </w:t>
      </w:r>
      <w:proofErr w:type="spellStart"/>
      <w:r w:rsidR="00D0204D">
        <w:t>multicent</w:t>
      </w:r>
      <w:r w:rsidR="00AD6F6E">
        <w:t>r</w:t>
      </w:r>
      <w:r w:rsidR="00D0204D">
        <w:t>e</w:t>
      </w:r>
      <w:proofErr w:type="spellEnd"/>
      <w:r w:rsidR="00AD6F6E">
        <w:t xml:space="preserve"> </w:t>
      </w:r>
      <w:r w:rsidR="00E270AC">
        <w:t xml:space="preserve">retrospective observational </w:t>
      </w:r>
      <w:r w:rsidRPr="00507CEE">
        <w:t>registry established in 2014</w:t>
      </w:r>
      <w:r w:rsidR="00AD6F6E">
        <w:t xml:space="preserve">. </w:t>
      </w:r>
      <w:r w:rsidR="00D0204D">
        <w:t xml:space="preserve">In all </w:t>
      </w:r>
      <w:proofErr w:type="spellStart"/>
      <w:r w:rsidR="00D0204D">
        <w:t>cent</w:t>
      </w:r>
      <w:r w:rsidR="007E50CC" w:rsidRPr="00507CEE">
        <w:t>r</w:t>
      </w:r>
      <w:r w:rsidR="00D0204D">
        <w:t>e</w:t>
      </w:r>
      <w:r w:rsidR="007E50CC" w:rsidRPr="00507CEE">
        <w:t>s</w:t>
      </w:r>
      <w:proofErr w:type="spellEnd"/>
      <w:r w:rsidR="007E50CC" w:rsidRPr="00507CEE">
        <w:t>, institutional review board approval was obtained for this type of study.</w:t>
      </w:r>
    </w:p>
    <w:p w14:paraId="6C9D7230" w14:textId="12845E59" w:rsidR="00734065" w:rsidRPr="00507CEE" w:rsidRDefault="00627452" w:rsidP="001A2532">
      <w:pPr>
        <w:ind w:firstLine="708"/>
      </w:pPr>
      <w:r w:rsidRPr="00507CEE">
        <w:t xml:space="preserve">All patients </w:t>
      </w:r>
      <w:r w:rsidR="007E50CC">
        <w:t xml:space="preserve">included in the </w:t>
      </w:r>
      <w:r w:rsidR="008C07D9" w:rsidRPr="008C07D9">
        <w:rPr>
          <w:highlight w:val="yellow"/>
        </w:rPr>
        <w:t>International CPVT Registry</w:t>
      </w:r>
      <w:r w:rsidR="007E50CC">
        <w:t xml:space="preserve"> </w:t>
      </w:r>
      <w:r w:rsidRPr="00507CEE">
        <w:t xml:space="preserve">met current </w:t>
      </w:r>
      <w:r w:rsidR="008C07D9" w:rsidRPr="008C07D9">
        <w:rPr>
          <w:highlight w:val="yellow"/>
        </w:rPr>
        <w:t>phenotypic and/or genotypic</w:t>
      </w:r>
      <w:r w:rsidR="008C07D9">
        <w:t xml:space="preserve"> </w:t>
      </w:r>
      <w:r w:rsidRPr="00507CEE">
        <w:t>diagnostic criteria for CPVT</w:t>
      </w:r>
      <w:r w:rsidR="008C07D9">
        <w:t>.</w:t>
      </w:r>
      <w:r w:rsidR="00B22AAA" w:rsidRPr="00B22AAA">
        <w:rPr>
          <w:vertAlign w:val="superscript"/>
        </w:rPr>
        <w:t>4</w:t>
      </w:r>
      <w:r w:rsidRPr="00507CEE">
        <w:t xml:space="preserve"> </w:t>
      </w:r>
      <w:r w:rsidR="008C07D9" w:rsidRPr="008C07D9">
        <w:rPr>
          <w:highlight w:val="yellow"/>
        </w:rPr>
        <w:t>CPVT was diagnosed based on phenotype in</w:t>
      </w:r>
      <w:r w:rsidR="008C07D9">
        <w:t xml:space="preserve"> </w:t>
      </w:r>
      <w:r w:rsidR="00734065" w:rsidRPr="00507CEE">
        <w:t>the</w:t>
      </w:r>
      <w:r w:rsidR="00734065" w:rsidRPr="00507CEE">
        <w:rPr>
          <w:spacing w:val="-1"/>
        </w:rPr>
        <w:t xml:space="preserve"> presence </w:t>
      </w:r>
      <w:r w:rsidR="00734065" w:rsidRPr="00507CEE">
        <w:t>of</w:t>
      </w:r>
      <w:r w:rsidR="00734065" w:rsidRPr="00507CEE">
        <w:rPr>
          <w:spacing w:val="1"/>
        </w:rPr>
        <w:t xml:space="preserve"> </w:t>
      </w:r>
      <w:r w:rsidR="00734065" w:rsidRPr="00507CEE">
        <w:t>a</w:t>
      </w:r>
      <w:r w:rsidR="00734065" w:rsidRPr="00507CEE">
        <w:rPr>
          <w:spacing w:val="-1"/>
        </w:rPr>
        <w:t xml:space="preserve"> </w:t>
      </w:r>
      <w:r w:rsidR="00734065" w:rsidRPr="00507CEE">
        <w:t>structurally</w:t>
      </w:r>
      <w:r w:rsidR="00734065" w:rsidRPr="00507CEE">
        <w:rPr>
          <w:spacing w:val="-5"/>
        </w:rPr>
        <w:t xml:space="preserve"> </w:t>
      </w:r>
      <w:r w:rsidR="00734065" w:rsidRPr="00507CEE">
        <w:rPr>
          <w:spacing w:val="-1"/>
        </w:rPr>
        <w:t>normal</w:t>
      </w:r>
      <w:r w:rsidR="00734065" w:rsidRPr="00507CEE">
        <w:t xml:space="preserve"> </w:t>
      </w:r>
      <w:r w:rsidR="00734065" w:rsidRPr="00507CEE">
        <w:rPr>
          <w:spacing w:val="-1"/>
        </w:rPr>
        <w:t>heart,</w:t>
      </w:r>
      <w:r w:rsidR="00734065" w:rsidRPr="00507CEE">
        <w:t xml:space="preserve"> normal resting </w:t>
      </w:r>
      <w:r w:rsidR="00734065" w:rsidRPr="00507CEE">
        <w:rPr>
          <w:spacing w:val="-1"/>
        </w:rPr>
        <w:t>ECG,</w:t>
      </w:r>
      <w:r w:rsidR="00734065" w:rsidRPr="00507CEE">
        <w:t xml:space="preserve"> </w:t>
      </w:r>
      <w:r w:rsidR="00734065" w:rsidRPr="00507CEE">
        <w:rPr>
          <w:spacing w:val="-1"/>
        </w:rPr>
        <w:t>and</w:t>
      </w:r>
      <w:r w:rsidR="00734065" w:rsidRPr="00507CEE">
        <w:t xml:space="preserve"> </w:t>
      </w:r>
      <w:r w:rsidR="00734065" w:rsidRPr="00507CEE">
        <w:rPr>
          <w:spacing w:val="-1"/>
        </w:rPr>
        <w:t>unexplained</w:t>
      </w:r>
      <w:r w:rsidR="00734065" w:rsidRPr="00507CEE">
        <w:t xml:space="preserve"> </w:t>
      </w:r>
      <w:r w:rsidR="00734065" w:rsidRPr="00507CEE">
        <w:rPr>
          <w:spacing w:val="-1"/>
        </w:rPr>
        <w:t xml:space="preserve">exercise- </w:t>
      </w:r>
      <w:r w:rsidR="00734065" w:rsidRPr="00507CEE">
        <w:t>or</w:t>
      </w:r>
      <w:r w:rsidR="00734065" w:rsidRPr="00507CEE">
        <w:rPr>
          <w:spacing w:val="-1"/>
        </w:rPr>
        <w:t xml:space="preserve"> catecholamine-induced</w:t>
      </w:r>
      <w:r w:rsidR="00734065" w:rsidRPr="00507CEE">
        <w:t xml:space="preserve"> </w:t>
      </w:r>
      <w:r w:rsidR="00734065" w:rsidRPr="00507CEE">
        <w:rPr>
          <w:spacing w:val="-1"/>
        </w:rPr>
        <w:t>bidirectional</w:t>
      </w:r>
      <w:r w:rsidR="008C07D9">
        <w:t xml:space="preserve"> VT, </w:t>
      </w:r>
      <w:r w:rsidR="00734065" w:rsidRPr="00507CEE">
        <w:rPr>
          <w:spacing w:val="-1"/>
        </w:rPr>
        <w:t>polymorphic</w:t>
      </w:r>
      <w:r w:rsidR="00734065" w:rsidRPr="00507CEE">
        <w:rPr>
          <w:spacing w:val="1"/>
        </w:rPr>
        <w:t xml:space="preserve"> ventricular premature beats </w:t>
      </w:r>
      <w:r w:rsidR="00734065" w:rsidRPr="00507CEE">
        <w:t>or</w:t>
      </w:r>
      <w:r w:rsidR="00734065" w:rsidRPr="00507CEE">
        <w:rPr>
          <w:spacing w:val="1"/>
        </w:rPr>
        <w:t xml:space="preserve"> </w:t>
      </w:r>
      <w:r w:rsidR="00734065" w:rsidRPr="00507CEE">
        <w:rPr>
          <w:spacing w:val="-1"/>
        </w:rPr>
        <w:t>VT. In patients &gt;40 years of age</w:t>
      </w:r>
      <w:r w:rsidR="000366DF">
        <w:rPr>
          <w:spacing w:val="-1"/>
        </w:rPr>
        <w:t>,</w:t>
      </w:r>
      <w:r w:rsidR="00734065" w:rsidRPr="00507CEE">
        <w:rPr>
          <w:spacing w:val="-1"/>
        </w:rPr>
        <w:t xml:space="preserve"> coronary artery disease </w:t>
      </w:r>
      <w:r w:rsidR="00C878ED">
        <w:rPr>
          <w:spacing w:val="-1"/>
        </w:rPr>
        <w:t>had to be ruled out</w:t>
      </w:r>
      <w:r w:rsidR="00734065" w:rsidRPr="00507CEE">
        <w:rPr>
          <w:spacing w:val="-1"/>
        </w:rPr>
        <w:t xml:space="preserve">. </w:t>
      </w:r>
      <w:r w:rsidR="00734065" w:rsidRPr="008C07D9">
        <w:rPr>
          <w:spacing w:val="-1"/>
          <w:highlight w:val="yellow"/>
        </w:rPr>
        <w:t xml:space="preserve">CPVT </w:t>
      </w:r>
      <w:r w:rsidR="008C07D9" w:rsidRPr="008C07D9">
        <w:rPr>
          <w:spacing w:val="-1"/>
          <w:highlight w:val="yellow"/>
        </w:rPr>
        <w:t>was diagnosed based on genotype in the presence of a</w:t>
      </w:r>
      <w:r w:rsidR="008C07D9">
        <w:rPr>
          <w:spacing w:val="-1"/>
        </w:rPr>
        <w:t xml:space="preserve"> </w:t>
      </w:r>
      <w:r w:rsidR="00734065" w:rsidRPr="00507CEE">
        <w:rPr>
          <w:spacing w:val="-1"/>
        </w:rPr>
        <w:t xml:space="preserve">pathogenic </w:t>
      </w:r>
      <w:r w:rsidR="000366DF">
        <w:rPr>
          <w:spacing w:val="-1"/>
        </w:rPr>
        <w:t>variant</w:t>
      </w:r>
      <w:r w:rsidR="00734065" w:rsidRPr="00507CEE">
        <w:t xml:space="preserve"> in the</w:t>
      </w:r>
      <w:r w:rsidR="00734065" w:rsidRPr="00507CEE">
        <w:rPr>
          <w:spacing w:val="-1"/>
        </w:rPr>
        <w:t xml:space="preserve"> </w:t>
      </w:r>
      <w:r w:rsidR="00235F2C" w:rsidRPr="00507CEE">
        <w:rPr>
          <w:spacing w:val="-1"/>
        </w:rPr>
        <w:t xml:space="preserve">CPVT-associated </w:t>
      </w:r>
      <w:r w:rsidR="00734065" w:rsidRPr="00507CEE">
        <w:rPr>
          <w:spacing w:val="-1"/>
        </w:rPr>
        <w:t>genes</w:t>
      </w:r>
      <w:r w:rsidR="002F6101">
        <w:rPr>
          <w:spacing w:val="-1"/>
        </w:rPr>
        <w:t>, in particular</w:t>
      </w:r>
      <w:r w:rsidR="00734065" w:rsidRPr="00507CEE">
        <w:t xml:space="preserve"> </w:t>
      </w:r>
      <w:r w:rsidR="00734065" w:rsidRPr="00507CEE">
        <w:rPr>
          <w:i/>
          <w:spacing w:val="-1"/>
        </w:rPr>
        <w:t>RYR2</w:t>
      </w:r>
      <w:r w:rsidR="00734065" w:rsidRPr="00507CEE">
        <w:t xml:space="preserve"> </w:t>
      </w:r>
      <w:r w:rsidR="00734065" w:rsidRPr="00507CEE">
        <w:rPr>
          <w:spacing w:val="-1"/>
        </w:rPr>
        <w:t>(heterozygous)</w:t>
      </w:r>
      <w:r w:rsidR="002F6101">
        <w:rPr>
          <w:spacing w:val="-1"/>
        </w:rPr>
        <w:t xml:space="preserve"> and</w:t>
      </w:r>
      <w:r w:rsidR="00734065" w:rsidRPr="00507CEE">
        <w:t xml:space="preserve"> </w:t>
      </w:r>
      <w:r w:rsidR="00734065" w:rsidRPr="00507CEE">
        <w:rPr>
          <w:i/>
        </w:rPr>
        <w:t>CASQ2</w:t>
      </w:r>
      <w:r w:rsidR="00734065" w:rsidRPr="00507CEE">
        <w:t xml:space="preserve"> </w:t>
      </w:r>
      <w:r w:rsidR="00734065" w:rsidRPr="00507CEE">
        <w:rPr>
          <w:spacing w:val="-1"/>
        </w:rPr>
        <w:t>(homozygous</w:t>
      </w:r>
      <w:r w:rsidR="00734065" w:rsidRPr="00507CEE">
        <w:t xml:space="preserve"> or</w:t>
      </w:r>
      <w:r w:rsidR="00734065" w:rsidRPr="00507CEE">
        <w:rPr>
          <w:spacing w:val="-1"/>
        </w:rPr>
        <w:t xml:space="preserve"> </w:t>
      </w:r>
      <w:r w:rsidR="00734065" w:rsidRPr="00507CEE">
        <w:t xml:space="preserve">compound </w:t>
      </w:r>
      <w:r w:rsidR="00734065" w:rsidRPr="00507CEE">
        <w:rPr>
          <w:spacing w:val="-1"/>
        </w:rPr>
        <w:t>heterozygous)</w:t>
      </w:r>
      <w:r w:rsidR="002F6101">
        <w:rPr>
          <w:spacing w:val="-1"/>
        </w:rPr>
        <w:t>.</w:t>
      </w:r>
      <w:r w:rsidR="007E50CC">
        <w:rPr>
          <w:spacing w:val="-1"/>
        </w:rPr>
        <w:t xml:space="preserve"> </w:t>
      </w:r>
      <w:r w:rsidR="007E50CC" w:rsidRPr="007E50CC">
        <w:t>When eligibility for inclusion was uncertain,</w:t>
      </w:r>
      <w:r w:rsidR="007E50CC">
        <w:t xml:space="preserve"> </w:t>
      </w:r>
      <w:r w:rsidR="007E50CC" w:rsidRPr="007E50CC">
        <w:t>cases were reviewed by members of the core</w:t>
      </w:r>
      <w:r w:rsidR="007E50CC">
        <w:t xml:space="preserve"> </w:t>
      </w:r>
      <w:r w:rsidR="007E50CC" w:rsidRPr="007E50CC">
        <w:t xml:space="preserve">team of investigators </w:t>
      </w:r>
      <w:r w:rsidR="007E50CC">
        <w:t xml:space="preserve">at the </w:t>
      </w:r>
      <w:r w:rsidR="003F5F97" w:rsidRPr="00F11675">
        <w:t>Amsterdam UMC</w:t>
      </w:r>
      <w:r w:rsidR="003F5F97">
        <w:t xml:space="preserve">, </w:t>
      </w:r>
      <w:r w:rsidR="007E50CC">
        <w:t xml:space="preserve">Amsterdam, the Netherlands, </w:t>
      </w:r>
      <w:r w:rsidR="007E50CC" w:rsidRPr="007E50CC">
        <w:t>to reach consensus.</w:t>
      </w:r>
    </w:p>
    <w:p w14:paraId="6F3291BF" w14:textId="7F000040" w:rsidR="00B87029" w:rsidRDefault="00FB798A" w:rsidP="001A2532">
      <w:pPr>
        <w:ind w:firstLine="708"/>
      </w:pPr>
      <w:r w:rsidRPr="00507CEE">
        <w:t>In</w:t>
      </w:r>
      <w:r w:rsidR="008F40AE" w:rsidRPr="00507CEE">
        <w:t xml:space="preserve"> this </w:t>
      </w:r>
      <w:r w:rsidR="007E50CC">
        <w:t>study</w:t>
      </w:r>
      <w:r w:rsidR="000366DF">
        <w:t>,</w:t>
      </w:r>
      <w:r w:rsidR="008F40AE" w:rsidRPr="00507CEE">
        <w:t xml:space="preserve"> </w:t>
      </w:r>
      <w:r w:rsidR="00D0204D">
        <w:t xml:space="preserve">we included </w:t>
      </w:r>
      <w:r w:rsidR="00DE4F05" w:rsidRPr="00507CEE">
        <w:t xml:space="preserve">all patients </w:t>
      </w:r>
      <w:r w:rsidR="00D0204D">
        <w:t>w</w:t>
      </w:r>
      <w:r w:rsidR="00DE4F05" w:rsidRPr="00507CEE">
        <w:t xml:space="preserve">ho presented with </w:t>
      </w:r>
      <w:r w:rsidR="004B730D">
        <w:t xml:space="preserve">a sentinel event of </w:t>
      </w:r>
      <w:r w:rsidR="000366DF">
        <w:t>SCA</w:t>
      </w:r>
      <w:r w:rsidR="004352F7">
        <w:t xml:space="preserve"> </w:t>
      </w:r>
      <w:r w:rsidR="004352F7" w:rsidRPr="004352F7">
        <w:rPr>
          <w:highlight w:val="yellow"/>
        </w:rPr>
        <w:t>(</w:t>
      </w:r>
      <w:r w:rsidR="004352F7">
        <w:rPr>
          <w:highlight w:val="yellow"/>
        </w:rPr>
        <w:t xml:space="preserve">definition detailed in </w:t>
      </w:r>
      <w:r w:rsidR="004352F7" w:rsidRPr="004352F7">
        <w:rPr>
          <w:highlight w:val="yellow"/>
        </w:rPr>
        <w:t xml:space="preserve">the </w:t>
      </w:r>
      <w:r w:rsidR="004352F7" w:rsidRPr="004352F7">
        <w:rPr>
          <w:b/>
          <w:highlight w:val="yellow"/>
        </w:rPr>
        <w:t xml:space="preserve">Supplementary </w:t>
      </w:r>
      <w:r w:rsidR="004352F7">
        <w:rPr>
          <w:b/>
          <w:highlight w:val="yellow"/>
        </w:rPr>
        <w:t>Methods</w:t>
      </w:r>
      <w:r w:rsidR="004352F7" w:rsidRPr="004352F7">
        <w:rPr>
          <w:highlight w:val="yellow"/>
        </w:rPr>
        <w:t>)</w:t>
      </w:r>
      <w:r w:rsidR="005C6B96" w:rsidRPr="00696D12">
        <w:t>,</w:t>
      </w:r>
      <w:r w:rsidR="005C6B96">
        <w:t xml:space="preserve"> were diagnosed with CPVT</w:t>
      </w:r>
      <w:r w:rsidR="008C07D9">
        <w:t xml:space="preserve"> </w:t>
      </w:r>
      <w:r w:rsidR="008C07D9" w:rsidRPr="008C07D9">
        <w:rPr>
          <w:highlight w:val="yellow"/>
        </w:rPr>
        <w:t>based on the aforementioned phenotypic and/or genotypic diagnostic criteria</w:t>
      </w:r>
      <w:r w:rsidR="004E55E1">
        <w:t>,</w:t>
      </w:r>
      <w:r w:rsidR="005C6B96">
        <w:t xml:space="preserve"> and </w:t>
      </w:r>
      <w:r w:rsidR="00DE4F05" w:rsidRPr="00507CEE">
        <w:t>survived to hospital discharge with</w:t>
      </w:r>
      <w:r w:rsidR="005C6B96">
        <w:t xml:space="preserve"> preserved</w:t>
      </w:r>
      <w:r w:rsidR="00DE4F05" w:rsidRPr="00507CEE">
        <w:t xml:space="preserve"> neurologic </w:t>
      </w:r>
      <w:r w:rsidR="005958E1">
        <w:t xml:space="preserve">function. </w:t>
      </w:r>
      <w:r w:rsidR="00241B38" w:rsidRPr="008C07D9">
        <w:rPr>
          <w:highlight w:val="yellow"/>
        </w:rPr>
        <w:t xml:space="preserve">Patients had to be treatment naïve and </w:t>
      </w:r>
      <w:r w:rsidR="00241B38">
        <w:t>g</w:t>
      </w:r>
      <w:r w:rsidR="00C91F6D">
        <w:t>uideline-</w:t>
      </w:r>
      <w:r w:rsidR="00414317">
        <w:t>directed</w:t>
      </w:r>
      <w:r w:rsidR="00C91F6D">
        <w:t xml:space="preserve"> therapy,</w:t>
      </w:r>
      <w:r w:rsidR="005C6B96">
        <w:t xml:space="preserve"> including </w:t>
      </w:r>
      <w:r w:rsidR="002F0564">
        <w:t>β-blockers</w:t>
      </w:r>
      <w:r w:rsidR="00DE4F05" w:rsidRPr="00507CEE">
        <w:t xml:space="preserve">, </w:t>
      </w:r>
      <w:proofErr w:type="spellStart"/>
      <w:r w:rsidR="00DE4F05" w:rsidRPr="00507CEE">
        <w:t>flecainide</w:t>
      </w:r>
      <w:proofErr w:type="spellEnd"/>
      <w:r w:rsidR="00F84AF4">
        <w:t xml:space="preserve">, </w:t>
      </w:r>
      <w:r w:rsidR="00C91F6D">
        <w:t xml:space="preserve">left </w:t>
      </w:r>
      <w:r w:rsidR="00DE4F05" w:rsidRPr="00507CEE">
        <w:t>cardiac sympathetic denervation</w:t>
      </w:r>
      <w:r w:rsidR="002139E4">
        <w:t xml:space="preserve"> (LCSD)</w:t>
      </w:r>
      <w:r w:rsidR="00F84AF4">
        <w:t xml:space="preserve">, and/or </w:t>
      </w:r>
      <w:r w:rsidR="000366DF">
        <w:t xml:space="preserve">an </w:t>
      </w:r>
      <w:r w:rsidR="00F84AF4" w:rsidRPr="00507CEE">
        <w:t>ICD</w:t>
      </w:r>
      <w:r w:rsidR="00D0204D">
        <w:t>,</w:t>
      </w:r>
      <w:r w:rsidR="00B22AAA" w:rsidRPr="00B22AAA">
        <w:rPr>
          <w:vertAlign w:val="superscript"/>
        </w:rPr>
        <w:t>1, 2, 4</w:t>
      </w:r>
      <w:r w:rsidR="00812FF0">
        <w:t xml:space="preserve"> </w:t>
      </w:r>
      <w:r w:rsidR="00D0204D">
        <w:t xml:space="preserve">had to </w:t>
      </w:r>
      <w:r w:rsidR="00FC6200" w:rsidRPr="00FC6200">
        <w:rPr>
          <w:highlight w:val="yellow"/>
        </w:rPr>
        <w:t xml:space="preserve">have </w:t>
      </w:r>
      <w:r w:rsidR="00D0204D" w:rsidRPr="00FC6200">
        <w:rPr>
          <w:highlight w:val="yellow"/>
        </w:rPr>
        <w:t>b</w:t>
      </w:r>
      <w:r w:rsidR="00FC6200" w:rsidRPr="00FC6200">
        <w:rPr>
          <w:highlight w:val="yellow"/>
        </w:rPr>
        <w:t>e</w:t>
      </w:r>
      <w:r w:rsidR="00D0204D" w:rsidRPr="00FC6200">
        <w:rPr>
          <w:highlight w:val="yellow"/>
        </w:rPr>
        <w:t>e</w:t>
      </w:r>
      <w:r w:rsidR="00FC6200" w:rsidRPr="00FC6200">
        <w:rPr>
          <w:highlight w:val="yellow"/>
        </w:rPr>
        <w:t>n</w:t>
      </w:r>
      <w:r w:rsidR="00D0204D">
        <w:t xml:space="preserve"> initiated</w:t>
      </w:r>
      <w:r w:rsidR="00FC6200">
        <w:t xml:space="preserve"> </w:t>
      </w:r>
      <w:r w:rsidR="00FC6200">
        <w:rPr>
          <w:highlight w:val="yellow"/>
        </w:rPr>
        <w:t>after the sentinel SCA</w:t>
      </w:r>
      <w:r w:rsidR="00D0204D">
        <w:t xml:space="preserve">. </w:t>
      </w:r>
      <w:r w:rsidR="00020867">
        <w:t xml:space="preserve">The study population </w:t>
      </w:r>
      <w:r w:rsidR="00770262">
        <w:t xml:space="preserve">included (mainly historical) </w:t>
      </w:r>
      <w:r w:rsidR="00A33586" w:rsidRPr="00507CEE">
        <w:t xml:space="preserve">cases </w:t>
      </w:r>
      <w:r w:rsidR="00770262">
        <w:t xml:space="preserve">in which </w:t>
      </w:r>
      <w:r w:rsidR="00A33586" w:rsidRPr="00507CEE">
        <w:t xml:space="preserve">CPVT was not </w:t>
      </w:r>
      <w:r w:rsidR="003617BF">
        <w:t>diagnosed initially</w:t>
      </w:r>
      <w:r w:rsidR="00A33586" w:rsidRPr="00507CEE">
        <w:t>, but at least one of the aforementioned</w:t>
      </w:r>
      <w:r w:rsidR="00414317">
        <w:t xml:space="preserve"> guideline-directed</w:t>
      </w:r>
      <w:r w:rsidR="00A33586" w:rsidRPr="00507CEE">
        <w:t xml:space="preserve"> therapies was initiated</w:t>
      </w:r>
      <w:r w:rsidR="00241B38">
        <w:t xml:space="preserve"> </w:t>
      </w:r>
      <w:r w:rsidR="00241B38" w:rsidRPr="008C07D9">
        <w:rPr>
          <w:highlight w:val="yellow"/>
        </w:rPr>
        <w:t>after the sentinel SCA</w:t>
      </w:r>
      <w:r w:rsidR="00CC427F" w:rsidRPr="00507CEE">
        <w:t xml:space="preserve">, and CPVT was </w:t>
      </w:r>
      <w:r w:rsidR="004E55E1">
        <w:t xml:space="preserve">later </w:t>
      </w:r>
      <w:r w:rsidR="00CC427F" w:rsidRPr="00507CEE">
        <w:t>diagnosed during follow-up</w:t>
      </w:r>
      <w:r w:rsidR="00A33586" w:rsidRPr="00507CEE">
        <w:t>.</w:t>
      </w:r>
      <w:r w:rsidR="002B4388">
        <w:t xml:space="preserve"> </w:t>
      </w:r>
      <w:r w:rsidR="00BA13A3" w:rsidRPr="00507CEE">
        <w:t xml:space="preserve">All patients had to have a follow-up period of at least 6 months after the </w:t>
      </w:r>
      <w:r w:rsidR="00406A7A">
        <w:t xml:space="preserve">SCA </w:t>
      </w:r>
      <w:r w:rsidR="004951CA">
        <w:t>(unless an outcome event occurred within 6 months)</w:t>
      </w:r>
      <w:r w:rsidR="00BA13A3" w:rsidRPr="00507CEE">
        <w:t xml:space="preserve">. </w:t>
      </w:r>
    </w:p>
    <w:p w14:paraId="020E4566" w14:textId="69EAEE62" w:rsidR="00F83A5A" w:rsidRPr="009E5249" w:rsidRDefault="007E50CC" w:rsidP="001A2532">
      <w:pPr>
        <w:ind w:firstLine="708"/>
      </w:pPr>
      <w:r w:rsidRPr="007E50CC">
        <w:t>Standardized</w:t>
      </w:r>
      <w:r>
        <w:t xml:space="preserve"> </w:t>
      </w:r>
      <w:r w:rsidRPr="007E50CC">
        <w:t xml:space="preserve">forms </w:t>
      </w:r>
      <w:r w:rsidR="00200273">
        <w:t>in a custom</w:t>
      </w:r>
      <w:r w:rsidR="00967498">
        <w:t xml:space="preserve"> online</w:t>
      </w:r>
      <w:r w:rsidR="00200273">
        <w:t xml:space="preserve"> database</w:t>
      </w:r>
      <w:r w:rsidR="00782F7D">
        <w:t xml:space="preserve"> </w:t>
      </w:r>
      <w:r w:rsidRPr="007E50CC">
        <w:t>were used to collect patient data,</w:t>
      </w:r>
      <w:r>
        <w:t xml:space="preserve"> </w:t>
      </w:r>
      <w:r w:rsidRPr="007E50CC">
        <w:t>including baseline characteristics</w:t>
      </w:r>
      <w:r w:rsidR="00200273">
        <w:t>, results o</w:t>
      </w:r>
      <w:r w:rsidR="00BF7C92">
        <w:t>f</w:t>
      </w:r>
      <w:r w:rsidR="00200273">
        <w:t xml:space="preserve"> cardi</w:t>
      </w:r>
      <w:r w:rsidR="00BF7C92">
        <w:t>ac</w:t>
      </w:r>
      <w:r w:rsidR="00200273">
        <w:t xml:space="preserve"> and genetic evaluation, therapy, and arrhythmic events during follow-up</w:t>
      </w:r>
      <w:r w:rsidR="000F139F">
        <w:t xml:space="preserve"> (</w:t>
      </w:r>
      <w:r w:rsidR="009E5249">
        <w:t xml:space="preserve">see the </w:t>
      </w:r>
      <w:r w:rsidR="000F139F" w:rsidRPr="00AB6F2F">
        <w:rPr>
          <w:b/>
        </w:rPr>
        <w:t xml:space="preserve">Supplementary </w:t>
      </w:r>
      <w:r w:rsidR="004352F7">
        <w:rPr>
          <w:b/>
        </w:rPr>
        <w:t>Methods</w:t>
      </w:r>
      <w:r w:rsidR="009E5249">
        <w:t xml:space="preserve">). </w:t>
      </w:r>
    </w:p>
    <w:p w14:paraId="78891B04" w14:textId="77777777" w:rsidR="00164BF9" w:rsidRDefault="00164BF9" w:rsidP="001A2532"/>
    <w:p w14:paraId="3EDE54CD" w14:textId="77777777" w:rsidR="00CB5B7D" w:rsidRPr="00507CEE" w:rsidRDefault="00200273" w:rsidP="001A2532">
      <w:pPr>
        <w:pStyle w:val="Kop2"/>
        <w:spacing w:before="0" w:after="0"/>
      </w:pPr>
      <w:r>
        <w:t>Outcomes</w:t>
      </w:r>
    </w:p>
    <w:p w14:paraId="1FA27BED" w14:textId="0B866995" w:rsidR="00F32012" w:rsidRPr="00507CEE" w:rsidRDefault="006E6C47" w:rsidP="001A2532">
      <w:r w:rsidRPr="00113C7F">
        <w:t xml:space="preserve">The primary </w:t>
      </w:r>
      <w:r w:rsidR="00D521AD" w:rsidRPr="00113C7F">
        <w:t>outcome was</w:t>
      </w:r>
      <w:r w:rsidRPr="00113C7F">
        <w:t xml:space="preserve"> </w:t>
      </w:r>
      <w:r w:rsidR="005D2212" w:rsidRPr="00113C7F">
        <w:t>SCD</w:t>
      </w:r>
      <w:r w:rsidR="00F55E37">
        <w:t xml:space="preserve"> in patients with v</w:t>
      </w:r>
      <w:r w:rsidR="00A75C5B">
        <w:t>ersus</w:t>
      </w:r>
      <w:r w:rsidR="00F55E37">
        <w:t xml:space="preserve"> without an ICD</w:t>
      </w:r>
      <w:r w:rsidR="00CB2259" w:rsidRPr="00113C7F">
        <w:t>. T</w:t>
      </w:r>
      <w:r w:rsidR="00D521AD" w:rsidRPr="00113C7F">
        <w:t>he secondary outcome</w:t>
      </w:r>
      <w:r w:rsidR="00F32012" w:rsidRPr="00113C7F">
        <w:t>s</w:t>
      </w:r>
      <w:r w:rsidR="000F685F" w:rsidRPr="00113C7F">
        <w:t xml:space="preserve"> </w:t>
      </w:r>
      <w:r w:rsidR="00406A7A" w:rsidRPr="00113C7F">
        <w:t xml:space="preserve">included i) </w:t>
      </w:r>
      <w:r w:rsidR="000F685F" w:rsidRPr="00113C7F">
        <w:t xml:space="preserve">a composite </w:t>
      </w:r>
      <w:r w:rsidR="00391C74" w:rsidRPr="00113C7F">
        <w:t xml:space="preserve">outcome </w:t>
      </w:r>
      <w:r w:rsidR="000F685F" w:rsidRPr="00113C7F">
        <w:t xml:space="preserve">of </w:t>
      </w:r>
      <w:r w:rsidR="00113C7F">
        <w:t xml:space="preserve">SCD, </w:t>
      </w:r>
      <w:r w:rsidR="00FD1BEB" w:rsidRPr="00113C7F">
        <w:t xml:space="preserve">SCA, and appropriate ICD shocks, and ii) </w:t>
      </w:r>
      <w:r w:rsidR="00F32012" w:rsidRPr="00113C7F">
        <w:t xml:space="preserve">a composite outcome of SCD, </w:t>
      </w:r>
      <w:r w:rsidR="00406A7A" w:rsidRPr="00113C7F">
        <w:t>SCA</w:t>
      </w:r>
      <w:r w:rsidR="00FD1BEB" w:rsidRPr="00113C7F">
        <w:t xml:space="preserve">, </w:t>
      </w:r>
      <w:r w:rsidR="00F32012" w:rsidRPr="00113C7F">
        <w:t>appropriate ICD shocks, and syncope</w:t>
      </w:r>
      <w:r w:rsidR="009D30CD">
        <w:t xml:space="preserve"> in </w:t>
      </w:r>
      <w:r w:rsidR="00721EB5">
        <w:t xml:space="preserve">CPVT </w:t>
      </w:r>
      <w:r w:rsidR="009D30CD">
        <w:t xml:space="preserve">patients with </w:t>
      </w:r>
      <w:r w:rsidR="00721EB5">
        <w:t xml:space="preserve">an ICD </w:t>
      </w:r>
      <w:r w:rsidR="009D30CD">
        <w:t>versus without an ICD</w:t>
      </w:r>
      <w:r w:rsidR="000F685F" w:rsidRPr="00113C7F">
        <w:t>.</w:t>
      </w:r>
      <w:r w:rsidR="000F685F">
        <w:t xml:space="preserve"> SCD</w:t>
      </w:r>
      <w:r w:rsidR="00F91D4C">
        <w:t xml:space="preserve">, </w:t>
      </w:r>
      <w:r w:rsidR="00406A7A">
        <w:t>SCA</w:t>
      </w:r>
      <w:r w:rsidR="00F91D4C">
        <w:t xml:space="preserve">, </w:t>
      </w:r>
      <w:r w:rsidR="004352F7" w:rsidRPr="004352F7">
        <w:rPr>
          <w:highlight w:val="yellow"/>
        </w:rPr>
        <w:t>appropriate ICD shock,</w:t>
      </w:r>
      <w:r w:rsidR="004352F7">
        <w:t xml:space="preserve"> </w:t>
      </w:r>
      <w:r w:rsidR="00F91D4C">
        <w:t>and syncope</w:t>
      </w:r>
      <w:r w:rsidR="00406A7A">
        <w:t xml:space="preserve"> </w:t>
      </w:r>
      <w:r w:rsidR="00755427">
        <w:t xml:space="preserve">were </w:t>
      </w:r>
      <w:r w:rsidR="00693B17">
        <w:t xml:space="preserve">defined according to current </w:t>
      </w:r>
      <w:r w:rsidR="00D521AD">
        <w:t>recommendations</w:t>
      </w:r>
      <w:r w:rsidR="000F139F">
        <w:t xml:space="preserve"> (</w:t>
      </w:r>
      <w:r w:rsidR="00921370">
        <w:t xml:space="preserve">see the </w:t>
      </w:r>
      <w:r w:rsidR="00921370" w:rsidRPr="00AB6F2F">
        <w:rPr>
          <w:b/>
        </w:rPr>
        <w:t xml:space="preserve">Supplementary </w:t>
      </w:r>
      <w:r w:rsidR="004352F7">
        <w:rPr>
          <w:b/>
        </w:rPr>
        <w:t>Methods</w:t>
      </w:r>
      <w:r w:rsidR="000F139F">
        <w:t>).</w:t>
      </w:r>
      <w:r w:rsidR="00B22AAA" w:rsidRPr="00B22AAA">
        <w:rPr>
          <w:vertAlign w:val="superscript"/>
        </w:rPr>
        <w:t>1, 2, 12</w:t>
      </w:r>
      <w:r w:rsidR="00693B17" w:rsidRPr="00DF7188">
        <w:t xml:space="preserve"> </w:t>
      </w:r>
    </w:p>
    <w:p w14:paraId="3778E779" w14:textId="77777777" w:rsidR="001722D1" w:rsidRDefault="006E6C47" w:rsidP="001A2532">
      <w:pPr>
        <w:ind w:firstLine="708"/>
      </w:pPr>
      <w:r w:rsidRPr="00507CEE">
        <w:t xml:space="preserve">Follow-up time </w:t>
      </w:r>
      <w:r w:rsidR="00BC391D">
        <w:t xml:space="preserve">for the primary analyses </w:t>
      </w:r>
      <w:r w:rsidRPr="00507CEE">
        <w:t xml:space="preserve">was calculated for each patient as the date of </w:t>
      </w:r>
      <w:r w:rsidR="00721EB5">
        <w:t xml:space="preserve">their sentinel </w:t>
      </w:r>
      <w:r w:rsidR="00406A7A">
        <w:t>SCA</w:t>
      </w:r>
      <w:r w:rsidR="00406A7A" w:rsidRPr="00507CEE">
        <w:t xml:space="preserve"> </w:t>
      </w:r>
      <w:r w:rsidRPr="00507CEE">
        <w:t xml:space="preserve">to the date of </w:t>
      </w:r>
      <w:r w:rsidR="0081316A">
        <w:t>an outcome event</w:t>
      </w:r>
      <w:r w:rsidRPr="00507CEE">
        <w:t xml:space="preserve">, date of ICD implant in patients in whom no ICD was implanted at baseline, </w:t>
      </w:r>
      <w:r w:rsidR="00B3277A" w:rsidRPr="00507CEE">
        <w:t xml:space="preserve">date of ICD </w:t>
      </w:r>
      <w:r w:rsidR="00B3277A">
        <w:t>ex</w:t>
      </w:r>
      <w:r w:rsidR="00B3277A" w:rsidRPr="00507CEE">
        <w:t xml:space="preserve">plant in patients in whom </w:t>
      </w:r>
      <w:r w:rsidR="00B3277A">
        <w:t xml:space="preserve">an </w:t>
      </w:r>
      <w:r w:rsidR="00B3277A" w:rsidRPr="00507CEE">
        <w:t>ICD was implanted at baseline</w:t>
      </w:r>
      <w:r w:rsidR="00B3277A">
        <w:t xml:space="preserve">, </w:t>
      </w:r>
      <w:r w:rsidRPr="00507CEE">
        <w:t>or date of last contact</w:t>
      </w:r>
      <w:r w:rsidR="00CF45A6">
        <w:t>,</w:t>
      </w:r>
      <w:r w:rsidRPr="00507CEE">
        <w:t xml:space="preserve"> whichever occurred first.</w:t>
      </w:r>
      <w:r w:rsidR="00BC391D">
        <w:t xml:space="preserve"> </w:t>
      </w:r>
    </w:p>
    <w:p w14:paraId="3454E586" w14:textId="77777777" w:rsidR="006E6C47" w:rsidRDefault="006E6C47" w:rsidP="001A2532">
      <w:pPr>
        <w:ind w:firstLine="708"/>
      </w:pPr>
    </w:p>
    <w:p w14:paraId="37F613FB" w14:textId="77777777" w:rsidR="00200273" w:rsidRPr="00200273" w:rsidRDefault="00200273" w:rsidP="001A2532">
      <w:pPr>
        <w:pStyle w:val="Kop2"/>
        <w:spacing w:before="0" w:after="0"/>
      </w:pPr>
      <w:r>
        <w:t>Statistical analysis</w:t>
      </w:r>
    </w:p>
    <w:p w14:paraId="0BA5B78D" w14:textId="2C189A90" w:rsidR="00F75153" w:rsidRDefault="00F75153" w:rsidP="00F75153">
      <w:pPr>
        <w:rPr>
          <w:highlight w:val="yellow"/>
        </w:rPr>
      </w:pPr>
      <w:r>
        <w:t xml:space="preserve">Continuous variables were compared with the use of the Wilcoxon rank sum test and are reported as median with interquartile ranges (IQR). Categorical variables were compared with the use of Fisher’s exact test and Pearson’s chi-square test and are reported as frequencies and percentages. Incidence rates were computed by dividing the number of patients experiencing the primary and secondary outcomes by the total number of person-years. We used the Kaplan–Meier method to provide survival estimates </w:t>
      </w:r>
      <w:r>
        <w:rPr>
          <w:highlight w:val="yellow"/>
        </w:rPr>
        <w:t>with 95% confidence intervals (CIs)</w:t>
      </w:r>
      <w:r>
        <w:t xml:space="preserve">, which were assessed with a log-rank test. </w:t>
      </w:r>
      <w:r w:rsidR="00C977B8" w:rsidRPr="00C977B8">
        <w:rPr>
          <w:highlight w:val="yellow"/>
        </w:rPr>
        <w:t xml:space="preserve">Relative risks or risk differences at 4-year follow-up were calculated by dichotomizing all patients with a minimal follow-up of 4 years by whether or not an event had occurred </w:t>
      </w:r>
      <w:r w:rsidR="002C135E">
        <w:rPr>
          <w:highlight w:val="yellow"/>
        </w:rPr>
        <w:t>with</w:t>
      </w:r>
      <w:r w:rsidR="00C977B8" w:rsidRPr="00C977B8">
        <w:rPr>
          <w:highlight w:val="yellow"/>
        </w:rPr>
        <w:t>in this follow-up period.</w:t>
      </w:r>
      <w:r w:rsidR="00C977B8">
        <w:t xml:space="preserve"> </w:t>
      </w:r>
      <w:r>
        <w:t xml:space="preserve">In addition, hazard ratios with 95% CIs and </w:t>
      </w:r>
      <w:r w:rsidRPr="00F75153">
        <w:rPr>
          <w:i/>
        </w:rPr>
        <w:t>P</w:t>
      </w:r>
      <w:r>
        <w:t xml:space="preserve"> values from </w:t>
      </w:r>
      <w:proofErr w:type="spellStart"/>
      <w:r>
        <w:t>univariable</w:t>
      </w:r>
      <w:proofErr w:type="spellEnd"/>
      <w:r>
        <w:t xml:space="preserve"> and multivariable (corrected for age at baseline) Cox regression analyses and from corresponding Wald statistics have been provided.</w:t>
      </w:r>
      <w:r w:rsidR="00DB0BC5">
        <w:t xml:space="preserve"> </w:t>
      </w:r>
      <w:r w:rsidR="00956BC0" w:rsidRPr="002C135E">
        <w:rPr>
          <w:highlight w:val="yellow"/>
        </w:rPr>
        <w:t xml:space="preserve">An interaction term was added to the </w:t>
      </w:r>
      <w:r w:rsidR="002C135E" w:rsidRPr="002C135E">
        <w:rPr>
          <w:highlight w:val="yellow"/>
        </w:rPr>
        <w:t>C</w:t>
      </w:r>
      <w:r w:rsidR="00956BC0" w:rsidRPr="002C135E">
        <w:rPr>
          <w:highlight w:val="yellow"/>
        </w:rPr>
        <w:t>ox</w:t>
      </w:r>
      <w:r w:rsidR="002C135E" w:rsidRPr="002C135E">
        <w:rPr>
          <w:highlight w:val="yellow"/>
        </w:rPr>
        <w:t xml:space="preserve"> </w:t>
      </w:r>
      <w:r w:rsidR="00956BC0" w:rsidRPr="002C135E">
        <w:rPr>
          <w:highlight w:val="yellow"/>
        </w:rPr>
        <w:t>proportional hazard</w:t>
      </w:r>
      <w:r w:rsidR="002C135E" w:rsidRPr="002C135E">
        <w:rPr>
          <w:highlight w:val="yellow"/>
        </w:rPr>
        <w:t>s</w:t>
      </w:r>
      <w:r w:rsidR="00956BC0" w:rsidRPr="002C135E">
        <w:rPr>
          <w:highlight w:val="yellow"/>
        </w:rPr>
        <w:t xml:space="preserve"> model to investigate the interaction between age as a continuous variable and </w:t>
      </w:r>
      <w:r w:rsidR="002C135E" w:rsidRPr="002C135E">
        <w:rPr>
          <w:highlight w:val="yellow"/>
        </w:rPr>
        <w:t xml:space="preserve">the presence of an </w:t>
      </w:r>
      <w:r w:rsidR="00956BC0" w:rsidRPr="002C135E">
        <w:rPr>
          <w:highlight w:val="yellow"/>
        </w:rPr>
        <w:t>ICD.</w:t>
      </w:r>
      <w:r w:rsidR="00956BC0">
        <w:t xml:space="preserve"> </w:t>
      </w:r>
      <w:r>
        <w:rPr>
          <w:i/>
        </w:rPr>
        <w:t>P</w:t>
      </w:r>
      <w:r>
        <w:t xml:space="preserve"> values of less than 0.05 were considered to indicate statistical significance. All analyses were performed with the use of SPSS </w:t>
      </w:r>
      <w:r>
        <w:lastRenderedPageBreak/>
        <w:t xml:space="preserve">Statistics software, version 24 (IBM Corporation, Armonk, New York). All graphs were compiled with the use of R version 3.4.3 (R Project for Statistical Computing, Vienna, Austria). </w:t>
      </w:r>
    </w:p>
    <w:p w14:paraId="7152820B" w14:textId="77777777" w:rsidR="008165DA" w:rsidRDefault="0081316A" w:rsidP="001A2532">
      <w:pPr>
        <w:pStyle w:val="Kop1"/>
        <w:spacing w:before="0" w:after="0"/>
      </w:pPr>
      <w:r>
        <w:br w:type="page"/>
      </w:r>
      <w:r w:rsidR="008165DA">
        <w:lastRenderedPageBreak/>
        <w:t>Results</w:t>
      </w:r>
    </w:p>
    <w:p w14:paraId="0553DE54" w14:textId="77777777" w:rsidR="009D0178" w:rsidRPr="009D0178" w:rsidRDefault="009D0178" w:rsidP="001A2532">
      <w:pPr>
        <w:pStyle w:val="Kop2"/>
        <w:spacing w:before="0" w:after="0"/>
      </w:pPr>
      <w:r>
        <w:t>Characteristics of the patients</w:t>
      </w:r>
    </w:p>
    <w:p w14:paraId="7D84F994" w14:textId="221D0FE3" w:rsidR="00806D55" w:rsidRDefault="00FA08BC" w:rsidP="001A2532">
      <w:r>
        <w:t>A total of 1</w:t>
      </w:r>
      <w:r w:rsidR="00D36557">
        <w:t>3</w:t>
      </w:r>
      <w:r w:rsidR="007352F5">
        <w:t>6</w:t>
      </w:r>
      <w:r w:rsidR="00BB4238" w:rsidRPr="00BB4238">
        <w:t xml:space="preserve"> patients</w:t>
      </w:r>
      <w:r w:rsidR="005A16EC">
        <w:t xml:space="preserve"> with a sentinel event of SCA between 1983 and </w:t>
      </w:r>
      <w:r w:rsidR="009D30CD">
        <w:t>June 2017</w:t>
      </w:r>
      <w:r w:rsidR="00721EB5">
        <w:t>,</w:t>
      </w:r>
      <w:r w:rsidR="005A16EC">
        <w:t xml:space="preserve"> who were subsequently diagnosed with and treated for CPVT</w:t>
      </w:r>
      <w:r w:rsidR="00721EB5">
        <w:t>,</w:t>
      </w:r>
      <w:r w:rsidR="00E57B16">
        <w:t xml:space="preserve"> </w:t>
      </w:r>
      <w:r w:rsidR="00BB4238" w:rsidRPr="00BB4238">
        <w:t>were included in the study</w:t>
      </w:r>
      <w:r w:rsidR="00A20730">
        <w:t xml:space="preserve"> (</w:t>
      </w:r>
      <w:r w:rsidR="00C3762B" w:rsidRPr="00AB6F2F">
        <w:rPr>
          <w:b/>
        </w:rPr>
        <w:t>Figure 1</w:t>
      </w:r>
      <w:r w:rsidR="009D30CD">
        <w:t xml:space="preserve"> and </w:t>
      </w:r>
      <w:r w:rsidR="009D30CD" w:rsidRPr="00AB6F2F">
        <w:rPr>
          <w:b/>
        </w:rPr>
        <w:t>Table 1</w:t>
      </w:r>
      <w:r w:rsidR="00A20730">
        <w:t>)</w:t>
      </w:r>
      <w:r w:rsidR="00D40501">
        <w:t xml:space="preserve">. </w:t>
      </w:r>
      <w:r w:rsidR="003A5157">
        <w:t>Median a</w:t>
      </w:r>
      <w:r w:rsidR="001511AC">
        <w:t>ge at t</w:t>
      </w:r>
      <w:r w:rsidR="00F70517">
        <w:t xml:space="preserve">ime of the </w:t>
      </w:r>
      <w:r w:rsidR="005A16EC">
        <w:t xml:space="preserve">SCA </w:t>
      </w:r>
      <w:r w:rsidR="00F70517">
        <w:t xml:space="preserve">was 14.0 </w:t>
      </w:r>
      <w:r w:rsidR="000C10B4">
        <w:t xml:space="preserve">years </w:t>
      </w:r>
      <w:r w:rsidR="00F70517">
        <w:t>(IQR</w:t>
      </w:r>
      <w:r w:rsidR="00D40501">
        <w:t>:</w:t>
      </w:r>
      <w:r>
        <w:t xml:space="preserve"> 9.0-2</w:t>
      </w:r>
      <w:r w:rsidR="009B7067">
        <w:t>0</w:t>
      </w:r>
      <w:r>
        <w:t>.</w:t>
      </w:r>
      <w:r w:rsidR="003F5F97">
        <w:t>8</w:t>
      </w:r>
      <w:r w:rsidR="001511AC">
        <w:t>)</w:t>
      </w:r>
      <w:r w:rsidR="007352F5">
        <w:t xml:space="preserve"> and 112 patients (82.4%) presented in or after the year 2000</w:t>
      </w:r>
      <w:r w:rsidR="00EA4277">
        <w:t>.</w:t>
      </w:r>
      <w:r w:rsidR="001511AC">
        <w:t xml:space="preserve"> </w:t>
      </w:r>
    </w:p>
    <w:p w14:paraId="7167A464" w14:textId="76B8F494" w:rsidR="00664EC2" w:rsidRDefault="00FA08BC" w:rsidP="001A2532">
      <w:pPr>
        <w:ind w:firstLine="708"/>
      </w:pPr>
      <w:r>
        <w:t xml:space="preserve">One-hundred </w:t>
      </w:r>
      <w:r w:rsidR="00551393">
        <w:t xml:space="preserve">and </w:t>
      </w:r>
      <w:r w:rsidR="009D30CD">
        <w:t xml:space="preserve">twenty-nine </w:t>
      </w:r>
      <w:r>
        <w:t>patients (9</w:t>
      </w:r>
      <w:r w:rsidR="009D30CD">
        <w:t>4</w:t>
      </w:r>
      <w:r>
        <w:t>.</w:t>
      </w:r>
      <w:r w:rsidR="009D30CD">
        <w:t>9</w:t>
      </w:r>
      <w:r w:rsidR="009E7F97">
        <w:t xml:space="preserve">%) </w:t>
      </w:r>
      <w:r w:rsidR="009E7F97" w:rsidRPr="008165DA">
        <w:t>were treated with β-blockers</w:t>
      </w:r>
      <w:r w:rsidR="00FD2A5A">
        <w:t xml:space="preserve">. </w:t>
      </w:r>
      <w:r w:rsidR="00D40501">
        <w:t>Thirty-</w:t>
      </w:r>
      <w:r w:rsidR="009D30CD">
        <w:t>nine</w:t>
      </w:r>
      <w:r>
        <w:t xml:space="preserve"> </w:t>
      </w:r>
      <w:r w:rsidR="00664EC2">
        <w:t xml:space="preserve">patients </w:t>
      </w:r>
      <w:r w:rsidR="009E7F97">
        <w:t>(</w:t>
      </w:r>
      <w:r w:rsidR="00556549">
        <w:t>2</w:t>
      </w:r>
      <w:r w:rsidR="009D30CD">
        <w:t>8</w:t>
      </w:r>
      <w:r w:rsidR="00556549">
        <w:t>.</w:t>
      </w:r>
      <w:r w:rsidR="009D30CD">
        <w:t>7</w:t>
      </w:r>
      <w:r w:rsidR="00664EC2">
        <w:t>%</w:t>
      </w:r>
      <w:r w:rsidR="009E7F97">
        <w:t xml:space="preserve">) </w:t>
      </w:r>
      <w:r w:rsidR="00664EC2">
        <w:t xml:space="preserve">were treated </w:t>
      </w:r>
      <w:r w:rsidR="009E7F97" w:rsidRPr="008165DA">
        <w:t xml:space="preserve">with </w:t>
      </w:r>
      <w:proofErr w:type="spellStart"/>
      <w:r w:rsidR="009E7F97" w:rsidRPr="008165DA">
        <w:t>flecainide</w:t>
      </w:r>
      <w:proofErr w:type="spellEnd"/>
      <w:r w:rsidR="00FD2A5A">
        <w:t xml:space="preserve"> </w:t>
      </w:r>
      <w:r w:rsidR="009E7F97" w:rsidRPr="008165DA">
        <w:t xml:space="preserve">and </w:t>
      </w:r>
      <w:r w:rsidR="00556549">
        <w:t>ten</w:t>
      </w:r>
      <w:r w:rsidR="009E7F97">
        <w:t xml:space="preserve"> </w:t>
      </w:r>
      <w:r w:rsidR="00A352A6">
        <w:t xml:space="preserve">patients </w:t>
      </w:r>
      <w:r w:rsidR="009E7F97">
        <w:t>(</w:t>
      </w:r>
      <w:r w:rsidR="00556549">
        <w:t>7.</w:t>
      </w:r>
      <w:r w:rsidR="00FA605A">
        <w:t>4</w:t>
      </w:r>
      <w:r w:rsidR="009E7F97">
        <w:t xml:space="preserve">%) </w:t>
      </w:r>
      <w:r w:rsidR="009E7F97" w:rsidRPr="008165DA">
        <w:t xml:space="preserve">underwent </w:t>
      </w:r>
      <w:r w:rsidR="005A16EC">
        <w:t>LCSD</w:t>
      </w:r>
      <w:r w:rsidR="00FD2A5A">
        <w:t xml:space="preserve"> at baseline or during follow-up</w:t>
      </w:r>
      <w:r w:rsidR="009E7F97" w:rsidRPr="008165DA">
        <w:t xml:space="preserve">. </w:t>
      </w:r>
    </w:p>
    <w:p w14:paraId="301A7376" w14:textId="6361CA28" w:rsidR="002F6101" w:rsidRDefault="009E7F97" w:rsidP="001A2532">
      <w:pPr>
        <w:ind w:firstLine="708"/>
      </w:pPr>
      <w:r>
        <w:t>An ICD was implan</w:t>
      </w:r>
      <w:r w:rsidR="00315CE1">
        <w:t xml:space="preserve">ted </w:t>
      </w:r>
      <w:r w:rsidR="00551393">
        <w:t xml:space="preserve">immediately </w:t>
      </w:r>
      <w:r w:rsidR="00315CE1">
        <w:t xml:space="preserve">after the </w:t>
      </w:r>
      <w:r w:rsidR="005A16EC">
        <w:t>S</w:t>
      </w:r>
      <w:r w:rsidR="00315CE1">
        <w:t xml:space="preserve">CA in </w:t>
      </w:r>
      <w:r w:rsidR="00556549">
        <w:t>7</w:t>
      </w:r>
      <w:r w:rsidR="009D30CD">
        <w:t>9</w:t>
      </w:r>
      <w:r w:rsidR="00315CE1">
        <w:t xml:space="preserve"> patients (5</w:t>
      </w:r>
      <w:r w:rsidR="009D30CD">
        <w:t>8</w:t>
      </w:r>
      <w:r w:rsidR="00315CE1">
        <w:t>.</w:t>
      </w:r>
      <w:r w:rsidR="009D30CD">
        <w:t>1</w:t>
      </w:r>
      <w:r>
        <w:t xml:space="preserve">%). </w:t>
      </w:r>
      <w:r w:rsidR="009B7067" w:rsidRPr="002F6101">
        <w:t>Fifty-</w:t>
      </w:r>
      <w:r w:rsidR="009D30CD">
        <w:t xml:space="preserve">seven </w:t>
      </w:r>
      <w:r w:rsidR="00CD22DE" w:rsidRPr="002F6101">
        <w:t>patients (4</w:t>
      </w:r>
      <w:r w:rsidR="00B05739">
        <w:t>1</w:t>
      </w:r>
      <w:r w:rsidR="00CD22DE" w:rsidRPr="002F6101">
        <w:t>.</w:t>
      </w:r>
      <w:r w:rsidR="00B05739">
        <w:t>9</w:t>
      </w:r>
      <w:r w:rsidR="00CD22DE" w:rsidRPr="002F6101">
        <w:t>%) did not receive an ICD</w:t>
      </w:r>
      <w:r w:rsidR="002F6101" w:rsidRPr="001C48A8">
        <w:t xml:space="preserve">, mainly </w:t>
      </w:r>
      <w:r w:rsidR="001C48A8" w:rsidRPr="001C48A8">
        <w:t>because the</w:t>
      </w:r>
      <w:r w:rsidR="00020867">
        <w:t>se</w:t>
      </w:r>
      <w:r w:rsidR="001C48A8" w:rsidRPr="001C48A8">
        <w:t xml:space="preserve"> patients were considered well protected with medication only and </w:t>
      </w:r>
      <w:r w:rsidR="00A61D12" w:rsidRPr="001C48A8">
        <w:t xml:space="preserve">due to concerns </w:t>
      </w:r>
      <w:r w:rsidR="005A16EC" w:rsidRPr="001C48A8">
        <w:t xml:space="preserve">regarding the </w:t>
      </w:r>
      <w:r w:rsidR="00A61D12" w:rsidRPr="001C48A8">
        <w:t xml:space="preserve">possible </w:t>
      </w:r>
      <w:proofErr w:type="spellStart"/>
      <w:r w:rsidR="00A61D12" w:rsidRPr="001C48A8">
        <w:t>proarrhythmic</w:t>
      </w:r>
      <w:proofErr w:type="spellEnd"/>
      <w:r w:rsidR="00A61D12" w:rsidRPr="001C48A8">
        <w:t xml:space="preserve"> effect</w:t>
      </w:r>
      <w:r w:rsidR="00CC3D44" w:rsidRPr="001C48A8">
        <w:t>s of the ICD</w:t>
      </w:r>
      <w:r w:rsidR="002F6101" w:rsidRPr="001C48A8">
        <w:t xml:space="preserve"> (</w:t>
      </w:r>
      <w:r w:rsidR="002F6101" w:rsidRPr="00AB6F2F">
        <w:rPr>
          <w:b/>
        </w:rPr>
        <w:t>Table S1</w:t>
      </w:r>
      <w:r w:rsidR="00921370">
        <w:rPr>
          <w:b/>
        </w:rPr>
        <w:t xml:space="preserve"> </w:t>
      </w:r>
      <w:r w:rsidR="00921370" w:rsidRPr="00921370">
        <w:t>in the</w:t>
      </w:r>
      <w:r w:rsidR="00921370">
        <w:rPr>
          <w:b/>
        </w:rPr>
        <w:t xml:space="preserve"> </w:t>
      </w:r>
      <w:r w:rsidR="00921370" w:rsidRPr="00AB6F2F">
        <w:rPr>
          <w:b/>
        </w:rPr>
        <w:t xml:space="preserve">Supplementary </w:t>
      </w:r>
      <w:r w:rsidR="00921370">
        <w:rPr>
          <w:b/>
        </w:rPr>
        <w:t>Appendix</w:t>
      </w:r>
      <w:r w:rsidR="002F6101" w:rsidRPr="001C48A8">
        <w:t>).</w:t>
      </w:r>
      <w:r w:rsidR="005A16EC" w:rsidRPr="002F6101">
        <w:t xml:space="preserve"> </w:t>
      </w:r>
    </w:p>
    <w:p w14:paraId="01CC3556" w14:textId="084C07F4" w:rsidR="0011635E" w:rsidRDefault="007D1F7B" w:rsidP="001A2532">
      <w:pPr>
        <w:ind w:firstLine="708"/>
      </w:pPr>
      <w:r w:rsidRPr="00DA43D4">
        <w:t>P</w:t>
      </w:r>
      <w:r w:rsidR="009E7F97" w:rsidRPr="00DA43D4">
        <w:t xml:space="preserve">atients </w:t>
      </w:r>
      <w:r w:rsidR="004017BC" w:rsidRPr="00DA43D4">
        <w:t xml:space="preserve">in whom an ICD was implanted </w:t>
      </w:r>
      <w:r w:rsidR="009E7F97" w:rsidRPr="00DA43D4">
        <w:t xml:space="preserve">were older </w:t>
      </w:r>
      <w:r w:rsidR="009C4A70" w:rsidRPr="00DA43D4">
        <w:t>(age 16.0 years</w:t>
      </w:r>
      <w:r w:rsidR="004E5133" w:rsidRPr="00DA43D4">
        <w:t xml:space="preserve"> </w:t>
      </w:r>
      <w:r w:rsidR="000C10B4" w:rsidRPr="00DA43D4">
        <w:t>[</w:t>
      </w:r>
      <w:r w:rsidR="004E5133" w:rsidRPr="00DA43D4">
        <w:t>IQR: 12.0-2</w:t>
      </w:r>
      <w:r w:rsidR="00DA43D4" w:rsidRPr="00DA43D4">
        <w:t>6</w:t>
      </w:r>
      <w:r w:rsidR="004E5133" w:rsidRPr="00DA43D4">
        <w:t>.</w:t>
      </w:r>
      <w:r w:rsidR="00DA43D4" w:rsidRPr="00DA43D4">
        <w:t>0</w:t>
      </w:r>
      <w:r w:rsidR="000C10B4" w:rsidRPr="00DA43D4">
        <w:t>]</w:t>
      </w:r>
      <w:r w:rsidR="009C4A70" w:rsidRPr="00DA43D4">
        <w:t xml:space="preserve">) </w:t>
      </w:r>
      <w:r w:rsidR="009E7F97" w:rsidRPr="00DA43D4">
        <w:t xml:space="preserve">than patients in whom no ICD was implanted </w:t>
      </w:r>
      <w:r w:rsidR="009C4A70" w:rsidRPr="00DA43D4">
        <w:t xml:space="preserve">(age </w:t>
      </w:r>
      <w:r w:rsidR="009E7F97" w:rsidRPr="00DA43D4">
        <w:t>11</w:t>
      </w:r>
      <w:r w:rsidR="00A23FEE" w:rsidRPr="00DA43D4">
        <w:t>.0</w:t>
      </w:r>
      <w:r w:rsidR="00F70517" w:rsidRPr="00DA43D4">
        <w:t xml:space="preserve"> </w:t>
      </w:r>
      <w:r w:rsidR="000C10B4" w:rsidRPr="00DA43D4">
        <w:t>years [</w:t>
      </w:r>
      <w:r w:rsidR="00F70517" w:rsidRPr="00DA43D4">
        <w:t>IQR</w:t>
      </w:r>
      <w:r w:rsidR="002E0121" w:rsidRPr="00DA43D4">
        <w:t>:</w:t>
      </w:r>
      <w:r w:rsidR="009E7F97" w:rsidRPr="00DA43D4">
        <w:t xml:space="preserve"> </w:t>
      </w:r>
      <w:r w:rsidR="007C3637" w:rsidRPr="00DA43D4">
        <w:t>7.</w:t>
      </w:r>
      <w:r w:rsidR="00DA43D4" w:rsidRPr="00DA43D4">
        <w:t>5</w:t>
      </w:r>
      <w:r w:rsidR="002E0121" w:rsidRPr="00DA43D4">
        <w:t>-14.0</w:t>
      </w:r>
      <w:r w:rsidR="000C10B4" w:rsidRPr="00DA43D4">
        <w:t>]</w:t>
      </w:r>
      <w:r w:rsidR="009C4A70" w:rsidRPr="00DA43D4">
        <w:t>) (</w:t>
      </w:r>
      <w:r w:rsidR="00020867" w:rsidRPr="00020867">
        <w:rPr>
          <w:i/>
        </w:rPr>
        <w:t>P</w:t>
      </w:r>
      <w:r w:rsidR="00020867">
        <w:t xml:space="preserve"> </w:t>
      </w:r>
      <w:r w:rsidR="009E7F97" w:rsidRPr="00DA43D4">
        <w:t>&lt; 0.001).</w:t>
      </w:r>
      <w:r w:rsidR="002C50FC" w:rsidRPr="00DA43D4">
        <w:t xml:space="preserve"> </w:t>
      </w:r>
      <w:r w:rsidR="00B50673" w:rsidRPr="00DA43D4">
        <w:t>ICDs were relatively more often implanted in patients from North</w:t>
      </w:r>
      <w:r w:rsidR="00B611E7" w:rsidRPr="00DA43D4">
        <w:t xml:space="preserve"> </w:t>
      </w:r>
      <w:r w:rsidR="00B50673" w:rsidRPr="00DA43D4">
        <w:t xml:space="preserve">America </w:t>
      </w:r>
      <w:r w:rsidR="00C27924" w:rsidRPr="00DA43D4">
        <w:t>(2</w:t>
      </w:r>
      <w:r w:rsidR="00F8729C" w:rsidRPr="00DA43D4">
        <w:t>1</w:t>
      </w:r>
      <w:r w:rsidR="00C27924" w:rsidRPr="00DA43D4">
        <w:t>/2</w:t>
      </w:r>
      <w:r w:rsidR="00F8729C" w:rsidRPr="00DA43D4">
        <w:t>8</w:t>
      </w:r>
      <w:r w:rsidR="00C27924" w:rsidRPr="00DA43D4">
        <w:t xml:space="preserve"> patients; 75.</w:t>
      </w:r>
      <w:r w:rsidR="00F8729C" w:rsidRPr="00DA43D4">
        <w:t>0</w:t>
      </w:r>
      <w:r w:rsidR="00C27924" w:rsidRPr="00DA43D4">
        <w:t xml:space="preserve">%) </w:t>
      </w:r>
      <w:r w:rsidR="00B50673" w:rsidRPr="00DA43D4">
        <w:t xml:space="preserve">and Oceania </w:t>
      </w:r>
      <w:r w:rsidR="000C10B4" w:rsidRPr="00DA43D4">
        <w:t>(Australia and New Zealand</w:t>
      </w:r>
      <w:r w:rsidR="00C27924" w:rsidRPr="00DA43D4">
        <w:t>; 9/9 patients; 100%</w:t>
      </w:r>
      <w:r w:rsidR="000C10B4" w:rsidRPr="00DA43D4">
        <w:t xml:space="preserve">) </w:t>
      </w:r>
      <w:r w:rsidR="00B50673" w:rsidRPr="00DA43D4">
        <w:t xml:space="preserve">than </w:t>
      </w:r>
      <w:r w:rsidR="00240C5F" w:rsidRPr="00DA43D4">
        <w:t xml:space="preserve">in patients </w:t>
      </w:r>
      <w:r w:rsidR="00B50673" w:rsidRPr="00DA43D4">
        <w:t xml:space="preserve">from Europe </w:t>
      </w:r>
      <w:r w:rsidR="00F8729C" w:rsidRPr="00DA43D4">
        <w:t>(45/79 patients; 57</w:t>
      </w:r>
      <w:r w:rsidR="00C27924" w:rsidRPr="00DA43D4">
        <w:t>.</w:t>
      </w:r>
      <w:r w:rsidR="00F8729C" w:rsidRPr="00DA43D4">
        <w:t>0</w:t>
      </w:r>
      <w:r w:rsidR="00C27924" w:rsidRPr="00DA43D4">
        <w:t xml:space="preserve">%) </w:t>
      </w:r>
      <w:r w:rsidR="00B50673" w:rsidRPr="00DA43D4">
        <w:t>and Asia</w:t>
      </w:r>
      <w:r w:rsidR="00C27924" w:rsidRPr="00DA43D4">
        <w:t xml:space="preserve"> (4/20 patients, 20.0%)</w:t>
      </w:r>
      <w:r w:rsidR="00B50673" w:rsidRPr="00DA43D4">
        <w:t>.</w:t>
      </w:r>
      <w:r w:rsidR="00B50673">
        <w:t xml:space="preserve"> </w:t>
      </w:r>
    </w:p>
    <w:p w14:paraId="1226D1F4" w14:textId="5ED10F65" w:rsidR="009D0178" w:rsidRPr="00141DE8" w:rsidRDefault="00AD45BE" w:rsidP="001A2532">
      <w:pPr>
        <w:ind w:firstLine="708"/>
      </w:pPr>
      <w:r>
        <w:t>P</w:t>
      </w:r>
      <w:r w:rsidR="00395519" w:rsidRPr="00715E9A">
        <w:t xml:space="preserve">atients with an ICD were more often </w:t>
      </w:r>
      <w:r w:rsidR="00CC3D44">
        <w:t xml:space="preserve">treated with </w:t>
      </w:r>
      <w:r w:rsidR="00395519" w:rsidRPr="00715E9A">
        <w:t xml:space="preserve">metoprolol and </w:t>
      </w:r>
      <w:proofErr w:type="spellStart"/>
      <w:r w:rsidR="00395519" w:rsidRPr="00715E9A">
        <w:t>bisoprolol</w:t>
      </w:r>
      <w:proofErr w:type="spellEnd"/>
      <w:r w:rsidR="00395519" w:rsidRPr="00715E9A">
        <w:t xml:space="preserve">, whereas </w:t>
      </w:r>
      <w:proofErr w:type="spellStart"/>
      <w:r w:rsidR="00BC196E">
        <w:t>nadolol</w:t>
      </w:r>
      <w:proofErr w:type="spellEnd"/>
      <w:r w:rsidR="00BC196E">
        <w:t xml:space="preserve"> and </w:t>
      </w:r>
      <w:r w:rsidR="00395519" w:rsidRPr="00715E9A">
        <w:t>propranolol w</w:t>
      </w:r>
      <w:r w:rsidR="00BC196E">
        <w:t>ere</w:t>
      </w:r>
      <w:r w:rsidR="00395519" w:rsidRPr="00715E9A">
        <w:t xml:space="preserve"> more often initiated in patients without </w:t>
      </w:r>
      <w:r w:rsidR="009C150C">
        <w:t xml:space="preserve">an </w:t>
      </w:r>
      <w:r w:rsidR="00395519" w:rsidRPr="00715E9A">
        <w:t>ICD</w:t>
      </w:r>
      <w:r>
        <w:t xml:space="preserve"> (</w:t>
      </w:r>
      <w:r w:rsidRPr="00AB6F2F">
        <w:rPr>
          <w:b/>
        </w:rPr>
        <w:t>Table 1</w:t>
      </w:r>
      <w:r>
        <w:t>)</w:t>
      </w:r>
      <w:r w:rsidR="00395519" w:rsidRPr="00BC196E">
        <w:t>.</w:t>
      </w:r>
      <w:r w:rsidR="00395519" w:rsidRPr="00715E9A">
        <w:t xml:space="preserve"> </w:t>
      </w:r>
      <w:r w:rsidR="00395519">
        <w:t>There were no significant differences in the proportion of patients treated with</w:t>
      </w:r>
      <w:r w:rsidR="005A16EC">
        <w:t xml:space="preserve"> </w:t>
      </w:r>
      <w:proofErr w:type="spellStart"/>
      <w:r w:rsidR="00395519">
        <w:t>flecainide</w:t>
      </w:r>
      <w:proofErr w:type="spellEnd"/>
      <w:r w:rsidR="00395519">
        <w:t xml:space="preserve"> </w:t>
      </w:r>
      <w:r w:rsidR="005A16EC">
        <w:t>or</w:t>
      </w:r>
      <w:r w:rsidR="00395519">
        <w:t xml:space="preserve"> </w:t>
      </w:r>
      <w:r w:rsidR="002139E4">
        <w:t>LCSD</w:t>
      </w:r>
      <w:r w:rsidR="00395519">
        <w:t xml:space="preserve">. </w:t>
      </w:r>
    </w:p>
    <w:p w14:paraId="76512979" w14:textId="4E4AC053" w:rsidR="001C0724" w:rsidRDefault="001C0724" w:rsidP="001A2532">
      <w:pPr>
        <w:ind w:firstLine="708"/>
      </w:pPr>
    </w:p>
    <w:p w14:paraId="24C103A0" w14:textId="3CDBA69B" w:rsidR="00F87F4B" w:rsidRPr="00170B3A" w:rsidRDefault="00F87F4B" w:rsidP="00F87F4B">
      <w:pPr>
        <w:pStyle w:val="Kop2"/>
        <w:spacing w:before="0" w:after="0"/>
      </w:pPr>
      <w:r>
        <w:t xml:space="preserve">Follow-up and outcomes </w:t>
      </w:r>
    </w:p>
    <w:p w14:paraId="0891A7F4" w14:textId="3D36AAAE" w:rsidR="00EA36F0" w:rsidRDefault="00EA36F0" w:rsidP="00EA36F0">
      <w:r>
        <w:t xml:space="preserve">After a median follow-up of 4.8 years (IQR: 2.5-10.5), SCD had occurred in 3 patients (3.8%) with an ICD (0.6 events per 100 person-years) and in none of the patients without an ICD (0; </w:t>
      </w:r>
      <w:r>
        <w:rPr>
          <w:i/>
        </w:rPr>
        <w:t>P</w:t>
      </w:r>
      <w:r>
        <w:t xml:space="preserve"> = 0.1 by the log-rank test; </w:t>
      </w:r>
      <w:r>
        <w:rPr>
          <w:b/>
        </w:rPr>
        <w:t>Figure 2A</w:t>
      </w:r>
      <w:r>
        <w:t xml:space="preserve"> and </w:t>
      </w:r>
      <w:r>
        <w:rPr>
          <w:b/>
        </w:rPr>
        <w:t>Table 2</w:t>
      </w:r>
      <w:r>
        <w:t xml:space="preserve">). </w:t>
      </w:r>
      <w:r>
        <w:rPr>
          <w:highlight w:val="yellow"/>
        </w:rPr>
        <w:t>At 4 years, SCD event rates were 1.3% (95% CI 0.0-4.0%) in patients with an ICD and 0% in patients without an ICD.</w:t>
      </w:r>
      <w:r w:rsidR="00F87F4B">
        <w:t xml:space="preserve"> </w:t>
      </w:r>
      <w:r w:rsidR="00F87F4B" w:rsidRPr="00F87F4B">
        <w:rPr>
          <w:highlight w:val="yellow"/>
        </w:rPr>
        <w:t>The risk difference at 4 years was 2.0%.</w:t>
      </w:r>
      <w:r>
        <w:t xml:space="preserve"> A </w:t>
      </w:r>
      <w:r>
        <w:lastRenderedPageBreak/>
        <w:t xml:space="preserve">detailed description of the three patients with an ICD who died during follow-up is provided in the </w:t>
      </w:r>
      <w:r>
        <w:rPr>
          <w:b/>
        </w:rPr>
        <w:t>Supplementary Results</w:t>
      </w:r>
      <w:r>
        <w:t xml:space="preserve">. </w:t>
      </w:r>
      <w:r>
        <w:rPr>
          <w:highlight w:val="yellow"/>
        </w:rPr>
        <w:t>None of the patients died due to other causes.</w:t>
      </w:r>
    </w:p>
    <w:p w14:paraId="56E50020" w14:textId="3DEBBAE6" w:rsidR="00EA36F0" w:rsidRDefault="00EA36F0" w:rsidP="00EA36F0">
      <w:pPr>
        <w:rPr>
          <w:highlight w:val="yellow"/>
        </w:rPr>
      </w:pPr>
      <w:r>
        <w:tab/>
        <w:t xml:space="preserve">The composite outcome of either SCD, SCA, or appropriate ICD shocks occurred in 37 patients (46.8%) with an ICD (9.7 events per 100 person-years) compared to 9 patients (15.8%) without an ICD (2.3 events per 100 person-years; </w:t>
      </w:r>
      <w:r>
        <w:rPr>
          <w:i/>
        </w:rPr>
        <w:t>P</w:t>
      </w:r>
      <w:r>
        <w:t xml:space="preserve"> &lt; 0.0001 by the log-rank test; </w:t>
      </w:r>
      <w:r>
        <w:rPr>
          <w:b/>
        </w:rPr>
        <w:t>Figure 2B</w:t>
      </w:r>
      <w:r>
        <w:t xml:space="preserve"> and </w:t>
      </w:r>
      <w:r>
        <w:rPr>
          <w:b/>
        </w:rPr>
        <w:t>Table 2</w:t>
      </w:r>
      <w:r>
        <w:t xml:space="preserve">). </w:t>
      </w:r>
      <w:r>
        <w:rPr>
          <w:highlight w:val="yellow"/>
        </w:rPr>
        <w:t>Four-year event rates were 39.0% (95% CI 26.3-49.4%) in patients with an ICD and 6.2% (95% CI 0.0-12.8%) in patients without an ICD</w:t>
      </w:r>
      <w:r w:rsidR="00F87F4B">
        <w:rPr>
          <w:highlight w:val="yellow"/>
        </w:rPr>
        <w:t>, and the relative risk at 4 years was</w:t>
      </w:r>
      <w:r w:rsidR="00F87F4B" w:rsidRPr="00F87F4B">
        <w:rPr>
          <w:highlight w:val="yellow"/>
        </w:rPr>
        <w:t xml:space="preserve"> 5.0 (95% CI 1.7-15.4)</w:t>
      </w:r>
      <w:r w:rsidRPr="00F87F4B">
        <w:rPr>
          <w:highlight w:val="yellow"/>
        </w:rPr>
        <w:t>.</w:t>
      </w:r>
      <w:r>
        <w:t xml:space="preserve"> The hazard ratio for SCD, SCA</w:t>
      </w:r>
      <w:r>
        <w:rPr>
          <w:highlight w:val="yellow"/>
        </w:rPr>
        <w:t>, or appropriate ICD shocks</w:t>
      </w:r>
      <w:r>
        <w:t xml:space="preserve"> in patients with an ICD, as compared to patients without an ICD, was 5.89 (95% CI: 2.66-13.04; </w:t>
      </w:r>
      <w:r>
        <w:rPr>
          <w:i/>
        </w:rPr>
        <w:t>P</w:t>
      </w:r>
      <w:r>
        <w:t xml:space="preserve"> &lt; 0.0001 by multivariable Cox regression).  </w:t>
      </w:r>
    </w:p>
    <w:p w14:paraId="2A42A637" w14:textId="77777777" w:rsidR="00EA36F0" w:rsidRDefault="00EA36F0" w:rsidP="00EA36F0">
      <w:pPr>
        <w:ind w:firstLine="708"/>
      </w:pPr>
      <w:r>
        <w:t xml:space="preserve">Regarding those 9/57 patients (15.2%) without an ICD who experienced at least one recurrent SCA after diagnosis and treatment, two of the events occurred in the 1980s. In addition, 3 events were associated with definite or probable medication non-adherence. Among the 6 adherent patients, 4 events occurred in patients on β-blocker monotherapy (metoprolol 0.7 mg/kg/day, propranolol 3 mg/kg/day; and </w:t>
      </w:r>
      <w:proofErr w:type="spellStart"/>
      <w:r>
        <w:t>nadolol</w:t>
      </w:r>
      <w:proofErr w:type="spellEnd"/>
      <w:r>
        <w:t xml:space="preserve"> 160 mg/day and atenolol 50 mg/day patients with unknown body weight), 1 event in a patient treated with low dose </w:t>
      </w:r>
      <w:proofErr w:type="spellStart"/>
      <w:r>
        <w:t>bisoprolol</w:t>
      </w:r>
      <w:proofErr w:type="spellEnd"/>
      <w:r>
        <w:t xml:space="preserve"> (0.1 mg/kg/day) combined with </w:t>
      </w:r>
      <w:proofErr w:type="spellStart"/>
      <w:r>
        <w:t>flecainide</w:t>
      </w:r>
      <w:proofErr w:type="spellEnd"/>
      <w:r>
        <w:t xml:space="preserve"> (6 mg/kg/day), and 1 event in a possible non-adherent patient treated with </w:t>
      </w:r>
      <w:proofErr w:type="spellStart"/>
      <w:r>
        <w:t>nadolol</w:t>
      </w:r>
      <w:proofErr w:type="spellEnd"/>
      <w:r>
        <w:t xml:space="preserve"> (2.6 mg/kg/day) combined with </w:t>
      </w:r>
      <w:proofErr w:type="spellStart"/>
      <w:r>
        <w:t>flecainide</w:t>
      </w:r>
      <w:proofErr w:type="spellEnd"/>
      <w:r>
        <w:t xml:space="preserve"> (3.3 mg/kg/day). </w:t>
      </w:r>
    </w:p>
    <w:p w14:paraId="59EF569C" w14:textId="77777777" w:rsidR="00EA36F0" w:rsidRDefault="00EA36F0" w:rsidP="00EA36F0">
      <w:pPr>
        <w:ind w:firstLine="708"/>
      </w:pPr>
      <w:r>
        <w:t>Appropriate ICD shocks occurred in 36 patients (45.6%) with an ICD. Of these, 5 patients did not have drug therapy and 4 events were associated with definite or probable medication non-adherence. The type and programming of ICDs did not differ between patients who did and did not receive appropriate ICD shocks (</w:t>
      </w:r>
      <w:r>
        <w:rPr>
          <w:b/>
        </w:rPr>
        <w:t xml:space="preserve">Table S2 </w:t>
      </w:r>
      <w:r>
        <w:t>in the</w:t>
      </w:r>
      <w:r>
        <w:rPr>
          <w:b/>
        </w:rPr>
        <w:t xml:space="preserve"> Supplementary Appendix</w:t>
      </w:r>
      <w:r>
        <w:t xml:space="preserve">). </w:t>
      </w:r>
    </w:p>
    <w:p w14:paraId="4DDA7537" w14:textId="4ECE2E2B" w:rsidR="00EA36F0" w:rsidRDefault="00EA36F0" w:rsidP="00EA36F0">
      <w:r>
        <w:tab/>
        <w:t xml:space="preserve">Syncope occurred as the first or only recurrent event during follow-up in 1 patient (1.3%) with an ICD and in 8 patients (14.0%) without an ICD. The composite outcome of SCD, SCA, appropriate ICD shocks, or syncope occurred in 38 patients (48.1%) with an ICD (10.1 events per 100 person-years) and 17 patients (29.8%) without an ICD (4.7 events per 100 person-years, </w:t>
      </w:r>
      <w:r>
        <w:rPr>
          <w:i/>
        </w:rPr>
        <w:t>P</w:t>
      </w:r>
      <w:r>
        <w:t xml:space="preserve"> = 0.014 by the log-rank test, </w:t>
      </w:r>
      <w:r>
        <w:rPr>
          <w:b/>
        </w:rPr>
        <w:t>Figure 2C</w:t>
      </w:r>
      <w:r>
        <w:t xml:space="preserve"> and </w:t>
      </w:r>
      <w:r>
        <w:rPr>
          <w:b/>
        </w:rPr>
        <w:t>Table 2</w:t>
      </w:r>
      <w:r>
        <w:t xml:space="preserve">). </w:t>
      </w:r>
      <w:r>
        <w:rPr>
          <w:highlight w:val="yellow"/>
        </w:rPr>
        <w:t>At 4 years, this endpoint had occurred in 41.9% (95% CI 29.0-</w:t>
      </w:r>
      <w:r>
        <w:rPr>
          <w:highlight w:val="yellow"/>
        </w:rPr>
        <w:lastRenderedPageBreak/>
        <w:t>52.5%) of patients with an ICD and in 14.1% (95% CI 3.7-23.3%) of patients without an ICD</w:t>
      </w:r>
      <w:r w:rsidR="00F87F4B">
        <w:rPr>
          <w:highlight w:val="yellow"/>
        </w:rPr>
        <w:t>. The relative risk at 4 years was</w:t>
      </w:r>
      <w:r w:rsidR="00F87F4B" w:rsidRPr="00F87F4B">
        <w:rPr>
          <w:highlight w:val="yellow"/>
        </w:rPr>
        <w:t xml:space="preserve"> </w:t>
      </w:r>
      <w:r w:rsidR="00F87F4B">
        <w:rPr>
          <w:highlight w:val="yellow"/>
        </w:rPr>
        <w:t>2</w:t>
      </w:r>
      <w:r w:rsidR="00F87F4B" w:rsidRPr="00F87F4B">
        <w:rPr>
          <w:highlight w:val="yellow"/>
        </w:rPr>
        <w:t>.</w:t>
      </w:r>
      <w:r w:rsidR="00F87F4B">
        <w:rPr>
          <w:highlight w:val="yellow"/>
        </w:rPr>
        <w:t>5</w:t>
      </w:r>
      <w:r w:rsidR="00F87F4B" w:rsidRPr="00F87F4B">
        <w:rPr>
          <w:highlight w:val="yellow"/>
        </w:rPr>
        <w:t xml:space="preserve"> (95% CI 1.</w:t>
      </w:r>
      <w:r w:rsidR="00F87F4B">
        <w:rPr>
          <w:highlight w:val="yellow"/>
        </w:rPr>
        <w:t>3</w:t>
      </w:r>
      <w:r w:rsidR="00F87F4B" w:rsidRPr="00F87F4B">
        <w:rPr>
          <w:highlight w:val="yellow"/>
        </w:rPr>
        <w:t>-5.</w:t>
      </w:r>
      <w:r w:rsidR="00F87F4B">
        <w:rPr>
          <w:highlight w:val="yellow"/>
        </w:rPr>
        <w:t>2</w:t>
      </w:r>
      <w:r w:rsidR="00F87F4B" w:rsidRPr="00F87F4B">
        <w:rPr>
          <w:highlight w:val="yellow"/>
        </w:rPr>
        <w:t>).</w:t>
      </w:r>
      <w:r>
        <w:t xml:space="preserve"> The hazard ratio for SCD, SCA, or syncope in patients with an ICD, as compared to patients without an ICD, was 2.99 (95% CI: 1.59-5.64; </w:t>
      </w:r>
      <w:r>
        <w:rPr>
          <w:i/>
        </w:rPr>
        <w:t>P</w:t>
      </w:r>
      <w:r>
        <w:t xml:space="preserve"> = 0.001 by multivariable Cox regression).</w:t>
      </w:r>
    </w:p>
    <w:p w14:paraId="50CF90F4" w14:textId="77777777" w:rsidR="00EA36F0" w:rsidRDefault="00EA36F0" w:rsidP="00EA36F0">
      <w:r>
        <w:tab/>
      </w:r>
    </w:p>
    <w:p w14:paraId="45F8AF8A" w14:textId="77777777" w:rsidR="00EA36F0" w:rsidRDefault="00EA36F0" w:rsidP="00EA36F0">
      <w:pPr>
        <w:pStyle w:val="Kop2"/>
      </w:pPr>
      <w:r>
        <w:t>Subgroup analysis</w:t>
      </w:r>
    </w:p>
    <w:p w14:paraId="7073253C" w14:textId="062C62A1" w:rsidR="00EA36F0" w:rsidRDefault="00EA36F0" w:rsidP="00EA36F0">
      <w:r>
        <w:t xml:space="preserve">We hypothesized that the risk of SCD or SCA might be different between young children and adolescents or adults, because younger age at diagnosis has been associated with an increased risk of arrhythmic events in symptomatic and asymptomatic patients with CPVT, and medication non-adherence may be more prevalent among young children. Indeed, the hazard ratio for SCD or SCA in patients with an ICD, as compared to patients without an ICD, was 12.75 (95% CI: 3.53-46.08; </w:t>
      </w:r>
      <w:r>
        <w:rPr>
          <w:i/>
        </w:rPr>
        <w:t xml:space="preserve">P </w:t>
      </w:r>
      <w:r>
        <w:t>&lt; 0.0001 by Cox regression) in children &lt; 14 years of age (</w:t>
      </w:r>
      <w:r>
        <w:rPr>
          <w:i/>
        </w:rPr>
        <w:t>n</w:t>
      </w:r>
      <w:r>
        <w:t xml:space="preserve"> = 64, including 25 with an ICD), and 3.93 (95% CI: 0.92-16.82; </w:t>
      </w:r>
      <w:r>
        <w:rPr>
          <w:i/>
        </w:rPr>
        <w:t>P</w:t>
      </w:r>
      <w:r>
        <w:t xml:space="preserve"> = 0.065 by Cox regression) in patients ≥ 14 years of age (</w:t>
      </w:r>
      <w:r>
        <w:rPr>
          <w:i/>
        </w:rPr>
        <w:t>n</w:t>
      </w:r>
      <w:r>
        <w:t xml:space="preserve"> = 72, including 54 with an ICD).</w:t>
      </w:r>
      <w:r w:rsidR="008948B4">
        <w:t xml:space="preserve"> </w:t>
      </w:r>
      <w:r w:rsidR="00D532DB">
        <w:t xml:space="preserve">There was no interaction between age and </w:t>
      </w:r>
      <w:r w:rsidR="002C135E">
        <w:t xml:space="preserve">the presence of an </w:t>
      </w:r>
      <w:r w:rsidR="00D532DB">
        <w:t>ICD</w:t>
      </w:r>
      <w:r w:rsidR="002C135E">
        <w:t>.</w:t>
      </w:r>
    </w:p>
    <w:p w14:paraId="58298908" w14:textId="77777777" w:rsidR="00715BFD" w:rsidRDefault="00715BFD" w:rsidP="00715BFD"/>
    <w:p w14:paraId="35473503" w14:textId="68890208" w:rsidR="007B10CB" w:rsidRPr="00222ADE" w:rsidRDefault="007B10CB" w:rsidP="00715BFD">
      <w:pPr>
        <w:pStyle w:val="Kop2"/>
        <w:spacing w:before="0"/>
      </w:pPr>
      <w:r w:rsidRPr="00222ADE">
        <w:t>Recurrent outcome events</w:t>
      </w:r>
    </w:p>
    <w:p w14:paraId="07C98E88" w14:textId="77777777" w:rsidR="007B10CB" w:rsidRDefault="007B10CB" w:rsidP="001A2532">
      <w:r w:rsidRPr="009E312B">
        <w:t>Among the 3</w:t>
      </w:r>
      <w:r>
        <w:t>6</w:t>
      </w:r>
      <w:r w:rsidRPr="009E312B">
        <w:t xml:space="preserve"> patients with an ICD who received an appropriate shock, 1</w:t>
      </w:r>
      <w:r>
        <w:t>6</w:t>
      </w:r>
      <w:r w:rsidRPr="009E312B">
        <w:t xml:space="preserve"> (4</w:t>
      </w:r>
      <w:r>
        <w:t>4</w:t>
      </w:r>
      <w:r w:rsidRPr="009E312B">
        <w:t>.</w:t>
      </w:r>
      <w:r>
        <w:t>4</w:t>
      </w:r>
      <w:r w:rsidRPr="009E312B">
        <w:t>%) received ≥</w:t>
      </w:r>
      <w:r>
        <w:t xml:space="preserve"> </w:t>
      </w:r>
      <w:r w:rsidRPr="009E312B">
        <w:t xml:space="preserve">1 recurrent appropriate shocks during an additional follow-up of </w:t>
      </w:r>
      <w:r>
        <w:t>2.9</w:t>
      </w:r>
      <w:r w:rsidRPr="009E312B">
        <w:t xml:space="preserve"> years (IQR: 0.8-6.7) after the first shock. Of these, </w:t>
      </w:r>
      <w:r>
        <w:t xml:space="preserve">7 patients received one additional shock, 6 patients received two to four additional shocks, and 3 patients received eight to fourteen additional shocks. Two of these patients died.   </w:t>
      </w:r>
    </w:p>
    <w:p w14:paraId="5A6DB419" w14:textId="77777777" w:rsidR="007B10CB" w:rsidRDefault="007B10CB" w:rsidP="001A2532">
      <w:pPr>
        <w:ind w:firstLine="708"/>
      </w:pPr>
      <w:r w:rsidRPr="00645219">
        <w:t xml:space="preserve">In the </w:t>
      </w:r>
      <w:r>
        <w:t>9</w:t>
      </w:r>
      <w:r w:rsidRPr="00645219">
        <w:t xml:space="preserve"> patients without an ICD who experienced an </w:t>
      </w:r>
      <w:r>
        <w:t>S</w:t>
      </w:r>
      <w:r w:rsidRPr="00645219">
        <w:t xml:space="preserve">CA during follow-up, </w:t>
      </w:r>
      <w:r>
        <w:t>an ICD was implanted and no medication change was made in 4 patients,</w:t>
      </w:r>
      <w:r w:rsidRPr="00645219">
        <w:t xml:space="preserve"> the </w:t>
      </w:r>
      <w:proofErr w:type="spellStart"/>
      <w:r w:rsidRPr="00645219">
        <w:t>flecainide</w:t>
      </w:r>
      <w:proofErr w:type="spellEnd"/>
      <w:r w:rsidRPr="00645219">
        <w:t xml:space="preserve"> dose was increased and metoprolol was added in </w:t>
      </w:r>
      <w:r>
        <w:t xml:space="preserve">1 </w:t>
      </w:r>
      <w:r w:rsidRPr="00645219">
        <w:t xml:space="preserve">patient, the propranolol dose was increased and </w:t>
      </w:r>
      <w:proofErr w:type="spellStart"/>
      <w:r w:rsidRPr="00645219">
        <w:t>flecainide</w:t>
      </w:r>
      <w:proofErr w:type="spellEnd"/>
      <w:r w:rsidRPr="00645219">
        <w:t xml:space="preserve"> was added in </w:t>
      </w:r>
      <w:r>
        <w:t>1</w:t>
      </w:r>
      <w:r w:rsidRPr="00645219">
        <w:t xml:space="preserve"> patient, propranolol was changed to </w:t>
      </w:r>
      <w:proofErr w:type="spellStart"/>
      <w:r w:rsidRPr="00645219">
        <w:t>nadolol</w:t>
      </w:r>
      <w:proofErr w:type="spellEnd"/>
      <w:r w:rsidRPr="00645219">
        <w:t xml:space="preserve"> and </w:t>
      </w:r>
      <w:r>
        <w:t>LCSD</w:t>
      </w:r>
      <w:r w:rsidRPr="00645219">
        <w:t xml:space="preserve"> was performed in </w:t>
      </w:r>
      <w:r>
        <w:t>1</w:t>
      </w:r>
      <w:r w:rsidRPr="00645219">
        <w:t xml:space="preserve"> patient, an ICD was implanted and </w:t>
      </w:r>
      <w:proofErr w:type="spellStart"/>
      <w:r w:rsidRPr="00645219">
        <w:t>flecainide</w:t>
      </w:r>
      <w:proofErr w:type="spellEnd"/>
      <w:r w:rsidRPr="00645219">
        <w:t xml:space="preserve"> was added in </w:t>
      </w:r>
      <w:r>
        <w:t>1</w:t>
      </w:r>
      <w:r w:rsidRPr="00645219">
        <w:t xml:space="preserve"> patient</w:t>
      </w:r>
      <w:r>
        <w:t>,</w:t>
      </w:r>
      <w:r w:rsidRPr="00645219">
        <w:t xml:space="preserve"> and</w:t>
      </w:r>
      <w:r>
        <w:t xml:space="preserve"> an ICD was implanted and LCSD was performed </w:t>
      </w:r>
      <w:r>
        <w:lastRenderedPageBreak/>
        <w:t>in 1 patient. During an additional follow-up of 5.3 years (IQR: 1.4-21.3</w:t>
      </w:r>
      <w:r w:rsidRPr="008165DA">
        <w:t>)</w:t>
      </w:r>
      <w:r>
        <w:t>, 3 patients with an ICD received appropriate shocks, whereas no other events occurred in the other 6 patients.</w:t>
      </w:r>
    </w:p>
    <w:p w14:paraId="11572832" w14:textId="77777777" w:rsidR="00715BFD" w:rsidRDefault="00715BFD" w:rsidP="00715BFD"/>
    <w:p w14:paraId="2390ED3E" w14:textId="647FAE86" w:rsidR="000F685F" w:rsidRPr="000F685F" w:rsidRDefault="000F685F" w:rsidP="001A2532">
      <w:pPr>
        <w:pStyle w:val="Kop2"/>
        <w:spacing w:before="0" w:after="0"/>
      </w:pPr>
      <w:r>
        <w:t>Safety</w:t>
      </w:r>
    </w:p>
    <w:p w14:paraId="09EA2850" w14:textId="2C384730" w:rsidR="00141DE8" w:rsidRDefault="00DD6ADE" w:rsidP="001A2532">
      <w:r>
        <w:t>I</w:t>
      </w:r>
      <w:r w:rsidRPr="008165DA">
        <w:t xml:space="preserve">nappropriate ICD </w:t>
      </w:r>
      <w:r w:rsidR="00FC2A46">
        <w:t>shocks</w:t>
      </w:r>
      <w:r w:rsidRPr="008165DA">
        <w:t xml:space="preserve"> </w:t>
      </w:r>
      <w:r>
        <w:t xml:space="preserve">occurred in </w:t>
      </w:r>
      <w:r w:rsidR="00F727E7">
        <w:t>1</w:t>
      </w:r>
      <w:r w:rsidR="00FD35C8">
        <w:t>9</w:t>
      </w:r>
      <w:r w:rsidR="00FC2A46">
        <w:t xml:space="preserve"> </w:t>
      </w:r>
      <w:r w:rsidR="00F727E7">
        <w:t>of 7</w:t>
      </w:r>
      <w:r w:rsidR="00FD35C8">
        <w:t>7</w:t>
      </w:r>
      <w:r w:rsidR="004F1BE2">
        <w:t xml:space="preserve"> patients (2</w:t>
      </w:r>
      <w:r w:rsidR="00FD35C8">
        <w:t>4</w:t>
      </w:r>
      <w:r w:rsidR="009B66E0">
        <w:t>.7</w:t>
      </w:r>
      <w:r w:rsidR="00FC2A46">
        <w:t>%</w:t>
      </w:r>
      <w:r w:rsidR="004B444B">
        <w:t xml:space="preserve">; </w:t>
      </w:r>
      <w:r w:rsidR="008C07D9" w:rsidRPr="008C07D9">
        <w:rPr>
          <w:highlight w:val="yellow"/>
        </w:rPr>
        <w:t xml:space="preserve">95% </w:t>
      </w:r>
      <w:r w:rsidR="008C07D9">
        <w:rPr>
          <w:highlight w:val="yellow"/>
        </w:rPr>
        <w:t xml:space="preserve">CI </w:t>
      </w:r>
      <w:r w:rsidR="008C07D9" w:rsidRPr="008C07D9">
        <w:rPr>
          <w:highlight w:val="yellow"/>
        </w:rPr>
        <w:t>16.4-35.4%;</w:t>
      </w:r>
      <w:r w:rsidR="008C07D9">
        <w:t xml:space="preserve"> </w:t>
      </w:r>
      <w:r w:rsidR="004B444B">
        <w:t xml:space="preserve">unknown in </w:t>
      </w:r>
      <w:r w:rsidR="004F77E7">
        <w:t>2</w:t>
      </w:r>
      <w:r w:rsidR="004B444B">
        <w:t xml:space="preserve"> patients</w:t>
      </w:r>
      <w:r w:rsidR="00FC2A46">
        <w:t xml:space="preserve">). </w:t>
      </w:r>
      <w:r w:rsidR="00D31878">
        <w:t xml:space="preserve">In </w:t>
      </w:r>
      <w:r w:rsidR="004F77E7">
        <w:t>7</w:t>
      </w:r>
      <w:r w:rsidR="00D31878">
        <w:t xml:space="preserve"> patients inappropriate </w:t>
      </w:r>
      <w:r w:rsidR="00FC2A46" w:rsidRPr="00FC2A46">
        <w:t xml:space="preserve">shocks </w:t>
      </w:r>
      <w:r w:rsidR="00D31878">
        <w:t xml:space="preserve">occurred </w:t>
      </w:r>
      <w:r w:rsidR="00CE1C3D">
        <w:t>due to</w:t>
      </w:r>
      <w:r w:rsidR="004F1BE2">
        <w:t xml:space="preserve"> </w:t>
      </w:r>
      <w:r w:rsidR="004F1BE2" w:rsidRPr="00FC2A46">
        <w:t xml:space="preserve">supraventricular </w:t>
      </w:r>
      <w:r w:rsidR="002F758F">
        <w:t>tachycardia</w:t>
      </w:r>
      <w:r w:rsidR="00D31878">
        <w:t xml:space="preserve">, in </w:t>
      </w:r>
      <w:r w:rsidR="004F77E7">
        <w:t>3</w:t>
      </w:r>
      <w:r w:rsidR="00D31878">
        <w:t xml:space="preserve"> </w:t>
      </w:r>
      <w:r w:rsidR="00823ABC">
        <w:t xml:space="preserve">patients </w:t>
      </w:r>
      <w:r w:rsidR="00D31878">
        <w:t xml:space="preserve">due to </w:t>
      </w:r>
      <w:r w:rsidR="0062026A">
        <w:t>electrical noise</w:t>
      </w:r>
      <w:r w:rsidR="00D31878">
        <w:t xml:space="preserve">, </w:t>
      </w:r>
      <w:r w:rsidR="007246A0">
        <w:t xml:space="preserve">in </w:t>
      </w:r>
      <w:r w:rsidR="004F77E7">
        <w:t>3</w:t>
      </w:r>
      <w:r w:rsidR="00823ABC">
        <w:t xml:space="preserve"> patients</w:t>
      </w:r>
      <w:r w:rsidR="007246A0">
        <w:t xml:space="preserve"> due to lead fracture, </w:t>
      </w:r>
      <w:r w:rsidR="00D31878">
        <w:t xml:space="preserve">in </w:t>
      </w:r>
      <w:r w:rsidR="004F77E7">
        <w:t>2</w:t>
      </w:r>
      <w:r w:rsidR="00D31878">
        <w:t xml:space="preserve"> </w:t>
      </w:r>
      <w:r w:rsidR="00823ABC">
        <w:t xml:space="preserve">patients </w:t>
      </w:r>
      <w:r w:rsidR="00D31878">
        <w:t>du</w:t>
      </w:r>
      <w:r w:rsidR="007246A0">
        <w:t>e to ICD malfunction</w:t>
      </w:r>
      <w:r w:rsidR="004F77E7">
        <w:t xml:space="preserve">, </w:t>
      </w:r>
      <w:r w:rsidR="00B25398">
        <w:t xml:space="preserve">in </w:t>
      </w:r>
      <w:r w:rsidR="0095368F">
        <w:t>2</w:t>
      </w:r>
      <w:r w:rsidR="00B25398">
        <w:t xml:space="preserve"> patient</w:t>
      </w:r>
      <w:r w:rsidR="00C23D9E">
        <w:t>s</w:t>
      </w:r>
      <w:r w:rsidR="00B25398">
        <w:t xml:space="preserve"> due to </w:t>
      </w:r>
      <w:proofErr w:type="spellStart"/>
      <w:r w:rsidR="00B25398">
        <w:t>malsensing</w:t>
      </w:r>
      <w:proofErr w:type="spellEnd"/>
      <w:r w:rsidR="00B25398">
        <w:t xml:space="preserve">, </w:t>
      </w:r>
      <w:r w:rsidR="004F77E7">
        <w:t>and in 2 patients the reason</w:t>
      </w:r>
      <w:r w:rsidR="00190C94">
        <w:t>s</w:t>
      </w:r>
      <w:r w:rsidR="004F77E7">
        <w:t xml:space="preserve"> for inappropriate shock</w:t>
      </w:r>
      <w:r w:rsidR="00190C94">
        <w:t xml:space="preserve">s </w:t>
      </w:r>
      <w:r w:rsidR="004F77E7">
        <w:t>w</w:t>
      </w:r>
      <w:r w:rsidR="00190C94">
        <w:t>ere</w:t>
      </w:r>
      <w:r w:rsidR="004F77E7">
        <w:t xml:space="preserve"> unknown</w:t>
      </w:r>
      <w:r w:rsidR="00A35CC2">
        <w:t xml:space="preserve">. </w:t>
      </w:r>
    </w:p>
    <w:p w14:paraId="77192ECB" w14:textId="4D90E3AD" w:rsidR="008165DA" w:rsidRDefault="00FC2A46" w:rsidP="001A2532">
      <w:pPr>
        <w:ind w:firstLine="708"/>
      </w:pPr>
      <w:r>
        <w:t>Other device-related complications occurred in 2</w:t>
      </w:r>
      <w:r w:rsidR="00B25398">
        <w:t>2</w:t>
      </w:r>
      <w:r>
        <w:t xml:space="preserve"> </w:t>
      </w:r>
      <w:r w:rsidR="00A35CC2">
        <w:t>of 7</w:t>
      </w:r>
      <w:r w:rsidR="00FD35C8">
        <w:t>6</w:t>
      </w:r>
      <w:r w:rsidR="00A35CC2">
        <w:t xml:space="preserve"> </w:t>
      </w:r>
      <w:r>
        <w:t>patients (</w:t>
      </w:r>
      <w:r w:rsidR="009B66E0" w:rsidRPr="008C07D9">
        <w:rPr>
          <w:highlight w:val="yellow"/>
        </w:rPr>
        <w:t>2</w:t>
      </w:r>
      <w:r w:rsidR="008C07D9" w:rsidRPr="008C07D9">
        <w:rPr>
          <w:highlight w:val="yellow"/>
        </w:rPr>
        <w:t>9</w:t>
      </w:r>
      <w:r w:rsidR="009B66E0" w:rsidRPr="008C07D9">
        <w:rPr>
          <w:highlight w:val="yellow"/>
        </w:rPr>
        <w:t>.</w:t>
      </w:r>
      <w:r w:rsidR="008C07D9" w:rsidRPr="008C07D9">
        <w:rPr>
          <w:highlight w:val="yellow"/>
        </w:rPr>
        <w:t>0</w:t>
      </w:r>
      <w:r w:rsidRPr="008C07D9">
        <w:rPr>
          <w:highlight w:val="yellow"/>
        </w:rPr>
        <w:t>%</w:t>
      </w:r>
      <w:r w:rsidR="004B444B" w:rsidRPr="008C07D9">
        <w:rPr>
          <w:highlight w:val="yellow"/>
        </w:rPr>
        <w:t xml:space="preserve">; </w:t>
      </w:r>
      <w:r w:rsidR="008C07D9" w:rsidRPr="008C07D9">
        <w:rPr>
          <w:highlight w:val="yellow"/>
        </w:rPr>
        <w:t>95% CI 20.0-40.0</w:t>
      </w:r>
      <w:r w:rsidR="008C07D9">
        <w:rPr>
          <w:highlight w:val="yellow"/>
        </w:rPr>
        <w:t>%</w:t>
      </w:r>
      <w:r w:rsidR="008C07D9" w:rsidRPr="008C07D9">
        <w:rPr>
          <w:highlight w:val="yellow"/>
        </w:rPr>
        <w:t>;</w:t>
      </w:r>
      <w:r w:rsidR="008C07D9">
        <w:t xml:space="preserve"> </w:t>
      </w:r>
      <w:r w:rsidR="004B444B">
        <w:t xml:space="preserve">unknown in </w:t>
      </w:r>
      <w:r w:rsidR="004F77E7">
        <w:t>3</w:t>
      </w:r>
      <w:r w:rsidR="004B444B">
        <w:t xml:space="preserve"> patients</w:t>
      </w:r>
      <w:r>
        <w:t>)</w:t>
      </w:r>
      <w:r w:rsidR="0062026A">
        <w:t xml:space="preserve">, including </w:t>
      </w:r>
      <w:r w:rsidR="004F77E7">
        <w:t>3</w:t>
      </w:r>
      <w:r w:rsidR="00CD3D19">
        <w:t xml:space="preserve"> </w:t>
      </w:r>
      <w:r w:rsidR="0062026A">
        <w:t xml:space="preserve">patients with </w:t>
      </w:r>
      <w:r w:rsidR="004F77E7">
        <w:t>2</w:t>
      </w:r>
      <w:r w:rsidR="0062026A">
        <w:t xml:space="preserve"> complications</w:t>
      </w:r>
      <w:r>
        <w:t xml:space="preserve">. These </w:t>
      </w:r>
      <w:r w:rsidR="00C23D9E">
        <w:t>com</w:t>
      </w:r>
      <w:r w:rsidR="00344383">
        <w:t>plications</w:t>
      </w:r>
      <w:r w:rsidR="00C23D9E">
        <w:t xml:space="preserve"> </w:t>
      </w:r>
      <w:r>
        <w:t xml:space="preserve">included </w:t>
      </w:r>
      <w:r w:rsidR="00A35CC2">
        <w:t>lead malfunction</w:t>
      </w:r>
      <w:r w:rsidR="002F758F">
        <w:t xml:space="preserve"> or dislo</w:t>
      </w:r>
      <w:r w:rsidR="007C5A76">
        <w:t>dgement</w:t>
      </w:r>
      <w:r w:rsidR="0062026A">
        <w:t xml:space="preserve"> in 12</w:t>
      </w:r>
      <w:r w:rsidR="00A35CC2">
        <w:t xml:space="preserve"> patients, infection in </w:t>
      </w:r>
      <w:r w:rsidR="004F77E7">
        <w:t>5</w:t>
      </w:r>
      <w:r w:rsidR="00A35CC2">
        <w:t xml:space="preserve"> patients, cardiac perforation in </w:t>
      </w:r>
      <w:r w:rsidR="004F77E7">
        <w:t>2</w:t>
      </w:r>
      <w:r w:rsidR="00A35CC2">
        <w:t xml:space="preserve"> patients</w:t>
      </w:r>
      <w:r w:rsidR="0062026A">
        <w:t xml:space="preserve">, </w:t>
      </w:r>
      <w:r w:rsidR="007C5A76">
        <w:t xml:space="preserve">failed </w:t>
      </w:r>
      <w:r w:rsidR="0062026A">
        <w:t>sensing</w:t>
      </w:r>
      <w:r w:rsidR="000C0363">
        <w:t xml:space="preserve"> not leading to inappropriate shocks</w:t>
      </w:r>
      <w:r w:rsidR="0062026A">
        <w:t xml:space="preserve"> in </w:t>
      </w:r>
      <w:r w:rsidR="004F77E7">
        <w:t>2</w:t>
      </w:r>
      <w:r w:rsidR="0062026A">
        <w:t xml:space="preserve"> patients, </w:t>
      </w:r>
      <w:proofErr w:type="spellStart"/>
      <w:r w:rsidR="0062026A">
        <w:t>Twiddler</w:t>
      </w:r>
      <w:proofErr w:type="spellEnd"/>
      <w:r w:rsidR="0062026A">
        <w:t xml:space="preserve"> syndrome in </w:t>
      </w:r>
      <w:r w:rsidR="004F77E7">
        <w:t>1</w:t>
      </w:r>
      <w:r w:rsidR="0062026A">
        <w:t xml:space="preserve"> patient, migration of the pulse generator in </w:t>
      </w:r>
      <w:r w:rsidR="004F77E7">
        <w:t>1</w:t>
      </w:r>
      <w:r w:rsidR="0062026A">
        <w:t xml:space="preserve"> patient, depression due to </w:t>
      </w:r>
      <w:r w:rsidR="00CD3D19">
        <w:t xml:space="preserve">multiple ICD shocks in </w:t>
      </w:r>
      <w:r w:rsidR="004F77E7">
        <w:t>1</w:t>
      </w:r>
      <w:r w:rsidR="00CD3D19">
        <w:t xml:space="preserve"> patient</w:t>
      </w:r>
      <w:r w:rsidR="000354CD">
        <w:t xml:space="preserve">, and inappropriate </w:t>
      </w:r>
      <w:proofErr w:type="spellStart"/>
      <w:r w:rsidR="000354CD">
        <w:t>a</w:t>
      </w:r>
      <w:r w:rsidR="000354CD" w:rsidRPr="000354CD">
        <w:t>ntitachycardia</w:t>
      </w:r>
      <w:proofErr w:type="spellEnd"/>
      <w:r w:rsidR="000354CD" w:rsidRPr="000354CD">
        <w:t xml:space="preserve"> pacing</w:t>
      </w:r>
      <w:r w:rsidR="000354CD">
        <w:t xml:space="preserve"> leading to VF</w:t>
      </w:r>
      <w:r w:rsidR="00B25398">
        <w:t xml:space="preserve"> which was terminated by an ICD shock in 1 patient</w:t>
      </w:r>
      <w:r w:rsidR="00F727E7">
        <w:t>.</w:t>
      </w:r>
      <w:r w:rsidR="00A35CC2">
        <w:t xml:space="preserve"> </w:t>
      </w:r>
    </w:p>
    <w:p w14:paraId="2D588134" w14:textId="77777777" w:rsidR="00715BFD" w:rsidRDefault="00715BFD" w:rsidP="00715BFD"/>
    <w:p w14:paraId="72E7BF73" w14:textId="149B8560" w:rsidR="007B10CB" w:rsidRPr="00222ADE" w:rsidRDefault="007B10CB" w:rsidP="00715BFD">
      <w:pPr>
        <w:pStyle w:val="Kop2"/>
        <w:spacing w:before="0"/>
      </w:pPr>
      <w:r w:rsidRPr="00222ADE">
        <w:t xml:space="preserve">ICD implantation and </w:t>
      </w:r>
      <w:proofErr w:type="spellStart"/>
      <w:r w:rsidRPr="00222ADE">
        <w:t>explantation</w:t>
      </w:r>
      <w:proofErr w:type="spellEnd"/>
      <w:r w:rsidRPr="00222ADE">
        <w:t xml:space="preserve"> during follow-up</w:t>
      </w:r>
    </w:p>
    <w:p w14:paraId="3FA89683" w14:textId="2022D6C3" w:rsidR="007B10CB" w:rsidRDefault="007B10CB" w:rsidP="001A2532">
      <w:r w:rsidRPr="00247E4B">
        <w:t>In 22 of 57 patients (38.6%) in whom no ICD was implanted after the initial SCA, an ICD was implanted after a median follow-up of 4.6 (IQR: 1.6-12.4) years without an</w:t>
      </w:r>
      <w:r>
        <w:t xml:space="preserve"> ICD. </w:t>
      </w:r>
      <w:r w:rsidRPr="00077057">
        <w:t>Indications for subsequent ICD implantation were mainly SCA or syncope during follow-up (</w:t>
      </w:r>
      <w:r w:rsidRPr="007E75AD">
        <w:rPr>
          <w:b/>
        </w:rPr>
        <w:t>Table S3</w:t>
      </w:r>
      <w:r w:rsidRPr="00077057">
        <w:t>).</w:t>
      </w:r>
      <w:r>
        <w:t xml:space="preserve"> Between their sentinel event of SCA and their eventual ICD implantation, all 22 patients were treated with β-blockers (including atenolol in 6 patients, propranolol in 6 patients, </w:t>
      </w:r>
      <w:proofErr w:type="spellStart"/>
      <w:r>
        <w:t>nadolol</w:t>
      </w:r>
      <w:proofErr w:type="spellEnd"/>
      <w:r>
        <w:t xml:space="preserve"> in 7 patients, metoprolol in 2 patients, and </w:t>
      </w:r>
      <w:proofErr w:type="spellStart"/>
      <w:r>
        <w:t>sotalol</w:t>
      </w:r>
      <w:proofErr w:type="spellEnd"/>
      <w:r>
        <w:t xml:space="preserve"> in 1 patient), 3 patients with </w:t>
      </w:r>
      <w:proofErr w:type="spellStart"/>
      <w:r>
        <w:t>flecainide</w:t>
      </w:r>
      <w:proofErr w:type="spellEnd"/>
      <w:r>
        <w:t xml:space="preserve">, and 1 patient with LCSD. Eighteen of these 22 patients were followed for an additional 7.2 years (IQR: 4.0-11.2). </w:t>
      </w:r>
      <w:r w:rsidRPr="0092468A">
        <w:t>Nine patients (45.0%) received at least 1 appropriate shock and none of the patients died.</w:t>
      </w:r>
      <w:r>
        <w:t xml:space="preserve">  </w:t>
      </w:r>
    </w:p>
    <w:p w14:paraId="41A3039F" w14:textId="02EF9DB1" w:rsidR="007B10CB" w:rsidRDefault="007B10CB" w:rsidP="001A2532">
      <w:pPr>
        <w:ind w:firstLine="708"/>
      </w:pPr>
      <w:r>
        <w:t xml:space="preserve">During follow-up, the ICD was explanted in 3 of 79 patients (3.8%). In 2 patients, the ICD was explanted when the initial diagnosis was revised to CPVT during follow-up and the ICD was </w:t>
      </w:r>
      <w:r>
        <w:lastRenderedPageBreak/>
        <w:t xml:space="preserve">considered potentially </w:t>
      </w:r>
      <w:proofErr w:type="spellStart"/>
      <w:r>
        <w:t>proarrhythmic</w:t>
      </w:r>
      <w:proofErr w:type="spellEnd"/>
      <w:r>
        <w:t xml:space="preserve">, including the patient who suffered from depression after multiple shocks. In 1 patient, a subcutaneous ICD was explanted twice because of severe infections and it was decided not to implant a </w:t>
      </w:r>
      <w:proofErr w:type="spellStart"/>
      <w:r>
        <w:t>transvenous</w:t>
      </w:r>
      <w:proofErr w:type="spellEnd"/>
      <w:r>
        <w:t xml:space="preserve"> ICD.</w:t>
      </w:r>
    </w:p>
    <w:p w14:paraId="360B8485" w14:textId="77777777" w:rsidR="007B10CB" w:rsidRPr="00BB4238" w:rsidRDefault="007B10CB" w:rsidP="001A2532"/>
    <w:p w14:paraId="5918AAED" w14:textId="4C54B44A" w:rsidR="002139E4" w:rsidRDefault="00076125" w:rsidP="001A2532">
      <w:pPr>
        <w:ind w:firstLine="708"/>
      </w:pPr>
      <w:r>
        <w:t xml:space="preserve"> </w:t>
      </w:r>
    </w:p>
    <w:p w14:paraId="226219A5" w14:textId="77777777" w:rsidR="00CC4827" w:rsidRDefault="00DB56CE" w:rsidP="001A2532">
      <w:pPr>
        <w:pStyle w:val="Kop1"/>
        <w:spacing w:before="0" w:after="0"/>
      </w:pPr>
      <w:r>
        <w:br w:type="page"/>
      </w:r>
      <w:r w:rsidR="00A228CB" w:rsidRPr="004A3A54">
        <w:lastRenderedPageBreak/>
        <w:t>D</w:t>
      </w:r>
      <w:r w:rsidR="00CC4827">
        <w:t xml:space="preserve">iscussion </w:t>
      </w:r>
    </w:p>
    <w:p w14:paraId="287E96B9" w14:textId="22A03669" w:rsidR="0094554E" w:rsidRDefault="0094554E" w:rsidP="001A2532">
      <w:r w:rsidRPr="009719F8">
        <w:rPr>
          <w:highlight w:val="yellow"/>
        </w:rPr>
        <w:t>In this large</w:t>
      </w:r>
      <w:r w:rsidR="009719F8" w:rsidRPr="009719F8">
        <w:rPr>
          <w:highlight w:val="yellow"/>
        </w:rPr>
        <w:t xml:space="preserve">st </w:t>
      </w:r>
      <w:r w:rsidRPr="009719F8">
        <w:rPr>
          <w:highlight w:val="yellow"/>
        </w:rPr>
        <w:t>observational study</w:t>
      </w:r>
      <w:r w:rsidR="009719F8" w:rsidRPr="009719F8">
        <w:rPr>
          <w:highlight w:val="yellow"/>
        </w:rPr>
        <w:t xml:space="preserve"> of </w:t>
      </w:r>
      <w:r w:rsidRPr="009719F8">
        <w:rPr>
          <w:highlight w:val="yellow"/>
        </w:rPr>
        <w:t xml:space="preserve">previously undiagnosed and untreated patients with CPVT </w:t>
      </w:r>
      <w:r w:rsidR="00C23D9E" w:rsidRPr="009719F8">
        <w:rPr>
          <w:highlight w:val="yellow"/>
        </w:rPr>
        <w:t xml:space="preserve">who had </w:t>
      </w:r>
      <w:r w:rsidRPr="009719F8">
        <w:rPr>
          <w:highlight w:val="yellow"/>
        </w:rPr>
        <w:t>present</w:t>
      </w:r>
      <w:r w:rsidR="00C23D9E" w:rsidRPr="009719F8">
        <w:rPr>
          <w:highlight w:val="yellow"/>
        </w:rPr>
        <w:t>ed</w:t>
      </w:r>
      <w:r w:rsidRPr="009719F8">
        <w:rPr>
          <w:highlight w:val="yellow"/>
        </w:rPr>
        <w:t xml:space="preserve"> with </w:t>
      </w:r>
      <w:r w:rsidR="00C23D9E" w:rsidRPr="009719F8">
        <w:rPr>
          <w:highlight w:val="yellow"/>
        </w:rPr>
        <w:t xml:space="preserve">a sentinel event of </w:t>
      </w:r>
      <w:r w:rsidR="00E07C9E" w:rsidRPr="009719F8">
        <w:rPr>
          <w:highlight w:val="yellow"/>
        </w:rPr>
        <w:t>SCA</w:t>
      </w:r>
      <w:r w:rsidR="00FC6200">
        <w:rPr>
          <w:highlight w:val="yellow"/>
        </w:rPr>
        <w:t xml:space="preserve"> to date</w:t>
      </w:r>
      <w:r w:rsidR="00C23D9E" w:rsidRPr="009719F8">
        <w:rPr>
          <w:highlight w:val="yellow"/>
        </w:rPr>
        <w:t>,</w:t>
      </w:r>
      <w:r w:rsidRPr="009719F8">
        <w:rPr>
          <w:highlight w:val="yellow"/>
        </w:rPr>
        <w:t xml:space="preserve"> </w:t>
      </w:r>
      <w:r w:rsidR="009719F8" w:rsidRPr="009719F8">
        <w:rPr>
          <w:highlight w:val="yellow"/>
        </w:rPr>
        <w:t>implantation of an ICD</w:t>
      </w:r>
      <w:r w:rsidR="009719F8" w:rsidRPr="009719F8">
        <w:t xml:space="preserve"> </w:t>
      </w:r>
      <w:r w:rsidRPr="008165DA">
        <w:t xml:space="preserve">was not associated with a reduction of </w:t>
      </w:r>
      <w:r w:rsidR="00495E5B">
        <w:t>SCD</w:t>
      </w:r>
      <w:r w:rsidR="005B2272">
        <w:t xml:space="preserve"> </w:t>
      </w:r>
      <w:r w:rsidR="00E57B16">
        <w:t xml:space="preserve">as compared with </w:t>
      </w:r>
      <w:r w:rsidR="005B2272">
        <w:t xml:space="preserve">patients </w:t>
      </w:r>
      <w:r w:rsidR="0022682A">
        <w:t xml:space="preserve">who did not receive an </w:t>
      </w:r>
      <w:r w:rsidR="005B2272">
        <w:t>ICD</w:t>
      </w:r>
      <w:r w:rsidR="00C23D9E">
        <w:t xml:space="preserve"> despite the global guidelines-based class 1 recommendation for its use</w:t>
      </w:r>
      <w:r w:rsidRPr="008165DA">
        <w:t>.</w:t>
      </w:r>
      <w:r w:rsidR="00B22AAA" w:rsidRPr="00B22AAA">
        <w:rPr>
          <w:vertAlign w:val="superscript"/>
        </w:rPr>
        <w:t>1, 2, 4</w:t>
      </w:r>
      <w:r w:rsidRPr="008165DA">
        <w:t xml:space="preserve"> </w:t>
      </w:r>
      <w:r w:rsidR="00E07C9E">
        <w:t xml:space="preserve">Instead, the </w:t>
      </w:r>
      <w:r>
        <w:t>ICD was associated with</w:t>
      </w:r>
      <w:r w:rsidR="00E07C9E">
        <w:t xml:space="preserve"> </w:t>
      </w:r>
      <w:r w:rsidR="006F4537">
        <w:t xml:space="preserve">a high rate of </w:t>
      </w:r>
      <w:r w:rsidR="00020867">
        <w:t>i</w:t>
      </w:r>
      <w:r w:rsidR="00C23D9E">
        <w:t xml:space="preserve">) </w:t>
      </w:r>
      <w:r w:rsidR="002D3C74">
        <w:t>appropriate ICD shocks</w:t>
      </w:r>
      <w:r w:rsidR="008A1CF0">
        <w:t>, which were not</w:t>
      </w:r>
      <w:r w:rsidR="008A1CF0" w:rsidRPr="00C23D9E">
        <w:t xml:space="preserve"> associated</w:t>
      </w:r>
      <w:r w:rsidR="008A1CF0">
        <w:t xml:space="preserve"> with a survival benefit,</w:t>
      </w:r>
      <w:r w:rsidR="00020867">
        <w:t xml:space="preserve"> ii</w:t>
      </w:r>
      <w:r w:rsidR="00C23D9E">
        <w:t>)</w:t>
      </w:r>
      <w:r w:rsidR="00E07C9E">
        <w:t xml:space="preserve"> inappropriate ICD shocks</w:t>
      </w:r>
      <w:r w:rsidR="00020867">
        <w:t>, and iii</w:t>
      </w:r>
      <w:r w:rsidR="00C23D9E">
        <w:t>) numerous</w:t>
      </w:r>
      <w:r w:rsidR="00E07C9E">
        <w:t xml:space="preserve"> other </w:t>
      </w:r>
      <w:r w:rsidR="000F5F6E">
        <w:t>device</w:t>
      </w:r>
      <w:r>
        <w:t>-related complications.</w:t>
      </w:r>
      <w:r w:rsidR="00432084">
        <w:t xml:space="preserve"> </w:t>
      </w:r>
      <w:r w:rsidR="00A329FE">
        <w:t>The incidence of appropriate ICD shocks</w:t>
      </w:r>
      <w:r w:rsidR="00D967CC">
        <w:t xml:space="preserve"> </w:t>
      </w:r>
      <w:r w:rsidR="00A329FE">
        <w:t xml:space="preserve">was significantly higher than the combined incidence of </w:t>
      </w:r>
      <w:r w:rsidR="00E07C9E">
        <w:t xml:space="preserve">both SCA </w:t>
      </w:r>
      <w:r w:rsidR="00A329FE">
        <w:t xml:space="preserve">and syncope in patients without an ICD, suggesting that a significant number of ventricular tachyarrhythmia episodes that led to appropriate ICD shocks would not have resulted in </w:t>
      </w:r>
      <w:r w:rsidR="00E07C9E">
        <w:t xml:space="preserve">either SCD or SCA requiring external defibrillation </w:t>
      </w:r>
      <w:r w:rsidR="00DB56CE">
        <w:t xml:space="preserve">or even a syncope </w:t>
      </w:r>
      <w:r w:rsidR="00A329FE">
        <w:t>in the absence of an ICD.</w:t>
      </w:r>
      <w:r w:rsidR="00656523">
        <w:t xml:space="preserve"> </w:t>
      </w:r>
    </w:p>
    <w:p w14:paraId="2539D20E" w14:textId="56ECC273" w:rsidR="006F6A19" w:rsidRDefault="00FB1EAB" w:rsidP="001A2532">
      <w:pPr>
        <w:ind w:firstLine="708"/>
      </w:pPr>
      <w:r>
        <w:t>S</w:t>
      </w:r>
      <w:r w:rsidR="000F5F6E">
        <w:t xml:space="preserve">CA occurred in </w:t>
      </w:r>
      <w:r w:rsidR="00CE54D3">
        <w:t>9</w:t>
      </w:r>
      <w:r w:rsidR="009404D3">
        <w:t xml:space="preserve"> </w:t>
      </w:r>
      <w:r w:rsidR="000F5F6E">
        <w:t>patients without an ICD.</w:t>
      </w:r>
      <w:r w:rsidR="002E1055">
        <w:t xml:space="preserve"> </w:t>
      </w:r>
      <w:r w:rsidR="00CE54D3">
        <w:t>Three</w:t>
      </w:r>
      <w:r w:rsidR="002E1055" w:rsidRPr="008165DA">
        <w:t xml:space="preserve"> events were associate</w:t>
      </w:r>
      <w:r w:rsidR="002E1055">
        <w:t xml:space="preserve">d with definite or probable </w:t>
      </w:r>
      <w:r w:rsidR="003A5157">
        <w:t xml:space="preserve">medication </w:t>
      </w:r>
      <w:r w:rsidR="002E1055">
        <w:t>non</w:t>
      </w:r>
      <w:r>
        <w:t>-</w:t>
      </w:r>
      <w:r w:rsidR="002E1055" w:rsidRPr="008165DA">
        <w:t xml:space="preserve">adherence, </w:t>
      </w:r>
      <w:r w:rsidR="002E1055">
        <w:t xml:space="preserve">which is a well-known contributor </w:t>
      </w:r>
      <w:r w:rsidR="006F6A19">
        <w:t>to arrhythmic events in CPVT</w:t>
      </w:r>
      <w:r w:rsidR="00B22AAA" w:rsidRPr="00B22AAA">
        <w:rPr>
          <w:vertAlign w:val="superscript"/>
        </w:rPr>
        <w:t>8</w:t>
      </w:r>
      <w:r w:rsidR="006F6A19">
        <w:t xml:space="preserve"> and underscores the importance of encouraging medication adherence. </w:t>
      </w:r>
      <w:r w:rsidR="009404D3">
        <w:t>Three</w:t>
      </w:r>
      <w:r w:rsidR="009404D3" w:rsidRPr="008165DA">
        <w:t xml:space="preserve"> </w:t>
      </w:r>
      <w:r w:rsidR="002E1055" w:rsidRPr="008165DA">
        <w:t xml:space="preserve">events occurred in patients </w:t>
      </w:r>
      <w:r w:rsidR="006F6A19">
        <w:t xml:space="preserve">who were treated with </w:t>
      </w:r>
      <w:r w:rsidR="005067B7">
        <w:t xml:space="preserve">monotherapy with </w:t>
      </w:r>
      <w:r w:rsidR="003A157A">
        <w:t xml:space="preserve">a </w:t>
      </w:r>
      <w:r w:rsidR="002E1055">
        <w:t xml:space="preserve">β-blocker </w:t>
      </w:r>
      <w:r w:rsidR="003A157A">
        <w:t xml:space="preserve">other </w:t>
      </w:r>
      <w:r w:rsidR="006F6A19">
        <w:t xml:space="preserve">than </w:t>
      </w:r>
      <w:proofErr w:type="spellStart"/>
      <w:r w:rsidR="006F6A19">
        <w:t>nadolol</w:t>
      </w:r>
      <w:proofErr w:type="spellEnd"/>
      <w:r w:rsidR="006F6A19">
        <w:t xml:space="preserve">, which is thought to be most effective </w:t>
      </w:r>
      <w:r w:rsidR="008415AD">
        <w:t xml:space="preserve">β-blocker </w:t>
      </w:r>
      <w:r w:rsidR="006F6A19">
        <w:t xml:space="preserve">in </w:t>
      </w:r>
      <w:r w:rsidR="008415AD">
        <w:t xml:space="preserve">patients </w:t>
      </w:r>
      <w:r w:rsidR="003A157A">
        <w:t>with</w:t>
      </w:r>
      <w:r w:rsidR="008415AD">
        <w:t xml:space="preserve"> </w:t>
      </w:r>
      <w:r w:rsidR="006F6A19">
        <w:t>CPVT</w:t>
      </w:r>
      <w:r w:rsidR="003F2363">
        <w:t>.</w:t>
      </w:r>
      <w:r w:rsidR="00B22AAA" w:rsidRPr="00B22AAA">
        <w:rPr>
          <w:vertAlign w:val="superscript"/>
        </w:rPr>
        <w:t>13-1</w:t>
      </w:r>
      <w:r w:rsidR="00B22AAA">
        <w:rPr>
          <w:vertAlign w:val="superscript"/>
        </w:rPr>
        <w:t>5</w:t>
      </w:r>
      <w:r w:rsidR="00B22AAA" w:rsidRPr="00B22AAA">
        <w:t xml:space="preserve"> </w:t>
      </w:r>
      <w:r w:rsidR="008415AD">
        <w:t>S</w:t>
      </w:r>
      <w:r w:rsidR="006F6A19">
        <w:t xml:space="preserve">ome of these events </w:t>
      </w:r>
      <w:r w:rsidR="008415AD">
        <w:t xml:space="preserve">could possibly have </w:t>
      </w:r>
      <w:r w:rsidR="006F6A19">
        <w:t xml:space="preserve">been prevented by medication adherence and </w:t>
      </w:r>
      <w:proofErr w:type="spellStart"/>
      <w:r w:rsidR="006F6A19">
        <w:t>nadolol</w:t>
      </w:r>
      <w:proofErr w:type="spellEnd"/>
      <w:r w:rsidR="006F6A19">
        <w:t xml:space="preserve"> combined with flecainide</w:t>
      </w:r>
      <w:r w:rsidR="00B22AAA" w:rsidRPr="00B22AAA">
        <w:rPr>
          <w:vertAlign w:val="superscript"/>
        </w:rPr>
        <w:t>16, 17</w:t>
      </w:r>
      <w:r w:rsidR="006F6A19">
        <w:t xml:space="preserve"> and/or </w:t>
      </w:r>
      <w:r w:rsidR="002139E4">
        <w:t>LCSD</w:t>
      </w:r>
      <w:r w:rsidR="00B22AAA" w:rsidRPr="00B22AAA">
        <w:rPr>
          <w:vertAlign w:val="superscript"/>
        </w:rPr>
        <w:t>18, 19</w:t>
      </w:r>
      <w:r w:rsidR="006F6A19">
        <w:t>.</w:t>
      </w:r>
      <w:r w:rsidR="00482480">
        <w:t xml:space="preserve"> </w:t>
      </w:r>
      <w:r w:rsidR="00482480" w:rsidRPr="00C66391">
        <w:t xml:space="preserve">Indeed, </w:t>
      </w:r>
      <w:r w:rsidR="00C66391" w:rsidRPr="00C66391">
        <w:t>further escalation</w:t>
      </w:r>
      <w:r w:rsidR="00C66391">
        <w:t xml:space="preserve"> of these recommended therapies was </w:t>
      </w:r>
      <w:r w:rsidR="00FE2F65">
        <w:t>associated</w:t>
      </w:r>
      <w:r w:rsidR="00C66391">
        <w:t xml:space="preserve"> with a </w:t>
      </w:r>
      <w:r w:rsidR="00FE2F65">
        <w:t>favorable</w:t>
      </w:r>
      <w:r w:rsidR="00C66391">
        <w:t xml:space="preserve"> long-term prognosis in these patients.</w:t>
      </w:r>
      <w:r w:rsidR="006E3C02">
        <w:t xml:space="preserve"> </w:t>
      </w:r>
    </w:p>
    <w:p w14:paraId="363C19DC" w14:textId="34BF1EF8" w:rsidR="0046348C" w:rsidRDefault="006F6A19" w:rsidP="001A2532">
      <w:pPr>
        <w:ind w:firstLine="708"/>
      </w:pPr>
      <w:r>
        <w:t>Forty-f</w:t>
      </w:r>
      <w:r w:rsidR="005067B7">
        <w:t>ive</w:t>
      </w:r>
      <w:r>
        <w:t xml:space="preserve"> percent </w:t>
      </w:r>
      <w:r w:rsidR="00F2219C">
        <w:t xml:space="preserve">of the patients with an ICD received at least one appropriate shock, </w:t>
      </w:r>
      <w:r>
        <w:t xml:space="preserve">but </w:t>
      </w:r>
      <w:r w:rsidR="00F2219C">
        <w:t>this was not associated with a reduction of SCD</w:t>
      </w:r>
      <w:r w:rsidR="008415AD">
        <w:t xml:space="preserve"> as compared with patients without an ICD</w:t>
      </w:r>
      <w:r w:rsidR="00F2219C">
        <w:t xml:space="preserve">. </w:t>
      </w:r>
      <w:r w:rsidR="002D1C0B">
        <w:t>Previous studies have shown a moderate efficacy of appropriate ICD shocks in patients with CPVT</w:t>
      </w:r>
      <w:r w:rsidR="003F2363">
        <w:t>.</w:t>
      </w:r>
      <w:r w:rsidR="00B22AAA" w:rsidRPr="00B22AAA">
        <w:rPr>
          <w:vertAlign w:val="superscript"/>
        </w:rPr>
        <w:t>5-8</w:t>
      </w:r>
      <w:r w:rsidR="002D1C0B" w:rsidRPr="00322F06">
        <w:t xml:space="preserve"> </w:t>
      </w:r>
      <w:r w:rsidR="002D1C0B">
        <w:t xml:space="preserve">Roses-Noguer et al. studied 13 </w:t>
      </w:r>
      <w:r w:rsidR="008415AD">
        <w:t xml:space="preserve">CPVT </w:t>
      </w:r>
      <w:r w:rsidR="002D1C0B">
        <w:t>patients with an ICD and found that only 20 of 63 appropriate ICD shocks (32%) were effective in terminating the ventricular tachyarrhythmia</w:t>
      </w:r>
      <w:r w:rsidR="003F2363">
        <w:t>.</w:t>
      </w:r>
      <w:r w:rsidR="00B22AAA" w:rsidRPr="00B22AAA">
        <w:rPr>
          <w:vertAlign w:val="superscript"/>
        </w:rPr>
        <w:t>5</w:t>
      </w:r>
      <w:r w:rsidR="002D1C0B">
        <w:t xml:space="preserve"> Shocks delivered to </w:t>
      </w:r>
      <w:r w:rsidR="005B2272">
        <w:t>VF</w:t>
      </w:r>
      <w:r w:rsidR="002D1C0B">
        <w:t xml:space="preserve"> were effective in 83% of episodes, whereas shocks delivered to </w:t>
      </w:r>
      <w:r w:rsidR="005B2272">
        <w:t>VT</w:t>
      </w:r>
      <w:r w:rsidR="002D1C0B">
        <w:t xml:space="preserve"> were effective in only 3% of episodes. </w:t>
      </w:r>
      <w:r w:rsidR="00AB5CA8">
        <w:t xml:space="preserve">Miyake et al. </w:t>
      </w:r>
      <w:r w:rsidR="002B6858">
        <w:t>reported on</w:t>
      </w:r>
      <w:r w:rsidR="00AB5CA8">
        <w:t xml:space="preserve"> 24 </w:t>
      </w:r>
      <w:r w:rsidR="008415AD">
        <w:t xml:space="preserve">CPVT </w:t>
      </w:r>
      <w:r w:rsidR="00AB5CA8">
        <w:t>patients with an ICD</w:t>
      </w:r>
      <w:r w:rsidR="003F2363">
        <w:t>.</w:t>
      </w:r>
      <w:r w:rsidR="00B22AAA" w:rsidRPr="00B22AAA">
        <w:rPr>
          <w:vertAlign w:val="superscript"/>
        </w:rPr>
        <w:t>6</w:t>
      </w:r>
      <w:r w:rsidR="00AB5CA8">
        <w:t xml:space="preserve"> </w:t>
      </w:r>
      <w:r w:rsidR="00F2219C">
        <w:t xml:space="preserve">Ten of these patients experienced </w:t>
      </w:r>
      <w:r w:rsidR="008A1CF0">
        <w:t xml:space="preserve">a total of </w:t>
      </w:r>
      <w:r w:rsidR="00F2219C">
        <w:t xml:space="preserve">75 appropriate shocks, of which 43 (57%) demonstrated successful primary termination. All </w:t>
      </w:r>
      <w:r w:rsidR="00F2219C">
        <w:lastRenderedPageBreak/>
        <w:t xml:space="preserve">successful appropriate shocks were for </w:t>
      </w:r>
      <w:r w:rsidR="005B2272">
        <w:t>VF</w:t>
      </w:r>
      <w:r w:rsidR="00F2219C">
        <w:t>. In both studies</w:t>
      </w:r>
      <w:r w:rsidR="0046348C">
        <w:t>,</w:t>
      </w:r>
      <w:r w:rsidR="00F2219C">
        <w:t xml:space="preserve"> none of the patients died. </w:t>
      </w:r>
      <w:r w:rsidR="006762F9">
        <w:t xml:space="preserve">In </w:t>
      </w:r>
      <w:r w:rsidR="008415AD">
        <w:t>a</w:t>
      </w:r>
      <w:r w:rsidR="006762F9">
        <w:t xml:space="preserve"> large series of children with CPVT, an ICD was implanted in 121 children, of whom 67 (55%) had a history of </w:t>
      </w:r>
      <w:r w:rsidR="0046348C">
        <w:t>S</w:t>
      </w:r>
      <w:r w:rsidR="006762F9">
        <w:t>CA</w:t>
      </w:r>
      <w:r w:rsidR="003F2363">
        <w:t>.</w:t>
      </w:r>
      <w:r w:rsidR="00D22E73" w:rsidRPr="00D22E73">
        <w:rPr>
          <w:highlight w:val="yellow"/>
          <w:vertAlign w:val="superscript"/>
        </w:rPr>
        <w:t>8</w:t>
      </w:r>
      <w:r w:rsidR="006762F9">
        <w:t xml:space="preserve"> </w:t>
      </w:r>
      <w:r w:rsidR="008415AD">
        <w:t>Among the patients with an ICD, e</w:t>
      </w:r>
      <w:r w:rsidR="006762F9">
        <w:t xml:space="preserve">lectrical storm occurred in 18 </w:t>
      </w:r>
      <w:r w:rsidR="008415AD">
        <w:t xml:space="preserve">patients </w:t>
      </w:r>
      <w:r w:rsidR="006762F9">
        <w:t xml:space="preserve">(18.2%) and death occurred in </w:t>
      </w:r>
      <w:r w:rsidR="00110DB2">
        <w:t>3</w:t>
      </w:r>
      <w:r w:rsidR="008415AD">
        <w:t xml:space="preserve"> </w:t>
      </w:r>
      <w:r w:rsidR="006762F9">
        <w:t xml:space="preserve">patients </w:t>
      </w:r>
      <w:r w:rsidR="008415AD">
        <w:t xml:space="preserve">(2%), </w:t>
      </w:r>
      <w:r w:rsidR="006762F9">
        <w:t xml:space="preserve">including </w:t>
      </w:r>
      <w:r w:rsidR="00110DB2">
        <w:t>1</w:t>
      </w:r>
      <w:r w:rsidR="006762F9">
        <w:t xml:space="preserve"> </w:t>
      </w:r>
      <w:r w:rsidR="008415AD">
        <w:t xml:space="preserve">fatality </w:t>
      </w:r>
      <w:r w:rsidR="006762F9">
        <w:t xml:space="preserve">due to electrical storm. </w:t>
      </w:r>
    </w:p>
    <w:p w14:paraId="3AB8DE4B" w14:textId="21EBD04E" w:rsidR="00AA49E6" w:rsidRDefault="004B7547" w:rsidP="001A2532">
      <w:pPr>
        <w:ind w:firstLine="708"/>
      </w:pPr>
      <w:r>
        <w:t>Collectively</w:t>
      </w:r>
      <w:r w:rsidR="00F2219C">
        <w:t xml:space="preserve">, these data suggest that CPVT patients may have recurrent </w:t>
      </w:r>
      <w:r w:rsidR="005B2272">
        <w:t>VT</w:t>
      </w:r>
      <w:r w:rsidR="008415AD">
        <w:t>s</w:t>
      </w:r>
      <w:r w:rsidR="005B2272">
        <w:t xml:space="preserve"> </w:t>
      </w:r>
      <w:r w:rsidR="00F2219C">
        <w:t xml:space="preserve">which cannot successfully be terminated by ICD shocks, but do not </w:t>
      </w:r>
      <w:r w:rsidR="00C4051E">
        <w:t xml:space="preserve">degenerate </w:t>
      </w:r>
      <w:r w:rsidR="008415AD">
        <w:t>in</w:t>
      </w:r>
      <w:r w:rsidR="00C4051E">
        <w:t xml:space="preserve">to </w:t>
      </w:r>
      <w:r w:rsidR="005B2272">
        <w:t>VF</w:t>
      </w:r>
      <w:r w:rsidR="00C4051E">
        <w:t xml:space="preserve"> and </w:t>
      </w:r>
      <w:r w:rsidR="008A1CF0">
        <w:t xml:space="preserve">therefore </w:t>
      </w:r>
      <w:r w:rsidR="00C4051E">
        <w:t xml:space="preserve">do </w:t>
      </w:r>
      <w:r w:rsidR="008A1CF0">
        <w:t xml:space="preserve">not </w:t>
      </w:r>
      <w:r w:rsidR="00C4051E">
        <w:t xml:space="preserve">impact </w:t>
      </w:r>
      <w:r w:rsidR="00110DB2">
        <w:t xml:space="preserve">on </w:t>
      </w:r>
      <w:r w:rsidR="00C4051E">
        <w:t>survival.</w:t>
      </w:r>
      <w:r w:rsidR="006762F9">
        <w:t xml:space="preserve"> On the other hand, appropriate or inappropriate shocks may trigger or maintain electrical storm, which may be fatal,</w:t>
      </w:r>
      <w:r w:rsidR="00B22AAA" w:rsidRPr="00B22AAA">
        <w:rPr>
          <w:vertAlign w:val="superscript"/>
        </w:rPr>
        <w:t>8-11</w:t>
      </w:r>
      <w:r w:rsidR="006762F9">
        <w:t xml:space="preserve"> as was </w:t>
      </w:r>
      <w:r w:rsidR="00921844">
        <w:t xml:space="preserve">probably </w:t>
      </w:r>
      <w:r w:rsidR="006762F9">
        <w:t xml:space="preserve">the case in </w:t>
      </w:r>
      <w:r w:rsidR="008A1CF0">
        <w:t xml:space="preserve">at least </w:t>
      </w:r>
      <w:r w:rsidR="00B22AAA">
        <w:t>2</w:t>
      </w:r>
      <w:r w:rsidR="006762F9">
        <w:t xml:space="preserve"> patient</w:t>
      </w:r>
      <w:r w:rsidR="00B22AAA">
        <w:t>s</w:t>
      </w:r>
      <w:r w:rsidR="006762F9">
        <w:t xml:space="preserve"> in </w:t>
      </w:r>
      <w:r w:rsidR="008415AD">
        <w:t>our</w:t>
      </w:r>
      <w:r w:rsidR="006762F9">
        <w:t xml:space="preserve"> study. </w:t>
      </w:r>
      <w:r w:rsidR="00C23D9E">
        <w:t xml:space="preserve"> In other words, </w:t>
      </w:r>
      <w:r w:rsidR="009A78AF">
        <w:t>this class I recommended intervention (the ICD) conferred no demonstrable survival benefit but only device-related comorbidities including death where the ICD itself could be concluded to be the direct and proximate cause of the patient’s death.</w:t>
      </w:r>
    </w:p>
    <w:p w14:paraId="6134C720" w14:textId="42ECD2D6" w:rsidR="00CB4EFC" w:rsidRDefault="00AA49E6" w:rsidP="001A2532">
      <w:pPr>
        <w:ind w:firstLine="708"/>
      </w:pPr>
      <w:r w:rsidRPr="008165DA">
        <w:t xml:space="preserve">The </w:t>
      </w:r>
      <w:r w:rsidR="009A78AF">
        <w:t xml:space="preserve">other non-lethal </w:t>
      </w:r>
      <w:r w:rsidRPr="008165DA">
        <w:t>side effects associated with</w:t>
      </w:r>
      <w:r w:rsidR="00F9123C">
        <w:t xml:space="preserve"> an</w:t>
      </w:r>
      <w:r w:rsidRPr="008165DA">
        <w:t xml:space="preserve"> ICD in our study were </w:t>
      </w:r>
      <w:r>
        <w:t>substantial</w:t>
      </w:r>
      <w:r w:rsidRPr="008165DA">
        <w:t>.</w:t>
      </w:r>
      <w:r>
        <w:t xml:space="preserve"> Inappropr</w:t>
      </w:r>
      <w:r w:rsidR="004F6069">
        <w:t>iate ICD shocks occurred in 24</w:t>
      </w:r>
      <w:r w:rsidR="00921844">
        <w:t>.7</w:t>
      </w:r>
      <w:r>
        <w:t>% of the patients and other device-related complications in 2</w:t>
      </w:r>
      <w:r w:rsidR="004F6069">
        <w:t>8</w:t>
      </w:r>
      <w:r>
        <w:t>.</w:t>
      </w:r>
      <w:r w:rsidR="004F6069">
        <w:t>9</w:t>
      </w:r>
      <w:r>
        <w:t>%. This is consistent with a meta-analysis on the harm of ICDs in patients with inherited cardiac diseases, in which the number of inappropriate shocks and other device-related complications was highest in patients with CPVT</w:t>
      </w:r>
      <w:r w:rsidR="003F2363">
        <w:t>.</w:t>
      </w:r>
      <w:r w:rsidR="00B22AAA" w:rsidRPr="00B22AAA">
        <w:rPr>
          <w:vertAlign w:val="superscript"/>
        </w:rPr>
        <w:t>20</w:t>
      </w:r>
      <w:r>
        <w:t xml:space="preserve"> </w:t>
      </w:r>
      <w:r w:rsidR="00CB4EFC" w:rsidRPr="00CB4AE3">
        <w:t xml:space="preserve">In </w:t>
      </w:r>
      <w:r w:rsidR="00CB4EFC">
        <w:t>three</w:t>
      </w:r>
      <w:r w:rsidR="00CB4EFC" w:rsidRPr="00CB4AE3">
        <w:t xml:space="preserve"> patients</w:t>
      </w:r>
      <w:r w:rsidR="00F9123C">
        <w:t>,</w:t>
      </w:r>
      <w:r w:rsidR="00CB4EFC" w:rsidRPr="00CB4AE3">
        <w:t xml:space="preserve"> the ICD was explanted</w:t>
      </w:r>
      <w:r w:rsidR="00CB4EFC">
        <w:t xml:space="preserve">, including one in whom recurrent shocks led to device-related </w:t>
      </w:r>
      <w:r w:rsidR="00CB4EFC" w:rsidRPr="00CB4AE3">
        <w:t xml:space="preserve">distress and anxiety. In a recent study on psychosocial implications of living with CPVT, young patients </w:t>
      </w:r>
      <w:r w:rsidR="00CB4EFC" w:rsidRPr="00DF749B">
        <w:t>with an ICD reported significantly worse device-related distress and shock anxiety than older patients</w:t>
      </w:r>
      <w:r w:rsidR="00CB4EFC">
        <w:t xml:space="preserve"> with an ICD</w:t>
      </w:r>
      <w:r w:rsidR="003F2363">
        <w:t>.</w:t>
      </w:r>
      <w:r w:rsidR="00B22AAA" w:rsidRPr="00B22AAA">
        <w:rPr>
          <w:vertAlign w:val="superscript"/>
        </w:rPr>
        <w:t>21</w:t>
      </w:r>
      <w:r w:rsidR="00B22AAA">
        <w:t xml:space="preserve"> </w:t>
      </w:r>
    </w:p>
    <w:p w14:paraId="3F86482E" w14:textId="4186C0A4" w:rsidR="00F45E8F" w:rsidRDefault="00F45E8F" w:rsidP="001A2532">
      <w:pPr>
        <w:ind w:firstLine="708"/>
      </w:pPr>
      <w:bookmarkStart w:id="1" w:name="_Hlk3743659"/>
      <w:r>
        <w:rPr>
          <w:highlight w:val="yellow"/>
        </w:rPr>
        <w:t xml:space="preserve">Supraventricular arrhythmias have </w:t>
      </w:r>
      <w:r w:rsidR="001D5E58">
        <w:rPr>
          <w:highlight w:val="yellow"/>
        </w:rPr>
        <w:t xml:space="preserve">previously </w:t>
      </w:r>
      <w:r>
        <w:rPr>
          <w:highlight w:val="yellow"/>
        </w:rPr>
        <w:t xml:space="preserve">been reported in </w:t>
      </w:r>
      <w:r w:rsidR="00561C78">
        <w:rPr>
          <w:highlight w:val="yellow"/>
        </w:rPr>
        <w:t>5-26</w:t>
      </w:r>
      <w:r>
        <w:rPr>
          <w:highlight w:val="yellow"/>
        </w:rPr>
        <w:t>% of patients with CPVT.</w:t>
      </w:r>
      <w:r w:rsidR="002F2188" w:rsidRPr="002F2188">
        <w:rPr>
          <w:highlight w:val="yellow"/>
          <w:vertAlign w:val="superscript"/>
        </w:rPr>
        <w:t>22</w:t>
      </w:r>
      <w:r w:rsidR="004A0464">
        <w:rPr>
          <w:highlight w:val="yellow"/>
          <w:vertAlign w:val="superscript"/>
        </w:rPr>
        <w:t>, 23</w:t>
      </w:r>
      <w:r>
        <w:rPr>
          <w:highlight w:val="yellow"/>
        </w:rPr>
        <w:t xml:space="preserve"> In CPVT patients with an ICD, aggressive treatment of supraventricular arrhythmias with medication or </w:t>
      </w:r>
      <w:r w:rsidR="00754374">
        <w:rPr>
          <w:highlight w:val="yellow"/>
        </w:rPr>
        <w:t xml:space="preserve">catheter </w:t>
      </w:r>
      <w:r>
        <w:rPr>
          <w:highlight w:val="yellow"/>
        </w:rPr>
        <w:t xml:space="preserve">ablation is </w:t>
      </w:r>
      <w:r w:rsidR="002F2188">
        <w:rPr>
          <w:highlight w:val="yellow"/>
        </w:rPr>
        <w:t xml:space="preserve">very important </w:t>
      </w:r>
      <w:r>
        <w:rPr>
          <w:highlight w:val="yellow"/>
        </w:rPr>
        <w:t>to reduce the risk of inappropriate ICD shocks which can trigger an electrical storm.</w:t>
      </w:r>
      <w:r w:rsidR="002F2188" w:rsidRPr="002F2188">
        <w:rPr>
          <w:highlight w:val="yellow"/>
          <w:vertAlign w:val="superscript"/>
        </w:rPr>
        <w:t>10</w:t>
      </w:r>
      <w:r>
        <w:rPr>
          <w:highlight w:val="yellow"/>
        </w:rPr>
        <w:t xml:space="preserve"> Indeed, in </w:t>
      </w:r>
      <w:r w:rsidR="002F2188">
        <w:rPr>
          <w:highlight w:val="yellow"/>
        </w:rPr>
        <w:t>7</w:t>
      </w:r>
      <w:r>
        <w:rPr>
          <w:highlight w:val="yellow"/>
        </w:rPr>
        <w:t xml:space="preserve"> patients an inappropriate ICD shock was caused by a supraventricular arrhythmia. In addition, all </w:t>
      </w:r>
      <w:r w:rsidR="002F2188">
        <w:rPr>
          <w:highlight w:val="yellow"/>
        </w:rPr>
        <w:t>3</w:t>
      </w:r>
      <w:r>
        <w:rPr>
          <w:highlight w:val="yellow"/>
        </w:rPr>
        <w:t xml:space="preserve"> patients who died were known </w:t>
      </w:r>
      <w:r w:rsidR="001D5E58">
        <w:rPr>
          <w:highlight w:val="yellow"/>
        </w:rPr>
        <w:t xml:space="preserve">to have </w:t>
      </w:r>
      <w:r>
        <w:rPr>
          <w:highlight w:val="yellow"/>
        </w:rPr>
        <w:t>either atrial fibrillation or atrial flutter and this triggered the fatal electrical storm in at least one of them.</w:t>
      </w:r>
      <w:r w:rsidR="00BA7192">
        <w:rPr>
          <w:highlight w:val="yellow"/>
        </w:rPr>
        <w:t xml:space="preserve"> One may consider an even more stringent policy as to ICD implantation in patients with documented supraventricular arrhythmias.</w:t>
      </w:r>
      <w:r>
        <w:rPr>
          <w:highlight w:val="yellow"/>
        </w:rPr>
        <w:t xml:space="preserve"> </w:t>
      </w:r>
    </w:p>
    <w:bookmarkEnd w:id="1"/>
    <w:p w14:paraId="34E5F418" w14:textId="369D4BBF" w:rsidR="009404D3" w:rsidRDefault="009404D3" w:rsidP="001A2532">
      <w:pPr>
        <w:ind w:firstLine="708"/>
      </w:pPr>
      <w:r>
        <w:lastRenderedPageBreak/>
        <w:t xml:space="preserve">This was a non-randomized, retrospective, observational study. </w:t>
      </w:r>
      <w:r w:rsidR="00D2531C">
        <w:t xml:space="preserve">A prospective randomized trial on this topic </w:t>
      </w:r>
      <w:r w:rsidR="00921844">
        <w:t>will be difficult to execute</w:t>
      </w:r>
      <w:r w:rsidR="00D2531C">
        <w:t>, because CPVT is a rare condition, only a minority of the patients with CPVT present with SCA (~1</w:t>
      </w:r>
      <w:r w:rsidR="00A75C5B">
        <w:t>3</w:t>
      </w:r>
      <w:r w:rsidR="00D2531C">
        <w:t xml:space="preserve">% of the patients in the </w:t>
      </w:r>
      <w:r w:rsidR="00D2531C" w:rsidRPr="00507CEE">
        <w:t>International CPVT Registry</w:t>
      </w:r>
      <w:r w:rsidR="00D2531C">
        <w:t xml:space="preserve">), and </w:t>
      </w:r>
      <w:r w:rsidR="00E1727D">
        <w:t xml:space="preserve">the incidence of SCD, which would be the most appropriate primary endpoint, </w:t>
      </w:r>
      <w:r w:rsidR="00921844">
        <w:t xml:space="preserve">is </w:t>
      </w:r>
      <w:r w:rsidR="00E1727D">
        <w:t xml:space="preserve">low. </w:t>
      </w:r>
      <w:r w:rsidR="00E1727D" w:rsidRPr="00F46689">
        <w:rPr>
          <w:strike/>
          <w:highlight w:val="yellow"/>
        </w:rPr>
        <w:t>The vast</w:t>
      </w:r>
      <w:r w:rsidR="00D0204D" w:rsidRPr="00F46689">
        <w:rPr>
          <w:strike/>
          <w:highlight w:val="yellow"/>
        </w:rPr>
        <w:t xml:space="preserve"> majority of international </w:t>
      </w:r>
      <w:r w:rsidR="00D0204D" w:rsidRPr="00F46689">
        <w:rPr>
          <w:strike/>
          <w:highlight w:val="yellow"/>
          <w:lang w:val="en-GB"/>
        </w:rPr>
        <w:t>cent</w:t>
      </w:r>
      <w:r w:rsidR="00E1727D" w:rsidRPr="00F46689">
        <w:rPr>
          <w:strike/>
          <w:highlight w:val="yellow"/>
          <w:lang w:val="en-GB"/>
        </w:rPr>
        <w:t>r</w:t>
      </w:r>
      <w:r w:rsidR="00D0204D" w:rsidRPr="00F46689">
        <w:rPr>
          <w:strike/>
          <w:highlight w:val="yellow"/>
          <w:lang w:val="en-GB"/>
        </w:rPr>
        <w:t>e</w:t>
      </w:r>
      <w:r w:rsidR="00E1727D" w:rsidRPr="00F46689">
        <w:rPr>
          <w:strike/>
          <w:highlight w:val="yellow"/>
          <w:lang w:val="en-GB"/>
        </w:rPr>
        <w:t>s</w:t>
      </w:r>
      <w:r w:rsidR="00E1727D" w:rsidRPr="00F46689">
        <w:rPr>
          <w:strike/>
          <w:highlight w:val="yellow"/>
        </w:rPr>
        <w:t xml:space="preserve"> who have published on patients with CPVT contributed to this study, so it is unlikely that another study will be able to address this topic in the coming years.</w:t>
      </w:r>
      <w:r w:rsidR="00E1727D">
        <w:t xml:space="preserve"> </w:t>
      </w:r>
    </w:p>
    <w:p w14:paraId="39A03CE9" w14:textId="734D27CA" w:rsidR="00344383" w:rsidRDefault="00BB217C" w:rsidP="001A2532">
      <w:pPr>
        <w:ind w:firstLine="708"/>
      </w:pPr>
      <w:r w:rsidRPr="008165DA">
        <w:t xml:space="preserve">Our study </w:t>
      </w:r>
      <w:r w:rsidR="004F2333">
        <w:t xml:space="preserve">presented some limitations inherent to this kind of </w:t>
      </w:r>
      <w:r>
        <w:t>clinical retrospective research</w:t>
      </w:r>
      <w:r w:rsidR="004F2333">
        <w:t xml:space="preserve">, including </w:t>
      </w:r>
      <w:r>
        <w:t xml:space="preserve">retrospective data </w:t>
      </w:r>
      <w:r w:rsidR="003A5157">
        <w:t>extraction</w:t>
      </w:r>
      <w:r>
        <w:t>.</w:t>
      </w:r>
      <w:r w:rsidR="004F2333">
        <w:t xml:space="preserve"> Some potentially important data</w:t>
      </w:r>
      <w:r w:rsidR="00344383">
        <w:t xml:space="preserve"> </w:t>
      </w:r>
      <w:r w:rsidR="00D30F92">
        <w:t>were unknown in a substantial number of patients.</w:t>
      </w:r>
      <w:r w:rsidR="003A5AC3">
        <w:t xml:space="preserve"> </w:t>
      </w:r>
      <w:r w:rsidR="00344383">
        <w:t>In addition, some differences existed between the patients with and without an ICD. Most importantly</w:t>
      </w:r>
      <w:r w:rsidR="00344383" w:rsidRPr="00984748">
        <w:t>, patients who did not receive an ICD were significantly younger. Younger age at diagnosis has been associated with an increased risk of arrhythmic events in symptomatic and asymptomatic patients with CPVT</w:t>
      </w:r>
      <w:r w:rsidR="00344383">
        <w:t>,</w:t>
      </w:r>
      <w:r w:rsidR="00C33330" w:rsidRPr="00C33330">
        <w:rPr>
          <w:vertAlign w:val="superscript"/>
        </w:rPr>
        <w:t>13</w:t>
      </w:r>
      <w:r w:rsidR="00344383" w:rsidRPr="00984748">
        <w:t xml:space="preserve"> indicating a possible elevated risk of outcome events in the patients in whom no ICD was implanted. </w:t>
      </w:r>
      <w:r w:rsidR="00344383">
        <w:t>Indeed, the increased incidences of SCD and SCA in patients with an ICD as compared with those without an ICD were most pronounced in children &lt;14 years of age.</w:t>
      </w:r>
      <w:r w:rsidR="006D6465">
        <w:t xml:space="preserve"> </w:t>
      </w:r>
      <w:r w:rsidR="006D6465" w:rsidRPr="006D6465">
        <w:rPr>
          <w:highlight w:val="yellow"/>
        </w:rPr>
        <w:t>Finally, we cannot rule out that some ICD shocks were wrongfully classified as appropriate in the patients with a single chamber ICD.</w:t>
      </w:r>
      <w:r w:rsidR="006D6465" w:rsidRPr="006D6465">
        <w:t xml:space="preserve"> </w:t>
      </w:r>
      <w:r w:rsidR="00344383">
        <w:t xml:space="preserve"> </w:t>
      </w:r>
    </w:p>
    <w:p w14:paraId="4EB4318E" w14:textId="7842AABB" w:rsidR="00921844" w:rsidRDefault="00344383" w:rsidP="001A2532">
      <w:pPr>
        <w:ind w:firstLine="708"/>
      </w:pPr>
      <w:r>
        <w:t>In conclusion, a</w:t>
      </w:r>
      <w:r w:rsidR="00F3343C">
        <w:t xml:space="preserve">mong patients who presented with SCA prior to diagnosis of and treatment for CPVT, </w:t>
      </w:r>
      <w:r w:rsidR="009A78AF">
        <w:t xml:space="preserve">the </w:t>
      </w:r>
      <w:r w:rsidR="00F3343C">
        <w:t>ICD did not confer a survival benefit</w:t>
      </w:r>
      <w:r w:rsidR="00161EF3">
        <w:t xml:space="preserve"> but</w:t>
      </w:r>
      <w:r w:rsidR="009A78AF">
        <w:t xml:space="preserve"> only ICD-associated co-morbidities including device-attributable death</w:t>
      </w:r>
      <w:r w:rsidR="00F3343C">
        <w:t>.</w:t>
      </w:r>
      <w:r w:rsidR="00B7607B">
        <w:t xml:space="preserve"> In patients in whom an ICD was implanted directly after the </w:t>
      </w:r>
      <w:r w:rsidR="00F3343C">
        <w:t>S</w:t>
      </w:r>
      <w:r w:rsidR="00B7607B">
        <w:t>CA</w:t>
      </w:r>
      <w:r w:rsidR="00F3343C">
        <w:t>,</w:t>
      </w:r>
      <w:r w:rsidR="00B7607B">
        <w:t xml:space="preserve"> we observed </w:t>
      </w:r>
      <w:r w:rsidR="003F2363">
        <w:t>three</w:t>
      </w:r>
      <w:r w:rsidR="00B7607B">
        <w:t xml:space="preserve"> cases of SCD, including </w:t>
      </w:r>
      <w:r w:rsidR="003F2363">
        <w:t>two</w:t>
      </w:r>
      <w:r w:rsidR="00B7607B">
        <w:t xml:space="preserve"> </w:t>
      </w:r>
      <w:r w:rsidR="00482480">
        <w:t xml:space="preserve">due to </w:t>
      </w:r>
      <w:r w:rsidR="00B7607B">
        <w:t xml:space="preserve">electrical storm, </w:t>
      </w:r>
      <w:r w:rsidR="00F3343C">
        <w:t xml:space="preserve">as well as </w:t>
      </w:r>
      <w:r w:rsidR="00B7607B">
        <w:t xml:space="preserve">high rates of appropriate and inappropriate ICD shocks and other ICD-related complications. </w:t>
      </w:r>
      <w:r w:rsidR="0094554E" w:rsidRPr="008165DA">
        <w:t xml:space="preserve">Strict adherence to guideline-based therapy </w:t>
      </w:r>
      <w:r w:rsidR="00B7607B">
        <w:t xml:space="preserve">including β-blockers, </w:t>
      </w:r>
      <w:proofErr w:type="spellStart"/>
      <w:r w:rsidR="00B7607B">
        <w:t>flecainide</w:t>
      </w:r>
      <w:proofErr w:type="spellEnd"/>
      <w:r w:rsidR="00F3343C">
        <w:t>,</w:t>
      </w:r>
      <w:r w:rsidR="00B7607B">
        <w:t xml:space="preserve"> and </w:t>
      </w:r>
      <w:r w:rsidR="002139E4">
        <w:t>LCSD</w:t>
      </w:r>
      <w:r w:rsidR="00B7607B">
        <w:t xml:space="preserve"> </w:t>
      </w:r>
      <w:r w:rsidR="0094554E" w:rsidRPr="008165DA">
        <w:t>without an ICD may provide adequate protection</w:t>
      </w:r>
      <w:r w:rsidR="005D6D26">
        <w:t xml:space="preserve"> for secondary prevention of SCD </w:t>
      </w:r>
      <w:r w:rsidR="00F3343C">
        <w:t xml:space="preserve">without exposing the patient to the potential </w:t>
      </w:r>
      <w:r w:rsidR="005D6D26">
        <w:t>harm of ICDs in patients with CPVT</w:t>
      </w:r>
      <w:r w:rsidR="0094554E" w:rsidRPr="008165DA">
        <w:t>.</w:t>
      </w:r>
      <w:r w:rsidR="005D6D26">
        <w:t xml:space="preserve"> </w:t>
      </w:r>
      <w:r w:rsidR="006A7601">
        <w:t xml:space="preserve">This option as well as the utmost importance of </w:t>
      </w:r>
      <w:r w:rsidR="00921844">
        <w:t xml:space="preserve">medication </w:t>
      </w:r>
      <w:r w:rsidR="00921844" w:rsidRPr="008165DA">
        <w:t>adherence</w:t>
      </w:r>
      <w:r w:rsidR="00921844">
        <w:t xml:space="preserve"> </w:t>
      </w:r>
      <w:r w:rsidR="006A7601">
        <w:t>should be discussed with these young patients and/or their parents.</w:t>
      </w:r>
      <w:r w:rsidR="00161EF3">
        <w:t xml:space="preserve"> Contrary to the current guidelines that stipulate an ICD as a class I recommendation for patients with CPVT who experienced SCA, it may be </w:t>
      </w:r>
      <w:r w:rsidR="00161EF3">
        <w:lastRenderedPageBreak/>
        <w:t xml:space="preserve">as reasonable to forego an ICD and instead proceed with triple therapy comprised of </w:t>
      </w:r>
      <w:proofErr w:type="spellStart"/>
      <w:r w:rsidR="00161EF3">
        <w:t>nadolol</w:t>
      </w:r>
      <w:proofErr w:type="spellEnd"/>
      <w:r w:rsidR="00161EF3">
        <w:t xml:space="preserve">, </w:t>
      </w:r>
      <w:proofErr w:type="spellStart"/>
      <w:r w:rsidR="00161EF3">
        <w:t>flecainide</w:t>
      </w:r>
      <w:proofErr w:type="spellEnd"/>
      <w:r w:rsidR="00161EF3">
        <w:t>, and LCSD.</w:t>
      </w:r>
      <w:r w:rsidR="006A7601">
        <w:t xml:space="preserve"> </w:t>
      </w:r>
    </w:p>
    <w:p w14:paraId="71DDE3EF" w14:textId="77777777" w:rsidR="005A28C2" w:rsidRDefault="00711AC3" w:rsidP="001A2532">
      <w:pPr>
        <w:pStyle w:val="Kop1"/>
        <w:spacing w:before="0" w:after="0"/>
      </w:pPr>
      <w:r>
        <w:br w:type="page"/>
      </w:r>
      <w:r w:rsidR="005A28C2">
        <w:lastRenderedPageBreak/>
        <w:t>Acknowledgements</w:t>
      </w:r>
    </w:p>
    <w:p w14:paraId="687E2F5F" w14:textId="6C526FCB" w:rsidR="00F11675" w:rsidRDefault="00F11675" w:rsidP="001A2532">
      <w:r>
        <w:t xml:space="preserve">The authors thank </w:t>
      </w:r>
      <w:proofErr w:type="spellStart"/>
      <w:r>
        <w:t>Drs</w:t>
      </w:r>
      <w:proofErr w:type="spellEnd"/>
      <w:r>
        <w:t xml:space="preserve"> </w:t>
      </w:r>
      <w:r w:rsidRPr="003F2CDF">
        <w:t>Alban-</w:t>
      </w:r>
      <w:proofErr w:type="spellStart"/>
      <w:r w:rsidRPr="003F2CDF">
        <w:t>Elouen</w:t>
      </w:r>
      <w:proofErr w:type="spellEnd"/>
      <w:r w:rsidRPr="003F2CDF">
        <w:t xml:space="preserve"> </w:t>
      </w:r>
      <w:proofErr w:type="spellStart"/>
      <w:r w:rsidRPr="003F2CDF">
        <w:t>Baruteau</w:t>
      </w:r>
      <w:proofErr w:type="spellEnd"/>
      <w:r w:rsidRPr="003F2CDF">
        <w:t>,</w:t>
      </w:r>
      <w:r>
        <w:t xml:space="preserve"> </w:t>
      </w:r>
      <w:r w:rsidRPr="00FA70E2">
        <w:t xml:space="preserve">Henning </w:t>
      </w:r>
      <w:proofErr w:type="spellStart"/>
      <w:r w:rsidRPr="00FA70E2">
        <w:t>Bundgaard</w:t>
      </w:r>
      <w:proofErr w:type="spellEnd"/>
      <w:r>
        <w:t xml:space="preserve">, </w:t>
      </w:r>
      <w:proofErr w:type="spellStart"/>
      <w:r w:rsidRPr="00DF4CDD">
        <w:t>Shuhei</w:t>
      </w:r>
      <w:proofErr w:type="spellEnd"/>
      <w:r w:rsidRPr="00DF4CDD">
        <w:t xml:space="preserve"> Fujita</w:t>
      </w:r>
      <w:r>
        <w:t>,</w:t>
      </w:r>
      <w:r w:rsidRPr="0083379E">
        <w:t xml:space="preserve"> Yvonne </w:t>
      </w:r>
      <w:proofErr w:type="spellStart"/>
      <w:r w:rsidRPr="0083379E">
        <w:t>Hoedemaekers</w:t>
      </w:r>
      <w:proofErr w:type="spellEnd"/>
      <w:r>
        <w:t xml:space="preserve">, </w:t>
      </w:r>
      <w:r w:rsidRPr="00DF4CDD">
        <w:t>Kenji Hoshino</w:t>
      </w:r>
      <w:r>
        <w:t>,</w:t>
      </w:r>
      <w:r w:rsidRPr="00DF4CDD">
        <w:t xml:space="preserve"> </w:t>
      </w:r>
      <w:proofErr w:type="spellStart"/>
      <w:r w:rsidRPr="00DF4CDD">
        <w:t>Gaku</w:t>
      </w:r>
      <w:proofErr w:type="spellEnd"/>
      <w:r w:rsidRPr="00DF4CDD">
        <w:t xml:space="preserve"> Izumi</w:t>
      </w:r>
      <w:r>
        <w:t>,</w:t>
      </w:r>
      <w:r w:rsidRPr="00FA70E2">
        <w:t xml:space="preserve"> Camilla Jespersen</w:t>
      </w:r>
      <w:r>
        <w:t xml:space="preserve">, </w:t>
      </w:r>
      <w:r w:rsidRPr="00DF4CDD">
        <w:t>Kimie Okubo</w:t>
      </w:r>
      <w:r>
        <w:t>,</w:t>
      </w:r>
      <w:r w:rsidRPr="003F2CDF">
        <w:t xml:space="preserve"> </w:t>
      </w:r>
      <w:proofErr w:type="spellStart"/>
      <w:r w:rsidRPr="003F2CDF">
        <w:t>Shubhayan</w:t>
      </w:r>
      <w:proofErr w:type="spellEnd"/>
      <w:r w:rsidRPr="003F2CDF">
        <w:t xml:space="preserve"> </w:t>
      </w:r>
      <w:proofErr w:type="spellStart"/>
      <w:r w:rsidRPr="003F2CDF">
        <w:t>Sanatani</w:t>
      </w:r>
      <w:proofErr w:type="spellEnd"/>
      <w:r>
        <w:t xml:space="preserve">, </w:t>
      </w:r>
      <w:proofErr w:type="spellStart"/>
      <w:r w:rsidRPr="00DF4CDD">
        <w:t>Tadakatsu</w:t>
      </w:r>
      <w:proofErr w:type="spellEnd"/>
      <w:r w:rsidRPr="00DF4CDD">
        <w:t xml:space="preserve"> Yamada</w:t>
      </w:r>
      <w:r>
        <w:t>,</w:t>
      </w:r>
      <w:r w:rsidRPr="00DF4CDD">
        <w:t xml:space="preserve"> </w:t>
      </w:r>
      <w:r>
        <w:t xml:space="preserve">and </w:t>
      </w:r>
      <w:r w:rsidRPr="00DF4CDD">
        <w:t>Yoko Yoshida</w:t>
      </w:r>
      <w:r>
        <w:t xml:space="preserve"> for data collection and/or review of the manuscript. </w:t>
      </w:r>
      <w:r w:rsidRPr="005A28C2">
        <w:t xml:space="preserve">The data collection and management for this paper was performed using the </w:t>
      </w:r>
      <w:proofErr w:type="spellStart"/>
      <w:r w:rsidRPr="005A28C2">
        <w:t>OpenClinica</w:t>
      </w:r>
      <w:proofErr w:type="spellEnd"/>
      <w:r w:rsidRPr="005A28C2">
        <w:t xml:space="preserve"> open source software, version 3.</w:t>
      </w:r>
      <w:r>
        <w:t>6</w:t>
      </w:r>
      <w:r w:rsidRPr="005A28C2">
        <w:t xml:space="preserve">. Copyright © </w:t>
      </w:r>
      <w:proofErr w:type="spellStart"/>
      <w:r w:rsidRPr="005A28C2">
        <w:t>OpenClinica</w:t>
      </w:r>
      <w:proofErr w:type="spellEnd"/>
      <w:r w:rsidRPr="005A28C2">
        <w:t xml:space="preserve"> LLC and collaborators, Waltham, MA, USA, </w:t>
      </w:r>
      <w:r w:rsidR="00FD35C8" w:rsidRPr="006F4537">
        <w:rPr>
          <w:rStyle w:val="Hyperlink"/>
          <w:color w:val="auto"/>
          <w:u w:val="none"/>
        </w:rPr>
        <w:t>www.OpenClinica.com</w:t>
      </w:r>
      <w:r w:rsidRPr="006F4537">
        <w:t>.</w:t>
      </w:r>
    </w:p>
    <w:p w14:paraId="4BEC50EA" w14:textId="77777777" w:rsidR="00FD35C8" w:rsidRDefault="00FD35C8" w:rsidP="001A2532"/>
    <w:p w14:paraId="43E8EF15" w14:textId="77777777" w:rsidR="00711AC3" w:rsidRDefault="00711AC3" w:rsidP="001A2532">
      <w:pPr>
        <w:pStyle w:val="Kop1"/>
        <w:spacing w:before="0" w:after="0"/>
      </w:pPr>
      <w:r>
        <w:t>Funding</w:t>
      </w:r>
    </w:p>
    <w:p w14:paraId="5A28DCCF" w14:textId="77777777" w:rsidR="00711AC3" w:rsidRDefault="00711AC3" w:rsidP="001A2532">
      <w:r w:rsidRPr="004F33AC">
        <w:t xml:space="preserve">This work was supported by </w:t>
      </w:r>
      <w:proofErr w:type="spellStart"/>
      <w:r w:rsidRPr="004F33AC">
        <w:t>ZonMW</w:t>
      </w:r>
      <w:proofErr w:type="spellEnd"/>
      <w:r w:rsidRPr="004F33AC">
        <w:t xml:space="preserve"> Priority Medicines for Rare Diseases and Orphan Drugs (grant 113304045 to </w:t>
      </w:r>
      <w:r w:rsidR="003F2CDF">
        <w:t>Dr Van der Werf</w:t>
      </w:r>
      <w:r w:rsidRPr="004F33AC">
        <w:t xml:space="preserve">), </w:t>
      </w:r>
      <w:r>
        <w:t xml:space="preserve">the </w:t>
      </w:r>
      <w:r w:rsidRPr="006975CC">
        <w:t>National Health and Medical Research Council (NHMRC</w:t>
      </w:r>
      <w:r>
        <w:t xml:space="preserve"> </w:t>
      </w:r>
      <w:r w:rsidRPr="006975CC">
        <w:t>Practitioner Fellowship 1059156</w:t>
      </w:r>
      <w:r>
        <w:t xml:space="preserve"> to </w:t>
      </w:r>
      <w:r w:rsidR="003F2CDF">
        <w:t>Dr Semsarian</w:t>
      </w:r>
      <w:r w:rsidRPr="006975CC">
        <w:t>)</w:t>
      </w:r>
      <w:r>
        <w:t xml:space="preserve">, </w:t>
      </w:r>
      <w:r w:rsidRPr="004F33AC">
        <w:t xml:space="preserve">the Mayo Clinic </w:t>
      </w:r>
      <w:proofErr w:type="spellStart"/>
      <w:r w:rsidRPr="004F33AC">
        <w:t>Windland</w:t>
      </w:r>
      <w:proofErr w:type="spellEnd"/>
      <w:r w:rsidRPr="004F33AC">
        <w:t xml:space="preserve"> Smith Rice Comprehensive Sudden Cardiac Death Program (to </w:t>
      </w:r>
      <w:r w:rsidR="003F2CDF">
        <w:t>Dr Ackerman</w:t>
      </w:r>
      <w:r w:rsidRPr="004F33AC">
        <w:t xml:space="preserve">), the Netherlands Federation of University Medical </w:t>
      </w:r>
      <w:proofErr w:type="spellStart"/>
      <w:r w:rsidRPr="004F33AC">
        <w:t>Centres</w:t>
      </w:r>
      <w:proofErr w:type="spellEnd"/>
      <w:r w:rsidRPr="004F33AC">
        <w:t xml:space="preserve">, the Netherlands </w:t>
      </w:r>
      <w:proofErr w:type="spellStart"/>
      <w:r w:rsidRPr="004F33AC">
        <w:t>Organisation</w:t>
      </w:r>
      <w:proofErr w:type="spellEnd"/>
      <w:r w:rsidRPr="004F33AC">
        <w:t xml:space="preserve"> for Health Research and Development and the Royal Netherlands Academy of Sciences (CVON 2012-10 PREDICT to </w:t>
      </w:r>
      <w:r w:rsidR="003F2CDF">
        <w:t>Dr Wilde</w:t>
      </w:r>
      <w:r w:rsidRPr="004F33AC">
        <w:t xml:space="preserve">), </w:t>
      </w:r>
      <w:r>
        <w:t xml:space="preserve">and </w:t>
      </w:r>
      <w:r w:rsidRPr="004F33AC">
        <w:t xml:space="preserve">E-Rare Joint Transnational Call for Proposals 2015 "Improving Diagnosis and Treatment of </w:t>
      </w:r>
      <w:proofErr w:type="spellStart"/>
      <w:r w:rsidRPr="004F33AC">
        <w:t>Catecholaminergic</w:t>
      </w:r>
      <w:proofErr w:type="spellEnd"/>
      <w:r w:rsidRPr="004F33AC">
        <w:t xml:space="preserve"> Polymorphic Ventricular Tachycardia: Integrating Clin</w:t>
      </w:r>
      <w:r>
        <w:t xml:space="preserve">ical and Basic Science” (to </w:t>
      </w:r>
      <w:proofErr w:type="spellStart"/>
      <w:r w:rsidR="003F2CDF">
        <w:t>Drs</w:t>
      </w:r>
      <w:proofErr w:type="spellEnd"/>
      <w:r w:rsidR="003F2CDF">
        <w:t xml:space="preserve"> </w:t>
      </w:r>
      <w:proofErr w:type="spellStart"/>
      <w:r w:rsidR="003F2CDF">
        <w:t>Leenhardt</w:t>
      </w:r>
      <w:proofErr w:type="spellEnd"/>
      <w:r w:rsidR="003F2CDF">
        <w:t xml:space="preserve"> and Wilde</w:t>
      </w:r>
      <w:r w:rsidRPr="004F33AC">
        <w:t>).</w:t>
      </w:r>
      <w:r w:rsidRPr="00585254">
        <w:t xml:space="preserve"> </w:t>
      </w:r>
    </w:p>
    <w:p w14:paraId="6CABC56B" w14:textId="77777777" w:rsidR="00FD35C8" w:rsidRDefault="00FD35C8" w:rsidP="001A2532"/>
    <w:p w14:paraId="14C17A02" w14:textId="77777777" w:rsidR="00711AC3" w:rsidRDefault="004F6069" w:rsidP="001A2532">
      <w:pPr>
        <w:pStyle w:val="Kop1"/>
        <w:spacing w:before="0" w:after="0"/>
      </w:pPr>
      <w:r>
        <w:t>Conflicts of interest</w:t>
      </w:r>
    </w:p>
    <w:p w14:paraId="5D725400" w14:textId="4C290B6A" w:rsidR="00711AC3" w:rsidRDefault="003F2CDF" w:rsidP="001A2532">
      <w:r>
        <w:t xml:space="preserve">Dr Ackerman </w:t>
      </w:r>
      <w:r w:rsidR="00711AC3">
        <w:t xml:space="preserve">is a consultant for </w:t>
      </w:r>
      <w:proofErr w:type="spellStart"/>
      <w:r w:rsidR="00711AC3">
        <w:t>Audentes</w:t>
      </w:r>
      <w:proofErr w:type="spellEnd"/>
      <w:r w:rsidR="00711AC3">
        <w:t xml:space="preserve"> Therapeutics, Boston Scientific, Gilead Sciences, </w:t>
      </w:r>
      <w:proofErr w:type="spellStart"/>
      <w:r w:rsidR="00711AC3">
        <w:t>Invitae</w:t>
      </w:r>
      <w:proofErr w:type="spellEnd"/>
      <w:r w:rsidR="00711AC3">
        <w:t xml:space="preserve">, Medtronic, </w:t>
      </w:r>
      <w:proofErr w:type="spellStart"/>
      <w:r w:rsidR="00711AC3">
        <w:t>MyoKardia</w:t>
      </w:r>
      <w:proofErr w:type="spellEnd"/>
      <w:r w:rsidR="00711AC3">
        <w:t xml:space="preserve">, and St. Jude Medical. MJA and Mayo Clinic have an equity/royalty agreement with </w:t>
      </w:r>
      <w:proofErr w:type="spellStart"/>
      <w:r w:rsidR="00711AC3">
        <w:t>AliveCor</w:t>
      </w:r>
      <w:proofErr w:type="spellEnd"/>
      <w:r w:rsidR="00711AC3">
        <w:t xml:space="preserve">, Blue Ox Health, and </w:t>
      </w:r>
      <w:proofErr w:type="spellStart"/>
      <w:r w:rsidR="00711AC3">
        <w:t>StemoniX</w:t>
      </w:r>
      <w:proofErr w:type="spellEnd"/>
      <w:r w:rsidR="00711AC3">
        <w:t xml:space="preserve"> without remuneration thus far. </w:t>
      </w:r>
      <w:r w:rsidRPr="003F2CDF">
        <w:t xml:space="preserve">Dr Wilde serves on the scientific advisory board of </w:t>
      </w:r>
      <w:proofErr w:type="spellStart"/>
      <w:r w:rsidR="00B74204">
        <w:t>Audentes</w:t>
      </w:r>
      <w:proofErr w:type="spellEnd"/>
      <w:r w:rsidR="00B74204">
        <w:t xml:space="preserve"> Therapeutics</w:t>
      </w:r>
      <w:r w:rsidRPr="003F2CDF">
        <w:t xml:space="preserve">. </w:t>
      </w:r>
      <w:r w:rsidR="00711AC3">
        <w:t>However, none of these entities have been involved in this study in any way.</w:t>
      </w:r>
      <w:r>
        <w:t xml:space="preserve"> The other authors report no conflicts.</w:t>
      </w:r>
    </w:p>
    <w:p w14:paraId="060D6376" w14:textId="77777777" w:rsidR="0094554E" w:rsidRPr="008165DA" w:rsidRDefault="0020724D" w:rsidP="001A2532">
      <w:pPr>
        <w:pStyle w:val="Kop1"/>
        <w:spacing w:before="0" w:after="0"/>
      </w:pPr>
      <w:r>
        <w:lastRenderedPageBreak/>
        <w:t>References</w:t>
      </w:r>
    </w:p>
    <w:p w14:paraId="4F967217" w14:textId="77777777" w:rsidR="009A5FC9" w:rsidRDefault="009A5FC9" w:rsidP="001A2532">
      <w:r>
        <w:t xml:space="preserve">1. </w:t>
      </w:r>
      <w:r w:rsidRPr="002F22A3">
        <w:t>Al-</w:t>
      </w:r>
      <w:proofErr w:type="spellStart"/>
      <w:r w:rsidRPr="002F22A3">
        <w:t>Khatib</w:t>
      </w:r>
      <w:proofErr w:type="spellEnd"/>
      <w:r w:rsidRPr="002F22A3">
        <w:t xml:space="preserve"> SM, Stevenson WG, Ackerman MJ, Bryant WJ, </w:t>
      </w:r>
      <w:proofErr w:type="spellStart"/>
      <w:r w:rsidRPr="002F22A3">
        <w:t>Callans</w:t>
      </w:r>
      <w:proofErr w:type="spellEnd"/>
      <w:r w:rsidRPr="002F22A3">
        <w:t xml:space="preserve"> DJ, Curtis AB, Deal BJ, </w:t>
      </w:r>
      <w:proofErr w:type="spellStart"/>
      <w:r w:rsidRPr="002F22A3">
        <w:t>Dickfeld</w:t>
      </w:r>
      <w:proofErr w:type="spellEnd"/>
      <w:r w:rsidRPr="002F22A3">
        <w:t xml:space="preserve"> T, Field ME, </w:t>
      </w:r>
      <w:proofErr w:type="spellStart"/>
      <w:r w:rsidRPr="002F22A3">
        <w:t>Fonarow</w:t>
      </w:r>
      <w:proofErr w:type="spellEnd"/>
      <w:r w:rsidRPr="002F22A3">
        <w:t xml:space="preserve"> GC, Gillis AM, Granger CB, Hammill SC, </w:t>
      </w:r>
      <w:proofErr w:type="spellStart"/>
      <w:r w:rsidRPr="002F22A3">
        <w:t>Hlatky</w:t>
      </w:r>
      <w:proofErr w:type="spellEnd"/>
      <w:r w:rsidRPr="002F22A3">
        <w:t xml:space="preserve"> MA, </w:t>
      </w:r>
      <w:proofErr w:type="spellStart"/>
      <w:r w:rsidRPr="002F22A3">
        <w:t>Joglar</w:t>
      </w:r>
      <w:proofErr w:type="spellEnd"/>
      <w:r w:rsidRPr="002F22A3">
        <w:t xml:space="preserve"> JA, Kay GN, Matlock DD, </w:t>
      </w:r>
      <w:proofErr w:type="spellStart"/>
      <w:r w:rsidRPr="002F22A3">
        <w:t>Myerburg</w:t>
      </w:r>
      <w:proofErr w:type="spellEnd"/>
      <w:r w:rsidRPr="002F22A3">
        <w:t xml:space="preserve"> RJ, Page RL. </w:t>
      </w:r>
      <w:r>
        <w:t xml:space="preserve">2017 AHA/ACC/HRS Guideline for Management of Patients With Ventricular Arrhythmias and the Prevention of Sudden Cardiac Death: A Report of the American College of Cardiology/American Heart Association Task Force on Clinical Practice Guidelines and the Heart Rhythm Society. Hear. Rhythm 2018;72:1677-1749. </w:t>
      </w:r>
    </w:p>
    <w:p w14:paraId="59A3AB2E" w14:textId="77777777" w:rsidR="009A5FC9" w:rsidRDefault="009A5FC9" w:rsidP="001A2532">
      <w:r>
        <w:t xml:space="preserve">2. </w:t>
      </w:r>
      <w:r w:rsidRPr="002F22A3">
        <w:t xml:space="preserve">Priori SG, </w:t>
      </w:r>
      <w:proofErr w:type="spellStart"/>
      <w:r w:rsidRPr="002F22A3">
        <w:t>Blomström-Lundqvist</w:t>
      </w:r>
      <w:proofErr w:type="spellEnd"/>
      <w:r w:rsidRPr="002F22A3">
        <w:t xml:space="preserve"> C, </w:t>
      </w:r>
      <w:proofErr w:type="spellStart"/>
      <w:r w:rsidRPr="002F22A3">
        <w:t>Mazzanti</w:t>
      </w:r>
      <w:proofErr w:type="spellEnd"/>
      <w:r w:rsidRPr="002F22A3">
        <w:t xml:space="preserve"> A, Blom N, Borggrefe M, </w:t>
      </w:r>
      <w:proofErr w:type="spellStart"/>
      <w:r w:rsidRPr="002F22A3">
        <w:t>Camm</w:t>
      </w:r>
      <w:proofErr w:type="spellEnd"/>
      <w:r w:rsidRPr="002F22A3">
        <w:t xml:space="preserve"> J, Elliott PM, Fitzsimons D, </w:t>
      </w:r>
      <w:proofErr w:type="spellStart"/>
      <w:r w:rsidRPr="002F22A3">
        <w:t>Hatala</w:t>
      </w:r>
      <w:proofErr w:type="spellEnd"/>
      <w:r w:rsidRPr="002F22A3">
        <w:t xml:space="preserve"> R, </w:t>
      </w:r>
      <w:proofErr w:type="spellStart"/>
      <w:r w:rsidRPr="002F22A3">
        <w:t>Hindricks</w:t>
      </w:r>
      <w:proofErr w:type="spellEnd"/>
      <w:r w:rsidRPr="002F22A3">
        <w:t xml:space="preserve"> G, </w:t>
      </w:r>
      <w:proofErr w:type="spellStart"/>
      <w:r w:rsidRPr="002F22A3">
        <w:t>Kirchhof</w:t>
      </w:r>
      <w:proofErr w:type="spellEnd"/>
      <w:r w:rsidRPr="002F22A3">
        <w:t xml:space="preserve"> P, </w:t>
      </w:r>
      <w:proofErr w:type="spellStart"/>
      <w:r w:rsidRPr="002F22A3">
        <w:t>Kjeldsen</w:t>
      </w:r>
      <w:proofErr w:type="spellEnd"/>
      <w:r w:rsidRPr="002F22A3">
        <w:t xml:space="preserve"> K, </w:t>
      </w:r>
      <w:proofErr w:type="spellStart"/>
      <w:r w:rsidRPr="002F22A3">
        <w:t>Kuck</w:t>
      </w:r>
      <w:proofErr w:type="spellEnd"/>
      <w:r w:rsidRPr="002F22A3">
        <w:t xml:space="preserve"> KH, Hernandez-Madrid A, Nikolaou N, </w:t>
      </w:r>
      <w:proofErr w:type="spellStart"/>
      <w:r w:rsidRPr="002F22A3">
        <w:t>Norekvål</w:t>
      </w:r>
      <w:proofErr w:type="spellEnd"/>
      <w:r w:rsidRPr="002F22A3">
        <w:t xml:space="preserve"> TM, Spaulding C, Van </w:t>
      </w:r>
      <w:proofErr w:type="spellStart"/>
      <w:r w:rsidRPr="002F22A3">
        <w:t>Veldhuisen</w:t>
      </w:r>
      <w:proofErr w:type="spellEnd"/>
      <w:r w:rsidRPr="002F22A3">
        <w:t xml:space="preserve"> DJ</w:t>
      </w:r>
      <w:r>
        <w:t xml:space="preserve">. 2015 ESC Guidelines for the management of patients with ventricular arrhythmias and the prevention of sudden cardiac death: The Task Force for the Management of Patients with Ventricular Arrhythmias and the Prevention of Sudden Cardiac Death of the Europe. </w:t>
      </w:r>
      <w:proofErr w:type="spellStart"/>
      <w:r>
        <w:t>Eur</w:t>
      </w:r>
      <w:proofErr w:type="spellEnd"/>
      <w:r>
        <w:t xml:space="preserve"> Heart J 2015;36:2793-2867.</w:t>
      </w:r>
    </w:p>
    <w:p w14:paraId="76EAE0D8" w14:textId="77777777" w:rsidR="009A5FC9" w:rsidRDefault="009A5FC9" w:rsidP="001A2532">
      <w:r>
        <w:t xml:space="preserve">3. </w:t>
      </w:r>
      <w:proofErr w:type="spellStart"/>
      <w:r>
        <w:t>Leenhardt</w:t>
      </w:r>
      <w:proofErr w:type="spellEnd"/>
      <w:r>
        <w:t xml:space="preserve"> A, </w:t>
      </w:r>
      <w:proofErr w:type="spellStart"/>
      <w:r>
        <w:t>Lucet</w:t>
      </w:r>
      <w:proofErr w:type="spellEnd"/>
      <w:r>
        <w:t xml:space="preserve"> V, </w:t>
      </w:r>
      <w:proofErr w:type="spellStart"/>
      <w:r>
        <w:t>Denjoy</w:t>
      </w:r>
      <w:proofErr w:type="spellEnd"/>
      <w:r>
        <w:t xml:space="preserve"> I, </w:t>
      </w:r>
      <w:proofErr w:type="spellStart"/>
      <w:r>
        <w:t>Grau</w:t>
      </w:r>
      <w:proofErr w:type="spellEnd"/>
      <w:r>
        <w:t xml:space="preserve"> F, Ngoc DD, </w:t>
      </w:r>
      <w:proofErr w:type="spellStart"/>
      <w:r>
        <w:t>Coumel</w:t>
      </w:r>
      <w:proofErr w:type="spellEnd"/>
      <w:r>
        <w:t xml:space="preserve"> P. </w:t>
      </w:r>
      <w:proofErr w:type="spellStart"/>
      <w:r>
        <w:t>Catecholaminergic</w:t>
      </w:r>
      <w:proofErr w:type="spellEnd"/>
      <w:r>
        <w:t xml:space="preserve"> polymorphic ventricular tachycardia in children. A 7-year follow-up of 21 patients. Circulation 1995;91:1512–19.</w:t>
      </w:r>
    </w:p>
    <w:p w14:paraId="2BC0B635" w14:textId="77777777" w:rsidR="009A5FC9" w:rsidRDefault="009A5FC9" w:rsidP="001A2532">
      <w:r>
        <w:t xml:space="preserve">4. </w:t>
      </w:r>
      <w:r w:rsidRPr="00971113">
        <w:t xml:space="preserve">Priori SG, Wilde AA, </w:t>
      </w:r>
      <w:proofErr w:type="spellStart"/>
      <w:r w:rsidRPr="00971113">
        <w:t>Horie</w:t>
      </w:r>
      <w:proofErr w:type="spellEnd"/>
      <w:r w:rsidRPr="00971113">
        <w:t xml:space="preserve"> M, Cho Y, Behr ER, </w:t>
      </w:r>
      <w:proofErr w:type="spellStart"/>
      <w:r w:rsidRPr="00971113">
        <w:t>Berul</w:t>
      </w:r>
      <w:proofErr w:type="spellEnd"/>
      <w:r w:rsidRPr="00971113">
        <w:t xml:space="preserve"> C, Blom N, </w:t>
      </w:r>
      <w:proofErr w:type="spellStart"/>
      <w:r w:rsidRPr="00971113">
        <w:t>Brugada</w:t>
      </w:r>
      <w:proofErr w:type="spellEnd"/>
      <w:r w:rsidRPr="00971113">
        <w:t xml:space="preserve"> J, Chiang CE, </w:t>
      </w:r>
      <w:proofErr w:type="spellStart"/>
      <w:r w:rsidRPr="00971113">
        <w:t>Huikuri</w:t>
      </w:r>
      <w:proofErr w:type="spellEnd"/>
      <w:r w:rsidRPr="00971113">
        <w:t xml:space="preserve"> H, Kannankeril P, Krahn A, </w:t>
      </w:r>
      <w:proofErr w:type="spellStart"/>
      <w:r w:rsidRPr="00971113">
        <w:t>Leenhardt</w:t>
      </w:r>
      <w:proofErr w:type="spellEnd"/>
      <w:r w:rsidRPr="00971113">
        <w:t xml:space="preserve"> A, Moss A, Schwartz PJ, Shimizu W, </w:t>
      </w:r>
      <w:proofErr w:type="spellStart"/>
      <w:r w:rsidRPr="00971113">
        <w:t>Tomaselli</w:t>
      </w:r>
      <w:proofErr w:type="spellEnd"/>
      <w:r w:rsidRPr="00971113">
        <w:t xml:space="preserve"> G, Tracy C.</w:t>
      </w:r>
      <w:r>
        <w:t xml:space="preserve"> HRS/EHRA/APHRS expert consensus statement on the diagnosis and management of patients with inherited primary arrhythmia syndromes: document endorsed by HRS, EHRA, and APHRS in May 2013 and by ACCF, AHA, PACES, and AEPC in June 2013. Heart Rhythm 2013;10:1932–1963.</w:t>
      </w:r>
    </w:p>
    <w:p w14:paraId="1B1ACCEC" w14:textId="77777777" w:rsidR="009A5FC9" w:rsidRDefault="009A5FC9" w:rsidP="001A2532">
      <w:r>
        <w:t xml:space="preserve">5. Roses-Noguer F, </w:t>
      </w:r>
      <w:proofErr w:type="spellStart"/>
      <w:r>
        <w:t>Jarman</w:t>
      </w:r>
      <w:proofErr w:type="spellEnd"/>
      <w:r>
        <w:t xml:space="preserve"> JWE, </w:t>
      </w:r>
      <w:proofErr w:type="spellStart"/>
      <w:r>
        <w:t>Clague</w:t>
      </w:r>
      <w:proofErr w:type="spellEnd"/>
      <w:r>
        <w:t xml:space="preserve"> JR, Till J. Outcomes of defibrillator therapy in </w:t>
      </w:r>
      <w:proofErr w:type="spellStart"/>
      <w:r>
        <w:t>catecholaminergic</w:t>
      </w:r>
      <w:proofErr w:type="spellEnd"/>
      <w:r>
        <w:t xml:space="preserve"> polymorphic ventricular tachycardia. Heart Rhythm 2014;11:58–66.</w:t>
      </w:r>
    </w:p>
    <w:p w14:paraId="6E344004" w14:textId="77777777" w:rsidR="009A5FC9" w:rsidRDefault="009A5FC9" w:rsidP="001A2532">
      <w:r>
        <w:t xml:space="preserve">6. </w:t>
      </w:r>
      <w:r w:rsidRPr="00971113">
        <w:t xml:space="preserve">Miyake CY, Webster G, </w:t>
      </w:r>
      <w:proofErr w:type="spellStart"/>
      <w:r w:rsidRPr="00971113">
        <w:t>Czosek</w:t>
      </w:r>
      <w:proofErr w:type="spellEnd"/>
      <w:r w:rsidRPr="00971113">
        <w:t xml:space="preserve"> RJ, </w:t>
      </w:r>
      <w:proofErr w:type="spellStart"/>
      <w:r w:rsidRPr="00971113">
        <w:t>Kantoch</w:t>
      </w:r>
      <w:proofErr w:type="spellEnd"/>
      <w:r w:rsidRPr="00971113">
        <w:t xml:space="preserve"> MJ, </w:t>
      </w:r>
      <w:proofErr w:type="spellStart"/>
      <w:r w:rsidRPr="00971113">
        <w:t>Dubin</w:t>
      </w:r>
      <w:proofErr w:type="spellEnd"/>
      <w:r w:rsidRPr="00971113">
        <w:t xml:space="preserve"> AM, </w:t>
      </w:r>
      <w:proofErr w:type="spellStart"/>
      <w:r w:rsidRPr="00971113">
        <w:t>Avasarala</w:t>
      </w:r>
      <w:proofErr w:type="spellEnd"/>
      <w:r w:rsidRPr="00971113">
        <w:t xml:space="preserve"> K, </w:t>
      </w:r>
      <w:proofErr w:type="spellStart"/>
      <w:r w:rsidRPr="00971113">
        <w:t>Atallah</w:t>
      </w:r>
      <w:proofErr w:type="spellEnd"/>
      <w:r w:rsidRPr="00971113">
        <w:t xml:space="preserve"> J.</w:t>
      </w:r>
      <w:r>
        <w:t xml:space="preserve"> Efficacy of implantable cardioverter defibrillators in young patients with </w:t>
      </w:r>
      <w:proofErr w:type="spellStart"/>
      <w:r>
        <w:t>catecholaminergic</w:t>
      </w:r>
      <w:proofErr w:type="spellEnd"/>
      <w:r>
        <w:t xml:space="preserve"> polymorphic ventricular tachycardia: success depends on substrate. </w:t>
      </w:r>
      <w:proofErr w:type="spellStart"/>
      <w:r>
        <w:t>Circ</w:t>
      </w:r>
      <w:proofErr w:type="spellEnd"/>
      <w:r>
        <w:t xml:space="preserve"> </w:t>
      </w:r>
      <w:proofErr w:type="spellStart"/>
      <w:r>
        <w:t>Arrhythm</w:t>
      </w:r>
      <w:proofErr w:type="spellEnd"/>
      <w:r>
        <w:t xml:space="preserve"> </w:t>
      </w:r>
      <w:proofErr w:type="spellStart"/>
      <w:r>
        <w:t>Electrophysiol</w:t>
      </w:r>
      <w:proofErr w:type="spellEnd"/>
      <w:r>
        <w:t xml:space="preserve"> 2013;6:579–587.</w:t>
      </w:r>
    </w:p>
    <w:p w14:paraId="6588C1D4" w14:textId="77777777" w:rsidR="009A5FC9" w:rsidRDefault="009A5FC9" w:rsidP="001A2532">
      <w:r>
        <w:t xml:space="preserve">7. </w:t>
      </w:r>
      <w:proofErr w:type="spellStart"/>
      <w:r w:rsidRPr="00971113">
        <w:t>Marai</w:t>
      </w:r>
      <w:proofErr w:type="spellEnd"/>
      <w:r w:rsidRPr="00971113">
        <w:t xml:space="preserve"> I, </w:t>
      </w:r>
      <w:proofErr w:type="spellStart"/>
      <w:r w:rsidRPr="00971113">
        <w:t>Khoury</w:t>
      </w:r>
      <w:proofErr w:type="spellEnd"/>
      <w:r w:rsidRPr="00971113">
        <w:t xml:space="preserve"> A, Suleiman M, </w:t>
      </w:r>
      <w:proofErr w:type="spellStart"/>
      <w:r w:rsidRPr="00971113">
        <w:t>Gepstein</w:t>
      </w:r>
      <w:proofErr w:type="spellEnd"/>
      <w:r w:rsidRPr="00971113">
        <w:t xml:space="preserve"> L, </w:t>
      </w:r>
      <w:proofErr w:type="spellStart"/>
      <w:r w:rsidRPr="00971113">
        <w:t>Blich</w:t>
      </w:r>
      <w:proofErr w:type="spellEnd"/>
      <w:r w:rsidRPr="00971113">
        <w:t xml:space="preserve"> M, </w:t>
      </w:r>
      <w:proofErr w:type="spellStart"/>
      <w:r w:rsidRPr="00971113">
        <w:t>Lorber</w:t>
      </w:r>
      <w:proofErr w:type="spellEnd"/>
      <w:r w:rsidRPr="00971113">
        <w:t xml:space="preserve"> A, </w:t>
      </w:r>
      <w:proofErr w:type="spellStart"/>
      <w:r w:rsidRPr="00971113">
        <w:t>Boulos</w:t>
      </w:r>
      <w:proofErr w:type="spellEnd"/>
      <w:r w:rsidRPr="00971113">
        <w:t xml:space="preserve"> M</w:t>
      </w:r>
      <w:r>
        <w:t xml:space="preserve">. Importance of ventricular tachycardia storms not terminated by implantable cardioverter defibrillators shocks in </w:t>
      </w:r>
      <w:r>
        <w:lastRenderedPageBreak/>
        <w:t xml:space="preserve">patients with CASQ2 associated </w:t>
      </w:r>
      <w:proofErr w:type="spellStart"/>
      <w:r>
        <w:t>catecholaminergic</w:t>
      </w:r>
      <w:proofErr w:type="spellEnd"/>
      <w:r>
        <w:t xml:space="preserve"> polymorphic ventricular tachycardia. Am J </w:t>
      </w:r>
      <w:proofErr w:type="spellStart"/>
      <w:r>
        <w:t>Cardiol</w:t>
      </w:r>
      <w:proofErr w:type="spellEnd"/>
      <w:r>
        <w:t xml:space="preserve"> 2012;110:72–76.</w:t>
      </w:r>
    </w:p>
    <w:p w14:paraId="4A80BCE7" w14:textId="77777777" w:rsidR="009A5FC9" w:rsidRDefault="009A5FC9" w:rsidP="001A2532">
      <w:r>
        <w:t xml:space="preserve">8. </w:t>
      </w:r>
      <w:proofErr w:type="spellStart"/>
      <w:r w:rsidRPr="00971113">
        <w:t>Roston</w:t>
      </w:r>
      <w:proofErr w:type="spellEnd"/>
      <w:r w:rsidRPr="00971113">
        <w:t xml:space="preserve"> TM, </w:t>
      </w:r>
      <w:proofErr w:type="spellStart"/>
      <w:r w:rsidRPr="00971113">
        <w:t>Vinocur</w:t>
      </w:r>
      <w:proofErr w:type="spellEnd"/>
      <w:r w:rsidRPr="00971113">
        <w:t xml:space="preserve"> JM, Maginot KR, Mohammed S, Salerno JC, Etheridge SP, Cohen M, Hamilton RM, </w:t>
      </w:r>
      <w:proofErr w:type="spellStart"/>
      <w:r w:rsidRPr="00971113">
        <w:t>Pflaumer</w:t>
      </w:r>
      <w:proofErr w:type="spellEnd"/>
      <w:r w:rsidRPr="00971113">
        <w:t xml:space="preserve"> A, </w:t>
      </w:r>
      <w:proofErr w:type="spellStart"/>
      <w:r w:rsidRPr="00971113">
        <w:t>Kanter</w:t>
      </w:r>
      <w:proofErr w:type="spellEnd"/>
      <w:r w:rsidRPr="00971113">
        <w:t xml:space="preserve"> RJ, Potts JE, </w:t>
      </w:r>
      <w:proofErr w:type="spellStart"/>
      <w:r w:rsidRPr="00971113">
        <w:t>LaPage</w:t>
      </w:r>
      <w:proofErr w:type="spellEnd"/>
      <w:r w:rsidRPr="00971113">
        <w:t xml:space="preserve"> MJ, Collins KK, </w:t>
      </w:r>
      <w:proofErr w:type="spellStart"/>
      <w:r w:rsidRPr="00971113">
        <w:t>Gebauer</w:t>
      </w:r>
      <w:proofErr w:type="spellEnd"/>
      <w:r w:rsidRPr="00971113">
        <w:t xml:space="preserve"> RA, Temple JD, </w:t>
      </w:r>
      <w:proofErr w:type="spellStart"/>
      <w:r w:rsidRPr="00971113">
        <w:t>Batra</w:t>
      </w:r>
      <w:proofErr w:type="spellEnd"/>
      <w:r w:rsidRPr="00971113">
        <w:t xml:space="preserve"> AS, Erickson C, </w:t>
      </w:r>
      <w:proofErr w:type="spellStart"/>
      <w:r w:rsidRPr="00971113">
        <w:t>Miszczak</w:t>
      </w:r>
      <w:proofErr w:type="spellEnd"/>
      <w:r w:rsidRPr="00971113">
        <w:t xml:space="preserve">-Knecht M, </w:t>
      </w:r>
      <w:proofErr w:type="spellStart"/>
      <w:r w:rsidRPr="00971113">
        <w:t>Kubuš</w:t>
      </w:r>
      <w:proofErr w:type="spellEnd"/>
      <w:r w:rsidRPr="00971113">
        <w:t xml:space="preserve"> P, Bar-Cohen Y, </w:t>
      </w:r>
      <w:proofErr w:type="spellStart"/>
      <w:r w:rsidRPr="00971113">
        <w:t>Kantoch</w:t>
      </w:r>
      <w:proofErr w:type="spellEnd"/>
      <w:r w:rsidRPr="00971113">
        <w:t xml:space="preserve"> M, Thomas VC, </w:t>
      </w:r>
      <w:proofErr w:type="spellStart"/>
      <w:r w:rsidRPr="00971113">
        <w:t>Hessling</w:t>
      </w:r>
      <w:proofErr w:type="spellEnd"/>
      <w:r w:rsidRPr="00971113">
        <w:t xml:space="preserve"> G, Anderson C, Young ML, Cabrera Ortega M, Lau YR, </w:t>
      </w:r>
      <w:proofErr w:type="spellStart"/>
      <w:r w:rsidRPr="00971113">
        <w:t>Johnsrude</w:t>
      </w:r>
      <w:proofErr w:type="spellEnd"/>
      <w:r w:rsidRPr="00971113">
        <w:t xml:space="preserve"> CL, Fournier A, Kannankeril PJ, </w:t>
      </w:r>
      <w:proofErr w:type="spellStart"/>
      <w:r w:rsidRPr="00971113">
        <w:t>Sanatani</w:t>
      </w:r>
      <w:proofErr w:type="spellEnd"/>
      <w:r w:rsidRPr="00971113">
        <w:t xml:space="preserve"> S.</w:t>
      </w:r>
      <w:r>
        <w:t xml:space="preserve"> </w:t>
      </w:r>
      <w:proofErr w:type="spellStart"/>
      <w:r>
        <w:t>Catecholaminergic</w:t>
      </w:r>
      <w:proofErr w:type="spellEnd"/>
      <w:r>
        <w:t xml:space="preserve"> polymorphic ventricular tachycardia in children: analysis of therapeutic strategies and outcomes from an international multicenter registry. </w:t>
      </w:r>
      <w:proofErr w:type="spellStart"/>
      <w:r>
        <w:t>Circ</w:t>
      </w:r>
      <w:proofErr w:type="spellEnd"/>
      <w:r>
        <w:t xml:space="preserve"> </w:t>
      </w:r>
      <w:proofErr w:type="spellStart"/>
      <w:r>
        <w:t>Arrhythm</w:t>
      </w:r>
      <w:proofErr w:type="spellEnd"/>
      <w:r>
        <w:t xml:space="preserve"> </w:t>
      </w:r>
      <w:proofErr w:type="spellStart"/>
      <w:r>
        <w:t>Electrophysiol</w:t>
      </w:r>
      <w:proofErr w:type="spellEnd"/>
      <w:r>
        <w:t xml:space="preserve"> 2015;8:633–642.</w:t>
      </w:r>
    </w:p>
    <w:p w14:paraId="47DBD06B" w14:textId="77777777" w:rsidR="009A5FC9" w:rsidRDefault="009A5FC9" w:rsidP="001A2532">
      <w:r>
        <w:t xml:space="preserve">9. Mohamed U, </w:t>
      </w:r>
      <w:proofErr w:type="spellStart"/>
      <w:r>
        <w:t>Gollob</w:t>
      </w:r>
      <w:proofErr w:type="spellEnd"/>
      <w:r>
        <w:t xml:space="preserve"> MH, </w:t>
      </w:r>
      <w:proofErr w:type="spellStart"/>
      <w:r>
        <w:t>Gow</w:t>
      </w:r>
      <w:proofErr w:type="spellEnd"/>
      <w:r>
        <w:t xml:space="preserve"> RM, Krahn AD. Sudden cardiac death despite an implantable cardioverter-defibrillator in a young female with </w:t>
      </w:r>
      <w:proofErr w:type="spellStart"/>
      <w:r>
        <w:t>catecholaminergic</w:t>
      </w:r>
      <w:proofErr w:type="spellEnd"/>
      <w:r>
        <w:t xml:space="preserve"> ventricular tachycardia. Heart Rhythm 2006;3:1486–1489.</w:t>
      </w:r>
    </w:p>
    <w:p w14:paraId="56D7854B" w14:textId="77777777" w:rsidR="009A5FC9" w:rsidRDefault="009A5FC9" w:rsidP="001A2532">
      <w:r>
        <w:t xml:space="preserve">10. </w:t>
      </w:r>
      <w:proofErr w:type="spellStart"/>
      <w:r>
        <w:t>Pizzale</w:t>
      </w:r>
      <w:proofErr w:type="spellEnd"/>
      <w:r>
        <w:t xml:space="preserve"> S, </w:t>
      </w:r>
      <w:proofErr w:type="spellStart"/>
      <w:r>
        <w:t>Gollob</w:t>
      </w:r>
      <w:proofErr w:type="spellEnd"/>
      <w:r>
        <w:t xml:space="preserve"> MH, </w:t>
      </w:r>
      <w:proofErr w:type="spellStart"/>
      <w:r>
        <w:t>Gow</w:t>
      </w:r>
      <w:proofErr w:type="spellEnd"/>
      <w:r>
        <w:t xml:space="preserve"> R, </w:t>
      </w:r>
      <w:proofErr w:type="spellStart"/>
      <w:r>
        <w:t>Birnie</w:t>
      </w:r>
      <w:proofErr w:type="spellEnd"/>
      <w:r>
        <w:t xml:space="preserve"> DH. Sudden death in a young man with </w:t>
      </w:r>
      <w:proofErr w:type="spellStart"/>
      <w:r>
        <w:t>catecholaminergic</w:t>
      </w:r>
      <w:proofErr w:type="spellEnd"/>
      <w:r>
        <w:t xml:space="preserve"> polymorphic ventricular tachycardia and paroxysmal atrial fibrillation. J </w:t>
      </w:r>
      <w:proofErr w:type="spellStart"/>
      <w:r>
        <w:t>Cardiovasc</w:t>
      </w:r>
      <w:proofErr w:type="spellEnd"/>
      <w:r>
        <w:t xml:space="preserve"> </w:t>
      </w:r>
      <w:proofErr w:type="spellStart"/>
      <w:r>
        <w:t>Electrophysiol</w:t>
      </w:r>
      <w:proofErr w:type="spellEnd"/>
      <w:r>
        <w:t xml:space="preserve"> 2008;19:1319–1321.</w:t>
      </w:r>
    </w:p>
    <w:p w14:paraId="252161B8" w14:textId="77777777" w:rsidR="009A5FC9" w:rsidRDefault="009A5FC9" w:rsidP="001A2532">
      <w:r w:rsidRPr="00D64B49">
        <w:t xml:space="preserve">11. </w:t>
      </w:r>
      <w:proofErr w:type="spellStart"/>
      <w:r w:rsidRPr="00D64B49">
        <w:t>Palanca</w:t>
      </w:r>
      <w:proofErr w:type="spellEnd"/>
      <w:r w:rsidRPr="00D64B49">
        <w:t xml:space="preserve"> V, Quesada A, </w:t>
      </w:r>
      <w:proofErr w:type="spellStart"/>
      <w:r w:rsidRPr="00D64B49">
        <w:t>Trigo</w:t>
      </w:r>
      <w:proofErr w:type="spellEnd"/>
      <w:r w:rsidRPr="00D64B49">
        <w:t xml:space="preserve"> A, Jiménez J. Arrhythmic storm induced by AICD discharge in a patient with </w:t>
      </w:r>
      <w:proofErr w:type="spellStart"/>
      <w:r w:rsidRPr="00D64B49">
        <w:t>catecholaminergic</w:t>
      </w:r>
      <w:proofErr w:type="spellEnd"/>
      <w:r w:rsidRPr="00D64B49">
        <w:t xml:space="preserve"> polymorphic ventricular tachycardia. Rev </w:t>
      </w:r>
      <w:proofErr w:type="spellStart"/>
      <w:r w:rsidRPr="00D64B49">
        <w:t>Esp</w:t>
      </w:r>
      <w:proofErr w:type="spellEnd"/>
      <w:r w:rsidRPr="00D64B49">
        <w:t xml:space="preserve"> </w:t>
      </w:r>
      <w:proofErr w:type="spellStart"/>
      <w:r w:rsidRPr="00D64B49">
        <w:t>Cardiol</w:t>
      </w:r>
      <w:proofErr w:type="spellEnd"/>
      <w:r w:rsidRPr="00D64B49">
        <w:t xml:space="preserve"> 2006;59:1079–1080.</w:t>
      </w:r>
    </w:p>
    <w:p w14:paraId="0CAE90A9" w14:textId="77777777" w:rsidR="009A5FC9" w:rsidRDefault="009A5FC9" w:rsidP="001A2532">
      <w:r>
        <w:t xml:space="preserve">12. </w:t>
      </w:r>
      <w:proofErr w:type="spellStart"/>
      <w:r w:rsidRPr="00D64B49">
        <w:t>Brignole</w:t>
      </w:r>
      <w:proofErr w:type="spellEnd"/>
      <w:r w:rsidRPr="00D64B49">
        <w:t xml:space="preserve"> M, Moya A, de Lange FJ, </w:t>
      </w:r>
      <w:proofErr w:type="spellStart"/>
      <w:r w:rsidRPr="00D64B49">
        <w:t>Deharo</w:t>
      </w:r>
      <w:proofErr w:type="spellEnd"/>
      <w:r w:rsidRPr="00D64B49">
        <w:t xml:space="preserve"> JC, Elliott PM, </w:t>
      </w:r>
      <w:proofErr w:type="spellStart"/>
      <w:r w:rsidRPr="00D64B49">
        <w:t>Fanciulli</w:t>
      </w:r>
      <w:proofErr w:type="spellEnd"/>
      <w:r w:rsidRPr="00D64B49">
        <w:t xml:space="preserve"> A, </w:t>
      </w:r>
      <w:proofErr w:type="spellStart"/>
      <w:r w:rsidRPr="00D64B49">
        <w:t>Fedorowski</w:t>
      </w:r>
      <w:proofErr w:type="spellEnd"/>
      <w:r w:rsidRPr="00D64B49">
        <w:t xml:space="preserve"> A, </w:t>
      </w:r>
      <w:proofErr w:type="spellStart"/>
      <w:r w:rsidRPr="00D64B49">
        <w:t>Furlan</w:t>
      </w:r>
      <w:proofErr w:type="spellEnd"/>
      <w:r w:rsidRPr="00D64B49">
        <w:t xml:space="preserve"> R, Kenny RA, Martín A, Probst V, Reed MJ, Rice CP, Sutton R, </w:t>
      </w:r>
      <w:proofErr w:type="spellStart"/>
      <w:r w:rsidRPr="00D64B49">
        <w:t>Ungar</w:t>
      </w:r>
      <w:proofErr w:type="spellEnd"/>
      <w:r w:rsidRPr="00D64B49">
        <w:t xml:space="preserve"> A, van </w:t>
      </w:r>
      <w:proofErr w:type="spellStart"/>
      <w:r w:rsidRPr="00D64B49">
        <w:t>Dijk</w:t>
      </w:r>
      <w:proofErr w:type="spellEnd"/>
      <w:r w:rsidRPr="00D64B49">
        <w:t xml:space="preserve"> JG; ESC Scientific Document Group</w:t>
      </w:r>
      <w:r>
        <w:t xml:space="preserve">. 2018 ESC Guidelines for the diagnosis and management of syncope. </w:t>
      </w:r>
      <w:proofErr w:type="spellStart"/>
      <w:r>
        <w:t>Eur</w:t>
      </w:r>
      <w:proofErr w:type="spellEnd"/>
      <w:r>
        <w:t xml:space="preserve"> Heart J 2018;39:1883-1948.</w:t>
      </w:r>
    </w:p>
    <w:p w14:paraId="1FF05B71" w14:textId="77777777" w:rsidR="009A5FC9" w:rsidRPr="00D76E89" w:rsidRDefault="009A5FC9" w:rsidP="001A2532">
      <w:r>
        <w:t xml:space="preserve">13. </w:t>
      </w:r>
      <w:r w:rsidRPr="00D64B49">
        <w:t xml:space="preserve">Hayashi M, </w:t>
      </w:r>
      <w:proofErr w:type="spellStart"/>
      <w:r w:rsidRPr="00D64B49">
        <w:t>Denjoy</w:t>
      </w:r>
      <w:proofErr w:type="spellEnd"/>
      <w:r w:rsidRPr="00D64B49">
        <w:t xml:space="preserve"> I, </w:t>
      </w:r>
      <w:proofErr w:type="spellStart"/>
      <w:r w:rsidRPr="00D64B49">
        <w:t>Extramiana</w:t>
      </w:r>
      <w:proofErr w:type="spellEnd"/>
      <w:r w:rsidRPr="00D64B49">
        <w:t xml:space="preserve"> F, </w:t>
      </w:r>
      <w:proofErr w:type="spellStart"/>
      <w:r w:rsidRPr="00D64B49">
        <w:t>Maltret</w:t>
      </w:r>
      <w:proofErr w:type="spellEnd"/>
      <w:r w:rsidRPr="00D64B49">
        <w:t xml:space="preserve"> A, Buisson NR, </w:t>
      </w:r>
      <w:proofErr w:type="spellStart"/>
      <w:r w:rsidRPr="00D64B49">
        <w:t>Lupoglazoff</w:t>
      </w:r>
      <w:proofErr w:type="spellEnd"/>
      <w:r w:rsidRPr="00D64B49">
        <w:t xml:space="preserve"> JM, Klug D, Hayashi M, Takatsuki S, Villain E, </w:t>
      </w:r>
      <w:proofErr w:type="spellStart"/>
      <w:r w:rsidRPr="00D64B49">
        <w:t>Kamblock</w:t>
      </w:r>
      <w:proofErr w:type="spellEnd"/>
      <w:r w:rsidRPr="00D64B49">
        <w:t xml:space="preserve"> J, </w:t>
      </w:r>
      <w:proofErr w:type="spellStart"/>
      <w:r w:rsidRPr="00D64B49">
        <w:t>Messali</w:t>
      </w:r>
      <w:proofErr w:type="spellEnd"/>
      <w:r w:rsidRPr="00D64B49">
        <w:t xml:space="preserve"> A, </w:t>
      </w:r>
      <w:proofErr w:type="spellStart"/>
      <w:r w:rsidRPr="00D64B49">
        <w:t>Guicheney</w:t>
      </w:r>
      <w:proofErr w:type="spellEnd"/>
      <w:r w:rsidRPr="00D64B49">
        <w:t xml:space="preserve"> P, </w:t>
      </w:r>
      <w:proofErr w:type="spellStart"/>
      <w:r w:rsidRPr="00D64B49">
        <w:t>Lunardi</w:t>
      </w:r>
      <w:proofErr w:type="spellEnd"/>
      <w:r w:rsidRPr="00D64B49">
        <w:t xml:space="preserve"> J, </w:t>
      </w:r>
      <w:proofErr w:type="spellStart"/>
      <w:r w:rsidRPr="00D64B49">
        <w:t>Leenhardt</w:t>
      </w:r>
      <w:proofErr w:type="spellEnd"/>
      <w:r w:rsidRPr="00D64B49">
        <w:t xml:space="preserve"> A.</w:t>
      </w:r>
      <w:r>
        <w:t xml:space="preserve"> Incidence and risk factors of arrhythmic events in </w:t>
      </w:r>
      <w:proofErr w:type="spellStart"/>
      <w:r>
        <w:t>catecholaminergic</w:t>
      </w:r>
      <w:proofErr w:type="spellEnd"/>
      <w:r>
        <w:t xml:space="preserve"> polymorphic ventricular tachycardia. </w:t>
      </w:r>
      <w:r w:rsidRPr="00D76E89">
        <w:t>Circulation 2009;119:2426–</w:t>
      </w:r>
      <w:r>
        <w:t>24</w:t>
      </w:r>
      <w:r w:rsidRPr="00D76E89">
        <w:t>34.</w:t>
      </w:r>
    </w:p>
    <w:p w14:paraId="62F0D2CB" w14:textId="77777777" w:rsidR="009A5FC9" w:rsidRPr="00D76E89" w:rsidRDefault="009A5FC9" w:rsidP="001A2532">
      <w:r w:rsidRPr="003E32B2">
        <w:lastRenderedPageBreak/>
        <w:t xml:space="preserve">14. </w:t>
      </w:r>
      <w:r>
        <w:t xml:space="preserve">Leren IS, </w:t>
      </w:r>
      <w:proofErr w:type="spellStart"/>
      <w:r>
        <w:t>Saberniak</w:t>
      </w:r>
      <w:proofErr w:type="spellEnd"/>
      <w:r>
        <w:t xml:space="preserve"> J, Majid E, </w:t>
      </w:r>
      <w:proofErr w:type="spellStart"/>
      <w:r>
        <w:t>Haland</w:t>
      </w:r>
      <w:proofErr w:type="spellEnd"/>
      <w:r>
        <w:t xml:space="preserve"> TF, </w:t>
      </w:r>
      <w:proofErr w:type="spellStart"/>
      <w:r>
        <w:t>Edvardsen</w:t>
      </w:r>
      <w:proofErr w:type="spellEnd"/>
      <w:r>
        <w:t xml:space="preserve"> T, Haugaa KH. </w:t>
      </w:r>
      <w:proofErr w:type="spellStart"/>
      <w:r>
        <w:t>Nadolol</w:t>
      </w:r>
      <w:proofErr w:type="spellEnd"/>
      <w:r>
        <w:t xml:space="preserve"> decreases the incidence and severity of ventricular arrhythmias during exercise stress testing compared with β1-selective β-blockers in patients with </w:t>
      </w:r>
      <w:proofErr w:type="spellStart"/>
      <w:r>
        <w:t>catecholaminergic</w:t>
      </w:r>
      <w:proofErr w:type="spellEnd"/>
      <w:r>
        <w:t xml:space="preserve"> polymorphic ventricular tachycardia. </w:t>
      </w:r>
      <w:r w:rsidRPr="00D76E89">
        <w:t>Heart Rhythm 2016;13:433–440.</w:t>
      </w:r>
    </w:p>
    <w:p w14:paraId="4BD3A04B" w14:textId="77777777" w:rsidR="009A5FC9" w:rsidRPr="002942BD" w:rsidRDefault="009A5FC9" w:rsidP="001A2532">
      <w:r w:rsidRPr="00D76E89">
        <w:t xml:space="preserve">15. Ackerman MJ, Priori SG, </w:t>
      </w:r>
      <w:proofErr w:type="spellStart"/>
      <w:r w:rsidRPr="00D76E89">
        <w:t>Dubin</w:t>
      </w:r>
      <w:proofErr w:type="spellEnd"/>
      <w:r w:rsidRPr="00D76E89">
        <w:t xml:space="preserve"> AM</w:t>
      </w:r>
      <w:r>
        <w:t xml:space="preserve">, </w:t>
      </w:r>
      <w:proofErr w:type="spellStart"/>
      <w:r w:rsidRPr="002942BD">
        <w:t>Kowey</w:t>
      </w:r>
      <w:proofErr w:type="spellEnd"/>
      <w:r w:rsidRPr="002942BD">
        <w:t xml:space="preserve"> P, Linker NJ, </w:t>
      </w:r>
      <w:proofErr w:type="spellStart"/>
      <w:r w:rsidRPr="002942BD">
        <w:t>Slotwiner</w:t>
      </w:r>
      <w:proofErr w:type="spellEnd"/>
      <w:r w:rsidRPr="002942BD">
        <w:t xml:space="preserve"> D, </w:t>
      </w:r>
      <w:proofErr w:type="spellStart"/>
      <w:r w:rsidRPr="002942BD">
        <w:t>Triedman</w:t>
      </w:r>
      <w:proofErr w:type="spellEnd"/>
      <w:r w:rsidRPr="002942BD">
        <w:t xml:space="preserve"> J, Van Hare GF, Gold MR.</w:t>
      </w:r>
      <w:r w:rsidRPr="00D76E89">
        <w:t xml:space="preserve"> </w:t>
      </w:r>
      <w:r w:rsidRPr="003E32B2">
        <w:t xml:space="preserve">Beta-blocker therapy for long QT syndrome and </w:t>
      </w:r>
      <w:proofErr w:type="spellStart"/>
      <w:r w:rsidRPr="003E32B2">
        <w:t>catecholaminergic</w:t>
      </w:r>
      <w:proofErr w:type="spellEnd"/>
      <w:r w:rsidRPr="003E32B2">
        <w:t xml:space="preserve"> polymorphic ventricular tachycardia: Are all beta-blockers equivalent?</w:t>
      </w:r>
      <w:r>
        <w:t xml:space="preserve"> </w:t>
      </w:r>
      <w:r w:rsidRPr="002942BD">
        <w:t>Heart Rhythm 2017;14:e41-44.</w:t>
      </w:r>
    </w:p>
    <w:p w14:paraId="10B94254" w14:textId="77777777" w:rsidR="009A5FC9" w:rsidRDefault="009A5FC9" w:rsidP="001A2532">
      <w:r w:rsidRPr="00BE79A6">
        <w:t xml:space="preserve">16. van der Werf C, Kannankeril PJ, </w:t>
      </w:r>
      <w:proofErr w:type="spellStart"/>
      <w:r w:rsidRPr="00BE79A6">
        <w:t>Sacher</w:t>
      </w:r>
      <w:proofErr w:type="spellEnd"/>
      <w:r w:rsidRPr="00BE79A6">
        <w:t xml:space="preserve"> F, Krahn AD, </w:t>
      </w:r>
      <w:proofErr w:type="spellStart"/>
      <w:r w:rsidRPr="00BE79A6">
        <w:t>Viskin</w:t>
      </w:r>
      <w:proofErr w:type="spellEnd"/>
      <w:r w:rsidRPr="00BE79A6">
        <w:t xml:space="preserve"> S, </w:t>
      </w:r>
      <w:proofErr w:type="spellStart"/>
      <w:r w:rsidRPr="00BE79A6">
        <w:t>Leenhardt</w:t>
      </w:r>
      <w:proofErr w:type="spellEnd"/>
      <w:r w:rsidRPr="00BE79A6">
        <w:t xml:space="preserve"> A, Shimizu W, Sumitomo N, Fish FA, </w:t>
      </w:r>
      <w:proofErr w:type="spellStart"/>
      <w:r w:rsidRPr="00BE79A6">
        <w:t>Bhuiyan</w:t>
      </w:r>
      <w:proofErr w:type="spellEnd"/>
      <w:r w:rsidRPr="00BE79A6">
        <w:t xml:space="preserve"> ZA, Willems AR, van der Veen MJ, Watanabe H, </w:t>
      </w:r>
      <w:proofErr w:type="spellStart"/>
      <w:r w:rsidRPr="00BE79A6">
        <w:t>Laborderie</w:t>
      </w:r>
      <w:proofErr w:type="spellEnd"/>
      <w:r w:rsidRPr="00BE79A6">
        <w:t xml:space="preserve"> J, </w:t>
      </w:r>
      <w:proofErr w:type="spellStart"/>
      <w:r w:rsidRPr="00BE79A6">
        <w:t>Haïssaguerre</w:t>
      </w:r>
      <w:proofErr w:type="spellEnd"/>
      <w:r w:rsidRPr="00BE79A6">
        <w:t xml:space="preserve"> M, </w:t>
      </w:r>
      <w:proofErr w:type="spellStart"/>
      <w:r w:rsidRPr="00BE79A6">
        <w:t>Knollmann</w:t>
      </w:r>
      <w:proofErr w:type="spellEnd"/>
      <w:r w:rsidRPr="00BE79A6">
        <w:t xml:space="preserve"> BC, Wilde AA. </w:t>
      </w:r>
      <w:proofErr w:type="spellStart"/>
      <w:r>
        <w:t>Flecainide</w:t>
      </w:r>
      <w:proofErr w:type="spellEnd"/>
      <w:r>
        <w:t xml:space="preserve"> therapy reduces exercise-induced ventricular arrhythmias in patients with </w:t>
      </w:r>
      <w:proofErr w:type="spellStart"/>
      <w:r>
        <w:t>catecholaminergic</w:t>
      </w:r>
      <w:proofErr w:type="spellEnd"/>
      <w:r>
        <w:t xml:space="preserve"> polymorphic ventricular tachycardia. J Am </w:t>
      </w:r>
      <w:proofErr w:type="spellStart"/>
      <w:r>
        <w:t>Coll</w:t>
      </w:r>
      <w:proofErr w:type="spellEnd"/>
      <w:r>
        <w:t xml:space="preserve"> </w:t>
      </w:r>
      <w:proofErr w:type="spellStart"/>
      <w:r>
        <w:t>Cardiol</w:t>
      </w:r>
      <w:proofErr w:type="spellEnd"/>
      <w:r>
        <w:t xml:space="preserve"> 2011;57:2244–2254.</w:t>
      </w:r>
    </w:p>
    <w:p w14:paraId="2E324544" w14:textId="77777777" w:rsidR="009A5FC9" w:rsidRPr="001F154E" w:rsidRDefault="009A5FC9" w:rsidP="001A2532">
      <w:r w:rsidRPr="00D76E89">
        <w:t xml:space="preserve">17. </w:t>
      </w:r>
      <w:r w:rsidRPr="001F154E">
        <w:t xml:space="preserve">Watanabe H, van der Werf C, Roses-Noguer F, Adler A, Sumitomo N, </w:t>
      </w:r>
      <w:proofErr w:type="spellStart"/>
      <w:r w:rsidRPr="001F154E">
        <w:t>Veltmann</w:t>
      </w:r>
      <w:proofErr w:type="spellEnd"/>
      <w:r w:rsidRPr="001F154E">
        <w:t xml:space="preserve"> C, Rosso R, </w:t>
      </w:r>
      <w:proofErr w:type="spellStart"/>
      <w:r w:rsidRPr="001F154E">
        <w:t>Bhuiyan</w:t>
      </w:r>
      <w:proofErr w:type="spellEnd"/>
      <w:r w:rsidRPr="001F154E">
        <w:t xml:space="preserve"> ZA, Bikker H, Kannankeril PJ, </w:t>
      </w:r>
      <w:proofErr w:type="spellStart"/>
      <w:r w:rsidRPr="001F154E">
        <w:t>Horie</w:t>
      </w:r>
      <w:proofErr w:type="spellEnd"/>
      <w:r w:rsidRPr="001F154E">
        <w:t xml:space="preserve"> M, </w:t>
      </w:r>
      <w:proofErr w:type="spellStart"/>
      <w:r w:rsidRPr="001F154E">
        <w:t>Minamino</w:t>
      </w:r>
      <w:proofErr w:type="spellEnd"/>
      <w:r w:rsidRPr="001F154E">
        <w:t xml:space="preserve"> T, </w:t>
      </w:r>
      <w:proofErr w:type="spellStart"/>
      <w:r w:rsidRPr="001F154E">
        <w:t>Viskin</w:t>
      </w:r>
      <w:proofErr w:type="spellEnd"/>
      <w:r w:rsidRPr="001F154E">
        <w:t xml:space="preserve"> S, </w:t>
      </w:r>
      <w:proofErr w:type="spellStart"/>
      <w:r w:rsidRPr="001F154E">
        <w:t>Knollmann</w:t>
      </w:r>
      <w:proofErr w:type="spellEnd"/>
      <w:r w:rsidRPr="001F154E">
        <w:t xml:space="preserve"> BC, Till J, Wilde AA</w:t>
      </w:r>
      <w:r w:rsidRPr="00D76E89">
        <w:t xml:space="preserve">. </w:t>
      </w:r>
      <w:r>
        <w:t xml:space="preserve">Effects of </w:t>
      </w:r>
      <w:proofErr w:type="spellStart"/>
      <w:r>
        <w:t>flecainide</w:t>
      </w:r>
      <w:proofErr w:type="spellEnd"/>
      <w:r>
        <w:t xml:space="preserve"> on exercise-induced ventricular arrhythmias and recurrences in genotype-negative patients with </w:t>
      </w:r>
      <w:proofErr w:type="spellStart"/>
      <w:r>
        <w:t>catecholaminergic</w:t>
      </w:r>
      <w:proofErr w:type="spellEnd"/>
      <w:r>
        <w:t xml:space="preserve"> polymorphic ventricular tachycardia. </w:t>
      </w:r>
      <w:r w:rsidRPr="001F154E">
        <w:t>Heart Rhythm 2013;10:542–547.</w:t>
      </w:r>
    </w:p>
    <w:p w14:paraId="599816BF" w14:textId="77777777" w:rsidR="009A5FC9" w:rsidRPr="001F154E" w:rsidRDefault="009A5FC9" w:rsidP="001A2532">
      <w:r w:rsidRPr="001F154E">
        <w:t xml:space="preserve">18. Wilde AA, </w:t>
      </w:r>
      <w:proofErr w:type="spellStart"/>
      <w:r w:rsidRPr="001F154E">
        <w:t>Bhuiyan</w:t>
      </w:r>
      <w:proofErr w:type="spellEnd"/>
      <w:r w:rsidRPr="001F154E">
        <w:t xml:space="preserve"> ZA, </w:t>
      </w:r>
      <w:proofErr w:type="spellStart"/>
      <w:r w:rsidRPr="001F154E">
        <w:t>Crotti</w:t>
      </w:r>
      <w:proofErr w:type="spellEnd"/>
      <w:r w:rsidRPr="001F154E">
        <w:t xml:space="preserve"> L, </w:t>
      </w:r>
      <w:proofErr w:type="spellStart"/>
      <w:r w:rsidRPr="001F154E">
        <w:t>Facchini</w:t>
      </w:r>
      <w:proofErr w:type="spellEnd"/>
      <w:r w:rsidRPr="001F154E">
        <w:t xml:space="preserve"> M, De Ferrari GM, Paul T, </w:t>
      </w:r>
      <w:proofErr w:type="spellStart"/>
      <w:r w:rsidRPr="001F154E">
        <w:t>Ferrandi</w:t>
      </w:r>
      <w:proofErr w:type="spellEnd"/>
      <w:r w:rsidRPr="001F154E">
        <w:t xml:space="preserve"> C, Koolbergen DR, </w:t>
      </w:r>
      <w:proofErr w:type="spellStart"/>
      <w:r w:rsidRPr="001F154E">
        <w:t>Odero</w:t>
      </w:r>
      <w:proofErr w:type="spellEnd"/>
      <w:r w:rsidRPr="001F154E">
        <w:t xml:space="preserve"> A, Schwartz PJ. </w:t>
      </w:r>
      <w:r w:rsidRPr="000E160B">
        <w:t xml:space="preserve">Left cardiac sympathetic denervation for </w:t>
      </w:r>
      <w:proofErr w:type="spellStart"/>
      <w:r w:rsidRPr="000E160B">
        <w:t>catecholaminergic</w:t>
      </w:r>
      <w:proofErr w:type="spellEnd"/>
      <w:r w:rsidRPr="000E160B">
        <w:t xml:space="preserve"> polymorphic ventricular tachycardia.</w:t>
      </w:r>
      <w:r>
        <w:t xml:space="preserve"> </w:t>
      </w:r>
      <w:r w:rsidRPr="001F154E">
        <w:t xml:space="preserve">N </w:t>
      </w:r>
      <w:proofErr w:type="spellStart"/>
      <w:r w:rsidRPr="001F154E">
        <w:t>Engl</w:t>
      </w:r>
      <w:proofErr w:type="spellEnd"/>
      <w:r w:rsidRPr="001F154E">
        <w:t xml:space="preserve"> J Med 2008;358:2024-2029.</w:t>
      </w:r>
    </w:p>
    <w:p w14:paraId="3AAD7D72" w14:textId="77777777" w:rsidR="009A5FC9" w:rsidRPr="009A5FC9" w:rsidRDefault="009A5FC9" w:rsidP="001A2532">
      <w:pPr>
        <w:rPr>
          <w:lang w:val="nl-NL"/>
        </w:rPr>
      </w:pPr>
      <w:r w:rsidRPr="001F154E">
        <w:t xml:space="preserve">19. De Ferrari GM, </w:t>
      </w:r>
      <w:proofErr w:type="spellStart"/>
      <w:r w:rsidRPr="001F154E">
        <w:t>Dusi</w:t>
      </w:r>
      <w:proofErr w:type="spellEnd"/>
      <w:r w:rsidRPr="001F154E">
        <w:t xml:space="preserve"> V, </w:t>
      </w:r>
      <w:proofErr w:type="spellStart"/>
      <w:r w:rsidRPr="001F154E">
        <w:t>Spazzolini</w:t>
      </w:r>
      <w:proofErr w:type="spellEnd"/>
      <w:r w:rsidRPr="001F154E">
        <w:t xml:space="preserve"> C, Bos JM, Abrams DJ, </w:t>
      </w:r>
      <w:proofErr w:type="spellStart"/>
      <w:r w:rsidRPr="001F154E">
        <w:t>Berul</w:t>
      </w:r>
      <w:proofErr w:type="spellEnd"/>
      <w:r w:rsidRPr="001F154E">
        <w:t xml:space="preserve"> CI, </w:t>
      </w:r>
      <w:proofErr w:type="spellStart"/>
      <w:r w:rsidRPr="001F154E">
        <w:t>Crotti</w:t>
      </w:r>
      <w:proofErr w:type="spellEnd"/>
      <w:r w:rsidRPr="001F154E">
        <w:t xml:space="preserve"> L, Davis AM, </w:t>
      </w:r>
      <w:proofErr w:type="spellStart"/>
      <w:r w:rsidRPr="001F154E">
        <w:t>Eldar</w:t>
      </w:r>
      <w:proofErr w:type="spellEnd"/>
      <w:r w:rsidRPr="001F154E">
        <w:t xml:space="preserve"> M, </w:t>
      </w:r>
      <w:proofErr w:type="spellStart"/>
      <w:r w:rsidRPr="001F154E">
        <w:t>Kharlap</w:t>
      </w:r>
      <w:proofErr w:type="spellEnd"/>
      <w:r w:rsidRPr="001F154E">
        <w:t xml:space="preserve"> M, </w:t>
      </w:r>
      <w:proofErr w:type="spellStart"/>
      <w:r w:rsidRPr="001F154E">
        <w:t>Khoury</w:t>
      </w:r>
      <w:proofErr w:type="spellEnd"/>
      <w:r w:rsidRPr="001F154E">
        <w:t xml:space="preserve"> A, Krahn AD, </w:t>
      </w:r>
      <w:proofErr w:type="spellStart"/>
      <w:r w:rsidRPr="001F154E">
        <w:t>Leenhardt</w:t>
      </w:r>
      <w:proofErr w:type="spellEnd"/>
      <w:r w:rsidRPr="001F154E">
        <w:t xml:space="preserve"> A, </w:t>
      </w:r>
      <w:proofErr w:type="spellStart"/>
      <w:r w:rsidRPr="001F154E">
        <w:t>Moir</w:t>
      </w:r>
      <w:proofErr w:type="spellEnd"/>
      <w:r w:rsidRPr="001F154E">
        <w:t xml:space="preserve"> CR, </w:t>
      </w:r>
      <w:proofErr w:type="spellStart"/>
      <w:r w:rsidRPr="001F154E">
        <w:t>Odero</w:t>
      </w:r>
      <w:proofErr w:type="spellEnd"/>
      <w:r w:rsidRPr="001F154E">
        <w:t xml:space="preserve"> A, Olde Nordkamp L, Paul T, Rosés I Noguer F, </w:t>
      </w:r>
      <w:proofErr w:type="spellStart"/>
      <w:r w:rsidRPr="001F154E">
        <w:t>Shkolnikova</w:t>
      </w:r>
      <w:proofErr w:type="spellEnd"/>
      <w:r w:rsidRPr="001F154E">
        <w:t xml:space="preserve"> M, Till J, Wilde AA, Ackerman MJ, Schwartz PJ. </w:t>
      </w:r>
      <w:r>
        <w:t xml:space="preserve">Clinical management of </w:t>
      </w:r>
      <w:proofErr w:type="spellStart"/>
      <w:r>
        <w:t>catecholaminergic</w:t>
      </w:r>
      <w:proofErr w:type="spellEnd"/>
      <w:r>
        <w:t xml:space="preserve"> polymorphic ventricular tachycardia: the role of left cardiac sympathetic denervation. </w:t>
      </w:r>
      <w:proofErr w:type="spellStart"/>
      <w:r w:rsidRPr="009A5FC9">
        <w:rPr>
          <w:lang w:val="nl-NL"/>
        </w:rPr>
        <w:t>Circulation</w:t>
      </w:r>
      <w:proofErr w:type="spellEnd"/>
      <w:r w:rsidRPr="009A5FC9">
        <w:rPr>
          <w:lang w:val="nl-NL"/>
        </w:rPr>
        <w:t xml:space="preserve"> 2015;131:2185–2193.</w:t>
      </w:r>
    </w:p>
    <w:p w14:paraId="0CC9F2CA" w14:textId="77777777" w:rsidR="009A5FC9" w:rsidRDefault="009A5FC9" w:rsidP="001A2532">
      <w:r w:rsidRPr="001F154E">
        <w:rPr>
          <w:lang w:val="nl-NL"/>
        </w:rPr>
        <w:t xml:space="preserve">20. Olde Nordkamp LR, Postema PG, Knops RE, van Dijk N, </w:t>
      </w:r>
      <w:proofErr w:type="spellStart"/>
      <w:r w:rsidRPr="001F154E">
        <w:rPr>
          <w:lang w:val="nl-NL"/>
        </w:rPr>
        <w:t>Limpens</w:t>
      </w:r>
      <w:proofErr w:type="spellEnd"/>
      <w:r w:rsidRPr="001F154E">
        <w:rPr>
          <w:lang w:val="nl-NL"/>
        </w:rPr>
        <w:t xml:space="preserve"> J, Wilde AA, de Groot JR. et al. </w:t>
      </w:r>
      <w:r>
        <w:t xml:space="preserve">Implantable cardioverter-defibrillator harm in young patients with inherited arrhythmia syndromes: </w:t>
      </w:r>
      <w:r>
        <w:lastRenderedPageBreak/>
        <w:t>A systematic review and meta-analysis of inappropriate shocks and complications. Heart Rhythm 2016;13:443–454.</w:t>
      </w:r>
    </w:p>
    <w:p w14:paraId="62739759" w14:textId="77777777" w:rsidR="002F2188" w:rsidRPr="00F75153" w:rsidRDefault="009A5FC9" w:rsidP="001A2532">
      <w:pPr>
        <w:rPr>
          <w:lang w:val="nl-NL"/>
        </w:rPr>
      </w:pPr>
      <w:r>
        <w:t xml:space="preserve">21. </w:t>
      </w:r>
      <w:r w:rsidRPr="001F154E">
        <w:t xml:space="preserve">Richardson E, Spinks C, Davis A, Turner C, Atherton J, </w:t>
      </w:r>
      <w:proofErr w:type="spellStart"/>
      <w:r w:rsidRPr="001F154E">
        <w:t>McGaughran</w:t>
      </w:r>
      <w:proofErr w:type="spellEnd"/>
      <w:r w:rsidRPr="001F154E">
        <w:t xml:space="preserve"> J, Semsarian C, Ingles J</w:t>
      </w:r>
      <w:r>
        <w:t xml:space="preserve">. Psychosocial implications of living with </w:t>
      </w:r>
      <w:proofErr w:type="spellStart"/>
      <w:r>
        <w:t>catecholaminergic</w:t>
      </w:r>
      <w:proofErr w:type="spellEnd"/>
      <w:r>
        <w:t xml:space="preserve"> polymorphic ventricular tachycardia in adulthood. </w:t>
      </w:r>
      <w:r w:rsidRPr="00F75153">
        <w:rPr>
          <w:lang w:val="nl-NL"/>
        </w:rPr>
        <w:t xml:space="preserve">J Genet </w:t>
      </w:r>
      <w:proofErr w:type="spellStart"/>
      <w:r w:rsidRPr="00F75153">
        <w:rPr>
          <w:lang w:val="nl-NL"/>
        </w:rPr>
        <w:t>Couns</w:t>
      </w:r>
      <w:proofErr w:type="spellEnd"/>
      <w:r w:rsidRPr="00F75153">
        <w:rPr>
          <w:lang w:val="nl-NL"/>
        </w:rPr>
        <w:t xml:space="preserve"> 2018;27:549-557.</w:t>
      </w:r>
    </w:p>
    <w:p w14:paraId="747A3F27" w14:textId="77777777" w:rsidR="0094735F" w:rsidRPr="0094735F" w:rsidRDefault="002F2188" w:rsidP="001A2532">
      <w:pPr>
        <w:rPr>
          <w:highlight w:val="yellow"/>
        </w:rPr>
      </w:pPr>
      <w:bookmarkStart w:id="2" w:name="_Hlk3743713"/>
      <w:r w:rsidRPr="0094735F">
        <w:rPr>
          <w:highlight w:val="yellow"/>
          <w:lang w:val="nl-NL"/>
        </w:rPr>
        <w:t xml:space="preserve">22. van der Werf C, Nederend I, Hofman N, van Geloven N, </w:t>
      </w:r>
      <w:proofErr w:type="spellStart"/>
      <w:r w:rsidRPr="0094735F">
        <w:rPr>
          <w:highlight w:val="yellow"/>
          <w:lang w:val="nl-NL"/>
        </w:rPr>
        <w:t>Ebink</w:t>
      </w:r>
      <w:proofErr w:type="spellEnd"/>
      <w:r w:rsidRPr="0094735F">
        <w:rPr>
          <w:highlight w:val="yellow"/>
          <w:lang w:val="nl-NL"/>
        </w:rPr>
        <w:t xml:space="preserve"> C, </w:t>
      </w:r>
      <w:proofErr w:type="spellStart"/>
      <w:r w:rsidRPr="0094735F">
        <w:rPr>
          <w:highlight w:val="yellow"/>
          <w:lang w:val="nl-NL"/>
        </w:rPr>
        <w:t>Frohn</w:t>
      </w:r>
      <w:proofErr w:type="spellEnd"/>
      <w:r w:rsidRPr="0094735F">
        <w:rPr>
          <w:highlight w:val="yellow"/>
          <w:lang w:val="nl-NL"/>
        </w:rPr>
        <w:t xml:space="preserve">-Mulder IM, </w:t>
      </w:r>
      <w:proofErr w:type="spellStart"/>
      <w:r w:rsidRPr="0094735F">
        <w:rPr>
          <w:highlight w:val="yellow"/>
          <w:lang w:val="nl-NL"/>
        </w:rPr>
        <w:t>Alinga</w:t>
      </w:r>
      <w:proofErr w:type="spellEnd"/>
      <w:r w:rsidRPr="0094735F">
        <w:rPr>
          <w:highlight w:val="yellow"/>
          <w:lang w:val="nl-NL"/>
        </w:rPr>
        <w:t xml:space="preserve"> AM, Bosker HA, </w:t>
      </w:r>
      <w:proofErr w:type="spellStart"/>
      <w:r w:rsidRPr="0094735F">
        <w:rPr>
          <w:highlight w:val="yellow"/>
          <w:lang w:val="nl-NL"/>
        </w:rPr>
        <w:t>Bracke</w:t>
      </w:r>
      <w:proofErr w:type="spellEnd"/>
      <w:r w:rsidRPr="0094735F">
        <w:rPr>
          <w:highlight w:val="yellow"/>
          <w:lang w:val="nl-NL"/>
        </w:rPr>
        <w:t xml:space="preserve"> FA, van den Heuvel F, </w:t>
      </w:r>
      <w:proofErr w:type="spellStart"/>
      <w:r w:rsidRPr="0094735F">
        <w:rPr>
          <w:highlight w:val="yellow"/>
          <w:lang w:val="nl-NL"/>
        </w:rPr>
        <w:t>Waalewijn</w:t>
      </w:r>
      <w:proofErr w:type="spellEnd"/>
      <w:r w:rsidRPr="0094735F">
        <w:rPr>
          <w:highlight w:val="yellow"/>
          <w:lang w:val="nl-NL"/>
        </w:rPr>
        <w:t xml:space="preserve"> RA, Bikker H, van Tintelen JP, </w:t>
      </w:r>
      <w:proofErr w:type="spellStart"/>
      <w:r w:rsidRPr="0094735F">
        <w:rPr>
          <w:highlight w:val="yellow"/>
          <w:lang w:val="nl-NL"/>
        </w:rPr>
        <w:t>Bhuiyan</w:t>
      </w:r>
      <w:proofErr w:type="spellEnd"/>
      <w:r w:rsidRPr="0094735F">
        <w:rPr>
          <w:highlight w:val="yellow"/>
          <w:lang w:val="nl-NL"/>
        </w:rPr>
        <w:t xml:space="preserve"> ZA, van den Berg MP, Wilde AA. </w:t>
      </w:r>
      <w:r w:rsidRPr="0094735F">
        <w:rPr>
          <w:highlight w:val="yellow"/>
        </w:rPr>
        <w:t xml:space="preserve">Familial evaluation in </w:t>
      </w:r>
      <w:proofErr w:type="spellStart"/>
      <w:r w:rsidRPr="0094735F">
        <w:rPr>
          <w:highlight w:val="yellow"/>
        </w:rPr>
        <w:t>catecholaminergic</w:t>
      </w:r>
      <w:proofErr w:type="spellEnd"/>
      <w:r w:rsidRPr="0094735F">
        <w:rPr>
          <w:highlight w:val="yellow"/>
        </w:rPr>
        <w:t xml:space="preserve"> polymorphic ventricular tachycardia: disease penetrance and expression in cardiac ryanodine receptor mutation-carrying relatives. </w:t>
      </w:r>
      <w:proofErr w:type="spellStart"/>
      <w:r w:rsidRPr="0094735F">
        <w:rPr>
          <w:highlight w:val="yellow"/>
        </w:rPr>
        <w:t>Circ</w:t>
      </w:r>
      <w:proofErr w:type="spellEnd"/>
      <w:r w:rsidRPr="0094735F">
        <w:rPr>
          <w:highlight w:val="yellow"/>
        </w:rPr>
        <w:t xml:space="preserve"> </w:t>
      </w:r>
      <w:proofErr w:type="spellStart"/>
      <w:r w:rsidRPr="0094735F">
        <w:rPr>
          <w:highlight w:val="yellow"/>
        </w:rPr>
        <w:t>Arrhythm</w:t>
      </w:r>
      <w:proofErr w:type="spellEnd"/>
      <w:r w:rsidRPr="0094735F">
        <w:rPr>
          <w:highlight w:val="yellow"/>
        </w:rPr>
        <w:t xml:space="preserve"> </w:t>
      </w:r>
      <w:proofErr w:type="spellStart"/>
      <w:r w:rsidRPr="0094735F">
        <w:rPr>
          <w:highlight w:val="yellow"/>
        </w:rPr>
        <w:t>Electrophysiol</w:t>
      </w:r>
      <w:proofErr w:type="spellEnd"/>
      <w:r w:rsidRPr="0094735F">
        <w:rPr>
          <w:highlight w:val="yellow"/>
        </w:rPr>
        <w:t xml:space="preserve"> 2012;5:748–756.</w:t>
      </w:r>
    </w:p>
    <w:p w14:paraId="7E4D3F04" w14:textId="2449910B" w:rsidR="0094735F" w:rsidRPr="0094735F" w:rsidRDefault="0094735F" w:rsidP="0094735F">
      <w:pPr>
        <w:rPr>
          <w:highlight w:val="yellow"/>
        </w:rPr>
      </w:pPr>
      <w:r w:rsidRPr="0094735F">
        <w:rPr>
          <w:highlight w:val="yellow"/>
        </w:rPr>
        <w:t xml:space="preserve">23. </w:t>
      </w:r>
      <w:proofErr w:type="spellStart"/>
      <w:r w:rsidRPr="0094735F">
        <w:rPr>
          <w:highlight w:val="yellow"/>
        </w:rPr>
        <w:t>Sy</w:t>
      </w:r>
      <w:proofErr w:type="spellEnd"/>
      <w:r w:rsidRPr="0094735F">
        <w:rPr>
          <w:highlight w:val="yellow"/>
        </w:rPr>
        <w:t xml:space="preserve"> R, </w:t>
      </w:r>
      <w:proofErr w:type="spellStart"/>
      <w:r w:rsidRPr="0094735F">
        <w:rPr>
          <w:highlight w:val="yellow"/>
        </w:rPr>
        <w:t>Gollob</w:t>
      </w:r>
      <w:proofErr w:type="spellEnd"/>
      <w:r w:rsidRPr="0094735F">
        <w:rPr>
          <w:highlight w:val="yellow"/>
        </w:rPr>
        <w:t xml:space="preserve"> MH, Klein GJ, Yee R, </w:t>
      </w:r>
      <w:proofErr w:type="spellStart"/>
      <w:r w:rsidRPr="0094735F">
        <w:rPr>
          <w:highlight w:val="yellow"/>
        </w:rPr>
        <w:t>Skanes</w:t>
      </w:r>
      <w:proofErr w:type="spellEnd"/>
      <w:r w:rsidRPr="0094735F">
        <w:rPr>
          <w:highlight w:val="yellow"/>
        </w:rPr>
        <w:t xml:space="preserve"> AC, </w:t>
      </w:r>
      <w:proofErr w:type="spellStart"/>
      <w:r w:rsidRPr="0094735F">
        <w:rPr>
          <w:highlight w:val="yellow"/>
        </w:rPr>
        <w:t>Gula</w:t>
      </w:r>
      <w:proofErr w:type="spellEnd"/>
      <w:r w:rsidRPr="0094735F">
        <w:rPr>
          <w:highlight w:val="yellow"/>
        </w:rPr>
        <w:t xml:space="preserve"> LJ, Leong-Sit P, </w:t>
      </w:r>
      <w:proofErr w:type="spellStart"/>
      <w:r w:rsidRPr="0094735F">
        <w:rPr>
          <w:highlight w:val="yellow"/>
        </w:rPr>
        <w:t>Gow</w:t>
      </w:r>
      <w:proofErr w:type="spellEnd"/>
      <w:r w:rsidRPr="0094735F">
        <w:rPr>
          <w:highlight w:val="yellow"/>
        </w:rPr>
        <w:t xml:space="preserve"> RM, </w:t>
      </w:r>
    </w:p>
    <w:p w14:paraId="3E7BCAC8" w14:textId="77777777" w:rsidR="0094735F" w:rsidRPr="0094735F" w:rsidRDefault="0094735F" w:rsidP="0094735F">
      <w:pPr>
        <w:rPr>
          <w:highlight w:val="yellow"/>
        </w:rPr>
      </w:pPr>
      <w:r w:rsidRPr="0094735F">
        <w:rPr>
          <w:highlight w:val="yellow"/>
        </w:rPr>
        <w:t xml:space="preserve">Green MS, </w:t>
      </w:r>
      <w:proofErr w:type="spellStart"/>
      <w:r w:rsidRPr="0094735F">
        <w:rPr>
          <w:highlight w:val="yellow"/>
        </w:rPr>
        <w:t>Birnie</w:t>
      </w:r>
      <w:proofErr w:type="spellEnd"/>
      <w:r w:rsidRPr="0094735F">
        <w:rPr>
          <w:highlight w:val="yellow"/>
        </w:rPr>
        <w:t xml:space="preserve"> DH, Krahn AD. Arrhythmia characterization and long-term outcomes in</w:t>
      </w:r>
    </w:p>
    <w:p w14:paraId="5B78F4ED" w14:textId="56ABA64A" w:rsidR="00D81D89" w:rsidRDefault="0094735F" w:rsidP="0094735F">
      <w:proofErr w:type="spellStart"/>
      <w:r w:rsidRPr="0094735F">
        <w:rPr>
          <w:highlight w:val="yellow"/>
        </w:rPr>
        <w:t>catecholaminergic</w:t>
      </w:r>
      <w:proofErr w:type="spellEnd"/>
      <w:r w:rsidRPr="0094735F">
        <w:rPr>
          <w:highlight w:val="yellow"/>
        </w:rPr>
        <w:t xml:space="preserve"> polymorphic ventricular tachycardia. Heart Rhythm 2011;8:864–871.</w:t>
      </w:r>
      <w:bookmarkEnd w:id="2"/>
      <w:r w:rsidR="00D81D89">
        <w:br w:type="page"/>
      </w:r>
    </w:p>
    <w:p w14:paraId="4EDFE4BC" w14:textId="77777777" w:rsidR="009A5FC9" w:rsidRDefault="009A5FC9" w:rsidP="001A2532">
      <w:pPr>
        <w:pStyle w:val="Kop1"/>
      </w:pPr>
      <w:r>
        <w:lastRenderedPageBreak/>
        <w:t>Figure legends</w:t>
      </w:r>
    </w:p>
    <w:p w14:paraId="016B5D75" w14:textId="77777777" w:rsidR="009A5FC9" w:rsidRDefault="009A5FC9" w:rsidP="001A2532">
      <w:pPr>
        <w:rPr>
          <w:b/>
          <w:lang w:eastAsia="nl-NL"/>
        </w:rPr>
      </w:pPr>
      <w:r>
        <w:rPr>
          <w:b/>
          <w:lang w:eastAsia="nl-NL"/>
        </w:rPr>
        <w:t xml:space="preserve">Figure 1. Flowchart of included and excluded patients and outcome events. </w:t>
      </w:r>
    </w:p>
    <w:p w14:paraId="5C39C6E1" w14:textId="532B2E10" w:rsidR="009A5FC9" w:rsidRDefault="009A5FC9" w:rsidP="001A2532">
      <w:r>
        <w:t>ICD, implantable-cardioverter defibrillator; SCA, sudden cardiac arrest; SCD, sudden cardiac death.</w:t>
      </w:r>
    </w:p>
    <w:p w14:paraId="69AB08EA" w14:textId="77777777" w:rsidR="001828C2" w:rsidRDefault="001828C2" w:rsidP="001828C2">
      <w:pPr>
        <w:rPr>
          <w:highlight w:val="yellow"/>
        </w:rPr>
      </w:pPr>
      <w:proofErr w:type="spellStart"/>
      <w:r>
        <w:rPr>
          <w:highlight w:val="yellow"/>
          <w:vertAlign w:val="superscript"/>
        </w:rPr>
        <w:t>a</w:t>
      </w:r>
      <w:r>
        <w:rPr>
          <w:highlight w:val="yellow"/>
        </w:rPr>
        <w:t>One</w:t>
      </w:r>
      <w:proofErr w:type="spellEnd"/>
      <w:r>
        <w:rPr>
          <w:highlight w:val="yellow"/>
        </w:rPr>
        <w:t xml:space="preserve"> patient received appropriate ICD shocks 3 years before he died due to electrical storm (see </w:t>
      </w:r>
      <w:r>
        <w:rPr>
          <w:b/>
          <w:highlight w:val="yellow"/>
        </w:rPr>
        <w:t>Supplementary results</w:t>
      </w:r>
      <w:r>
        <w:rPr>
          <w:highlight w:val="yellow"/>
        </w:rPr>
        <w:t xml:space="preserve">). </w:t>
      </w:r>
    </w:p>
    <w:p w14:paraId="6181E74D" w14:textId="77777777" w:rsidR="001828C2" w:rsidRDefault="001828C2" w:rsidP="001828C2">
      <w:proofErr w:type="spellStart"/>
      <w:r>
        <w:rPr>
          <w:highlight w:val="yellow"/>
          <w:vertAlign w:val="superscript"/>
        </w:rPr>
        <w:t>b</w:t>
      </w:r>
      <w:r>
        <w:rPr>
          <w:highlight w:val="yellow"/>
        </w:rPr>
        <w:t>Eighteen</w:t>
      </w:r>
      <w:proofErr w:type="spellEnd"/>
      <w:r>
        <w:rPr>
          <w:highlight w:val="yellow"/>
        </w:rPr>
        <w:t xml:space="preserve"> of these 22 patients (81.8%) were followed for an additional 7.2 years (IQR: 4.0-11.2).</w:t>
      </w:r>
    </w:p>
    <w:p w14:paraId="0CD2948A" w14:textId="752B4C50" w:rsidR="00034209" w:rsidRDefault="00034209" w:rsidP="001A2532"/>
    <w:p w14:paraId="191B8D47" w14:textId="1765CF4D" w:rsidR="00034209" w:rsidRDefault="00034209" w:rsidP="001A2532">
      <w:r>
        <w:rPr>
          <w:b/>
          <w:lang w:eastAsia="nl-NL"/>
        </w:rPr>
        <w:t>Figure 2. Time-to-event curves for SCD and for combinations of SCD, SCA, appropriate ICD shocks, and syncope.</w:t>
      </w:r>
    </w:p>
    <w:p w14:paraId="521C4CB0" w14:textId="2EE77A13" w:rsidR="00A968D1" w:rsidRDefault="00A968D1" w:rsidP="00A968D1">
      <w:bookmarkStart w:id="3" w:name="_Hlk3735909"/>
      <w:r w:rsidRPr="00A968D1">
        <w:rPr>
          <w:highlight w:val="yellow"/>
        </w:rPr>
        <w:t>Kaplan–Meier survival curves and corresponding 95% confidence intervals in patients with an ICD (green) and without an ICD (red).</w:t>
      </w:r>
      <w:r>
        <w:t xml:space="preserve"> </w:t>
      </w:r>
    </w:p>
    <w:bookmarkEnd w:id="3"/>
    <w:p w14:paraId="14E8F0B3" w14:textId="52109D66" w:rsidR="00034209" w:rsidRDefault="00034209" w:rsidP="001A2532">
      <w:r>
        <w:t>SCA, sudden cardiac arrest; SCD, sudden cardiac death.</w:t>
      </w:r>
    </w:p>
    <w:p w14:paraId="3C7FC3CA" w14:textId="3A67F6C9" w:rsidR="009F030A" w:rsidRDefault="009F030A" w:rsidP="001A2532"/>
    <w:p w14:paraId="41735BA7" w14:textId="555EC6A4" w:rsidR="009F030A" w:rsidRDefault="009F030A" w:rsidP="009F030A">
      <w:pPr>
        <w:rPr>
          <w:b/>
          <w:lang w:eastAsia="nl-NL"/>
        </w:rPr>
      </w:pPr>
      <w:r w:rsidRPr="009F030A">
        <w:rPr>
          <w:b/>
        </w:rPr>
        <w:t>Take-home figure.</w:t>
      </w:r>
      <w:r>
        <w:rPr>
          <w:b/>
        </w:rPr>
        <w:t xml:space="preserve"> </w:t>
      </w:r>
      <w:r>
        <w:rPr>
          <w:b/>
          <w:lang w:eastAsia="nl-NL"/>
        </w:rPr>
        <w:t>Time-to-event curve for SCD.</w:t>
      </w:r>
    </w:p>
    <w:p w14:paraId="2FF76E00" w14:textId="14D52983" w:rsidR="009F030A" w:rsidRPr="009F030A" w:rsidRDefault="009F030A" w:rsidP="009F030A">
      <w:r w:rsidRPr="004879E1">
        <w:t xml:space="preserve">In previously undiagnosed patients with CPVT </w:t>
      </w:r>
      <w:r>
        <w:t xml:space="preserve">who </w:t>
      </w:r>
      <w:r w:rsidRPr="004879E1">
        <w:t>present</w:t>
      </w:r>
      <w:r>
        <w:t xml:space="preserve">ed </w:t>
      </w:r>
      <w:r w:rsidRPr="004879E1">
        <w:t xml:space="preserve">with SCA, an ICD was not associated with </w:t>
      </w:r>
      <w:r>
        <w:t>improved survival</w:t>
      </w:r>
      <w:r w:rsidRPr="004879E1">
        <w:t>.</w:t>
      </w:r>
    </w:p>
    <w:p w14:paraId="5F67F93E" w14:textId="77777777" w:rsidR="009F030A" w:rsidRPr="009F030A" w:rsidRDefault="009F030A" w:rsidP="001A2532">
      <w:pPr>
        <w:rPr>
          <w:rFonts w:ascii="Calibri" w:hAnsi="Calibri"/>
        </w:rPr>
      </w:pPr>
    </w:p>
    <w:p w14:paraId="60C2F224" w14:textId="77777777" w:rsidR="00034209" w:rsidRDefault="00034209" w:rsidP="001A2532"/>
    <w:p w14:paraId="112A9F14" w14:textId="62F7936F" w:rsidR="009A5FC9" w:rsidRDefault="009A5FC9" w:rsidP="001A2532">
      <w:r>
        <w:br w:type="page"/>
      </w:r>
    </w:p>
    <w:p w14:paraId="53FACB3D" w14:textId="1AF3AC6D" w:rsidR="00D81D89" w:rsidRDefault="00D81D89" w:rsidP="001A2532">
      <w:pPr>
        <w:pStyle w:val="Kop1"/>
      </w:pPr>
      <w:r>
        <w:lastRenderedPageBreak/>
        <w:t>Tables</w:t>
      </w:r>
    </w:p>
    <w:p w14:paraId="648CD386" w14:textId="7193F3BF" w:rsidR="00D81D89" w:rsidRDefault="00D81D89" w:rsidP="001A2532">
      <w:r>
        <w:rPr>
          <w:b/>
        </w:rPr>
        <w:t xml:space="preserve">Table 1. Clinical Characteristics </w:t>
      </w:r>
    </w:p>
    <w:tbl>
      <w:tblPr>
        <w:tblW w:w="9288" w:type="dxa"/>
        <w:tblBorders>
          <w:top w:val="single" w:sz="4" w:space="0" w:color="auto"/>
          <w:bottom w:val="single" w:sz="4" w:space="0" w:color="auto"/>
        </w:tblBorders>
        <w:tblLayout w:type="fixed"/>
        <w:tblLook w:val="04A0" w:firstRow="1" w:lastRow="0" w:firstColumn="1" w:lastColumn="0" w:noHBand="0" w:noVBand="1"/>
      </w:tblPr>
      <w:tblGrid>
        <w:gridCol w:w="2943"/>
        <w:gridCol w:w="925"/>
        <w:gridCol w:w="68"/>
        <w:gridCol w:w="798"/>
        <w:gridCol w:w="866"/>
        <w:gridCol w:w="865"/>
        <w:gridCol w:w="866"/>
        <w:gridCol w:w="866"/>
        <w:gridCol w:w="1091"/>
      </w:tblGrid>
      <w:tr w:rsidR="00D81D89" w14:paraId="35FD2FA4" w14:textId="77777777" w:rsidTr="00832822">
        <w:tc>
          <w:tcPr>
            <w:tcW w:w="2943" w:type="dxa"/>
            <w:tcBorders>
              <w:top w:val="single" w:sz="4" w:space="0" w:color="auto"/>
              <w:left w:val="nil"/>
              <w:bottom w:val="single" w:sz="4" w:space="0" w:color="auto"/>
              <w:right w:val="nil"/>
            </w:tcBorders>
          </w:tcPr>
          <w:p w14:paraId="099B98F8" w14:textId="77777777" w:rsidR="00D81D89" w:rsidRDefault="00D81D89" w:rsidP="001A2532">
            <w:pPr>
              <w:rPr>
                <w:b/>
              </w:rPr>
            </w:pPr>
          </w:p>
        </w:tc>
        <w:tc>
          <w:tcPr>
            <w:tcW w:w="1791" w:type="dxa"/>
            <w:gridSpan w:val="3"/>
            <w:tcBorders>
              <w:top w:val="single" w:sz="4" w:space="0" w:color="auto"/>
              <w:left w:val="nil"/>
              <w:bottom w:val="single" w:sz="4" w:space="0" w:color="auto"/>
              <w:right w:val="nil"/>
            </w:tcBorders>
            <w:hideMark/>
          </w:tcPr>
          <w:p w14:paraId="31481B0A" w14:textId="77777777" w:rsidR="00D81D89" w:rsidRDefault="00D81D89" w:rsidP="001A2532">
            <w:pPr>
              <w:jc w:val="center"/>
              <w:rPr>
                <w:b/>
              </w:rPr>
            </w:pPr>
            <w:r>
              <w:rPr>
                <w:b/>
              </w:rPr>
              <w:t>Whole Cohort</w:t>
            </w:r>
          </w:p>
          <w:p w14:paraId="36422A45" w14:textId="6E62C110" w:rsidR="00D81D89" w:rsidRDefault="00F020ED" w:rsidP="001A2532">
            <w:pPr>
              <w:jc w:val="center"/>
              <w:rPr>
                <w:b/>
              </w:rPr>
            </w:pPr>
            <w:r>
              <w:rPr>
                <w:b/>
              </w:rPr>
              <w:t>(</w:t>
            </w:r>
            <w:r w:rsidRPr="00F020ED">
              <w:rPr>
                <w:b/>
                <w:i/>
              </w:rPr>
              <w:t>n</w:t>
            </w:r>
            <w:r w:rsidR="00D81D89">
              <w:rPr>
                <w:b/>
              </w:rPr>
              <w:t xml:space="preserve"> = 136)</w:t>
            </w:r>
          </w:p>
        </w:tc>
        <w:tc>
          <w:tcPr>
            <w:tcW w:w="1731" w:type="dxa"/>
            <w:gridSpan w:val="2"/>
            <w:tcBorders>
              <w:top w:val="single" w:sz="4" w:space="0" w:color="auto"/>
              <w:left w:val="nil"/>
              <w:bottom w:val="single" w:sz="4" w:space="0" w:color="auto"/>
              <w:right w:val="nil"/>
            </w:tcBorders>
            <w:hideMark/>
          </w:tcPr>
          <w:p w14:paraId="235C7887" w14:textId="77777777" w:rsidR="00D81D89" w:rsidRDefault="00D81D89" w:rsidP="001A2532">
            <w:pPr>
              <w:jc w:val="center"/>
              <w:rPr>
                <w:b/>
              </w:rPr>
            </w:pPr>
            <w:r>
              <w:rPr>
                <w:b/>
              </w:rPr>
              <w:t xml:space="preserve">ICD </w:t>
            </w:r>
          </w:p>
          <w:p w14:paraId="2D889641" w14:textId="22AA89FB" w:rsidR="00D81D89" w:rsidRDefault="00D81D89" w:rsidP="001A2532">
            <w:pPr>
              <w:jc w:val="center"/>
              <w:rPr>
                <w:b/>
              </w:rPr>
            </w:pPr>
            <w:r>
              <w:rPr>
                <w:b/>
              </w:rPr>
              <w:t>(</w:t>
            </w:r>
            <w:r w:rsidR="00F020ED" w:rsidRPr="00F020ED">
              <w:rPr>
                <w:b/>
                <w:i/>
              </w:rPr>
              <w:t>n</w:t>
            </w:r>
            <w:r>
              <w:rPr>
                <w:b/>
              </w:rPr>
              <w:t xml:space="preserve"> = 79)</w:t>
            </w:r>
          </w:p>
        </w:tc>
        <w:tc>
          <w:tcPr>
            <w:tcW w:w="1732" w:type="dxa"/>
            <w:gridSpan w:val="2"/>
            <w:tcBorders>
              <w:top w:val="single" w:sz="4" w:space="0" w:color="auto"/>
              <w:left w:val="nil"/>
              <w:bottom w:val="single" w:sz="4" w:space="0" w:color="auto"/>
              <w:right w:val="nil"/>
            </w:tcBorders>
            <w:hideMark/>
          </w:tcPr>
          <w:p w14:paraId="6BF912D4" w14:textId="77777777" w:rsidR="00D81D89" w:rsidRDefault="00D81D89" w:rsidP="001A2532">
            <w:pPr>
              <w:jc w:val="center"/>
              <w:rPr>
                <w:b/>
              </w:rPr>
            </w:pPr>
            <w:r>
              <w:rPr>
                <w:b/>
              </w:rPr>
              <w:t>No ICD</w:t>
            </w:r>
          </w:p>
          <w:p w14:paraId="4D543957" w14:textId="67041E59" w:rsidR="00D81D89" w:rsidRDefault="00D81D89" w:rsidP="001A2532">
            <w:pPr>
              <w:jc w:val="center"/>
              <w:rPr>
                <w:b/>
              </w:rPr>
            </w:pPr>
            <w:r>
              <w:rPr>
                <w:b/>
              </w:rPr>
              <w:t>(</w:t>
            </w:r>
            <w:r w:rsidR="00F020ED" w:rsidRPr="00F020ED">
              <w:rPr>
                <w:b/>
                <w:i/>
              </w:rPr>
              <w:t>n</w:t>
            </w:r>
            <w:r>
              <w:rPr>
                <w:b/>
              </w:rPr>
              <w:t xml:space="preserve"> = 57)</w:t>
            </w:r>
          </w:p>
        </w:tc>
        <w:tc>
          <w:tcPr>
            <w:tcW w:w="1091" w:type="dxa"/>
            <w:tcBorders>
              <w:top w:val="single" w:sz="4" w:space="0" w:color="auto"/>
              <w:left w:val="nil"/>
              <w:bottom w:val="single" w:sz="4" w:space="0" w:color="auto"/>
              <w:right w:val="nil"/>
            </w:tcBorders>
            <w:hideMark/>
          </w:tcPr>
          <w:p w14:paraId="33288EDB" w14:textId="6327374A" w:rsidR="00D81D89" w:rsidRDefault="00D81D89" w:rsidP="001A2532">
            <w:pPr>
              <w:jc w:val="center"/>
              <w:rPr>
                <w:b/>
              </w:rPr>
            </w:pPr>
            <w:r w:rsidRPr="00F020ED">
              <w:rPr>
                <w:b/>
                <w:i/>
              </w:rPr>
              <w:t>P</w:t>
            </w:r>
            <w:r w:rsidR="00F020ED">
              <w:rPr>
                <w:b/>
                <w:i/>
              </w:rPr>
              <w:t>-</w:t>
            </w:r>
            <w:r>
              <w:rPr>
                <w:b/>
              </w:rPr>
              <w:t>value</w:t>
            </w:r>
          </w:p>
        </w:tc>
      </w:tr>
      <w:tr w:rsidR="00D81D89" w14:paraId="0679669B" w14:textId="77777777" w:rsidTr="00E01538">
        <w:tc>
          <w:tcPr>
            <w:tcW w:w="2943" w:type="dxa"/>
            <w:tcBorders>
              <w:top w:val="single" w:sz="4" w:space="0" w:color="auto"/>
              <w:left w:val="nil"/>
              <w:bottom w:val="nil"/>
              <w:right w:val="nil"/>
            </w:tcBorders>
            <w:hideMark/>
          </w:tcPr>
          <w:p w14:paraId="4D197660" w14:textId="77777777" w:rsidR="00D81D89" w:rsidRDefault="00D81D89" w:rsidP="001A2532">
            <w:r>
              <w:t>Age at SCA (years)</w:t>
            </w:r>
          </w:p>
        </w:tc>
        <w:tc>
          <w:tcPr>
            <w:tcW w:w="1791" w:type="dxa"/>
            <w:gridSpan w:val="3"/>
            <w:tcBorders>
              <w:top w:val="single" w:sz="4" w:space="0" w:color="auto"/>
              <w:left w:val="nil"/>
              <w:bottom w:val="nil"/>
              <w:right w:val="nil"/>
            </w:tcBorders>
            <w:hideMark/>
          </w:tcPr>
          <w:p w14:paraId="64DF2BDF" w14:textId="77777777" w:rsidR="00D81D89" w:rsidRDefault="00D81D89" w:rsidP="001A2532">
            <w:pPr>
              <w:jc w:val="center"/>
            </w:pPr>
            <w:r>
              <w:t>14.0 (9.0-20.8)</w:t>
            </w:r>
          </w:p>
        </w:tc>
        <w:tc>
          <w:tcPr>
            <w:tcW w:w="1731" w:type="dxa"/>
            <w:gridSpan w:val="2"/>
            <w:tcBorders>
              <w:top w:val="single" w:sz="4" w:space="0" w:color="auto"/>
              <w:left w:val="nil"/>
              <w:bottom w:val="nil"/>
              <w:right w:val="nil"/>
            </w:tcBorders>
            <w:hideMark/>
          </w:tcPr>
          <w:p w14:paraId="60A2F289" w14:textId="77777777" w:rsidR="00D81D89" w:rsidRDefault="00D81D89" w:rsidP="001A2532">
            <w:pPr>
              <w:jc w:val="center"/>
            </w:pPr>
            <w:r>
              <w:t>16.0 (12.0-26.0)</w:t>
            </w:r>
          </w:p>
        </w:tc>
        <w:tc>
          <w:tcPr>
            <w:tcW w:w="1732" w:type="dxa"/>
            <w:gridSpan w:val="2"/>
            <w:tcBorders>
              <w:top w:val="single" w:sz="4" w:space="0" w:color="auto"/>
              <w:left w:val="nil"/>
              <w:bottom w:val="nil"/>
              <w:right w:val="nil"/>
            </w:tcBorders>
            <w:hideMark/>
          </w:tcPr>
          <w:p w14:paraId="663F5A84" w14:textId="77777777" w:rsidR="00D81D89" w:rsidRDefault="00D81D89" w:rsidP="001A2532">
            <w:pPr>
              <w:jc w:val="center"/>
            </w:pPr>
            <w:r>
              <w:t>11.0 (7.5-14.0)</w:t>
            </w:r>
          </w:p>
        </w:tc>
        <w:tc>
          <w:tcPr>
            <w:tcW w:w="1091" w:type="dxa"/>
            <w:tcBorders>
              <w:top w:val="single" w:sz="4" w:space="0" w:color="auto"/>
              <w:left w:val="nil"/>
              <w:bottom w:val="nil"/>
              <w:right w:val="nil"/>
            </w:tcBorders>
            <w:hideMark/>
          </w:tcPr>
          <w:p w14:paraId="2780779C" w14:textId="736AD6D0" w:rsidR="00D81D89" w:rsidRDefault="00D81D89" w:rsidP="001A2532">
            <w:pPr>
              <w:jc w:val="center"/>
            </w:pPr>
            <w:r>
              <w:t>&lt;0.0</w:t>
            </w:r>
            <w:r w:rsidR="00832822">
              <w:t>0</w:t>
            </w:r>
            <w:r>
              <w:t>01</w:t>
            </w:r>
          </w:p>
        </w:tc>
      </w:tr>
      <w:tr w:rsidR="00832822" w14:paraId="2161FBF1" w14:textId="77777777" w:rsidTr="00E01538">
        <w:tc>
          <w:tcPr>
            <w:tcW w:w="2943" w:type="dxa"/>
            <w:tcBorders>
              <w:top w:val="nil"/>
              <w:left w:val="nil"/>
              <w:bottom w:val="nil"/>
              <w:right w:val="nil"/>
            </w:tcBorders>
          </w:tcPr>
          <w:p w14:paraId="7FFEE9DC" w14:textId="7B47FBF4" w:rsidR="00832822" w:rsidRDefault="00832822" w:rsidP="001A2532">
            <w:pPr>
              <w:ind w:firstLine="457"/>
            </w:pPr>
            <w:r>
              <w:t>0-10 years</w:t>
            </w:r>
          </w:p>
        </w:tc>
        <w:tc>
          <w:tcPr>
            <w:tcW w:w="993" w:type="dxa"/>
            <w:gridSpan w:val="2"/>
            <w:tcBorders>
              <w:top w:val="nil"/>
              <w:left w:val="nil"/>
              <w:bottom w:val="nil"/>
              <w:right w:val="nil"/>
            </w:tcBorders>
          </w:tcPr>
          <w:p w14:paraId="715E9E18" w14:textId="29960975" w:rsidR="00832822" w:rsidRDefault="00832822" w:rsidP="001A2532">
            <w:pPr>
              <w:jc w:val="right"/>
            </w:pPr>
            <w:r>
              <w:t>44</w:t>
            </w:r>
          </w:p>
        </w:tc>
        <w:tc>
          <w:tcPr>
            <w:tcW w:w="798" w:type="dxa"/>
            <w:tcBorders>
              <w:top w:val="nil"/>
              <w:left w:val="nil"/>
              <w:bottom w:val="nil"/>
              <w:right w:val="nil"/>
            </w:tcBorders>
          </w:tcPr>
          <w:p w14:paraId="55E4049D" w14:textId="5B7D849A" w:rsidR="00832822" w:rsidRDefault="00832822" w:rsidP="001A2532">
            <w:r>
              <w:t>(32.4)</w:t>
            </w:r>
          </w:p>
        </w:tc>
        <w:tc>
          <w:tcPr>
            <w:tcW w:w="866" w:type="dxa"/>
            <w:tcBorders>
              <w:top w:val="nil"/>
              <w:left w:val="nil"/>
              <w:bottom w:val="nil"/>
              <w:right w:val="nil"/>
            </w:tcBorders>
          </w:tcPr>
          <w:p w14:paraId="2791EBA7" w14:textId="637FA2DB" w:rsidR="00832822" w:rsidRDefault="00832822" w:rsidP="001A2532">
            <w:pPr>
              <w:jc w:val="right"/>
            </w:pPr>
            <w:r>
              <w:t>16</w:t>
            </w:r>
          </w:p>
        </w:tc>
        <w:tc>
          <w:tcPr>
            <w:tcW w:w="865" w:type="dxa"/>
            <w:tcBorders>
              <w:top w:val="nil"/>
              <w:left w:val="nil"/>
              <w:bottom w:val="nil"/>
              <w:right w:val="nil"/>
            </w:tcBorders>
          </w:tcPr>
          <w:p w14:paraId="240A3FBC" w14:textId="53EA82D5" w:rsidR="00832822" w:rsidRDefault="00832822" w:rsidP="001A2532">
            <w:r>
              <w:t>(20.3)</w:t>
            </w:r>
          </w:p>
        </w:tc>
        <w:tc>
          <w:tcPr>
            <w:tcW w:w="866" w:type="dxa"/>
            <w:tcBorders>
              <w:top w:val="nil"/>
              <w:left w:val="nil"/>
              <w:bottom w:val="nil"/>
              <w:right w:val="nil"/>
            </w:tcBorders>
          </w:tcPr>
          <w:p w14:paraId="383BCF83" w14:textId="54FDCB6C" w:rsidR="00832822" w:rsidRDefault="00832822" w:rsidP="001A2532">
            <w:pPr>
              <w:jc w:val="right"/>
            </w:pPr>
            <w:r>
              <w:t>28</w:t>
            </w:r>
          </w:p>
        </w:tc>
        <w:tc>
          <w:tcPr>
            <w:tcW w:w="866" w:type="dxa"/>
            <w:tcBorders>
              <w:top w:val="nil"/>
              <w:left w:val="nil"/>
              <w:bottom w:val="nil"/>
              <w:right w:val="nil"/>
            </w:tcBorders>
          </w:tcPr>
          <w:p w14:paraId="6994A19D" w14:textId="4195E7C1" w:rsidR="00832822" w:rsidRDefault="00832822" w:rsidP="001A2532">
            <w:r>
              <w:t>(49.1)</w:t>
            </w:r>
          </w:p>
        </w:tc>
        <w:tc>
          <w:tcPr>
            <w:tcW w:w="1091" w:type="dxa"/>
            <w:tcBorders>
              <w:top w:val="nil"/>
              <w:left w:val="nil"/>
              <w:bottom w:val="nil"/>
              <w:right w:val="nil"/>
            </w:tcBorders>
          </w:tcPr>
          <w:p w14:paraId="0608F9C0" w14:textId="4FFA90B2" w:rsidR="00832822" w:rsidRDefault="00832822" w:rsidP="001A2532">
            <w:pPr>
              <w:jc w:val="center"/>
            </w:pPr>
            <w:r>
              <w:t>&lt;0.0001</w:t>
            </w:r>
          </w:p>
        </w:tc>
      </w:tr>
      <w:tr w:rsidR="00832822" w14:paraId="63A86CBB" w14:textId="77777777" w:rsidTr="00E01538">
        <w:tc>
          <w:tcPr>
            <w:tcW w:w="2943" w:type="dxa"/>
            <w:tcBorders>
              <w:top w:val="nil"/>
              <w:left w:val="nil"/>
              <w:bottom w:val="nil"/>
              <w:right w:val="nil"/>
            </w:tcBorders>
          </w:tcPr>
          <w:p w14:paraId="496FCFE6" w14:textId="4410837B" w:rsidR="00832822" w:rsidRDefault="00832822" w:rsidP="001A2532">
            <w:pPr>
              <w:ind w:firstLine="457"/>
            </w:pPr>
            <w:r>
              <w:t>11-20 years</w:t>
            </w:r>
          </w:p>
        </w:tc>
        <w:tc>
          <w:tcPr>
            <w:tcW w:w="993" w:type="dxa"/>
            <w:gridSpan w:val="2"/>
            <w:tcBorders>
              <w:top w:val="nil"/>
              <w:left w:val="nil"/>
              <w:bottom w:val="nil"/>
              <w:right w:val="nil"/>
            </w:tcBorders>
          </w:tcPr>
          <w:p w14:paraId="6187897D" w14:textId="27798B5D" w:rsidR="00832822" w:rsidRDefault="00832822" w:rsidP="001A2532">
            <w:pPr>
              <w:jc w:val="right"/>
            </w:pPr>
            <w:r>
              <w:t>58</w:t>
            </w:r>
          </w:p>
        </w:tc>
        <w:tc>
          <w:tcPr>
            <w:tcW w:w="798" w:type="dxa"/>
            <w:tcBorders>
              <w:top w:val="nil"/>
              <w:left w:val="nil"/>
              <w:bottom w:val="nil"/>
              <w:right w:val="nil"/>
            </w:tcBorders>
          </w:tcPr>
          <w:p w14:paraId="27B25F92" w14:textId="6761F31C" w:rsidR="00832822" w:rsidRDefault="00832822" w:rsidP="001A2532">
            <w:r>
              <w:t>(42.6)</w:t>
            </w:r>
          </w:p>
        </w:tc>
        <w:tc>
          <w:tcPr>
            <w:tcW w:w="866" w:type="dxa"/>
            <w:tcBorders>
              <w:top w:val="nil"/>
              <w:left w:val="nil"/>
              <w:bottom w:val="nil"/>
              <w:right w:val="nil"/>
            </w:tcBorders>
          </w:tcPr>
          <w:p w14:paraId="010931BE" w14:textId="50586D64" w:rsidR="00832822" w:rsidRDefault="00832822" w:rsidP="001A2532">
            <w:pPr>
              <w:jc w:val="right"/>
            </w:pPr>
            <w:r>
              <w:t>33</w:t>
            </w:r>
          </w:p>
        </w:tc>
        <w:tc>
          <w:tcPr>
            <w:tcW w:w="865" w:type="dxa"/>
            <w:tcBorders>
              <w:top w:val="nil"/>
              <w:left w:val="nil"/>
              <w:bottom w:val="nil"/>
              <w:right w:val="nil"/>
            </w:tcBorders>
          </w:tcPr>
          <w:p w14:paraId="58C6075C" w14:textId="6802B98B" w:rsidR="00832822" w:rsidRDefault="00832822" w:rsidP="001A2532">
            <w:r>
              <w:t>(41.8)</w:t>
            </w:r>
          </w:p>
        </w:tc>
        <w:tc>
          <w:tcPr>
            <w:tcW w:w="866" w:type="dxa"/>
            <w:tcBorders>
              <w:top w:val="nil"/>
              <w:left w:val="nil"/>
              <w:bottom w:val="nil"/>
              <w:right w:val="nil"/>
            </w:tcBorders>
          </w:tcPr>
          <w:p w14:paraId="40153D3F" w14:textId="4B1A0BBC" w:rsidR="00832822" w:rsidRDefault="00832822" w:rsidP="001A2532">
            <w:pPr>
              <w:jc w:val="right"/>
            </w:pPr>
            <w:r>
              <w:t>25</w:t>
            </w:r>
          </w:p>
        </w:tc>
        <w:tc>
          <w:tcPr>
            <w:tcW w:w="866" w:type="dxa"/>
            <w:tcBorders>
              <w:top w:val="nil"/>
              <w:left w:val="nil"/>
              <w:bottom w:val="nil"/>
              <w:right w:val="nil"/>
            </w:tcBorders>
          </w:tcPr>
          <w:p w14:paraId="09DB839D" w14:textId="05E36B33" w:rsidR="00832822" w:rsidRDefault="00832822" w:rsidP="001A2532">
            <w:r>
              <w:t>(43.9)</w:t>
            </w:r>
          </w:p>
        </w:tc>
        <w:tc>
          <w:tcPr>
            <w:tcW w:w="1091" w:type="dxa"/>
            <w:tcBorders>
              <w:top w:val="nil"/>
              <w:left w:val="nil"/>
              <w:bottom w:val="nil"/>
              <w:right w:val="nil"/>
            </w:tcBorders>
          </w:tcPr>
          <w:p w14:paraId="4554DCD3" w14:textId="77777777" w:rsidR="00832822" w:rsidRDefault="00832822" w:rsidP="001A2532">
            <w:pPr>
              <w:jc w:val="center"/>
            </w:pPr>
          </w:p>
        </w:tc>
      </w:tr>
      <w:tr w:rsidR="00832822" w14:paraId="0C7678C4" w14:textId="77777777" w:rsidTr="00E01538">
        <w:tc>
          <w:tcPr>
            <w:tcW w:w="2943" w:type="dxa"/>
            <w:tcBorders>
              <w:top w:val="nil"/>
              <w:left w:val="nil"/>
              <w:bottom w:val="nil"/>
              <w:right w:val="nil"/>
            </w:tcBorders>
          </w:tcPr>
          <w:p w14:paraId="40E5F60A" w14:textId="602E5530" w:rsidR="00832822" w:rsidRDefault="00832822" w:rsidP="001A2532">
            <w:pPr>
              <w:ind w:firstLine="457"/>
            </w:pPr>
            <w:r>
              <w:t>21-30 years</w:t>
            </w:r>
          </w:p>
        </w:tc>
        <w:tc>
          <w:tcPr>
            <w:tcW w:w="993" w:type="dxa"/>
            <w:gridSpan w:val="2"/>
            <w:tcBorders>
              <w:top w:val="nil"/>
              <w:left w:val="nil"/>
              <w:bottom w:val="nil"/>
              <w:right w:val="nil"/>
            </w:tcBorders>
          </w:tcPr>
          <w:p w14:paraId="511CB5F9" w14:textId="07962A5D" w:rsidR="00832822" w:rsidRDefault="00832822" w:rsidP="001A2532">
            <w:pPr>
              <w:jc w:val="right"/>
            </w:pPr>
            <w:r>
              <w:t>20</w:t>
            </w:r>
          </w:p>
        </w:tc>
        <w:tc>
          <w:tcPr>
            <w:tcW w:w="798" w:type="dxa"/>
            <w:tcBorders>
              <w:top w:val="nil"/>
              <w:left w:val="nil"/>
              <w:bottom w:val="nil"/>
              <w:right w:val="nil"/>
            </w:tcBorders>
          </w:tcPr>
          <w:p w14:paraId="557DF137" w14:textId="0BF423AA" w:rsidR="00832822" w:rsidRDefault="00832822" w:rsidP="001A2532">
            <w:r>
              <w:t>(14.7)</w:t>
            </w:r>
          </w:p>
        </w:tc>
        <w:tc>
          <w:tcPr>
            <w:tcW w:w="866" w:type="dxa"/>
            <w:tcBorders>
              <w:top w:val="nil"/>
              <w:left w:val="nil"/>
              <w:bottom w:val="nil"/>
              <w:right w:val="nil"/>
            </w:tcBorders>
          </w:tcPr>
          <w:p w14:paraId="5B9BAA10" w14:textId="2A006524" w:rsidR="00832822" w:rsidRDefault="00832822" w:rsidP="001A2532">
            <w:pPr>
              <w:jc w:val="right"/>
            </w:pPr>
            <w:r>
              <w:t>17</w:t>
            </w:r>
          </w:p>
        </w:tc>
        <w:tc>
          <w:tcPr>
            <w:tcW w:w="865" w:type="dxa"/>
            <w:tcBorders>
              <w:top w:val="nil"/>
              <w:left w:val="nil"/>
              <w:bottom w:val="nil"/>
              <w:right w:val="nil"/>
            </w:tcBorders>
          </w:tcPr>
          <w:p w14:paraId="7DD814E8" w14:textId="7DEB6FF5" w:rsidR="00832822" w:rsidRDefault="00832822" w:rsidP="001A2532">
            <w:r>
              <w:t>(21.5)</w:t>
            </w:r>
          </w:p>
        </w:tc>
        <w:tc>
          <w:tcPr>
            <w:tcW w:w="866" w:type="dxa"/>
            <w:tcBorders>
              <w:top w:val="nil"/>
              <w:left w:val="nil"/>
              <w:bottom w:val="nil"/>
              <w:right w:val="nil"/>
            </w:tcBorders>
          </w:tcPr>
          <w:p w14:paraId="65A6F41A" w14:textId="0B38B87D" w:rsidR="00832822" w:rsidRDefault="00832822" w:rsidP="001A2532">
            <w:pPr>
              <w:jc w:val="right"/>
            </w:pPr>
            <w:r>
              <w:t>3</w:t>
            </w:r>
          </w:p>
        </w:tc>
        <w:tc>
          <w:tcPr>
            <w:tcW w:w="866" w:type="dxa"/>
            <w:tcBorders>
              <w:top w:val="nil"/>
              <w:left w:val="nil"/>
              <w:bottom w:val="nil"/>
              <w:right w:val="nil"/>
            </w:tcBorders>
          </w:tcPr>
          <w:p w14:paraId="50EF71F8" w14:textId="1C12D0F1" w:rsidR="00832822" w:rsidRDefault="00832822" w:rsidP="001A2532">
            <w:r>
              <w:t>(5.3)</w:t>
            </w:r>
          </w:p>
        </w:tc>
        <w:tc>
          <w:tcPr>
            <w:tcW w:w="1091" w:type="dxa"/>
            <w:tcBorders>
              <w:top w:val="nil"/>
              <w:left w:val="nil"/>
              <w:bottom w:val="nil"/>
              <w:right w:val="nil"/>
            </w:tcBorders>
          </w:tcPr>
          <w:p w14:paraId="0CF41FD9" w14:textId="77777777" w:rsidR="00832822" w:rsidRDefault="00832822" w:rsidP="001A2532">
            <w:pPr>
              <w:jc w:val="center"/>
            </w:pPr>
          </w:p>
        </w:tc>
      </w:tr>
      <w:tr w:rsidR="00832822" w14:paraId="27DEB6BE" w14:textId="77777777" w:rsidTr="00E01538">
        <w:tc>
          <w:tcPr>
            <w:tcW w:w="2943" w:type="dxa"/>
            <w:tcBorders>
              <w:top w:val="nil"/>
              <w:left w:val="nil"/>
              <w:bottom w:val="nil"/>
              <w:right w:val="nil"/>
            </w:tcBorders>
          </w:tcPr>
          <w:p w14:paraId="5E511BB3" w14:textId="758CFEA8" w:rsidR="00832822" w:rsidRDefault="00832822" w:rsidP="001A2532">
            <w:pPr>
              <w:ind w:firstLine="457"/>
            </w:pPr>
            <w:r>
              <w:t>31-40 years</w:t>
            </w:r>
          </w:p>
        </w:tc>
        <w:tc>
          <w:tcPr>
            <w:tcW w:w="993" w:type="dxa"/>
            <w:gridSpan w:val="2"/>
            <w:tcBorders>
              <w:top w:val="nil"/>
              <w:left w:val="nil"/>
              <w:bottom w:val="nil"/>
              <w:right w:val="nil"/>
            </w:tcBorders>
          </w:tcPr>
          <w:p w14:paraId="68A07D70" w14:textId="397FBABC" w:rsidR="00832822" w:rsidRDefault="00832822" w:rsidP="001A2532">
            <w:pPr>
              <w:jc w:val="right"/>
            </w:pPr>
            <w:r>
              <w:t>7</w:t>
            </w:r>
          </w:p>
        </w:tc>
        <w:tc>
          <w:tcPr>
            <w:tcW w:w="798" w:type="dxa"/>
            <w:tcBorders>
              <w:top w:val="nil"/>
              <w:left w:val="nil"/>
              <w:bottom w:val="nil"/>
              <w:right w:val="nil"/>
            </w:tcBorders>
          </w:tcPr>
          <w:p w14:paraId="6FF9229A" w14:textId="07FE5A1E" w:rsidR="00832822" w:rsidRDefault="00832822" w:rsidP="001A2532">
            <w:r>
              <w:t>(5.1)</w:t>
            </w:r>
          </w:p>
        </w:tc>
        <w:tc>
          <w:tcPr>
            <w:tcW w:w="866" w:type="dxa"/>
            <w:tcBorders>
              <w:top w:val="nil"/>
              <w:left w:val="nil"/>
              <w:bottom w:val="nil"/>
              <w:right w:val="nil"/>
            </w:tcBorders>
          </w:tcPr>
          <w:p w14:paraId="43B163E2" w14:textId="5826E874" w:rsidR="00832822" w:rsidRDefault="00832822" w:rsidP="001A2532">
            <w:pPr>
              <w:jc w:val="right"/>
            </w:pPr>
            <w:r>
              <w:t>6</w:t>
            </w:r>
          </w:p>
        </w:tc>
        <w:tc>
          <w:tcPr>
            <w:tcW w:w="865" w:type="dxa"/>
            <w:tcBorders>
              <w:top w:val="nil"/>
              <w:left w:val="nil"/>
              <w:bottom w:val="nil"/>
              <w:right w:val="nil"/>
            </w:tcBorders>
          </w:tcPr>
          <w:p w14:paraId="0751AB59" w14:textId="230A026C" w:rsidR="00832822" w:rsidRDefault="00832822" w:rsidP="001A2532">
            <w:r>
              <w:t>(7.6)</w:t>
            </w:r>
          </w:p>
        </w:tc>
        <w:tc>
          <w:tcPr>
            <w:tcW w:w="866" w:type="dxa"/>
            <w:tcBorders>
              <w:top w:val="nil"/>
              <w:left w:val="nil"/>
              <w:bottom w:val="nil"/>
              <w:right w:val="nil"/>
            </w:tcBorders>
          </w:tcPr>
          <w:p w14:paraId="63272B6E" w14:textId="2F968884" w:rsidR="00832822" w:rsidRDefault="00E01538" w:rsidP="001A2532">
            <w:pPr>
              <w:jc w:val="right"/>
            </w:pPr>
            <w:r>
              <w:t>1</w:t>
            </w:r>
          </w:p>
        </w:tc>
        <w:tc>
          <w:tcPr>
            <w:tcW w:w="866" w:type="dxa"/>
            <w:tcBorders>
              <w:top w:val="nil"/>
              <w:left w:val="nil"/>
              <w:bottom w:val="nil"/>
              <w:right w:val="nil"/>
            </w:tcBorders>
          </w:tcPr>
          <w:p w14:paraId="70B9FA58" w14:textId="4B904657" w:rsidR="00832822" w:rsidRDefault="00E01538" w:rsidP="001A2532">
            <w:r>
              <w:t>(1.8)</w:t>
            </w:r>
          </w:p>
        </w:tc>
        <w:tc>
          <w:tcPr>
            <w:tcW w:w="1091" w:type="dxa"/>
            <w:tcBorders>
              <w:top w:val="nil"/>
              <w:left w:val="nil"/>
              <w:bottom w:val="nil"/>
              <w:right w:val="nil"/>
            </w:tcBorders>
          </w:tcPr>
          <w:p w14:paraId="29C5E493" w14:textId="77777777" w:rsidR="00832822" w:rsidRDefault="00832822" w:rsidP="001A2532">
            <w:pPr>
              <w:jc w:val="center"/>
            </w:pPr>
          </w:p>
        </w:tc>
      </w:tr>
      <w:tr w:rsidR="00832822" w14:paraId="4E12680B" w14:textId="77777777" w:rsidTr="00E01538">
        <w:tc>
          <w:tcPr>
            <w:tcW w:w="2943" w:type="dxa"/>
            <w:tcBorders>
              <w:top w:val="nil"/>
              <w:left w:val="nil"/>
              <w:bottom w:val="nil"/>
              <w:right w:val="nil"/>
            </w:tcBorders>
          </w:tcPr>
          <w:p w14:paraId="7BA3F405" w14:textId="22A8B861" w:rsidR="00832822" w:rsidRDefault="00832822" w:rsidP="001A2532">
            <w:pPr>
              <w:ind w:firstLine="457"/>
            </w:pPr>
            <w:r>
              <w:t>&gt;40 years</w:t>
            </w:r>
          </w:p>
        </w:tc>
        <w:tc>
          <w:tcPr>
            <w:tcW w:w="993" w:type="dxa"/>
            <w:gridSpan w:val="2"/>
            <w:tcBorders>
              <w:top w:val="nil"/>
              <w:left w:val="nil"/>
              <w:bottom w:val="nil"/>
              <w:right w:val="nil"/>
            </w:tcBorders>
          </w:tcPr>
          <w:p w14:paraId="5BD5593A" w14:textId="494A127C" w:rsidR="00832822" w:rsidRDefault="00832822" w:rsidP="001A2532">
            <w:pPr>
              <w:jc w:val="right"/>
            </w:pPr>
            <w:r>
              <w:t>7</w:t>
            </w:r>
          </w:p>
        </w:tc>
        <w:tc>
          <w:tcPr>
            <w:tcW w:w="798" w:type="dxa"/>
            <w:tcBorders>
              <w:top w:val="nil"/>
              <w:left w:val="nil"/>
              <w:bottom w:val="nil"/>
              <w:right w:val="nil"/>
            </w:tcBorders>
          </w:tcPr>
          <w:p w14:paraId="22CCF830" w14:textId="042527CE" w:rsidR="00832822" w:rsidRDefault="00832822" w:rsidP="001A2532">
            <w:r>
              <w:t>(5.1)</w:t>
            </w:r>
          </w:p>
        </w:tc>
        <w:tc>
          <w:tcPr>
            <w:tcW w:w="866" w:type="dxa"/>
            <w:tcBorders>
              <w:top w:val="nil"/>
              <w:left w:val="nil"/>
              <w:bottom w:val="nil"/>
              <w:right w:val="nil"/>
            </w:tcBorders>
          </w:tcPr>
          <w:p w14:paraId="2C5A156B" w14:textId="7C336108" w:rsidR="00832822" w:rsidRDefault="00832822" w:rsidP="001A2532">
            <w:pPr>
              <w:jc w:val="right"/>
            </w:pPr>
            <w:r>
              <w:t>7</w:t>
            </w:r>
          </w:p>
        </w:tc>
        <w:tc>
          <w:tcPr>
            <w:tcW w:w="865" w:type="dxa"/>
            <w:tcBorders>
              <w:top w:val="nil"/>
              <w:left w:val="nil"/>
              <w:bottom w:val="nil"/>
              <w:right w:val="nil"/>
            </w:tcBorders>
          </w:tcPr>
          <w:p w14:paraId="16F46465" w14:textId="24444AEA" w:rsidR="00832822" w:rsidRDefault="00832822" w:rsidP="001A2532">
            <w:r>
              <w:t>(8.9)</w:t>
            </w:r>
          </w:p>
        </w:tc>
        <w:tc>
          <w:tcPr>
            <w:tcW w:w="866" w:type="dxa"/>
            <w:tcBorders>
              <w:top w:val="nil"/>
              <w:left w:val="nil"/>
              <w:bottom w:val="nil"/>
              <w:right w:val="nil"/>
            </w:tcBorders>
          </w:tcPr>
          <w:p w14:paraId="38BC24D9" w14:textId="69B249D6" w:rsidR="00832822" w:rsidRDefault="00832822" w:rsidP="001A2532">
            <w:pPr>
              <w:jc w:val="right"/>
            </w:pPr>
            <w:r>
              <w:t>0</w:t>
            </w:r>
          </w:p>
        </w:tc>
        <w:tc>
          <w:tcPr>
            <w:tcW w:w="866" w:type="dxa"/>
            <w:tcBorders>
              <w:top w:val="nil"/>
              <w:left w:val="nil"/>
              <w:bottom w:val="nil"/>
              <w:right w:val="nil"/>
            </w:tcBorders>
          </w:tcPr>
          <w:p w14:paraId="24DE6E7A" w14:textId="62D6F82D" w:rsidR="00832822" w:rsidRDefault="00832822" w:rsidP="001A2532">
            <w:r>
              <w:t>(0.0)</w:t>
            </w:r>
          </w:p>
        </w:tc>
        <w:tc>
          <w:tcPr>
            <w:tcW w:w="1091" w:type="dxa"/>
            <w:tcBorders>
              <w:top w:val="nil"/>
              <w:left w:val="nil"/>
              <w:bottom w:val="nil"/>
              <w:right w:val="nil"/>
            </w:tcBorders>
          </w:tcPr>
          <w:p w14:paraId="04410967" w14:textId="77777777" w:rsidR="00832822" w:rsidRDefault="00832822" w:rsidP="001A2532">
            <w:pPr>
              <w:jc w:val="center"/>
            </w:pPr>
          </w:p>
        </w:tc>
      </w:tr>
      <w:tr w:rsidR="00832822" w14:paraId="65610B57" w14:textId="77777777" w:rsidTr="00E01538">
        <w:tc>
          <w:tcPr>
            <w:tcW w:w="2943" w:type="dxa"/>
            <w:tcBorders>
              <w:top w:val="nil"/>
              <w:left w:val="nil"/>
              <w:bottom w:val="nil"/>
              <w:right w:val="nil"/>
            </w:tcBorders>
            <w:hideMark/>
          </w:tcPr>
          <w:p w14:paraId="7A61EDFF" w14:textId="77777777" w:rsidR="00832822" w:rsidRDefault="00832822" w:rsidP="001A2532">
            <w:r>
              <w:t xml:space="preserve">Female </w:t>
            </w:r>
          </w:p>
        </w:tc>
        <w:tc>
          <w:tcPr>
            <w:tcW w:w="993" w:type="dxa"/>
            <w:gridSpan w:val="2"/>
            <w:tcBorders>
              <w:top w:val="nil"/>
              <w:left w:val="nil"/>
              <w:bottom w:val="nil"/>
              <w:right w:val="nil"/>
            </w:tcBorders>
            <w:hideMark/>
          </w:tcPr>
          <w:p w14:paraId="19F4377D" w14:textId="77777777" w:rsidR="00832822" w:rsidRDefault="00832822" w:rsidP="001A2532">
            <w:pPr>
              <w:jc w:val="right"/>
            </w:pPr>
            <w:r>
              <w:t>75</w:t>
            </w:r>
          </w:p>
        </w:tc>
        <w:tc>
          <w:tcPr>
            <w:tcW w:w="798" w:type="dxa"/>
            <w:tcBorders>
              <w:top w:val="nil"/>
              <w:left w:val="nil"/>
              <w:bottom w:val="nil"/>
              <w:right w:val="nil"/>
            </w:tcBorders>
            <w:hideMark/>
          </w:tcPr>
          <w:p w14:paraId="490186F5" w14:textId="77777777" w:rsidR="00832822" w:rsidRDefault="00832822" w:rsidP="001A2532">
            <w:r>
              <w:t>(55.1)</w:t>
            </w:r>
          </w:p>
        </w:tc>
        <w:tc>
          <w:tcPr>
            <w:tcW w:w="866" w:type="dxa"/>
            <w:tcBorders>
              <w:top w:val="nil"/>
              <w:left w:val="nil"/>
              <w:bottom w:val="nil"/>
              <w:right w:val="nil"/>
            </w:tcBorders>
            <w:hideMark/>
          </w:tcPr>
          <w:p w14:paraId="5AA348F5" w14:textId="77777777" w:rsidR="00832822" w:rsidRDefault="00832822" w:rsidP="001A2532">
            <w:pPr>
              <w:jc w:val="right"/>
            </w:pPr>
            <w:r>
              <w:t>46</w:t>
            </w:r>
          </w:p>
        </w:tc>
        <w:tc>
          <w:tcPr>
            <w:tcW w:w="865" w:type="dxa"/>
            <w:tcBorders>
              <w:top w:val="nil"/>
              <w:left w:val="nil"/>
              <w:bottom w:val="nil"/>
              <w:right w:val="nil"/>
            </w:tcBorders>
            <w:hideMark/>
          </w:tcPr>
          <w:p w14:paraId="4532C4AE" w14:textId="77777777" w:rsidR="00832822" w:rsidRDefault="00832822" w:rsidP="001A2532">
            <w:r>
              <w:t>(58.2)</w:t>
            </w:r>
          </w:p>
        </w:tc>
        <w:tc>
          <w:tcPr>
            <w:tcW w:w="866" w:type="dxa"/>
            <w:tcBorders>
              <w:top w:val="nil"/>
              <w:left w:val="nil"/>
              <w:bottom w:val="nil"/>
              <w:right w:val="nil"/>
            </w:tcBorders>
            <w:hideMark/>
          </w:tcPr>
          <w:p w14:paraId="47B033B5" w14:textId="77777777" w:rsidR="00832822" w:rsidRDefault="00832822" w:rsidP="001A2532">
            <w:pPr>
              <w:jc w:val="right"/>
            </w:pPr>
            <w:r>
              <w:t>29</w:t>
            </w:r>
          </w:p>
        </w:tc>
        <w:tc>
          <w:tcPr>
            <w:tcW w:w="866" w:type="dxa"/>
            <w:tcBorders>
              <w:top w:val="nil"/>
              <w:left w:val="nil"/>
              <w:bottom w:val="nil"/>
              <w:right w:val="nil"/>
            </w:tcBorders>
            <w:hideMark/>
          </w:tcPr>
          <w:p w14:paraId="4DBC8131" w14:textId="77777777" w:rsidR="00832822" w:rsidRDefault="00832822" w:rsidP="001A2532">
            <w:r>
              <w:t>(50.9)</w:t>
            </w:r>
          </w:p>
        </w:tc>
        <w:tc>
          <w:tcPr>
            <w:tcW w:w="1091" w:type="dxa"/>
            <w:tcBorders>
              <w:top w:val="nil"/>
              <w:left w:val="nil"/>
              <w:bottom w:val="nil"/>
              <w:right w:val="nil"/>
            </w:tcBorders>
            <w:hideMark/>
          </w:tcPr>
          <w:p w14:paraId="53B517DB" w14:textId="77777777" w:rsidR="00832822" w:rsidRDefault="00832822" w:rsidP="001A2532">
            <w:pPr>
              <w:jc w:val="center"/>
            </w:pPr>
            <w:r>
              <w:t>0.485</w:t>
            </w:r>
          </w:p>
        </w:tc>
      </w:tr>
      <w:tr w:rsidR="00832822" w14:paraId="51D7BBEF" w14:textId="77777777" w:rsidTr="00832822">
        <w:tc>
          <w:tcPr>
            <w:tcW w:w="2943" w:type="dxa"/>
            <w:tcBorders>
              <w:top w:val="nil"/>
              <w:left w:val="nil"/>
              <w:bottom w:val="nil"/>
              <w:right w:val="nil"/>
            </w:tcBorders>
            <w:hideMark/>
          </w:tcPr>
          <w:p w14:paraId="56FD0031" w14:textId="77777777" w:rsidR="00832822" w:rsidRDefault="00832822" w:rsidP="001A2532">
            <w:proofErr w:type="spellStart"/>
            <w:r>
              <w:t>Proband</w:t>
            </w:r>
            <w:proofErr w:type="spellEnd"/>
          </w:p>
        </w:tc>
        <w:tc>
          <w:tcPr>
            <w:tcW w:w="993" w:type="dxa"/>
            <w:gridSpan w:val="2"/>
            <w:tcBorders>
              <w:top w:val="nil"/>
              <w:left w:val="nil"/>
              <w:bottom w:val="nil"/>
              <w:right w:val="nil"/>
            </w:tcBorders>
            <w:hideMark/>
          </w:tcPr>
          <w:p w14:paraId="42FD2DBE" w14:textId="77777777" w:rsidR="00832822" w:rsidRDefault="00832822" w:rsidP="001A2532">
            <w:pPr>
              <w:jc w:val="right"/>
            </w:pPr>
            <w:r>
              <w:t>123</w:t>
            </w:r>
          </w:p>
        </w:tc>
        <w:tc>
          <w:tcPr>
            <w:tcW w:w="798" w:type="dxa"/>
            <w:tcBorders>
              <w:top w:val="nil"/>
              <w:left w:val="nil"/>
              <w:bottom w:val="nil"/>
              <w:right w:val="nil"/>
            </w:tcBorders>
            <w:hideMark/>
          </w:tcPr>
          <w:p w14:paraId="05D0B8FB" w14:textId="77777777" w:rsidR="00832822" w:rsidRDefault="00832822" w:rsidP="001A2532">
            <w:r>
              <w:t>(90.4)</w:t>
            </w:r>
          </w:p>
        </w:tc>
        <w:tc>
          <w:tcPr>
            <w:tcW w:w="866" w:type="dxa"/>
            <w:tcBorders>
              <w:top w:val="nil"/>
              <w:left w:val="nil"/>
              <w:bottom w:val="nil"/>
              <w:right w:val="nil"/>
            </w:tcBorders>
            <w:hideMark/>
          </w:tcPr>
          <w:p w14:paraId="33551853" w14:textId="77777777" w:rsidR="00832822" w:rsidRDefault="00832822" w:rsidP="001A2532">
            <w:pPr>
              <w:jc w:val="right"/>
            </w:pPr>
            <w:r>
              <w:t>73</w:t>
            </w:r>
          </w:p>
        </w:tc>
        <w:tc>
          <w:tcPr>
            <w:tcW w:w="865" w:type="dxa"/>
            <w:tcBorders>
              <w:top w:val="nil"/>
              <w:left w:val="nil"/>
              <w:bottom w:val="nil"/>
              <w:right w:val="nil"/>
            </w:tcBorders>
            <w:hideMark/>
          </w:tcPr>
          <w:p w14:paraId="62930942" w14:textId="77777777" w:rsidR="00832822" w:rsidRDefault="00832822" w:rsidP="001A2532">
            <w:r>
              <w:t>(92.4)</w:t>
            </w:r>
          </w:p>
        </w:tc>
        <w:tc>
          <w:tcPr>
            <w:tcW w:w="866" w:type="dxa"/>
            <w:tcBorders>
              <w:top w:val="nil"/>
              <w:left w:val="nil"/>
              <w:bottom w:val="nil"/>
              <w:right w:val="nil"/>
            </w:tcBorders>
            <w:hideMark/>
          </w:tcPr>
          <w:p w14:paraId="3DD71267" w14:textId="77777777" w:rsidR="00832822" w:rsidRDefault="00832822" w:rsidP="001A2532">
            <w:pPr>
              <w:jc w:val="right"/>
            </w:pPr>
            <w:r>
              <w:t>50</w:t>
            </w:r>
          </w:p>
        </w:tc>
        <w:tc>
          <w:tcPr>
            <w:tcW w:w="866" w:type="dxa"/>
            <w:tcBorders>
              <w:top w:val="nil"/>
              <w:left w:val="nil"/>
              <w:bottom w:val="nil"/>
              <w:right w:val="nil"/>
            </w:tcBorders>
            <w:hideMark/>
          </w:tcPr>
          <w:p w14:paraId="7EE9C2B2" w14:textId="77777777" w:rsidR="00832822" w:rsidRDefault="00832822" w:rsidP="001A2532">
            <w:r>
              <w:t>(87.7)</w:t>
            </w:r>
          </w:p>
        </w:tc>
        <w:tc>
          <w:tcPr>
            <w:tcW w:w="1091" w:type="dxa"/>
            <w:tcBorders>
              <w:top w:val="nil"/>
              <w:left w:val="nil"/>
              <w:bottom w:val="nil"/>
              <w:right w:val="nil"/>
            </w:tcBorders>
            <w:hideMark/>
          </w:tcPr>
          <w:p w14:paraId="68DF193A" w14:textId="77777777" w:rsidR="00832822" w:rsidRDefault="00832822" w:rsidP="001A2532">
            <w:pPr>
              <w:jc w:val="center"/>
            </w:pPr>
            <w:r>
              <w:t>0.389</w:t>
            </w:r>
          </w:p>
        </w:tc>
      </w:tr>
      <w:tr w:rsidR="00832822" w14:paraId="43DD3290" w14:textId="77777777" w:rsidTr="00832822">
        <w:tc>
          <w:tcPr>
            <w:tcW w:w="2943" w:type="dxa"/>
            <w:tcBorders>
              <w:top w:val="nil"/>
              <w:left w:val="nil"/>
              <w:bottom w:val="nil"/>
              <w:right w:val="nil"/>
            </w:tcBorders>
            <w:hideMark/>
          </w:tcPr>
          <w:p w14:paraId="5C518EF2" w14:textId="26A856F1" w:rsidR="00832822" w:rsidRDefault="00832822" w:rsidP="001A2532">
            <w:r>
              <w:t xml:space="preserve">Family history of SCD in first-degree relative &lt; 40 </w:t>
            </w:r>
            <w:proofErr w:type="spellStart"/>
            <w:r>
              <w:t>years</w:t>
            </w:r>
            <w:r>
              <w:rPr>
                <w:vertAlign w:val="superscript"/>
                <w:lang w:eastAsia="nl-NL"/>
              </w:rPr>
              <w:t>a</w:t>
            </w:r>
            <w:proofErr w:type="spellEnd"/>
          </w:p>
        </w:tc>
        <w:tc>
          <w:tcPr>
            <w:tcW w:w="993" w:type="dxa"/>
            <w:gridSpan w:val="2"/>
            <w:tcBorders>
              <w:top w:val="nil"/>
              <w:left w:val="nil"/>
              <w:bottom w:val="nil"/>
              <w:right w:val="nil"/>
            </w:tcBorders>
            <w:hideMark/>
          </w:tcPr>
          <w:p w14:paraId="3FE5D2EC" w14:textId="77777777" w:rsidR="00832822" w:rsidRDefault="00832822" w:rsidP="001A2532">
            <w:pPr>
              <w:jc w:val="right"/>
            </w:pPr>
            <w:r>
              <w:t>9/123</w:t>
            </w:r>
          </w:p>
        </w:tc>
        <w:tc>
          <w:tcPr>
            <w:tcW w:w="798" w:type="dxa"/>
            <w:tcBorders>
              <w:top w:val="nil"/>
              <w:left w:val="nil"/>
              <w:bottom w:val="nil"/>
              <w:right w:val="nil"/>
            </w:tcBorders>
            <w:hideMark/>
          </w:tcPr>
          <w:p w14:paraId="6ED98EFC" w14:textId="77777777" w:rsidR="00832822" w:rsidRDefault="00832822" w:rsidP="001A2532">
            <w:r>
              <w:t>(7.5)</w:t>
            </w:r>
          </w:p>
        </w:tc>
        <w:tc>
          <w:tcPr>
            <w:tcW w:w="866" w:type="dxa"/>
            <w:tcBorders>
              <w:top w:val="nil"/>
              <w:left w:val="nil"/>
              <w:bottom w:val="nil"/>
              <w:right w:val="nil"/>
            </w:tcBorders>
            <w:hideMark/>
          </w:tcPr>
          <w:p w14:paraId="2B4F3EED" w14:textId="77777777" w:rsidR="00832822" w:rsidRDefault="00832822" w:rsidP="001A2532">
            <w:pPr>
              <w:jc w:val="right"/>
            </w:pPr>
            <w:r>
              <w:t>5/71</w:t>
            </w:r>
          </w:p>
        </w:tc>
        <w:tc>
          <w:tcPr>
            <w:tcW w:w="865" w:type="dxa"/>
            <w:tcBorders>
              <w:top w:val="nil"/>
              <w:left w:val="nil"/>
              <w:bottom w:val="nil"/>
              <w:right w:val="nil"/>
            </w:tcBorders>
            <w:hideMark/>
          </w:tcPr>
          <w:p w14:paraId="1A2DDACC" w14:textId="77777777" w:rsidR="00832822" w:rsidRDefault="00832822" w:rsidP="001A2532">
            <w:r>
              <w:t>(7.0)</w:t>
            </w:r>
          </w:p>
        </w:tc>
        <w:tc>
          <w:tcPr>
            <w:tcW w:w="866" w:type="dxa"/>
            <w:tcBorders>
              <w:top w:val="nil"/>
              <w:left w:val="nil"/>
              <w:bottom w:val="nil"/>
              <w:right w:val="nil"/>
            </w:tcBorders>
            <w:hideMark/>
          </w:tcPr>
          <w:p w14:paraId="6C2F8FA2" w14:textId="77777777" w:rsidR="00832822" w:rsidRDefault="00832822" w:rsidP="001A2532">
            <w:pPr>
              <w:jc w:val="right"/>
            </w:pPr>
            <w:r>
              <w:t>4/49</w:t>
            </w:r>
          </w:p>
        </w:tc>
        <w:tc>
          <w:tcPr>
            <w:tcW w:w="866" w:type="dxa"/>
            <w:tcBorders>
              <w:top w:val="nil"/>
              <w:left w:val="nil"/>
              <w:bottom w:val="nil"/>
              <w:right w:val="nil"/>
            </w:tcBorders>
            <w:hideMark/>
          </w:tcPr>
          <w:p w14:paraId="77A63DA6" w14:textId="77777777" w:rsidR="00832822" w:rsidRDefault="00832822" w:rsidP="001A2532">
            <w:r>
              <w:t>(8.2)</w:t>
            </w:r>
          </w:p>
        </w:tc>
        <w:tc>
          <w:tcPr>
            <w:tcW w:w="1091" w:type="dxa"/>
            <w:tcBorders>
              <w:top w:val="nil"/>
              <w:left w:val="nil"/>
              <w:bottom w:val="nil"/>
              <w:right w:val="nil"/>
            </w:tcBorders>
            <w:hideMark/>
          </w:tcPr>
          <w:p w14:paraId="3F97F6A0" w14:textId="77777777" w:rsidR="00832822" w:rsidRDefault="00832822" w:rsidP="001A2532">
            <w:pPr>
              <w:jc w:val="center"/>
            </w:pPr>
            <w:r>
              <w:t>1.000</w:t>
            </w:r>
          </w:p>
        </w:tc>
      </w:tr>
      <w:tr w:rsidR="00832822" w14:paraId="6385C615" w14:textId="77777777" w:rsidTr="00832822">
        <w:tc>
          <w:tcPr>
            <w:tcW w:w="2943" w:type="dxa"/>
            <w:tcBorders>
              <w:top w:val="nil"/>
              <w:left w:val="nil"/>
              <w:bottom w:val="nil"/>
              <w:right w:val="nil"/>
            </w:tcBorders>
            <w:hideMark/>
          </w:tcPr>
          <w:p w14:paraId="17E9A15F" w14:textId="77777777" w:rsidR="00832822" w:rsidRDefault="00832822" w:rsidP="001A2532">
            <w:r>
              <w:t>Previous syncope</w:t>
            </w:r>
          </w:p>
        </w:tc>
        <w:tc>
          <w:tcPr>
            <w:tcW w:w="993" w:type="dxa"/>
            <w:gridSpan w:val="2"/>
            <w:tcBorders>
              <w:top w:val="nil"/>
              <w:left w:val="nil"/>
              <w:bottom w:val="nil"/>
              <w:right w:val="nil"/>
            </w:tcBorders>
            <w:hideMark/>
          </w:tcPr>
          <w:p w14:paraId="78E071EE" w14:textId="77777777" w:rsidR="00832822" w:rsidRDefault="00832822" w:rsidP="001A2532">
            <w:pPr>
              <w:jc w:val="right"/>
            </w:pPr>
            <w:r>
              <w:t>61</w:t>
            </w:r>
          </w:p>
        </w:tc>
        <w:tc>
          <w:tcPr>
            <w:tcW w:w="798" w:type="dxa"/>
            <w:tcBorders>
              <w:top w:val="nil"/>
              <w:left w:val="nil"/>
              <w:bottom w:val="nil"/>
              <w:right w:val="nil"/>
            </w:tcBorders>
            <w:hideMark/>
          </w:tcPr>
          <w:p w14:paraId="557FAF0C" w14:textId="77777777" w:rsidR="00832822" w:rsidRDefault="00832822" w:rsidP="001A2532">
            <w:r>
              <w:t>(44.9)</w:t>
            </w:r>
          </w:p>
        </w:tc>
        <w:tc>
          <w:tcPr>
            <w:tcW w:w="866" w:type="dxa"/>
            <w:tcBorders>
              <w:top w:val="nil"/>
              <w:left w:val="nil"/>
              <w:bottom w:val="nil"/>
              <w:right w:val="nil"/>
            </w:tcBorders>
            <w:hideMark/>
          </w:tcPr>
          <w:p w14:paraId="1E6B354E" w14:textId="77777777" w:rsidR="00832822" w:rsidRDefault="00832822" w:rsidP="001A2532">
            <w:pPr>
              <w:jc w:val="right"/>
            </w:pPr>
            <w:r>
              <w:t>30</w:t>
            </w:r>
          </w:p>
        </w:tc>
        <w:tc>
          <w:tcPr>
            <w:tcW w:w="865" w:type="dxa"/>
            <w:tcBorders>
              <w:top w:val="nil"/>
              <w:left w:val="nil"/>
              <w:bottom w:val="nil"/>
              <w:right w:val="nil"/>
            </w:tcBorders>
            <w:hideMark/>
          </w:tcPr>
          <w:p w14:paraId="11E8B1ED" w14:textId="77777777" w:rsidR="00832822" w:rsidRDefault="00832822" w:rsidP="001A2532">
            <w:r>
              <w:t>(38.0)</w:t>
            </w:r>
          </w:p>
        </w:tc>
        <w:tc>
          <w:tcPr>
            <w:tcW w:w="866" w:type="dxa"/>
            <w:tcBorders>
              <w:top w:val="nil"/>
              <w:left w:val="nil"/>
              <w:bottom w:val="nil"/>
              <w:right w:val="nil"/>
            </w:tcBorders>
            <w:hideMark/>
          </w:tcPr>
          <w:p w14:paraId="26FE9A9B" w14:textId="77777777" w:rsidR="00832822" w:rsidRDefault="00832822" w:rsidP="001A2532">
            <w:pPr>
              <w:jc w:val="right"/>
            </w:pPr>
            <w:r>
              <w:t>31</w:t>
            </w:r>
          </w:p>
        </w:tc>
        <w:tc>
          <w:tcPr>
            <w:tcW w:w="866" w:type="dxa"/>
            <w:tcBorders>
              <w:top w:val="nil"/>
              <w:left w:val="nil"/>
              <w:bottom w:val="nil"/>
              <w:right w:val="nil"/>
            </w:tcBorders>
            <w:hideMark/>
          </w:tcPr>
          <w:p w14:paraId="107DE70E" w14:textId="77777777" w:rsidR="00832822" w:rsidRDefault="00832822" w:rsidP="001A2532">
            <w:r>
              <w:t>(54.4)</w:t>
            </w:r>
          </w:p>
        </w:tc>
        <w:tc>
          <w:tcPr>
            <w:tcW w:w="1091" w:type="dxa"/>
            <w:tcBorders>
              <w:top w:val="nil"/>
              <w:left w:val="nil"/>
              <w:bottom w:val="nil"/>
              <w:right w:val="nil"/>
            </w:tcBorders>
            <w:hideMark/>
          </w:tcPr>
          <w:p w14:paraId="4915C726" w14:textId="77777777" w:rsidR="00832822" w:rsidRDefault="00832822" w:rsidP="001A2532">
            <w:pPr>
              <w:jc w:val="center"/>
            </w:pPr>
            <w:r>
              <w:t>0.080</w:t>
            </w:r>
          </w:p>
        </w:tc>
      </w:tr>
      <w:tr w:rsidR="00832822" w14:paraId="0367D916" w14:textId="77777777" w:rsidTr="00832822">
        <w:tc>
          <w:tcPr>
            <w:tcW w:w="2943" w:type="dxa"/>
            <w:tcBorders>
              <w:top w:val="nil"/>
              <w:left w:val="nil"/>
              <w:bottom w:val="nil"/>
              <w:right w:val="nil"/>
            </w:tcBorders>
            <w:hideMark/>
          </w:tcPr>
          <w:p w14:paraId="1E0D0632" w14:textId="77777777" w:rsidR="00832822" w:rsidRDefault="00832822" w:rsidP="001A2532">
            <w:r>
              <w:t>Genotype</w:t>
            </w:r>
          </w:p>
        </w:tc>
        <w:tc>
          <w:tcPr>
            <w:tcW w:w="993" w:type="dxa"/>
            <w:gridSpan w:val="2"/>
            <w:tcBorders>
              <w:top w:val="nil"/>
              <w:left w:val="nil"/>
              <w:bottom w:val="nil"/>
              <w:right w:val="nil"/>
            </w:tcBorders>
          </w:tcPr>
          <w:p w14:paraId="74B37B96" w14:textId="77777777" w:rsidR="00832822" w:rsidRDefault="00832822" w:rsidP="001A2532">
            <w:pPr>
              <w:jc w:val="right"/>
            </w:pPr>
          </w:p>
        </w:tc>
        <w:tc>
          <w:tcPr>
            <w:tcW w:w="798" w:type="dxa"/>
            <w:tcBorders>
              <w:top w:val="nil"/>
              <w:left w:val="nil"/>
              <w:bottom w:val="nil"/>
              <w:right w:val="nil"/>
            </w:tcBorders>
          </w:tcPr>
          <w:p w14:paraId="24991803" w14:textId="77777777" w:rsidR="00832822" w:rsidRDefault="00832822" w:rsidP="001A2532"/>
        </w:tc>
        <w:tc>
          <w:tcPr>
            <w:tcW w:w="866" w:type="dxa"/>
            <w:tcBorders>
              <w:top w:val="nil"/>
              <w:left w:val="nil"/>
              <w:bottom w:val="nil"/>
              <w:right w:val="nil"/>
            </w:tcBorders>
          </w:tcPr>
          <w:p w14:paraId="203B01EF" w14:textId="77777777" w:rsidR="00832822" w:rsidRDefault="00832822" w:rsidP="001A2532">
            <w:pPr>
              <w:jc w:val="right"/>
            </w:pPr>
          </w:p>
        </w:tc>
        <w:tc>
          <w:tcPr>
            <w:tcW w:w="865" w:type="dxa"/>
            <w:tcBorders>
              <w:top w:val="nil"/>
              <w:left w:val="nil"/>
              <w:bottom w:val="nil"/>
              <w:right w:val="nil"/>
            </w:tcBorders>
          </w:tcPr>
          <w:p w14:paraId="12C5F54F" w14:textId="77777777" w:rsidR="00832822" w:rsidRDefault="00832822" w:rsidP="001A2532"/>
        </w:tc>
        <w:tc>
          <w:tcPr>
            <w:tcW w:w="866" w:type="dxa"/>
            <w:tcBorders>
              <w:top w:val="nil"/>
              <w:left w:val="nil"/>
              <w:bottom w:val="nil"/>
              <w:right w:val="nil"/>
            </w:tcBorders>
          </w:tcPr>
          <w:p w14:paraId="4F60961D" w14:textId="77777777" w:rsidR="00832822" w:rsidRDefault="00832822" w:rsidP="001A2532">
            <w:pPr>
              <w:jc w:val="right"/>
            </w:pPr>
          </w:p>
        </w:tc>
        <w:tc>
          <w:tcPr>
            <w:tcW w:w="866" w:type="dxa"/>
            <w:tcBorders>
              <w:top w:val="nil"/>
              <w:left w:val="nil"/>
              <w:bottom w:val="nil"/>
              <w:right w:val="nil"/>
            </w:tcBorders>
          </w:tcPr>
          <w:p w14:paraId="476BBC23" w14:textId="77777777" w:rsidR="00832822" w:rsidRDefault="00832822" w:rsidP="001A2532"/>
        </w:tc>
        <w:tc>
          <w:tcPr>
            <w:tcW w:w="1091" w:type="dxa"/>
            <w:tcBorders>
              <w:top w:val="nil"/>
              <w:left w:val="nil"/>
              <w:bottom w:val="nil"/>
              <w:right w:val="nil"/>
            </w:tcBorders>
          </w:tcPr>
          <w:p w14:paraId="0B1D703F" w14:textId="77777777" w:rsidR="00832822" w:rsidRDefault="00832822" w:rsidP="001A2532">
            <w:pPr>
              <w:jc w:val="center"/>
            </w:pPr>
          </w:p>
        </w:tc>
      </w:tr>
      <w:tr w:rsidR="00832822" w14:paraId="6BBE9009" w14:textId="77777777" w:rsidTr="00832822">
        <w:tc>
          <w:tcPr>
            <w:tcW w:w="2943" w:type="dxa"/>
            <w:tcBorders>
              <w:top w:val="nil"/>
              <w:left w:val="nil"/>
              <w:bottom w:val="nil"/>
              <w:right w:val="nil"/>
            </w:tcBorders>
            <w:hideMark/>
          </w:tcPr>
          <w:p w14:paraId="41FFDD4F" w14:textId="77777777" w:rsidR="00832822" w:rsidRDefault="00832822" w:rsidP="001A2532">
            <w:pPr>
              <w:ind w:left="708" w:hanging="282"/>
            </w:pPr>
            <w:r>
              <w:rPr>
                <w:i/>
              </w:rPr>
              <w:t>RYR2</w:t>
            </w:r>
            <w:r>
              <w:t xml:space="preserve"> variant</w:t>
            </w:r>
          </w:p>
        </w:tc>
        <w:tc>
          <w:tcPr>
            <w:tcW w:w="993" w:type="dxa"/>
            <w:gridSpan w:val="2"/>
            <w:tcBorders>
              <w:top w:val="nil"/>
              <w:left w:val="nil"/>
              <w:bottom w:val="nil"/>
              <w:right w:val="nil"/>
            </w:tcBorders>
            <w:hideMark/>
          </w:tcPr>
          <w:p w14:paraId="0FDA0202" w14:textId="77777777" w:rsidR="00832822" w:rsidRDefault="00832822" w:rsidP="001A2532">
            <w:pPr>
              <w:jc w:val="right"/>
            </w:pPr>
            <w:r>
              <w:t>105/128</w:t>
            </w:r>
          </w:p>
        </w:tc>
        <w:tc>
          <w:tcPr>
            <w:tcW w:w="798" w:type="dxa"/>
            <w:tcBorders>
              <w:top w:val="nil"/>
              <w:left w:val="nil"/>
              <w:bottom w:val="nil"/>
              <w:right w:val="nil"/>
            </w:tcBorders>
            <w:hideMark/>
          </w:tcPr>
          <w:p w14:paraId="398BC631" w14:textId="77777777" w:rsidR="00832822" w:rsidRDefault="00832822" w:rsidP="001A2532">
            <w:r>
              <w:t>(82.0)</w:t>
            </w:r>
          </w:p>
        </w:tc>
        <w:tc>
          <w:tcPr>
            <w:tcW w:w="866" w:type="dxa"/>
            <w:tcBorders>
              <w:top w:val="nil"/>
              <w:left w:val="nil"/>
              <w:bottom w:val="nil"/>
              <w:right w:val="nil"/>
            </w:tcBorders>
            <w:hideMark/>
          </w:tcPr>
          <w:p w14:paraId="423F19DF" w14:textId="77777777" w:rsidR="00832822" w:rsidRDefault="00832822" w:rsidP="001A2532">
            <w:pPr>
              <w:jc w:val="right"/>
            </w:pPr>
            <w:r>
              <w:t>59/76</w:t>
            </w:r>
          </w:p>
        </w:tc>
        <w:tc>
          <w:tcPr>
            <w:tcW w:w="865" w:type="dxa"/>
            <w:tcBorders>
              <w:top w:val="nil"/>
              <w:left w:val="nil"/>
              <w:bottom w:val="nil"/>
              <w:right w:val="nil"/>
            </w:tcBorders>
            <w:hideMark/>
          </w:tcPr>
          <w:p w14:paraId="09D05236" w14:textId="77777777" w:rsidR="00832822" w:rsidRDefault="00832822" w:rsidP="001A2532">
            <w:r>
              <w:t>(77.6)</w:t>
            </w:r>
          </w:p>
        </w:tc>
        <w:tc>
          <w:tcPr>
            <w:tcW w:w="866" w:type="dxa"/>
            <w:tcBorders>
              <w:top w:val="nil"/>
              <w:left w:val="nil"/>
              <w:bottom w:val="nil"/>
              <w:right w:val="nil"/>
            </w:tcBorders>
            <w:hideMark/>
          </w:tcPr>
          <w:p w14:paraId="17EE9F10" w14:textId="77777777" w:rsidR="00832822" w:rsidRDefault="00832822" w:rsidP="001A2532">
            <w:pPr>
              <w:jc w:val="right"/>
            </w:pPr>
            <w:r>
              <w:t>46/52</w:t>
            </w:r>
          </w:p>
        </w:tc>
        <w:tc>
          <w:tcPr>
            <w:tcW w:w="866" w:type="dxa"/>
            <w:tcBorders>
              <w:top w:val="nil"/>
              <w:left w:val="nil"/>
              <w:bottom w:val="nil"/>
              <w:right w:val="nil"/>
            </w:tcBorders>
            <w:hideMark/>
          </w:tcPr>
          <w:p w14:paraId="3858DA31" w14:textId="77777777" w:rsidR="00832822" w:rsidRDefault="00832822" w:rsidP="001A2532">
            <w:r>
              <w:t>(88.5)</w:t>
            </w:r>
          </w:p>
        </w:tc>
        <w:tc>
          <w:tcPr>
            <w:tcW w:w="1091" w:type="dxa"/>
            <w:tcBorders>
              <w:top w:val="nil"/>
              <w:left w:val="nil"/>
              <w:bottom w:val="nil"/>
              <w:right w:val="nil"/>
            </w:tcBorders>
            <w:hideMark/>
          </w:tcPr>
          <w:p w14:paraId="43B7582D" w14:textId="77777777" w:rsidR="00832822" w:rsidRDefault="00832822" w:rsidP="001A2532">
            <w:pPr>
              <w:jc w:val="center"/>
            </w:pPr>
            <w:r>
              <w:t>0.160</w:t>
            </w:r>
          </w:p>
        </w:tc>
      </w:tr>
      <w:tr w:rsidR="00832822" w14:paraId="2E1FA32A" w14:textId="77777777" w:rsidTr="00832822">
        <w:tc>
          <w:tcPr>
            <w:tcW w:w="2943" w:type="dxa"/>
            <w:tcBorders>
              <w:top w:val="nil"/>
              <w:left w:val="nil"/>
              <w:bottom w:val="nil"/>
              <w:right w:val="nil"/>
            </w:tcBorders>
            <w:hideMark/>
          </w:tcPr>
          <w:p w14:paraId="08A8935F" w14:textId="77777777" w:rsidR="00832822" w:rsidRDefault="00832822" w:rsidP="001A2532">
            <w:pPr>
              <w:ind w:left="708" w:hanging="282"/>
            </w:pPr>
            <w:r>
              <w:rPr>
                <w:i/>
              </w:rPr>
              <w:t xml:space="preserve">CASQ2 </w:t>
            </w:r>
            <w:r>
              <w:t>variant</w:t>
            </w:r>
          </w:p>
        </w:tc>
        <w:tc>
          <w:tcPr>
            <w:tcW w:w="993" w:type="dxa"/>
            <w:gridSpan w:val="2"/>
            <w:tcBorders>
              <w:top w:val="nil"/>
              <w:left w:val="nil"/>
              <w:bottom w:val="nil"/>
              <w:right w:val="nil"/>
            </w:tcBorders>
            <w:hideMark/>
          </w:tcPr>
          <w:p w14:paraId="462A5EC8" w14:textId="77777777" w:rsidR="00832822" w:rsidRDefault="00832822" w:rsidP="001A2532">
            <w:pPr>
              <w:jc w:val="right"/>
            </w:pPr>
            <w:r>
              <w:t>4/58</w:t>
            </w:r>
          </w:p>
        </w:tc>
        <w:tc>
          <w:tcPr>
            <w:tcW w:w="798" w:type="dxa"/>
            <w:tcBorders>
              <w:top w:val="nil"/>
              <w:left w:val="nil"/>
              <w:bottom w:val="nil"/>
              <w:right w:val="nil"/>
            </w:tcBorders>
            <w:hideMark/>
          </w:tcPr>
          <w:p w14:paraId="6282EC21" w14:textId="77777777" w:rsidR="00832822" w:rsidRDefault="00832822" w:rsidP="001A2532">
            <w:r>
              <w:t>(6.9)</w:t>
            </w:r>
          </w:p>
        </w:tc>
        <w:tc>
          <w:tcPr>
            <w:tcW w:w="866" w:type="dxa"/>
            <w:tcBorders>
              <w:top w:val="nil"/>
              <w:left w:val="nil"/>
              <w:bottom w:val="nil"/>
              <w:right w:val="nil"/>
            </w:tcBorders>
            <w:hideMark/>
          </w:tcPr>
          <w:p w14:paraId="53A9A725" w14:textId="77777777" w:rsidR="00832822" w:rsidRDefault="00832822" w:rsidP="001A2532">
            <w:pPr>
              <w:jc w:val="right"/>
            </w:pPr>
            <w:r>
              <w:t>4/27</w:t>
            </w:r>
          </w:p>
        </w:tc>
        <w:tc>
          <w:tcPr>
            <w:tcW w:w="865" w:type="dxa"/>
            <w:tcBorders>
              <w:top w:val="nil"/>
              <w:left w:val="nil"/>
              <w:bottom w:val="nil"/>
              <w:right w:val="nil"/>
            </w:tcBorders>
            <w:hideMark/>
          </w:tcPr>
          <w:p w14:paraId="2E7E2BA1" w14:textId="77777777" w:rsidR="00832822" w:rsidRDefault="00832822" w:rsidP="001A2532">
            <w:r>
              <w:t>(12.9)</w:t>
            </w:r>
          </w:p>
        </w:tc>
        <w:tc>
          <w:tcPr>
            <w:tcW w:w="866" w:type="dxa"/>
            <w:tcBorders>
              <w:top w:val="nil"/>
              <w:left w:val="nil"/>
              <w:bottom w:val="nil"/>
              <w:right w:val="nil"/>
            </w:tcBorders>
            <w:hideMark/>
          </w:tcPr>
          <w:p w14:paraId="395C9CA0" w14:textId="77777777" w:rsidR="00832822" w:rsidRDefault="00832822" w:rsidP="001A2532">
            <w:pPr>
              <w:jc w:val="right"/>
            </w:pPr>
            <w:r>
              <w:t>0/27</w:t>
            </w:r>
          </w:p>
        </w:tc>
        <w:tc>
          <w:tcPr>
            <w:tcW w:w="866" w:type="dxa"/>
            <w:tcBorders>
              <w:top w:val="nil"/>
              <w:left w:val="nil"/>
              <w:bottom w:val="nil"/>
              <w:right w:val="nil"/>
            </w:tcBorders>
            <w:hideMark/>
          </w:tcPr>
          <w:p w14:paraId="30F17780" w14:textId="77777777" w:rsidR="00832822" w:rsidRDefault="00832822" w:rsidP="001A2532">
            <w:r>
              <w:t>(0.0)</w:t>
            </w:r>
          </w:p>
        </w:tc>
        <w:tc>
          <w:tcPr>
            <w:tcW w:w="1091" w:type="dxa"/>
            <w:tcBorders>
              <w:top w:val="nil"/>
              <w:left w:val="nil"/>
              <w:bottom w:val="nil"/>
              <w:right w:val="nil"/>
            </w:tcBorders>
            <w:hideMark/>
          </w:tcPr>
          <w:p w14:paraId="3A822704" w14:textId="77777777" w:rsidR="00832822" w:rsidRDefault="00832822" w:rsidP="001A2532">
            <w:pPr>
              <w:jc w:val="center"/>
            </w:pPr>
            <w:r>
              <w:t>0.116</w:t>
            </w:r>
          </w:p>
        </w:tc>
      </w:tr>
      <w:tr w:rsidR="00832822" w14:paraId="1539551C" w14:textId="77777777" w:rsidTr="00832822">
        <w:tc>
          <w:tcPr>
            <w:tcW w:w="2943" w:type="dxa"/>
            <w:tcBorders>
              <w:top w:val="nil"/>
              <w:left w:val="nil"/>
              <w:bottom w:val="nil"/>
              <w:right w:val="nil"/>
            </w:tcBorders>
            <w:hideMark/>
          </w:tcPr>
          <w:p w14:paraId="0EC34C84" w14:textId="3B651DDE" w:rsidR="00832822" w:rsidRDefault="00832822" w:rsidP="001A2532">
            <w:r>
              <w:t>Therapy</w:t>
            </w:r>
          </w:p>
        </w:tc>
        <w:tc>
          <w:tcPr>
            <w:tcW w:w="993" w:type="dxa"/>
            <w:gridSpan w:val="2"/>
            <w:tcBorders>
              <w:top w:val="nil"/>
              <w:left w:val="nil"/>
              <w:bottom w:val="nil"/>
              <w:right w:val="nil"/>
            </w:tcBorders>
          </w:tcPr>
          <w:p w14:paraId="755B17A7" w14:textId="77777777" w:rsidR="00832822" w:rsidRDefault="00832822" w:rsidP="001A2532">
            <w:pPr>
              <w:jc w:val="right"/>
            </w:pPr>
          </w:p>
        </w:tc>
        <w:tc>
          <w:tcPr>
            <w:tcW w:w="798" w:type="dxa"/>
            <w:tcBorders>
              <w:top w:val="nil"/>
              <w:left w:val="nil"/>
              <w:bottom w:val="nil"/>
              <w:right w:val="nil"/>
            </w:tcBorders>
          </w:tcPr>
          <w:p w14:paraId="42A7483F" w14:textId="77777777" w:rsidR="00832822" w:rsidRDefault="00832822" w:rsidP="001A2532"/>
        </w:tc>
        <w:tc>
          <w:tcPr>
            <w:tcW w:w="866" w:type="dxa"/>
            <w:tcBorders>
              <w:top w:val="nil"/>
              <w:left w:val="nil"/>
              <w:bottom w:val="nil"/>
              <w:right w:val="nil"/>
            </w:tcBorders>
          </w:tcPr>
          <w:p w14:paraId="268B65FD" w14:textId="77777777" w:rsidR="00832822" w:rsidRDefault="00832822" w:rsidP="001A2532">
            <w:pPr>
              <w:jc w:val="right"/>
            </w:pPr>
          </w:p>
        </w:tc>
        <w:tc>
          <w:tcPr>
            <w:tcW w:w="865" w:type="dxa"/>
            <w:tcBorders>
              <w:top w:val="nil"/>
              <w:left w:val="nil"/>
              <w:bottom w:val="nil"/>
              <w:right w:val="nil"/>
            </w:tcBorders>
          </w:tcPr>
          <w:p w14:paraId="4CD4713A" w14:textId="77777777" w:rsidR="00832822" w:rsidRDefault="00832822" w:rsidP="001A2532"/>
        </w:tc>
        <w:tc>
          <w:tcPr>
            <w:tcW w:w="866" w:type="dxa"/>
            <w:tcBorders>
              <w:top w:val="nil"/>
              <w:left w:val="nil"/>
              <w:bottom w:val="nil"/>
              <w:right w:val="nil"/>
            </w:tcBorders>
          </w:tcPr>
          <w:p w14:paraId="0D08A181" w14:textId="77777777" w:rsidR="00832822" w:rsidRDefault="00832822" w:rsidP="001A2532">
            <w:pPr>
              <w:jc w:val="right"/>
            </w:pPr>
          </w:p>
        </w:tc>
        <w:tc>
          <w:tcPr>
            <w:tcW w:w="866" w:type="dxa"/>
            <w:tcBorders>
              <w:top w:val="nil"/>
              <w:left w:val="nil"/>
              <w:bottom w:val="nil"/>
              <w:right w:val="nil"/>
            </w:tcBorders>
          </w:tcPr>
          <w:p w14:paraId="1F2886C4" w14:textId="77777777" w:rsidR="00832822" w:rsidRDefault="00832822" w:rsidP="001A2532"/>
        </w:tc>
        <w:tc>
          <w:tcPr>
            <w:tcW w:w="1091" w:type="dxa"/>
            <w:tcBorders>
              <w:top w:val="nil"/>
              <w:left w:val="nil"/>
              <w:bottom w:val="nil"/>
              <w:right w:val="nil"/>
            </w:tcBorders>
          </w:tcPr>
          <w:p w14:paraId="70C6C9D1" w14:textId="77777777" w:rsidR="00832822" w:rsidRDefault="00832822" w:rsidP="001A2532">
            <w:pPr>
              <w:jc w:val="center"/>
            </w:pPr>
          </w:p>
        </w:tc>
      </w:tr>
      <w:tr w:rsidR="00832822" w14:paraId="3ED5E6F4" w14:textId="77777777" w:rsidTr="00832822">
        <w:tc>
          <w:tcPr>
            <w:tcW w:w="2943" w:type="dxa"/>
            <w:tcBorders>
              <w:top w:val="nil"/>
              <w:left w:val="nil"/>
              <w:bottom w:val="nil"/>
              <w:right w:val="nil"/>
            </w:tcBorders>
            <w:hideMark/>
          </w:tcPr>
          <w:p w14:paraId="5382C227" w14:textId="77777777" w:rsidR="00832822" w:rsidRDefault="00832822" w:rsidP="001A2532">
            <w:pPr>
              <w:ind w:left="708" w:hanging="282"/>
            </w:pPr>
            <w:r>
              <w:t>β-blocker</w:t>
            </w:r>
          </w:p>
        </w:tc>
        <w:tc>
          <w:tcPr>
            <w:tcW w:w="993" w:type="dxa"/>
            <w:gridSpan w:val="2"/>
            <w:tcBorders>
              <w:top w:val="nil"/>
              <w:left w:val="nil"/>
              <w:bottom w:val="nil"/>
              <w:right w:val="nil"/>
            </w:tcBorders>
            <w:hideMark/>
          </w:tcPr>
          <w:p w14:paraId="5A5F27BC" w14:textId="77777777" w:rsidR="00832822" w:rsidRDefault="00832822" w:rsidP="001A2532">
            <w:pPr>
              <w:jc w:val="right"/>
            </w:pPr>
            <w:r>
              <w:t>129</w:t>
            </w:r>
          </w:p>
        </w:tc>
        <w:tc>
          <w:tcPr>
            <w:tcW w:w="798" w:type="dxa"/>
            <w:tcBorders>
              <w:top w:val="nil"/>
              <w:left w:val="nil"/>
              <w:bottom w:val="nil"/>
              <w:right w:val="nil"/>
            </w:tcBorders>
            <w:hideMark/>
          </w:tcPr>
          <w:p w14:paraId="0F8441C6" w14:textId="77777777" w:rsidR="00832822" w:rsidRDefault="00832822" w:rsidP="001A2532">
            <w:r>
              <w:t>(94.9)</w:t>
            </w:r>
          </w:p>
        </w:tc>
        <w:tc>
          <w:tcPr>
            <w:tcW w:w="866" w:type="dxa"/>
            <w:tcBorders>
              <w:top w:val="nil"/>
              <w:left w:val="nil"/>
              <w:bottom w:val="nil"/>
              <w:right w:val="nil"/>
            </w:tcBorders>
            <w:hideMark/>
          </w:tcPr>
          <w:p w14:paraId="5FDC00AD" w14:textId="77777777" w:rsidR="00832822" w:rsidRDefault="00832822" w:rsidP="001A2532">
            <w:pPr>
              <w:jc w:val="right"/>
            </w:pPr>
            <w:r>
              <w:t>74</w:t>
            </w:r>
          </w:p>
        </w:tc>
        <w:tc>
          <w:tcPr>
            <w:tcW w:w="865" w:type="dxa"/>
            <w:tcBorders>
              <w:top w:val="nil"/>
              <w:left w:val="nil"/>
              <w:bottom w:val="nil"/>
              <w:right w:val="nil"/>
            </w:tcBorders>
            <w:hideMark/>
          </w:tcPr>
          <w:p w14:paraId="1612CC16" w14:textId="77777777" w:rsidR="00832822" w:rsidRDefault="00832822" w:rsidP="001A2532">
            <w:r>
              <w:t>(93.7)</w:t>
            </w:r>
          </w:p>
        </w:tc>
        <w:tc>
          <w:tcPr>
            <w:tcW w:w="866" w:type="dxa"/>
            <w:tcBorders>
              <w:top w:val="nil"/>
              <w:left w:val="nil"/>
              <w:bottom w:val="nil"/>
              <w:right w:val="nil"/>
            </w:tcBorders>
            <w:hideMark/>
          </w:tcPr>
          <w:p w14:paraId="6A2C164C" w14:textId="77777777" w:rsidR="00832822" w:rsidRDefault="00832822" w:rsidP="001A2532">
            <w:pPr>
              <w:jc w:val="right"/>
            </w:pPr>
            <w:r>
              <w:t>55</w:t>
            </w:r>
          </w:p>
        </w:tc>
        <w:tc>
          <w:tcPr>
            <w:tcW w:w="866" w:type="dxa"/>
            <w:tcBorders>
              <w:top w:val="nil"/>
              <w:left w:val="nil"/>
              <w:bottom w:val="nil"/>
              <w:right w:val="nil"/>
            </w:tcBorders>
            <w:hideMark/>
          </w:tcPr>
          <w:p w14:paraId="38604531" w14:textId="77777777" w:rsidR="00832822" w:rsidRDefault="00832822" w:rsidP="001A2532">
            <w:r>
              <w:t>(96.5)</w:t>
            </w:r>
          </w:p>
        </w:tc>
        <w:tc>
          <w:tcPr>
            <w:tcW w:w="1091" w:type="dxa"/>
            <w:tcBorders>
              <w:top w:val="nil"/>
              <w:left w:val="nil"/>
              <w:bottom w:val="nil"/>
              <w:right w:val="nil"/>
            </w:tcBorders>
            <w:hideMark/>
          </w:tcPr>
          <w:p w14:paraId="604B2BA3" w14:textId="77777777" w:rsidR="00832822" w:rsidRDefault="00832822" w:rsidP="001A2532">
            <w:pPr>
              <w:jc w:val="center"/>
            </w:pPr>
            <w:r>
              <w:t>0.699</w:t>
            </w:r>
          </w:p>
        </w:tc>
      </w:tr>
      <w:tr w:rsidR="00832822" w14:paraId="04D5F91C" w14:textId="77777777" w:rsidTr="00832822">
        <w:tc>
          <w:tcPr>
            <w:tcW w:w="2943" w:type="dxa"/>
            <w:tcBorders>
              <w:top w:val="nil"/>
              <w:left w:val="nil"/>
              <w:bottom w:val="nil"/>
              <w:right w:val="nil"/>
            </w:tcBorders>
            <w:hideMark/>
          </w:tcPr>
          <w:p w14:paraId="2F09F735" w14:textId="77777777" w:rsidR="00832822" w:rsidRDefault="00832822" w:rsidP="001A2532">
            <w:pPr>
              <w:ind w:left="708" w:hanging="282"/>
            </w:pPr>
            <w:r>
              <w:t xml:space="preserve">First β-blocker type </w:t>
            </w:r>
          </w:p>
        </w:tc>
        <w:tc>
          <w:tcPr>
            <w:tcW w:w="993" w:type="dxa"/>
            <w:gridSpan w:val="2"/>
            <w:tcBorders>
              <w:top w:val="nil"/>
              <w:left w:val="nil"/>
              <w:bottom w:val="nil"/>
              <w:right w:val="nil"/>
            </w:tcBorders>
          </w:tcPr>
          <w:p w14:paraId="2C5D7A8E" w14:textId="77777777" w:rsidR="00832822" w:rsidRDefault="00832822" w:rsidP="001A2532">
            <w:pPr>
              <w:jc w:val="right"/>
            </w:pPr>
          </w:p>
        </w:tc>
        <w:tc>
          <w:tcPr>
            <w:tcW w:w="798" w:type="dxa"/>
            <w:tcBorders>
              <w:top w:val="nil"/>
              <w:left w:val="nil"/>
              <w:bottom w:val="nil"/>
              <w:right w:val="nil"/>
            </w:tcBorders>
          </w:tcPr>
          <w:p w14:paraId="19336C4F" w14:textId="77777777" w:rsidR="00832822" w:rsidRDefault="00832822" w:rsidP="001A2532"/>
        </w:tc>
        <w:tc>
          <w:tcPr>
            <w:tcW w:w="866" w:type="dxa"/>
            <w:tcBorders>
              <w:top w:val="nil"/>
              <w:left w:val="nil"/>
              <w:bottom w:val="nil"/>
              <w:right w:val="nil"/>
            </w:tcBorders>
          </w:tcPr>
          <w:p w14:paraId="64CEDA8E" w14:textId="77777777" w:rsidR="00832822" w:rsidRDefault="00832822" w:rsidP="001A2532">
            <w:pPr>
              <w:jc w:val="right"/>
            </w:pPr>
          </w:p>
        </w:tc>
        <w:tc>
          <w:tcPr>
            <w:tcW w:w="865" w:type="dxa"/>
            <w:tcBorders>
              <w:top w:val="nil"/>
              <w:left w:val="nil"/>
              <w:bottom w:val="nil"/>
              <w:right w:val="nil"/>
            </w:tcBorders>
          </w:tcPr>
          <w:p w14:paraId="6EA35AD7" w14:textId="77777777" w:rsidR="00832822" w:rsidRDefault="00832822" w:rsidP="001A2532"/>
        </w:tc>
        <w:tc>
          <w:tcPr>
            <w:tcW w:w="866" w:type="dxa"/>
            <w:tcBorders>
              <w:top w:val="nil"/>
              <w:left w:val="nil"/>
              <w:bottom w:val="nil"/>
              <w:right w:val="nil"/>
            </w:tcBorders>
          </w:tcPr>
          <w:p w14:paraId="0BE0E178" w14:textId="77777777" w:rsidR="00832822" w:rsidRDefault="00832822" w:rsidP="001A2532">
            <w:pPr>
              <w:jc w:val="right"/>
            </w:pPr>
          </w:p>
        </w:tc>
        <w:tc>
          <w:tcPr>
            <w:tcW w:w="866" w:type="dxa"/>
            <w:tcBorders>
              <w:top w:val="nil"/>
              <w:left w:val="nil"/>
              <w:bottom w:val="nil"/>
              <w:right w:val="nil"/>
            </w:tcBorders>
          </w:tcPr>
          <w:p w14:paraId="4D3679B5" w14:textId="77777777" w:rsidR="00832822" w:rsidRDefault="00832822" w:rsidP="001A2532"/>
        </w:tc>
        <w:tc>
          <w:tcPr>
            <w:tcW w:w="1091" w:type="dxa"/>
            <w:tcBorders>
              <w:top w:val="nil"/>
              <w:left w:val="nil"/>
              <w:bottom w:val="nil"/>
              <w:right w:val="nil"/>
            </w:tcBorders>
            <w:hideMark/>
          </w:tcPr>
          <w:p w14:paraId="3DE7E8AD" w14:textId="77777777" w:rsidR="00832822" w:rsidRDefault="00832822" w:rsidP="001A2532">
            <w:pPr>
              <w:jc w:val="center"/>
            </w:pPr>
            <w:r>
              <w:t>0.038</w:t>
            </w:r>
          </w:p>
        </w:tc>
      </w:tr>
      <w:tr w:rsidR="00832822" w14:paraId="1B18BF19" w14:textId="77777777" w:rsidTr="00832822">
        <w:tc>
          <w:tcPr>
            <w:tcW w:w="2943" w:type="dxa"/>
            <w:tcBorders>
              <w:top w:val="nil"/>
              <w:left w:val="nil"/>
              <w:bottom w:val="nil"/>
              <w:right w:val="nil"/>
            </w:tcBorders>
            <w:hideMark/>
          </w:tcPr>
          <w:p w14:paraId="1FC26CDC" w14:textId="77777777" w:rsidR="00832822" w:rsidRDefault="00832822" w:rsidP="001A2532">
            <w:pPr>
              <w:ind w:left="1416" w:hanging="707"/>
            </w:pPr>
            <w:proofErr w:type="spellStart"/>
            <w:r>
              <w:t>Nadolol</w:t>
            </w:r>
            <w:proofErr w:type="spellEnd"/>
          </w:p>
        </w:tc>
        <w:tc>
          <w:tcPr>
            <w:tcW w:w="993" w:type="dxa"/>
            <w:gridSpan w:val="2"/>
            <w:tcBorders>
              <w:top w:val="nil"/>
              <w:left w:val="nil"/>
              <w:bottom w:val="nil"/>
              <w:right w:val="nil"/>
            </w:tcBorders>
            <w:hideMark/>
          </w:tcPr>
          <w:p w14:paraId="00D6E48E" w14:textId="77777777" w:rsidR="00832822" w:rsidRDefault="00832822" w:rsidP="001A2532">
            <w:pPr>
              <w:jc w:val="right"/>
            </w:pPr>
            <w:r>
              <w:t>40/127</w:t>
            </w:r>
          </w:p>
        </w:tc>
        <w:tc>
          <w:tcPr>
            <w:tcW w:w="798" w:type="dxa"/>
            <w:tcBorders>
              <w:top w:val="nil"/>
              <w:left w:val="nil"/>
              <w:bottom w:val="nil"/>
              <w:right w:val="nil"/>
            </w:tcBorders>
            <w:hideMark/>
          </w:tcPr>
          <w:p w14:paraId="4F0ACAA4" w14:textId="77777777" w:rsidR="00832822" w:rsidRDefault="00832822" w:rsidP="001A2532">
            <w:r>
              <w:t>(31.5)</w:t>
            </w:r>
          </w:p>
        </w:tc>
        <w:tc>
          <w:tcPr>
            <w:tcW w:w="866" w:type="dxa"/>
            <w:tcBorders>
              <w:top w:val="nil"/>
              <w:left w:val="nil"/>
              <w:bottom w:val="nil"/>
              <w:right w:val="nil"/>
            </w:tcBorders>
            <w:hideMark/>
          </w:tcPr>
          <w:p w14:paraId="6C0CD21D" w14:textId="77777777" w:rsidR="00832822" w:rsidRDefault="00832822" w:rsidP="001A2532">
            <w:pPr>
              <w:jc w:val="right"/>
            </w:pPr>
            <w:r>
              <w:t>18/73</w:t>
            </w:r>
          </w:p>
        </w:tc>
        <w:tc>
          <w:tcPr>
            <w:tcW w:w="865" w:type="dxa"/>
            <w:tcBorders>
              <w:top w:val="nil"/>
              <w:left w:val="nil"/>
              <w:bottom w:val="nil"/>
              <w:right w:val="nil"/>
            </w:tcBorders>
            <w:hideMark/>
          </w:tcPr>
          <w:p w14:paraId="42E5945A" w14:textId="77777777" w:rsidR="00832822" w:rsidRDefault="00832822" w:rsidP="001A2532">
            <w:r>
              <w:t>(24.7)</w:t>
            </w:r>
          </w:p>
        </w:tc>
        <w:tc>
          <w:tcPr>
            <w:tcW w:w="866" w:type="dxa"/>
            <w:tcBorders>
              <w:top w:val="nil"/>
              <w:left w:val="nil"/>
              <w:bottom w:val="nil"/>
              <w:right w:val="nil"/>
            </w:tcBorders>
            <w:hideMark/>
          </w:tcPr>
          <w:p w14:paraId="7C79173C" w14:textId="77777777" w:rsidR="00832822" w:rsidRDefault="00832822" w:rsidP="001A2532">
            <w:pPr>
              <w:jc w:val="right"/>
            </w:pPr>
            <w:r>
              <w:t>22/54</w:t>
            </w:r>
          </w:p>
        </w:tc>
        <w:tc>
          <w:tcPr>
            <w:tcW w:w="866" w:type="dxa"/>
            <w:tcBorders>
              <w:top w:val="nil"/>
              <w:left w:val="nil"/>
              <w:bottom w:val="nil"/>
              <w:right w:val="nil"/>
            </w:tcBorders>
            <w:hideMark/>
          </w:tcPr>
          <w:p w14:paraId="4C7D5122" w14:textId="77777777" w:rsidR="00832822" w:rsidRDefault="00832822" w:rsidP="001A2532">
            <w:r>
              <w:t>(40.7)</w:t>
            </w:r>
          </w:p>
        </w:tc>
        <w:tc>
          <w:tcPr>
            <w:tcW w:w="1091" w:type="dxa"/>
            <w:tcBorders>
              <w:top w:val="nil"/>
              <w:left w:val="nil"/>
              <w:bottom w:val="nil"/>
              <w:right w:val="nil"/>
            </w:tcBorders>
          </w:tcPr>
          <w:p w14:paraId="7E9E5466" w14:textId="77777777" w:rsidR="00832822" w:rsidRDefault="00832822" w:rsidP="001A2532">
            <w:pPr>
              <w:jc w:val="center"/>
            </w:pPr>
          </w:p>
        </w:tc>
      </w:tr>
      <w:tr w:rsidR="00832822" w14:paraId="1EEAADEC" w14:textId="77777777" w:rsidTr="00832822">
        <w:tc>
          <w:tcPr>
            <w:tcW w:w="2943" w:type="dxa"/>
            <w:tcBorders>
              <w:top w:val="nil"/>
              <w:left w:val="nil"/>
              <w:bottom w:val="nil"/>
              <w:right w:val="nil"/>
            </w:tcBorders>
            <w:hideMark/>
          </w:tcPr>
          <w:p w14:paraId="1F67E73E" w14:textId="77777777" w:rsidR="00832822" w:rsidRDefault="00832822" w:rsidP="001A2532">
            <w:pPr>
              <w:ind w:left="1416" w:hanging="707"/>
            </w:pPr>
            <w:r>
              <w:t>Metoprolol</w:t>
            </w:r>
          </w:p>
        </w:tc>
        <w:tc>
          <w:tcPr>
            <w:tcW w:w="993" w:type="dxa"/>
            <w:gridSpan w:val="2"/>
            <w:tcBorders>
              <w:top w:val="nil"/>
              <w:left w:val="nil"/>
              <w:bottom w:val="nil"/>
              <w:right w:val="nil"/>
            </w:tcBorders>
            <w:hideMark/>
          </w:tcPr>
          <w:p w14:paraId="701F0219" w14:textId="77777777" w:rsidR="00832822" w:rsidRDefault="00832822" w:rsidP="001A2532">
            <w:pPr>
              <w:jc w:val="right"/>
            </w:pPr>
            <w:r>
              <w:t>24/127</w:t>
            </w:r>
          </w:p>
        </w:tc>
        <w:tc>
          <w:tcPr>
            <w:tcW w:w="798" w:type="dxa"/>
            <w:tcBorders>
              <w:top w:val="nil"/>
              <w:left w:val="nil"/>
              <w:bottom w:val="nil"/>
              <w:right w:val="nil"/>
            </w:tcBorders>
            <w:hideMark/>
          </w:tcPr>
          <w:p w14:paraId="70A06B58" w14:textId="77777777" w:rsidR="00832822" w:rsidRDefault="00832822" w:rsidP="001A2532">
            <w:r>
              <w:t>(18.9)</w:t>
            </w:r>
          </w:p>
        </w:tc>
        <w:tc>
          <w:tcPr>
            <w:tcW w:w="866" w:type="dxa"/>
            <w:tcBorders>
              <w:top w:val="nil"/>
              <w:left w:val="nil"/>
              <w:bottom w:val="nil"/>
              <w:right w:val="nil"/>
            </w:tcBorders>
            <w:hideMark/>
          </w:tcPr>
          <w:p w14:paraId="55430F52" w14:textId="77777777" w:rsidR="00832822" w:rsidRDefault="00832822" w:rsidP="001A2532">
            <w:pPr>
              <w:jc w:val="right"/>
            </w:pPr>
            <w:r>
              <w:t>18/73</w:t>
            </w:r>
          </w:p>
        </w:tc>
        <w:tc>
          <w:tcPr>
            <w:tcW w:w="865" w:type="dxa"/>
            <w:tcBorders>
              <w:top w:val="nil"/>
              <w:left w:val="nil"/>
              <w:bottom w:val="nil"/>
              <w:right w:val="nil"/>
            </w:tcBorders>
            <w:hideMark/>
          </w:tcPr>
          <w:p w14:paraId="08AF9C7A" w14:textId="77777777" w:rsidR="00832822" w:rsidRDefault="00832822" w:rsidP="001A2532">
            <w:r>
              <w:t>(24.7)</w:t>
            </w:r>
          </w:p>
        </w:tc>
        <w:tc>
          <w:tcPr>
            <w:tcW w:w="866" w:type="dxa"/>
            <w:tcBorders>
              <w:top w:val="nil"/>
              <w:left w:val="nil"/>
              <w:bottom w:val="nil"/>
              <w:right w:val="nil"/>
            </w:tcBorders>
            <w:hideMark/>
          </w:tcPr>
          <w:p w14:paraId="5412A612" w14:textId="77777777" w:rsidR="00832822" w:rsidRDefault="00832822" w:rsidP="001A2532">
            <w:pPr>
              <w:jc w:val="right"/>
            </w:pPr>
            <w:r>
              <w:t>6/54</w:t>
            </w:r>
          </w:p>
        </w:tc>
        <w:tc>
          <w:tcPr>
            <w:tcW w:w="866" w:type="dxa"/>
            <w:tcBorders>
              <w:top w:val="nil"/>
              <w:left w:val="nil"/>
              <w:bottom w:val="nil"/>
              <w:right w:val="nil"/>
            </w:tcBorders>
            <w:hideMark/>
          </w:tcPr>
          <w:p w14:paraId="6A79F1C1" w14:textId="77777777" w:rsidR="00832822" w:rsidRDefault="00832822" w:rsidP="001A2532">
            <w:r>
              <w:t>(11.1)</w:t>
            </w:r>
          </w:p>
        </w:tc>
        <w:tc>
          <w:tcPr>
            <w:tcW w:w="1091" w:type="dxa"/>
            <w:tcBorders>
              <w:top w:val="nil"/>
              <w:left w:val="nil"/>
              <w:bottom w:val="nil"/>
              <w:right w:val="nil"/>
            </w:tcBorders>
          </w:tcPr>
          <w:p w14:paraId="633C648F" w14:textId="77777777" w:rsidR="00832822" w:rsidRDefault="00832822" w:rsidP="001A2532">
            <w:pPr>
              <w:jc w:val="center"/>
            </w:pPr>
          </w:p>
        </w:tc>
      </w:tr>
      <w:tr w:rsidR="00832822" w14:paraId="7C21A16E" w14:textId="77777777" w:rsidTr="00832822">
        <w:tc>
          <w:tcPr>
            <w:tcW w:w="2943" w:type="dxa"/>
            <w:tcBorders>
              <w:top w:val="nil"/>
              <w:left w:val="nil"/>
              <w:bottom w:val="nil"/>
              <w:right w:val="nil"/>
            </w:tcBorders>
            <w:hideMark/>
          </w:tcPr>
          <w:p w14:paraId="2C1F06C2" w14:textId="77777777" w:rsidR="00832822" w:rsidRDefault="00832822" w:rsidP="001A2532">
            <w:pPr>
              <w:ind w:left="1416" w:hanging="707"/>
            </w:pPr>
            <w:r>
              <w:t>Propranolol</w:t>
            </w:r>
          </w:p>
        </w:tc>
        <w:tc>
          <w:tcPr>
            <w:tcW w:w="993" w:type="dxa"/>
            <w:gridSpan w:val="2"/>
            <w:tcBorders>
              <w:top w:val="nil"/>
              <w:left w:val="nil"/>
              <w:bottom w:val="nil"/>
              <w:right w:val="nil"/>
            </w:tcBorders>
            <w:hideMark/>
          </w:tcPr>
          <w:p w14:paraId="3D531A04" w14:textId="77777777" w:rsidR="00832822" w:rsidRDefault="00832822" w:rsidP="001A2532">
            <w:pPr>
              <w:jc w:val="right"/>
            </w:pPr>
            <w:r>
              <w:t>25/127</w:t>
            </w:r>
          </w:p>
        </w:tc>
        <w:tc>
          <w:tcPr>
            <w:tcW w:w="798" w:type="dxa"/>
            <w:tcBorders>
              <w:top w:val="nil"/>
              <w:left w:val="nil"/>
              <w:bottom w:val="nil"/>
              <w:right w:val="nil"/>
            </w:tcBorders>
            <w:hideMark/>
          </w:tcPr>
          <w:p w14:paraId="3819E79E" w14:textId="77777777" w:rsidR="00832822" w:rsidRDefault="00832822" w:rsidP="001A2532">
            <w:r>
              <w:t>(19.7)</w:t>
            </w:r>
          </w:p>
        </w:tc>
        <w:tc>
          <w:tcPr>
            <w:tcW w:w="866" w:type="dxa"/>
            <w:tcBorders>
              <w:top w:val="nil"/>
              <w:left w:val="nil"/>
              <w:bottom w:val="nil"/>
              <w:right w:val="nil"/>
            </w:tcBorders>
            <w:hideMark/>
          </w:tcPr>
          <w:p w14:paraId="54D75BE8" w14:textId="77777777" w:rsidR="00832822" w:rsidRDefault="00832822" w:rsidP="001A2532">
            <w:pPr>
              <w:jc w:val="right"/>
            </w:pPr>
            <w:r>
              <w:t>12/73</w:t>
            </w:r>
          </w:p>
        </w:tc>
        <w:tc>
          <w:tcPr>
            <w:tcW w:w="865" w:type="dxa"/>
            <w:tcBorders>
              <w:top w:val="nil"/>
              <w:left w:val="nil"/>
              <w:bottom w:val="nil"/>
              <w:right w:val="nil"/>
            </w:tcBorders>
            <w:hideMark/>
          </w:tcPr>
          <w:p w14:paraId="64EDC65F" w14:textId="77777777" w:rsidR="00832822" w:rsidRDefault="00832822" w:rsidP="001A2532">
            <w:r>
              <w:t>(16.4)</w:t>
            </w:r>
          </w:p>
        </w:tc>
        <w:tc>
          <w:tcPr>
            <w:tcW w:w="866" w:type="dxa"/>
            <w:tcBorders>
              <w:top w:val="nil"/>
              <w:left w:val="nil"/>
              <w:bottom w:val="nil"/>
              <w:right w:val="nil"/>
            </w:tcBorders>
            <w:hideMark/>
          </w:tcPr>
          <w:p w14:paraId="10E0045B" w14:textId="77777777" w:rsidR="00832822" w:rsidRDefault="00832822" w:rsidP="001A2532">
            <w:pPr>
              <w:jc w:val="right"/>
            </w:pPr>
            <w:r>
              <w:t>13/54</w:t>
            </w:r>
          </w:p>
        </w:tc>
        <w:tc>
          <w:tcPr>
            <w:tcW w:w="866" w:type="dxa"/>
            <w:tcBorders>
              <w:top w:val="nil"/>
              <w:left w:val="nil"/>
              <w:bottom w:val="nil"/>
              <w:right w:val="nil"/>
            </w:tcBorders>
            <w:hideMark/>
          </w:tcPr>
          <w:p w14:paraId="7D13C25D" w14:textId="77777777" w:rsidR="00832822" w:rsidRDefault="00832822" w:rsidP="001A2532">
            <w:r>
              <w:t>(24.1)</w:t>
            </w:r>
          </w:p>
        </w:tc>
        <w:tc>
          <w:tcPr>
            <w:tcW w:w="1091" w:type="dxa"/>
            <w:tcBorders>
              <w:top w:val="nil"/>
              <w:left w:val="nil"/>
              <w:bottom w:val="nil"/>
              <w:right w:val="nil"/>
            </w:tcBorders>
          </w:tcPr>
          <w:p w14:paraId="7A146989" w14:textId="77777777" w:rsidR="00832822" w:rsidRDefault="00832822" w:rsidP="001A2532">
            <w:pPr>
              <w:jc w:val="center"/>
            </w:pPr>
          </w:p>
        </w:tc>
      </w:tr>
      <w:tr w:rsidR="00832822" w14:paraId="3B82D42C" w14:textId="77777777" w:rsidTr="00832822">
        <w:tc>
          <w:tcPr>
            <w:tcW w:w="2943" w:type="dxa"/>
            <w:tcBorders>
              <w:top w:val="nil"/>
              <w:left w:val="nil"/>
              <w:bottom w:val="nil"/>
              <w:right w:val="nil"/>
            </w:tcBorders>
            <w:hideMark/>
          </w:tcPr>
          <w:p w14:paraId="313AF21F" w14:textId="77777777" w:rsidR="00832822" w:rsidRDefault="00832822" w:rsidP="001A2532">
            <w:pPr>
              <w:ind w:left="1416" w:hanging="707"/>
            </w:pPr>
            <w:r>
              <w:t>Atenolol</w:t>
            </w:r>
          </w:p>
        </w:tc>
        <w:tc>
          <w:tcPr>
            <w:tcW w:w="993" w:type="dxa"/>
            <w:gridSpan w:val="2"/>
            <w:tcBorders>
              <w:top w:val="nil"/>
              <w:left w:val="nil"/>
              <w:bottom w:val="nil"/>
              <w:right w:val="nil"/>
            </w:tcBorders>
            <w:hideMark/>
          </w:tcPr>
          <w:p w14:paraId="3D675E29" w14:textId="77777777" w:rsidR="00832822" w:rsidRDefault="00832822" w:rsidP="001A2532">
            <w:pPr>
              <w:jc w:val="right"/>
            </w:pPr>
            <w:r>
              <w:t>23/127</w:t>
            </w:r>
          </w:p>
        </w:tc>
        <w:tc>
          <w:tcPr>
            <w:tcW w:w="798" w:type="dxa"/>
            <w:tcBorders>
              <w:top w:val="nil"/>
              <w:left w:val="nil"/>
              <w:bottom w:val="nil"/>
              <w:right w:val="nil"/>
            </w:tcBorders>
            <w:hideMark/>
          </w:tcPr>
          <w:p w14:paraId="41942F00" w14:textId="77777777" w:rsidR="00832822" w:rsidRDefault="00832822" w:rsidP="001A2532">
            <w:r>
              <w:t>(18.1)</w:t>
            </w:r>
          </w:p>
        </w:tc>
        <w:tc>
          <w:tcPr>
            <w:tcW w:w="866" w:type="dxa"/>
            <w:tcBorders>
              <w:top w:val="nil"/>
              <w:left w:val="nil"/>
              <w:bottom w:val="nil"/>
              <w:right w:val="nil"/>
            </w:tcBorders>
            <w:hideMark/>
          </w:tcPr>
          <w:p w14:paraId="6CDBE040" w14:textId="77777777" w:rsidR="00832822" w:rsidRDefault="00832822" w:rsidP="001A2532">
            <w:pPr>
              <w:jc w:val="right"/>
            </w:pPr>
            <w:r>
              <w:t>14/73</w:t>
            </w:r>
          </w:p>
        </w:tc>
        <w:tc>
          <w:tcPr>
            <w:tcW w:w="865" w:type="dxa"/>
            <w:tcBorders>
              <w:top w:val="nil"/>
              <w:left w:val="nil"/>
              <w:bottom w:val="nil"/>
              <w:right w:val="nil"/>
            </w:tcBorders>
            <w:hideMark/>
          </w:tcPr>
          <w:p w14:paraId="4A36DB81" w14:textId="77777777" w:rsidR="00832822" w:rsidRDefault="00832822" w:rsidP="001A2532">
            <w:r>
              <w:t>(19.2)</w:t>
            </w:r>
          </w:p>
        </w:tc>
        <w:tc>
          <w:tcPr>
            <w:tcW w:w="866" w:type="dxa"/>
            <w:tcBorders>
              <w:top w:val="nil"/>
              <w:left w:val="nil"/>
              <w:bottom w:val="nil"/>
              <w:right w:val="nil"/>
            </w:tcBorders>
            <w:hideMark/>
          </w:tcPr>
          <w:p w14:paraId="358FBF34" w14:textId="77777777" w:rsidR="00832822" w:rsidRDefault="00832822" w:rsidP="001A2532">
            <w:pPr>
              <w:jc w:val="right"/>
            </w:pPr>
            <w:r>
              <w:t>9/54</w:t>
            </w:r>
          </w:p>
        </w:tc>
        <w:tc>
          <w:tcPr>
            <w:tcW w:w="866" w:type="dxa"/>
            <w:tcBorders>
              <w:top w:val="nil"/>
              <w:left w:val="nil"/>
              <w:bottom w:val="nil"/>
              <w:right w:val="nil"/>
            </w:tcBorders>
            <w:hideMark/>
          </w:tcPr>
          <w:p w14:paraId="66A6F179" w14:textId="77777777" w:rsidR="00832822" w:rsidRDefault="00832822" w:rsidP="001A2532">
            <w:r>
              <w:t>(16.7)</w:t>
            </w:r>
          </w:p>
        </w:tc>
        <w:tc>
          <w:tcPr>
            <w:tcW w:w="1091" w:type="dxa"/>
            <w:tcBorders>
              <w:top w:val="nil"/>
              <w:left w:val="nil"/>
              <w:bottom w:val="nil"/>
              <w:right w:val="nil"/>
            </w:tcBorders>
          </w:tcPr>
          <w:p w14:paraId="2D8AA904" w14:textId="77777777" w:rsidR="00832822" w:rsidRDefault="00832822" w:rsidP="001A2532">
            <w:pPr>
              <w:jc w:val="center"/>
            </w:pPr>
          </w:p>
        </w:tc>
      </w:tr>
      <w:tr w:rsidR="00832822" w14:paraId="6FB16B04" w14:textId="77777777" w:rsidTr="00832822">
        <w:tc>
          <w:tcPr>
            <w:tcW w:w="2943" w:type="dxa"/>
            <w:tcBorders>
              <w:top w:val="nil"/>
              <w:left w:val="nil"/>
              <w:bottom w:val="nil"/>
              <w:right w:val="nil"/>
            </w:tcBorders>
            <w:hideMark/>
          </w:tcPr>
          <w:p w14:paraId="25126E08" w14:textId="77777777" w:rsidR="00832822" w:rsidRDefault="00832822" w:rsidP="001A2532">
            <w:pPr>
              <w:ind w:left="1416" w:hanging="707"/>
            </w:pPr>
            <w:proofErr w:type="spellStart"/>
            <w:r>
              <w:t>Bisoprolol</w:t>
            </w:r>
            <w:proofErr w:type="spellEnd"/>
          </w:p>
        </w:tc>
        <w:tc>
          <w:tcPr>
            <w:tcW w:w="993" w:type="dxa"/>
            <w:gridSpan w:val="2"/>
            <w:tcBorders>
              <w:top w:val="nil"/>
              <w:left w:val="nil"/>
              <w:bottom w:val="nil"/>
              <w:right w:val="nil"/>
            </w:tcBorders>
            <w:hideMark/>
          </w:tcPr>
          <w:p w14:paraId="4F13FEC6" w14:textId="77777777" w:rsidR="00832822" w:rsidRDefault="00832822" w:rsidP="001A2532">
            <w:pPr>
              <w:jc w:val="right"/>
            </w:pPr>
            <w:r>
              <w:t>12/127</w:t>
            </w:r>
          </w:p>
        </w:tc>
        <w:tc>
          <w:tcPr>
            <w:tcW w:w="798" w:type="dxa"/>
            <w:tcBorders>
              <w:top w:val="nil"/>
              <w:left w:val="nil"/>
              <w:bottom w:val="nil"/>
              <w:right w:val="nil"/>
            </w:tcBorders>
            <w:hideMark/>
          </w:tcPr>
          <w:p w14:paraId="4D21D1EA" w14:textId="77777777" w:rsidR="00832822" w:rsidRDefault="00832822" w:rsidP="001A2532">
            <w:r>
              <w:t>(9.4)</w:t>
            </w:r>
          </w:p>
        </w:tc>
        <w:tc>
          <w:tcPr>
            <w:tcW w:w="866" w:type="dxa"/>
            <w:tcBorders>
              <w:top w:val="nil"/>
              <w:left w:val="nil"/>
              <w:bottom w:val="nil"/>
              <w:right w:val="nil"/>
            </w:tcBorders>
            <w:hideMark/>
          </w:tcPr>
          <w:p w14:paraId="257ECBA3" w14:textId="77777777" w:rsidR="00832822" w:rsidRDefault="00832822" w:rsidP="001A2532">
            <w:pPr>
              <w:jc w:val="right"/>
            </w:pPr>
            <w:r>
              <w:t>10/73</w:t>
            </w:r>
          </w:p>
        </w:tc>
        <w:tc>
          <w:tcPr>
            <w:tcW w:w="865" w:type="dxa"/>
            <w:tcBorders>
              <w:top w:val="nil"/>
              <w:left w:val="nil"/>
              <w:bottom w:val="nil"/>
              <w:right w:val="nil"/>
            </w:tcBorders>
            <w:hideMark/>
          </w:tcPr>
          <w:p w14:paraId="0C56E696" w14:textId="77777777" w:rsidR="00832822" w:rsidRDefault="00832822" w:rsidP="001A2532">
            <w:r>
              <w:t>(13.7)</w:t>
            </w:r>
          </w:p>
        </w:tc>
        <w:tc>
          <w:tcPr>
            <w:tcW w:w="866" w:type="dxa"/>
            <w:tcBorders>
              <w:top w:val="nil"/>
              <w:left w:val="nil"/>
              <w:bottom w:val="nil"/>
              <w:right w:val="nil"/>
            </w:tcBorders>
            <w:hideMark/>
          </w:tcPr>
          <w:p w14:paraId="7CD8CF12" w14:textId="77777777" w:rsidR="00832822" w:rsidRDefault="00832822" w:rsidP="001A2532">
            <w:pPr>
              <w:jc w:val="right"/>
            </w:pPr>
            <w:r>
              <w:t>2/54</w:t>
            </w:r>
          </w:p>
        </w:tc>
        <w:tc>
          <w:tcPr>
            <w:tcW w:w="866" w:type="dxa"/>
            <w:tcBorders>
              <w:top w:val="nil"/>
              <w:left w:val="nil"/>
              <w:bottom w:val="nil"/>
              <w:right w:val="nil"/>
            </w:tcBorders>
            <w:hideMark/>
          </w:tcPr>
          <w:p w14:paraId="248CE9CA" w14:textId="77777777" w:rsidR="00832822" w:rsidRDefault="00832822" w:rsidP="001A2532">
            <w:r>
              <w:t>(3.7)</w:t>
            </w:r>
          </w:p>
        </w:tc>
        <w:tc>
          <w:tcPr>
            <w:tcW w:w="1091" w:type="dxa"/>
            <w:tcBorders>
              <w:top w:val="nil"/>
              <w:left w:val="nil"/>
              <w:bottom w:val="nil"/>
              <w:right w:val="nil"/>
            </w:tcBorders>
          </w:tcPr>
          <w:p w14:paraId="4CF1B4C9" w14:textId="77777777" w:rsidR="00832822" w:rsidRDefault="00832822" w:rsidP="001A2532">
            <w:pPr>
              <w:jc w:val="center"/>
            </w:pPr>
          </w:p>
        </w:tc>
      </w:tr>
      <w:tr w:rsidR="00832822" w14:paraId="68BABE72" w14:textId="77777777" w:rsidTr="00832822">
        <w:tc>
          <w:tcPr>
            <w:tcW w:w="2943" w:type="dxa"/>
            <w:tcBorders>
              <w:top w:val="nil"/>
              <w:left w:val="nil"/>
              <w:bottom w:val="nil"/>
              <w:right w:val="nil"/>
            </w:tcBorders>
            <w:hideMark/>
          </w:tcPr>
          <w:p w14:paraId="04637D28" w14:textId="0103B2F7" w:rsidR="00832822" w:rsidRDefault="00832822" w:rsidP="001A2532">
            <w:pPr>
              <w:ind w:left="1416" w:hanging="707"/>
            </w:pPr>
            <w:proofErr w:type="spellStart"/>
            <w:r>
              <w:lastRenderedPageBreak/>
              <w:t>Other</w:t>
            </w:r>
            <w:r w:rsidRPr="00F020ED">
              <w:rPr>
                <w:vertAlign w:val="superscript"/>
                <w:lang w:eastAsia="nl-NL"/>
              </w:rPr>
              <w:t>b</w:t>
            </w:r>
            <w:proofErr w:type="spellEnd"/>
          </w:p>
        </w:tc>
        <w:tc>
          <w:tcPr>
            <w:tcW w:w="993" w:type="dxa"/>
            <w:gridSpan w:val="2"/>
            <w:tcBorders>
              <w:top w:val="nil"/>
              <w:left w:val="nil"/>
              <w:bottom w:val="nil"/>
              <w:right w:val="nil"/>
            </w:tcBorders>
            <w:hideMark/>
          </w:tcPr>
          <w:p w14:paraId="77C50F04" w14:textId="77777777" w:rsidR="00832822" w:rsidRDefault="00832822" w:rsidP="001A2532">
            <w:pPr>
              <w:jc w:val="right"/>
            </w:pPr>
            <w:r>
              <w:t>3/127</w:t>
            </w:r>
          </w:p>
        </w:tc>
        <w:tc>
          <w:tcPr>
            <w:tcW w:w="798" w:type="dxa"/>
            <w:tcBorders>
              <w:top w:val="nil"/>
              <w:left w:val="nil"/>
              <w:bottom w:val="nil"/>
              <w:right w:val="nil"/>
            </w:tcBorders>
            <w:hideMark/>
          </w:tcPr>
          <w:p w14:paraId="5DDE0217" w14:textId="77777777" w:rsidR="00832822" w:rsidRDefault="00832822" w:rsidP="001A2532">
            <w:r>
              <w:t>(2.4)</w:t>
            </w:r>
          </w:p>
        </w:tc>
        <w:tc>
          <w:tcPr>
            <w:tcW w:w="866" w:type="dxa"/>
            <w:tcBorders>
              <w:top w:val="nil"/>
              <w:left w:val="nil"/>
              <w:bottom w:val="nil"/>
              <w:right w:val="nil"/>
            </w:tcBorders>
            <w:hideMark/>
          </w:tcPr>
          <w:p w14:paraId="29030D17" w14:textId="77777777" w:rsidR="00832822" w:rsidRDefault="00832822" w:rsidP="001A2532">
            <w:pPr>
              <w:jc w:val="right"/>
            </w:pPr>
            <w:r>
              <w:t>1/73</w:t>
            </w:r>
          </w:p>
        </w:tc>
        <w:tc>
          <w:tcPr>
            <w:tcW w:w="865" w:type="dxa"/>
            <w:tcBorders>
              <w:top w:val="nil"/>
              <w:left w:val="nil"/>
              <w:bottom w:val="nil"/>
              <w:right w:val="nil"/>
            </w:tcBorders>
            <w:hideMark/>
          </w:tcPr>
          <w:p w14:paraId="7519F1EF" w14:textId="77777777" w:rsidR="00832822" w:rsidRDefault="00832822" w:rsidP="001A2532">
            <w:r>
              <w:t>(1.4)</w:t>
            </w:r>
          </w:p>
        </w:tc>
        <w:tc>
          <w:tcPr>
            <w:tcW w:w="866" w:type="dxa"/>
            <w:tcBorders>
              <w:top w:val="nil"/>
              <w:left w:val="nil"/>
              <w:bottom w:val="nil"/>
              <w:right w:val="nil"/>
            </w:tcBorders>
            <w:hideMark/>
          </w:tcPr>
          <w:p w14:paraId="7F636212" w14:textId="77777777" w:rsidR="00832822" w:rsidRDefault="00832822" w:rsidP="001A2532">
            <w:pPr>
              <w:jc w:val="right"/>
            </w:pPr>
            <w:r>
              <w:t>2/54</w:t>
            </w:r>
          </w:p>
        </w:tc>
        <w:tc>
          <w:tcPr>
            <w:tcW w:w="866" w:type="dxa"/>
            <w:tcBorders>
              <w:top w:val="nil"/>
              <w:left w:val="nil"/>
              <w:bottom w:val="nil"/>
              <w:right w:val="nil"/>
            </w:tcBorders>
            <w:hideMark/>
          </w:tcPr>
          <w:p w14:paraId="22B63D4F" w14:textId="77777777" w:rsidR="00832822" w:rsidRDefault="00832822" w:rsidP="001A2532">
            <w:r>
              <w:t>(3.7)</w:t>
            </w:r>
          </w:p>
        </w:tc>
        <w:tc>
          <w:tcPr>
            <w:tcW w:w="1091" w:type="dxa"/>
            <w:tcBorders>
              <w:top w:val="nil"/>
              <w:left w:val="nil"/>
              <w:bottom w:val="nil"/>
              <w:right w:val="nil"/>
            </w:tcBorders>
          </w:tcPr>
          <w:p w14:paraId="445AC169" w14:textId="77777777" w:rsidR="00832822" w:rsidRDefault="00832822" w:rsidP="001A2532">
            <w:pPr>
              <w:jc w:val="center"/>
            </w:pPr>
          </w:p>
        </w:tc>
      </w:tr>
      <w:tr w:rsidR="00832822" w14:paraId="23C16E55" w14:textId="77777777" w:rsidTr="00832822">
        <w:tc>
          <w:tcPr>
            <w:tcW w:w="2943" w:type="dxa"/>
            <w:tcBorders>
              <w:top w:val="nil"/>
              <w:left w:val="nil"/>
              <w:bottom w:val="nil"/>
              <w:right w:val="nil"/>
            </w:tcBorders>
            <w:hideMark/>
          </w:tcPr>
          <w:p w14:paraId="5F290B6E" w14:textId="77777777" w:rsidR="00832822" w:rsidRDefault="00832822" w:rsidP="001A2532">
            <w:pPr>
              <w:ind w:left="708" w:hanging="282"/>
            </w:pPr>
            <w:proofErr w:type="spellStart"/>
            <w:r>
              <w:t>Flecainide</w:t>
            </w:r>
            <w:proofErr w:type="spellEnd"/>
          </w:p>
        </w:tc>
        <w:tc>
          <w:tcPr>
            <w:tcW w:w="925" w:type="dxa"/>
            <w:tcBorders>
              <w:top w:val="nil"/>
              <w:left w:val="nil"/>
              <w:bottom w:val="nil"/>
              <w:right w:val="nil"/>
            </w:tcBorders>
            <w:hideMark/>
          </w:tcPr>
          <w:p w14:paraId="44A86A01" w14:textId="77777777" w:rsidR="00832822" w:rsidRDefault="00832822" w:rsidP="001A2532">
            <w:pPr>
              <w:jc w:val="right"/>
            </w:pPr>
            <w:r>
              <w:t>39</w:t>
            </w:r>
          </w:p>
        </w:tc>
        <w:tc>
          <w:tcPr>
            <w:tcW w:w="866" w:type="dxa"/>
            <w:gridSpan w:val="2"/>
            <w:tcBorders>
              <w:top w:val="nil"/>
              <w:left w:val="nil"/>
              <w:bottom w:val="nil"/>
              <w:right w:val="nil"/>
            </w:tcBorders>
            <w:hideMark/>
          </w:tcPr>
          <w:p w14:paraId="0BF7898C" w14:textId="77777777" w:rsidR="00832822" w:rsidRDefault="00832822" w:rsidP="001A2532">
            <w:r>
              <w:t>(28.7)</w:t>
            </w:r>
          </w:p>
        </w:tc>
        <w:tc>
          <w:tcPr>
            <w:tcW w:w="866" w:type="dxa"/>
            <w:tcBorders>
              <w:top w:val="nil"/>
              <w:left w:val="nil"/>
              <w:bottom w:val="nil"/>
              <w:right w:val="nil"/>
            </w:tcBorders>
            <w:hideMark/>
          </w:tcPr>
          <w:p w14:paraId="326489E4" w14:textId="77777777" w:rsidR="00832822" w:rsidRDefault="00832822" w:rsidP="001A2532">
            <w:pPr>
              <w:jc w:val="right"/>
            </w:pPr>
            <w:r>
              <w:t>20</w:t>
            </w:r>
          </w:p>
        </w:tc>
        <w:tc>
          <w:tcPr>
            <w:tcW w:w="865" w:type="dxa"/>
            <w:tcBorders>
              <w:top w:val="nil"/>
              <w:left w:val="nil"/>
              <w:bottom w:val="nil"/>
              <w:right w:val="nil"/>
            </w:tcBorders>
            <w:hideMark/>
          </w:tcPr>
          <w:p w14:paraId="560AB4FC" w14:textId="77777777" w:rsidR="00832822" w:rsidRDefault="00832822" w:rsidP="001A2532">
            <w:r>
              <w:t>(25.3)</w:t>
            </w:r>
          </w:p>
        </w:tc>
        <w:tc>
          <w:tcPr>
            <w:tcW w:w="866" w:type="dxa"/>
            <w:tcBorders>
              <w:top w:val="nil"/>
              <w:left w:val="nil"/>
              <w:bottom w:val="nil"/>
              <w:right w:val="nil"/>
            </w:tcBorders>
            <w:hideMark/>
          </w:tcPr>
          <w:p w14:paraId="73CE1A7C" w14:textId="77777777" w:rsidR="00832822" w:rsidRDefault="00832822" w:rsidP="001A2532">
            <w:pPr>
              <w:jc w:val="right"/>
            </w:pPr>
            <w:r>
              <w:t>19</w:t>
            </w:r>
          </w:p>
        </w:tc>
        <w:tc>
          <w:tcPr>
            <w:tcW w:w="866" w:type="dxa"/>
            <w:tcBorders>
              <w:top w:val="nil"/>
              <w:left w:val="nil"/>
              <w:bottom w:val="nil"/>
              <w:right w:val="nil"/>
            </w:tcBorders>
            <w:hideMark/>
          </w:tcPr>
          <w:p w14:paraId="44DAF950" w14:textId="77777777" w:rsidR="00832822" w:rsidRDefault="00832822" w:rsidP="001A2532">
            <w:r>
              <w:t>(33.3)</w:t>
            </w:r>
          </w:p>
        </w:tc>
        <w:tc>
          <w:tcPr>
            <w:tcW w:w="1091" w:type="dxa"/>
            <w:tcBorders>
              <w:top w:val="nil"/>
              <w:left w:val="nil"/>
              <w:bottom w:val="nil"/>
              <w:right w:val="nil"/>
            </w:tcBorders>
            <w:hideMark/>
          </w:tcPr>
          <w:p w14:paraId="1F9B4C0E" w14:textId="77777777" w:rsidR="00832822" w:rsidRDefault="00832822" w:rsidP="001A2532">
            <w:pPr>
              <w:jc w:val="center"/>
            </w:pPr>
            <w:r>
              <w:t>0.340</w:t>
            </w:r>
          </w:p>
        </w:tc>
      </w:tr>
      <w:tr w:rsidR="00832822" w14:paraId="403CB3CC" w14:textId="77777777" w:rsidTr="00832822">
        <w:tc>
          <w:tcPr>
            <w:tcW w:w="2943" w:type="dxa"/>
            <w:tcBorders>
              <w:top w:val="nil"/>
              <w:left w:val="nil"/>
              <w:bottom w:val="single" w:sz="4" w:space="0" w:color="auto"/>
              <w:right w:val="nil"/>
            </w:tcBorders>
            <w:hideMark/>
          </w:tcPr>
          <w:p w14:paraId="4EB28407" w14:textId="0981208D" w:rsidR="00832822" w:rsidRDefault="00832822" w:rsidP="001A2532">
            <w:r>
              <w:t xml:space="preserve">        LCSD</w:t>
            </w:r>
          </w:p>
        </w:tc>
        <w:tc>
          <w:tcPr>
            <w:tcW w:w="925" w:type="dxa"/>
            <w:tcBorders>
              <w:top w:val="nil"/>
              <w:left w:val="nil"/>
              <w:bottom w:val="single" w:sz="4" w:space="0" w:color="auto"/>
              <w:right w:val="nil"/>
            </w:tcBorders>
            <w:hideMark/>
          </w:tcPr>
          <w:p w14:paraId="317FCF85" w14:textId="77777777" w:rsidR="00832822" w:rsidRDefault="00832822" w:rsidP="001A2532">
            <w:pPr>
              <w:jc w:val="right"/>
            </w:pPr>
            <w:r>
              <w:t>10</w:t>
            </w:r>
          </w:p>
        </w:tc>
        <w:tc>
          <w:tcPr>
            <w:tcW w:w="866" w:type="dxa"/>
            <w:gridSpan w:val="2"/>
            <w:tcBorders>
              <w:top w:val="nil"/>
              <w:left w:val="nil"/>
              <w:bottom w:val="single" w:sz="4" w:space="0" w:color="auto"/>
              <w:right w:val="nil"/>
            </w:tcBorders>
            <w:hideMark/>
          </w:tcPr>
          <w:p w14:paraId="0F48E607" w14:textId="77777777" w:rsidR="00832822" w:rsidRDefault="00832822" w:rsidP="001A2532">
            <w:r>
              <w:t>(7.4)</w:t>
            </w:r>
          </w:p>
        </w:tc>
        <w:tc>
          <w:tcPr>
            <w:tcW w:w="866" w:type="dxa"/>
            <w:tcBorders>
              <w:top w:val="nil"/>
              <w:left w:val="nil"/>
              <w:bottom w:val="single" w:sz="4" w:space="0" w:color="auto"/>
              <w:right w:val="nil"/>
            </w:tcBorders>
            <w:hideMark/>
          </w:tcPr>
          <w:p w14:paraId="7AAD63AB" w14:textId="77777777" w:rsidR="00832822" w:rsidRDefault="00832822" w:rsidP="001A2532">
            <w:pPr>
              <w:jc w:val="right"/>
            </w:pPr>
            <w:r>
              <w:t>4</w:t>
            </w:r>
          </w:p>
        </w:tc>
        <w:tc>
          <w:tcPr>
            <w:tcW w:w="865" w:type="dxa"/>
            <w:tcBorders>
              <w:top w:val="nil"/>
              <w:left w:val="nil"/>
              <w:bottom w:val="single" w:sz="4" w:space="0" w:color="auto"/>
              <w:right w:val="nil"/>
            </w:tcBorders>
            <w:hideMark/>
          </w:tcPr>
          <w:p w14:paraId="68D5A21C" w14:textId="77777777" w:rsidR="00832822" w:rsidRDefault="00832822" w:rsidP="001A2532">
            <w:r>
              <w:t>(5.1)</w:t>
            </w:r>
          </w:p>
        </w:tc>
        <w:tc>
          <w:tcPr>
            <w:tcW w:w="866" w:type="dxa"/>
            <w:tcBorders>
              <w:top w:val="nil"/>
              <w:left w:val="nil"/>
              <w:bottom w:val="single" w:sz="4" w:space="0" w:color="auto"/>
              <w:right w:val="nil"/>
            </w:tcBorders>
            <w:hideMark/>
          </w:tcPr>
          <w:p w14:paraId="66B90A46" w14:textId="77777777" w:rsidR="00832822" w:rsidRDefault="00832822" w:rsidP="001A2532">
            <w:pPr>
              <w:jc w:val="right"/>
            </w:pPr>
            <w:r>
              <w:t>6</w:t>
            </w:r>
          </w:p>
        </w:tc>
        <w:tc>
          <w:tcPr>
            <w:tcW w:w="866" w:type="dxa"/>
            <w:tcBorders>
              <w:top w:val="nil"/>
              <w:left w:val="nil"/>
              <w:bottom w:val="single" w:sz="4" w:space="0" w:color="auto"/>
              <w:right w:val="nil"/>
            </w:tcBorders>
            <w:hideMark/>
          </w:tcPr>
          <w:p w14:paraId="63CC142B" w14:textId="77777777" w:rsidR="00832822" w:rsidRDefault="00832822" w:rsidP="001A2532">
            <w:r>
              <w:t>(10.5)</w:t>
            </w:r>
          </w:p>
        </w:tc>
        <w:tc>
          <w:tcPr>
            <w:tcW w:w="1091" w:type="dxa"/>
            <w:tcBorders>
              <w:top w:val="nil"/>
              <w:left w:val="nil"/>
              <w:bottom w:val="single" w:sz="4" w:space="0" w:color="auto"/>
              <w:right w:val="nil"/>
            </w:tcBorders>
            <w:hideMark/>
          </w:tcPr>
          <w:p w14:paraId="272E8F50" w14:textId="77777777" w:rsidR="00832822" w:rsidRDefault="00832822" w:rsidP="001A2532">
            <w:pPr>
              <w:jc w:val="center"/>
            </w:pPr>
            <w:r>
              <w:t>0.320</w:t>
            </w:r>
          </w:p>
        </w:tc>
      </w:tr>
    </w:tbl>
    <w:p w14:paraId="73CA7ABD" w14:textId="36CD1C69" w:rsidR="00D81D89" w:rsidRDefault="00D81D89" w:rsidP="001A2532">
      <w:r>
        <w:t xml:space="preserve">Values are median (interquartile range) or </w:t>
      </w:r>
      <w:r w:rsidRPr="008D4DFB">
        <w:rPr>
          <w:i/>
        </w:rPr>
        <w:t>n</w:t>
      </w:r>
      <w:r>
        <w:t xml:space="preserve"> (%). Total numbers are included when they differ from those in the overall study group. </w:t>
      </w:r>
    </w:p>
    <w:p w14:paraId="39D39880" w14:textId="6908607E" w:rsidR="00D81D89" w:rsidRDefault="00D81D89" w:rsidP="001A2532">
      <w:r>
        <w:t>ICD</w:t>
      </w:r>
      <w:r w:rsidR="008D4DFB">
        <w:t xml:space="preserve">, </w:t>
      </w:r>
      <w:r>
        <w:t>implantable-cardioverter defibrillator; LCSD, left cardiac sympathetic denervation; SCA, sudden cardiac arrest; SCD, sudden cardiac death.</w:t>
      </w:r>
    </w:p>
    <w:p w14:paraId="3C3EA72D" w14:textId="486BAEF7" w:rsidR="00D81D89" w:rsidRDefault="00F020ED" w:rsidP="001A2532">
      <w:pPr>
        <w:autoSpaceDE w:val="0"/>
        <w:autoSpaceDN w:val="0"/>
        <w:adjustRightInd w:val="0"/>
      </w:pPr>
      <w:proofErr w:type="spellStart"/>
      <w:r w:rsidRPr="00F020ED">
        <w:rPr>
          <w:vertAlign w:val="superscript"/>
        </w:rPr>
        <w:t>a</w:t>
      </w:r>
      <w:r w:rsidR="00D81D89">
        <w:t>Only</w:t>
      </w:r>
      <w:proofErr w:type="spellEnd"/>
      <w:r w:rsidR="00D81D89">
        <w:t xml:space="preserve"> applicable in </w:t>
      </w:r>
      <w:proofErr w:type="spellStart"/>
      <w:r w:rsidR="00D81D89">
        <w:t>probands</w:t>
      </w:r>
      <w:proofErr w:type="spellEnd"/>
      <w:r w:rsidR="00D81D89">
        <w:t xml:space="preserve"> (data missing in 3 patients). </w:t>
      </w:r>
    </w:p>
    <w:p w14:paraId="4AA03E3E" w14:textId="0E938F21" w:rsidR="00D81D89" w:rsidRDefault="00F020ED" w:rsidP="001A2532">
      <w:pPr>
        <w:autoSpaceDE w:val="0"/>
        <w:autoSpaceDN w:val="0"/>
        <w:adjustRightInd w:val="0"/>
        <w:rPr>
          <w:b/>
          <w:lang w:eastAsia="nl-NL"/>
        </w:rPr>
      </w:pPr>
      <w:proofErr w:type="spellStart"/>
      <w:r w:rsidRPr="00F020ED">
        <w:rPr>
          <w:vertAlign w:val="superscript"/>
          <w:lang w:eastAsia="nl-NL"/>
        </w:rPr>
        <w:t>b</w:t>
      </w:r>
      <w:r w:rsidR="00D81D89">
        <w:t>Other</w:t>
      </w:r>
      <w:proofErr w:type="spellEnd"/>
      <w:r w:rsidR="00D81D89">
        <w:t xml:space="preserve"> β-blockers included </w:t>
      </w:r>
      <w:proofErr w:type="spellStart"/>
      <w:r w:rsidR="00D81D89">
        <w:t>sotalol</w:t>
      </w:r>
      <w:proofErr w:type="spellEnd"/>
      <w:r w:rsidR="00D81D89">
        <w:t xml:space="preserve"> (</w:t>
      </w:r>
      <w:r w:rsidR="008D4DFB" w:rsidRPr="008D4DFB">
        <w:rPr>
          <w:i/>
        </w:rPr>
        <w:t>n</w:t>
      </w:r>
      <w:r w:rsidR="00D81D89">
        <w:t xml:space="preserve"> = 2) and carvedilol (</w:t>
      </w:r>
      <w:r w:rsidR="008D4DFB" w:rsidRPr="008D4DFB">
        <w:rPr>
          <w:i/>
        </w:rPr>
        <w:t>n</w:t>
      </w:r>
      <w:r w:rsidR="00D81D89">
        <w:t xml:space="preserve"> = 1).</w:t>
      </w:r>
    </w:p>
    <w:p w14:paraId="0080A2A6" w14:textId="77777777" w:rsidR="00D81D89" w:rsidRDefault="00D81D89" w:rsidP="001A2532">
      <w:pPr>
        <w:rPr>
          <w:b/>
          <w:lang w:eastAsia="nl-NL"/>
        </w:rPr>
        <w:sectPr w:rsidR="00D81D89" w:rsidSect="001A2532">
          <w:footerReference w:type="default" r:id="rId8"/>
          <w:pgSz w:w="11906" w:h="16838"/>
          <w:pgMar w:top="1418" w:right="1418" w:bottom="1418" w:left="1418" w:header="709" w:footer="709" w:gutter="0"/>
          <w:lnNumType w:countBy="5"/>
          <w:cols w:space="708"/>
          <w:docGrid w:linePitch="299"/>
        </w:sectPr>
      </w:pPr>
    </w:p>
    <w:p w14:paraId="61EC70C7" w14:textId="77777777" w:rsidR="00D81D89" w:rsidRDefault="00D81D89" w:rsidP="001A2532">
      <w:pPr>
        <w:autoSpaceDE w:val="0"/>
        <w:autoSpaceDN w:val="0"/>
        <w:adjustRightInd w:val="0"/>
        <w:rPr>
          <w:lang w:eastAsia="nl-NL"/>
        </w:rPr>
      </w:pPr>
      <w:r>
        <w:rPr>
          <w:b/>
          <w:lang w:eastAsia="nl-NL"/>
        </w:rPr>
        <w:lastRenderedPageBreak/>
        <w:t>Table 2. Primary and Secondary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975"/>
        <w:gridCol w:w="976"/>
        <w:gridCol w:w="976"/>
        <w:gridCol w:w="976"/>
        <w:gridCol w:w="2288"/>
        <w:gridCol w:w="1607"/>
        <w:gridCol w:w="1947"/>
        <w:gridCol w:w="1948"/>
      </w:tblGrid>
      <w:tr w:rsidR="00D81D89" w14:paraId="6F62FE69" w14:textId="77777777" w:rsidTr="00D81D89">
        <w:tc>
          <w:tcPr>
            <w:tcW w:w="2348" w:type="dxa"/>
            <w:tcBorders>
              <w:top w:val="single" w:sz="4" w:space="0" w:color="auto"/>
              <w:left w:val="nil"/>
              <w:bottom w:val="nil"/>
              <w:right w:val="nil"/>
            </w:tcBorders>
          </w:tcPr>
          <w:p w14:paraId="46AF5E28" w14:textId="77777777" w:rsidR="00D81D89" w:rsidRDefault="00D81D89" w:rsidP="001A2532">
            <w:pPr>
              <w:rPr>
                <w:b/>
              </w:rPr>
            </w:pPr>
          </w:p>
        </w:tc>
        <w:tc>
          <w:tcPr>
            <w:tcW w:w="1978" w:type="dxa"/>
            <w:gridSpan w:val="2"/>
            <w:tcBorders>
              <w:top w:val="single" w:sz="4" w:space="0" w:color="auto"/>
              <w:left w:val="nil"/>
              <w:bottom w:val="nil"/>
              <w:right w:val="nil"/>
            </w:tcBorders>
          </w:tcPr>
          <w:p w14:paraId="50BBFDFF" w14:textId="77777777" w:rsidR="00D81D89" w:rsidRDefault="00D81D89" w:rsidP="001A2532">
            <w:pPr>
              <w:jc w:val="center"/>
              <w:rPr>
                <w:b/>
              </w:rPr>
            </w:pPr>
          </w:p>
        </w:tc>
        <w:tc>
          <w:tcPr>
            <w:tcW w:w="1978" w:type="dxa"/>
            <w:gridSpan w:val="2"/>
            <w:tcBorders>
              <w:top w:val="single" w:sz="4" w:space="0" w:color="auto"/>
              <w:left w:val="nil"/>
              <w:bottom w:val="nil"/>
              <w:right w:val="nil"/>
            </w:tcBorders>
          </w:tcPr>
          <w:p w14:paraId="570BF4D4" w14:textId="77777777" w:rsidR="00D81D89" w:rsidRDefault="00D81D89" w:rsidP="001A2532">
            <w:pPr>
              <w:jc w:val="center"/>
              <w:rPr>
                <w:b/>
              </w:rPr>
            </w:pPr>
          </w:p>
        </w:tc>
        <w:tc>
          <w:tcPr>
            <w:tcW w:w="3957" w:type="dxa"/>
            <w:gridSpan w:val="2"/>
            <w:tcBorders>
              <w:top w:val="single" w:sz="4" w:space="0" w:color="auto"/>
              <w:left w:val="nil"/>
              <w:bottom w:val="nil"/>
              <w:right w:val="nil"/>
            </w:tcBorders>
            <w:hideMark/>
          </w:tcPr>
          <w:p w14:paraId="00BC5704" w14:textId="77777777" w:rsidR="00D81D89" w:rsidRDefault="00D81D89" w:rsidP="001A2532">
            <w:pPr>
              <w:jc w:val="center"/>
              <w:rPr>
                <w:b/>
                <w:strike/>
              </w:rPr>
            </w:pPr>
            <w:proofErr w:type="spellStart"/>
            <w:r>
              <w:rPr>
                <w:b/>
              </w:rPr>
              <w:t>Univariable</w:t>
            </w:r>
            <w:proofErr w:type="spellEnd"/>
            <w:r>
              <w:rPr>
                <w:b/>
              </w:rPr>
              <w:t xml:space="preserve"> Analysis</w:t>
            </w:r>
          </w:p>
        </w:tc>
        <w:tc>
          <w:tcPr>
            <w:tcW w:w="3957" w:type="dxa"/>
            <w:gridSpan w:val="2"/>
            <w:tcBorders>
              <w:top w:val="single" w:sz="4" w:space="0" w:color="auto"/>
              <w:left w:val="nil"/>
              <w:bottom w:val="nil"/>
              <w:right w:val="nil"/>
            </w:tcBorders>
            <w:hideMark/>
          </w:tcPr>
          <w:p w14:paraId="5462DA71" w14:textId="67E7E12C" w:rsidR="00D81D89" w:rsidRDefault="00F020ED" w:rsidP="001A2532">
            <w:pPr>
              <w:jc w:val="center"/>
              <w:rPr>
                <w:b/>
              </w:rPr>
            </w:pPr>
            <w:r>
              <w:rPr>
                <w:b/>
              </w:rPr>
              <w:t xml:space="preserve">Multivariable </w:t>
            </w:r>
            <w:proofErr w:type="spellStart"/>
            <w:r>
              <w:rPr>
                <w:b/>
              </w:rPr>
              <w:t>Analysis</w:t>
            </w:r>
            <w:r w:rsidRPr="00F020ED">
              <w:rPr>
                <w:b/>
                <w:vertAlign w:val="superscript"/>
              </w:rPr>
              <w:t>a</w:t>
            </w:r>
            <w:proofErr w:type="spellEnd"/>
          </w:p>
        </w:tc>
      </w:tr>
      <w:tr w:rsidR="00D81D89" w14:paraId="10C507BC" w14:textId="77777777" w:rsidTr="00D81D89">
        <w:tc>
          <w:tcPr>
            <w:tcW w:w="2348" w:type="dxa"/>
            <w:tcBorders>
              <w:top w:val="nil"/>
              <w:left w:val="nil"/>
              <w:bottom w:val="single" w:sz="4" w:space="0" w:color="auto"/>
              <w:right w:val="nil"/>
            </w:tcBorders>
          </w:tcPr>
          <w:p w14:paraId="43C6F3E3" w14:textId="77777777" w:rsidR="00D81D89" w:rsidRDefault="00D81D89" w:rsidP="001A2532">
            <w:pPr>
              <w:rPr>
                <w:b/>
              </w:rPr>
            </w:pPr>
          </w:p>
        </w:tc>
        <w:tc>
          <w:tcPr>
            <w:tcW w:w="1978" w:type="dxa"/>
            <w:gridSpan w:val="2"/>
            <w:tcBorders>
              <w:top w:val="nil"/>
              <w:left w:val="nil"/>
              <w:bottom w:val="single" w:sz="4" w:space="0" w:color="auto"/>
              <w:right w:val="nil"/>
            </w:tcBorders>
            <w:hideMark/>
          </w:tcPr>
          <w:p w14:paraId="42871B1D" w14:textId="77777777" w:rsidR="00D81D89" w:rsidRDefault="00D81D89" w:rsidP="001A2532">
            <w:pPr>
              <w:jc w:val="center"/>
              <w:rPr>
                <w:b/>
              </w:rPr>
            </w:pPr>
            <w:r>
              <w:rPr>
                <w:b/>
              </w:rPr>
              <w:t xml:space="preserve">ICD </w:t>
            </w:r>
          </w:p>
          <w:p w14:paraId="54280498" w14:textId="0918A187" w:rsidR="00D81D89" w:rsidRDefault="00D81D89" w:rsidP="001A2532">
            <w:pPr>
              <w:jc w:val="center"/>
              <w:rPr>
                <w:b/>
              </w:rPr>
            </w:pPr>
            <w:r>
              <w:rPr>
                <w:b/>
              </w:rPr>
              <w:t>(</w:t>
            </w:r>
            <w:r w:rsidR="00F020ED" w:rsidRPr="00F020ED">
              <w:rPr>
                <w:b/>
                <w:i/>
              </w:rPr>
              <w:t>n</w:t>
            </w:r>
            <w:r>
              <w:rPr>
                <w:b/>
              </w:rPr>
              <w:t xml:space="preserve"> = 79)</w:t>
            </w:r>
          </w:p>
        </w:tc>
        <w:tc>
          <w:tcPr>
            <w:tcW w:w="1978" w:type="dxa"/>
            <w:gridSpan w:val="2"/>
            <w:tcBorders>
              <w:top w:val="nil"/>
              <w:left w:val="nil"/>
              <w:bottom w:val="single" w:sz="4" w:space="0" w:color="auto"/>
              <w:right w:val="nil"/>
            </w:tcBorders>
            <w:hideMark/>
          </w:tcPr>
          <w:p w14:paraId="1E452BFD" w14:textId="77777777" w:rsidR="00D81D89" w:rsidRDefault="00D81D89" w:rsidP="001A2532">
            <w:pPr>
              <w:jc w:val="center"/>
              <w:rPr>
                <w:b/>
              </w:rPr>
            </w:pPr>
            <w:r>
              <w:rPr>
                <w:b/>
              </w:rPr>
              <w:t>No ICD</w:t>
            </w:r>
          </w:p>
          <w:p w14:paraId="5EB54A8C" w14:textId="40E80788" w:rsidR="00D81D89" w:rsidRDefault="00D81D89" w:rsidP="001A2532">
            <w:pPr>
              <w:jc w:val="center"/>
              <w:rPr>
                <w:b/>
              </w:rPr>
            </w:pPr>
            <w:r>
              <w:rPr>
                <w:b/>
              </w:rPr>
              <w:t>(</w:t>
            </w:r>
            <w:r w:rsidR="00F020ED" w:rsidRPr="00F020ED">
              <w:rPr>
                <w:b/>
                <w:i/>
              </w:rPr>
              <w:t>n</w:t>
            </w:r>
            <w:r>
              <w:rPr>
                <w:b/>
              </w:rPr>
              <w:t xml:space="preserve"> = 57)</w:t>
            </w:r>
          </w:p>
        </w:tc>
        <w:tc>
          <w:tcPr>
            <w:tcW w:w="2325" w:type="dxa"/>
            <w:tcBorders>
              <w:top w:val="nil"/>
              <w:left w:val="nil"/>
              <w:bottom w:val="single" w:sz="4" w:space="0" w:color="auto"/>
              <w:right w:val="nil"/>
            </w:tcBorders>
            <w:hideMark/>
          </w:tcPr>
          <w:p w14:paraId="6BF9BB31" w14:textId="77777777" w:rsidR="00D81D89" w:rsidRDefault="00D81D89" w:rsidP="001A2532">
            <w:pPr>
              <w:jc w:val="center"/>
              <w:rPr>
                <w:b/>
              </w:rPr>
            </w:pPr>
            <w:r>
              <w:rPr>
                <w:b/>
              </w:rPr>
              <w:t xml:space="preserve">Hazard Ratio </w:t>
            </w:r>
          </w:p>
          <w:p w14:paraId="668F3AF0" w14:textId="77777777" w:rsidR="00D81D89" w:rsidRDefault="00D81D89" w:rsidP="001A2532">
            <w:pPr>
              <w:jc w:val="center"/>
              <w:rPr>
                <w:b/>
              </w:rPr>
            </w:pPr>
            <w:r>
              <w:rPr>
                <w:b/>
              </w:rPr>
              <w:t>(95% CI)</w:t>
            </w:r>
          </w:p>
        </w:tc>
        <w:tc>
          <w:tcPr>
            <w:tcW w:w="1632" w:type="dxa"/>
            <w:tcBorders>
              <w:top w:val="nil"/>
              <w:left w:val="nil"/>
              <w:bottom w:val="single" w:sz="4" w:space="0" w:color="auto"/>
              <w:right w:val="nil"/>
            </w:tcBorders>
            <w:hideMark/>
          </w:tcPr>
          <w:p w14:paraId="1FD4F802" w14:textId="24B4AEBD" w:rsidR="00D81D89" w:rsidRDefault="00D81D89" w:rsidP="001A2532">
            <w:pPr>
              <w:jc w:val="center"/>
              <w:rPr>
                <w:b/>
              </w:rPr>
            </w:pPr>
            <w:r w:rsidRPr="00F020ED">
              <w:rPr>
                <w:b/>
                <w:i/>
              </w:rPr>
              <w:t>P</w:t>
            </w:r>
            <w:r w:rsidR="00F020ED">
              <w:rPr>
                <w:b/>
              </w:rPr>
              <w:t>-</w:t>
            </w:r>
            <w:r>
              <w:rPr>
                <w:b/>
              </w:rPr>
              <w:t>value</w:t>
            </w:r>
          </w:p>
        </w:tc>
        <w:tc>
          <w:tcPr>
            <w:tcW w:w="1978" w:type="dxa"/>
            <w:tcBorders>
              <w:top w:val="nil"/>
              <w:left w:val="nil"/>
              <w:bottom w:val="single" w:sz="4" w:space="0" w:color="auto"/>
              <w:right w:val="nil"/>
            </w:tcBorders>
            <w:hideMark/>
          </w:tcPr>
          <w:p w14:paraId="483B3101" w14:textId="77777777" w:rsidR="00D81D89" w:rsidRDefault="00D81D89" w:rsidP="001A2532">
            <w:pPr>
              <w:jc w:val="center"/>
              <w:rPr>
                <w:b/>
              </w:rPr>
            </w:pPr>
            <w:r>
              <w:rPr>
                <w:b/>
              </w:rPr>
              <w:t xml:space="preserve">Hazard Ratio </w:t>
            </w:r>
          </w:p>
          <w:p w14:paraId="21D3C9C2" w14:textId="77777777" w:rsidR="00D81D89" w:rsidRDefault="00D81D89" w:rsidP="001A2532">
            <w:pPr>
              <w:jc w:val="center"/>
              <w:rPr>
                <w:b/>
              </w:rPr>
            </w:pPr>
            <w:r>
              <w:rPr>
                <w:b/>
              </w:rPr>
              <w:t>(95% CI)</w:t>
            </w:r>
          </w:p>
        </w:tc>
        <w:tc>
          <w:tcPr>
            <w:tcW w:w="1979" w:type="dxa"/>
            <w:tcBorders>
              <w:top w:val="nil"/>
              <w:left w:val="nil"/>
              <w:bottom w:val="single" w:sz="4" w:space="0" w:color="auto"/>
              <w:right w:val="nil"/>
            </w:tcBorders>
            <w:hideMark/>
          </w:tcPr>
          <w:p w14:paraId="54EFDB83" w14:textId="6929505B" w:rsidR="00D81D89" w:rsidRDefault="00D81D89" w:rsidP="001A2532">
            <w:pPr>
              <w:jc w:val="center"/>
              <w:rPr>
                <w:b/>
              </w:rPr>
            </w:pPr>
            <w:r w:rsidRPr="00F020ED">
              <w:rPr>
                <w:b/>
                <w:i/>
              </w:rPr>
              <w:t>P</w:t>
            </w:r>
            <w:r w:rsidR="00F020ED">
              <w:rPr>
                <w:b/>
                <w:i/>
              </w:rPr>
              <w:t>-</w:t>
            </w:r>
            <w:r>
              <w:rPr>
                <w:b/>
              </w:rPr>
              <w:t>value</w:t>
            </w:r>
          </w:p>
        </w:tc>
      </w:tr>
      <w:tr w:rsidR="00D81D89" w14:paraId="13380BA2" w14:textId="77777777" w:rsidTr="00D81D89">
        <w:tc>
          <w:tcPr>
            <w:tcW w:w="2348" w:type="dxa"/>
            <w:tcBorders>
              <w:top w:val="single" w:sz="4" w:space="0" w:color="auto"/>
              <w:left w:val="nil"/>
              <w:bottom w:val="nil"/>
              <w:right w:val="nil"/>
            </w:tcBorders>
            <w:hideMark/>
          </w:tcPr>
          <w:p w14:paraId="71C67449" w14:textId="77777777" w:rsidR="00D81D89" w:rsidRDefault="00D81D89" w:rsidP="001A2532">
            <w:pPr>
              <w:rPr>
                <w:lang w:val="nl-NL"/>
              </w:rPr>
            </w:pPr>
            <w:r>
              <w:t>SCD</w:t>
            </w:r>
          </w:p>
        </w:tc>
        <w:tc>
          <w:tcPr>
            <w:tcW w:w="989" w:type="dxa"/>
            <w:tcBorders>
              <w:top w:val="single" w:sz="4" w:space="0" w:color="auto"/>
              <w:left w:val="nil"/>
              <w:bottom w:val="nil"/>
              <w:right w:val="nil"/>
            </w:tcBorders>
            <w:hideMark/>
          </w:tcPr>
          <w:p w14:paraId="65680F2D" w14:textId="77777777" w:rsidR="00D81D89" w:rsidRDefault="00D81D89" w:rsidP="001A2532">
            <w:pPr>
              <w:jc w:val="right"/>
            </w:pPr>
            <w:r>
              <w:t>3</w:t>
            </w:r>
          </w:p>
        </w:tc>
        <w:tc>
          <w:tcPr>
            <w:tcW w:w="989" w:type="dxa"/>
            <w:tcBorders>
              <w:top w:val="single" w:sz="4" w:space="0" w:color="auto"/>
              <w:left w:val="nil"/>
              <w:bottom w:val="nil"/>
              <w:right w:val="nil"/>
            </w:tcBorders>
            <w:hideMark/>
          </w:tcPr>
          <w:p w14:paraId="641B1886" w14:textId="77777777" w:rsidR="00D81D89" w:rsidRDefault="00D81D89" w:rsidP="001A2532">
            <w:r>
              <w:t>(3.8)</w:t>
            </w:r>
          </w:p>
        </w:tc>
        <w:tc>
          <w:tcPr>
            <w:tcW w:w="1978" w:type="dxa"/>
            <w:gridSpan w:val="2"/>
            <w:tcBorders>
              <w:top w:val="single" w:sz="4" w:space="0" w:color="auto"/>
              <w:left w:val="nil"/>
              <w:bottom w:val="nil"/>
              <w:right w:val="nil"/>
            </w:tcBorders>
            <w:hideMark/>
          </w:tcPr>
          <w:p w14:paraId="7E88AB16" w14:textId="77777777" w:rsidR="00D81D89" w:rsidRDefault="00D81D89" w:rsidP="001A2532">
            <w:pPr>
              <w:jc w:val="center"/>
            </w:pPr>
            <w:r>
              <w:t>-</w:t>
            </w:r>
          </w:p>
        </w:tc>
        <w:tc>
          <w:tcPr>
            <w:tcW w:w="2325" w:type="dxa"/>
            <w:tcBorders>
              <w:top w:val="single" w:sz="4" w:space="0" w:color="auto"/>
              <w:left w:val="nil"/>
              <w:bottom w:val="nil"/>
              <w:right w:val="nil"/>
            </w:tcBorders>
            <w:hideMark/>
          </w:tcPr>
          <w:p w14:paraId="5C186619" w14:textId="04FD10E1" w:rsidR="00D81D89" w:rsidRDefault="00D81D89" w:rsidP="001A2532">
            <w:pPr>
              <w:jc w:val="center"/>
            </w:pPr>
            <w:proofErr w:type="spellStart"/>
            <w:r>
              <w:t>NA</w:t>
            </w:r>
            <w:r w:rsidR="00F020ED" w:rsidRPr="00F020ED">
              <w:rPr>
                <w:vertAlign w:val="superscript"/>
                <w:lang w:eastAsia="nl-NL"/>
              </w:rPr>
              <w:t>b</w:t>
            </w:r>
            <w:proofErr w:type="spellEnd"/>
          </w:p>
        </w:tc>
        <w:tc>
          <w:tcPr>
            <w:tcW w:w="1632" w:type="dxa"/>
            <w:tcBorders>
              <w:top w:val="single" w:sz="4" w:space="0" w:color="auto"/>
              <w:left w:val="nil"/>
              <w:bottom w:val="nil"/>
              <w:right w:val="nil"/>
            </w:tcBorders>
            <w:hideMark/>
          </w:tcPr>
          <w:p w14:paraId="2F11B7B5" w14:textId="2793225A" w:rsidR="00D81D89" w:rsidRDefault="00D81D89" w:rsidP="001A2532">
            <w:pPr>
              <w:jc w:val="center"/>
            </w:pPr>
            <w:proofErr w:type="spellStart"/>
            <w:r>
              <w:t>NA</w:t>
            </w:r>
            <w:r w:rsidR="00F020ED" w:rsidRPr="00F020ED">
              <w:rPr>
                <w:vertAlign w:val="superscript"/>
                <w:lang w:eastAsia="nl-NL"/>
              </w:rPr>
              <w:t>b</w:t>
            </w:r>
            <w:proofErr w:type="spellEnd"/>
          </w:p>
        </w:tc>
        <w:tc>
          <w:tcPr>
            <w:tcW w:w="1978" w:type="dxa"/>
            <w:tcBorders>
              <w:top w:val="single" w:sz="4" w:space="0" w:color="auto"/>
              <w:left w:val="nil"/>
              <w:bottom w:val="nil"/>
              <w:right w:val="nil"/>
            </w:tcBorders>
            <w:hideMark/>
          </w:tcPr>
          <w:p w14:paraId="55C16070" w14:textId="60BE8659" w:rsidR="00D81D89" w:rsidRDefault="00D81D89" w:rsidP="001A2532">
            <w:pPr>
              <w:jc w:val="center"/>
            </w:pPr>
            <w:proofErr w:type="spellStart"/>
            <w:r>
              <w:t>NA</w:t>
            </w:r>
            <w:r w:rsidR="00F020ED" w:rsidRPr="00F020ED">
              <w:rPr>
                <w:vertAlign w:val="superscript"/>
                <w:lang w:eastAsia="nl-NL"/>
              </w:rPr>
              <w:t>b</w:t>
            </w:r>
            <w:proofErr w:type="spellEnd"/>
          </w:p>
        </w:tc>
        <w:tc>
          <w:tcPr>
            <w:tcW w:w="1979" w:type="dxa"/>
            <w:tcBorders>
              <w:top w:val="single" w:sz="4" w:space="0" w:color="auto"/>
              <w:left w:val="nil"/>
              <w:bottom w:val="nil"/>
              <w:right w:val="nil"/>
            </w:tcBorders>
            <w:hideMark/>
          </w:tcPr>
          <w:p w14:paraId="769D7FAD" w14:textId="7588A2EA" w:rsidR="00D81D89" w:rsidRDefault="00D81D89" w:rsidP="001A2532">
            <w:pPr>
              <w:jc w:val="center"/>
            </w:pPr>
            <w:proofErr w:type="spellStart"/>
            <w:r>
              <w:t>NA</w:t>
            </w:r>
            <w:r w:rsidR="00F020ED" w:rsidRPr="00F020ED">
              <w:rPr>
                <w:vertAlign w:val="superscript"/>
                <w:lang w:eastAsia="nl-NL"/>
              </w:rPr>
              <w:t>b</w:t>
            </w:r>
            <w:proofErr w:type="spellEnd"/>
          </w:p>
        </w:tc>
      </w:tr>
      <w:tr w:rsidR="00D81D89" w14:paraId="2E071DB3" w14:textId="77777777" w:rsidTr="00D81D89">
        <w:tc>
          <w:tcPr>
            <w:tcW w:w="2348" w:type="dxa"/>
            <w:tcBorders>
              <w:top w:val="nil"/>
              <w:left w:val="nil"/>
              <w:bottom w:val="nil"/>
              <w:right w:val="nil"/>
            </w:tcBorders>
            <w:hideMark/>
          </w:tcPr>
          <w:p w14:paraId="6822FC06" w14:textId="77777777" w:rsidR="00D81D89" w:rsidRDefault="00D81D89" w:rsidP="001A2532">
            <w:r>
              <w:t>SCD, SCA, or appropriate ICD shock</w:t>
            </w:r>
          </w:p>
        </w:tc>
        <w:tc>
          <w:tcPr>
            <w:tcW w:w="989" w:type="dxa"/>
            <w:tcBorders>
              <w:top w:val="nil"/>
              <w:left w:val="nil"/>
              <w:bottom w:val="nil"/>
              <w:right w:val="nil"/>
            </w:tcBorders>
            <w:hideMark/>
          </w:tcPr>
          <w:p w14:paraId="212B5889" w14:textId="77777777" w:rsidR="00D81D89" w:rsidRDefault="00D81D89" w:rsidP="001A2532">
            <w:pPr>
              <w:jc w:val="right"/>
            </w:pPr>
            <w:r>
              <w:t>37</w:t>
            </w:r>
          </w:p>
        </w:tc>
        <w:tc>
          <w:tcPr>
            <w:tcW w:w="989" w:type="dxa"/>
            <w:tcBorders>
              <w:top w:val="nil"/>
              <w:left w:val="nil"/>
              <w:bottom w:val="nil"/>
              <w:right w:val="nil"/>
            </w:tcBorders>
            <w:hideMark/>
          </w:tcPr>
          <w:p w14:paraId="16F037E5" w14:textId="77777777" w:rsidR="00D81D89" w:rsidRDefault="00D81D89" w:rsidP="001A2532">
            <w:r>
              <w:t>(46.8)</w:t>
            </w:r>
          </w:p>
        </w:tc>
        <w:tc>
          <w:tcPr>
            <w:tcW w:w="989" w:type="dxa"/>
            <w:tcBorders>
              <w:top w:val="nil"/>
              <w:left w:val="nil"/>
              <w:bottom w:val="nil"/>
              <w:right w:val="nil"/>
            </w:tcBorders>
            <w:hideMark/>
          </w:tcPr>
          <w:p w14:paraId="189D018B" w14:textId="77777777" w:rsidR="00D81D89" w:rsidRDefault="00D81D89" w:rsidP="001A2532">
            <w:pPr>
              <w:jc w:val="right"/>
            </w:pPr>
            <w:r>
              <w:t>9</w:t>
            </w:r>
          </w:p>
        </w:tc>
        <w:tc>
          <w:tcPr>
            <w:tcW w:w="989" w:type="dxa"/>
            <w:tcBorders>
              <w:top w:val="nil"/>
              <w:left w:val="nil"/>
              <w:bottom w:val="nil"/>
              <w:right w:val="nil"/>
            </w:tcBorders>
            <w:hideMark/>
          </w:tcPr>
          <w:p w14:paraId="5A50F18F" w14:textId="77777777" w:rsidR="00D81D89" w:rsidRDefault="00D81D89" w:rsidP="001A2532">
            <w:r>
              <w:t>(15.8)</w:t>
            </w:r>
          </w:p>
        </w:tc>
        <w:tc>
          <w:tcPr>
            <w:tcW w:w="2325" w:type="dxa"/>
            <w:tcBorders>
              <w:top w:val="nil"/>
              <w:left w:val="nil"/>
              <w:bottom w:val="nil"/>
              <w:right w:val="nil"/>
            </w:tcBorders>
            <w:hideMark/>
          </w:tcPr>
          <w:p w14:paraId="6E4FE066" w14:textId="77777777" w:rsidR="00D81D89" w:rsidRDefault="00D81D89" w:rsidP="001A2532">
            <w:pPr>
              <w:jc w:val="center"/>
            </w:pPr>
            <w:r>
              <w:t>3.91 (1.87-8.15)</w:t>
            </w:r>
          </w:p>
        </w:tc>
        <w:tc>
          <w:tcPr>
            <w:tcW w:w="1632" w:type="dxa"/>
            <w:tcBorders>
              <w:top w:val="nil"/>
              <w:left w:val="nil"/>
              <w:bottom w:val="nil"/>
              <w:right w:val="nil"/>
            </w:tcBorders>
            <w:hideMark/>
          </w:tcPr>
          <w:p w14:paraId="0960A703" w14:textId="77777777" w:rsidR="00D81D89" w:rsidRDefault="00D81D89" w:rsidP="001A2532">
            <w:pPr>
              <w:jc w:val="center"/>
            </w:pPr>
            <w:r>
              <w:t>&lt;0.0001</w:t>
            </w:r>
          </w:p>
        </w:tc>
        <w:tc>
          <w:tcPr>
            <w:tcW w:w="1978" w:type="dxa"/>
            <w:tcBorders>
              <w:top w:val="nil"/>
              <w:left w:val="nil"/>
              <w:bottom w:val="nil"/>
              <w:right w:val="nil"/>
            </w:tcBorders>
            <w:hideMark/>
          </w:tcPr>
          <w:p w14:paraId="5BF3DE9A" w14:textId="77777777" w:rsidR="00D81D89" w:rsidRDefault="00D81D89" w:rsidP="001A2532">
            <w:pPr>
              <w:jc w:val="center"/>
            </w:pPr>
            <w:r>
              <w:t>5.89 (2.66-13.04)</w:t>
            </w:r>
          </w:p>
        </w:tc>
        <w:tc>
          <w:tcPr>
            <w:tcW w:w="1979" w:type="dxa"/>
            <w:tcBorders>
              <w:top w:val="nil"/>
              <w:left w:val="nil"/>
              <w:bottom w:val="nil"/>
              <w:right w:val="nil"/>
            </w:tcBorders>
            <w:hideMark/>
          </w:tcPr>
          <w:p w14:paraId="35AFA2D9" w14:textId="77777777" w:rsidR="00D81D89" w:rsidRDefault="00D81D89" w:rsidP="001A2532">
            <w:pPr>
              <w:jc w:val="center"/>
            </w:pPr>
            <w:r>
              <w:t>&lt;0.001</w:t>
            </w:r>
          </w:p>
        </w:tc>
      </w:tr>
      <w:tr w:rsidR="00D81D89" w14:paraId="7378537E" w14:textId="77777777" w:rsidTr="00D81D89">
        <w:tc>
          <w:tcPr>
            <w:tcW w:w="2348" w:type="dxa"/>
            <w:tcBorders>
              <w:top w:val="nil"/>
              <w:left w:val="nil"/>
              <w:bottom w:val="single" w:sz="4" w:space="0" w:color="auto"/>
              <w:right w:val="nil"/>
            </w:tcBorders>
            <w:hideMark/>
          </w:tcPr>
          <w:p w14:paraId="620B1EB6" w14:textId="77777777" w:rsidR="00D81D89" w:rsidRDefault="00D81D89" w:rsidP="001A2532">
            <w:r>
              <w:t>SCD, SCA, appropriate ICD shock, or syncope</w:t>
            </w:r>
          </w:p>
        </w:tc>
        <w:tc>
          <w:tcPr>
            <w:tcW w:w="989" w:type="dxa"/>
            <w:tcBorders>
              <w:top w:val="nil"/>
              <w:left w:val="nil"/>
              <w:bottom w:val="single" w:sz="4" w:space="0" w:color="auto"/>
              <w:right w:val="nil"/>
            </w:tcBorders>
            <w:hideMark/>
          </w:tcPr>
          <w:p w14:paraId="5FA61F48" w14:textId="77777777" w:rsidR="00D81D89" w:rsidRDefault="00D81D89" w:rsidP="001A2532">
            <w:pPr>
              <w:jc w:val="right"/>
            </w:pPr>
            <w:r>
              <w:t>38</w:t>
            </w:r>
          </w:p>
        </w:tc>
        <w:tc>
          <w:tcPr>
            <w:tcW w:w="989" w:type="dxa"/>
            <w:tcBorders>
              <w:top w:val="nil"/>
              <w:left w:val="nil"/>
              <w:bottom w:val="single" w:sz="4" w:space="0" w:color="auto"/>
              <w:right w:val="nil"/>
            </w:tcBorders>
            <w:hideMark/>
          </w:tcPr>
          <w:p w14:paraId="030AEDF8" w14:textId="77777777" w:rsidR="00D81D89" w:rsidRDefault="00D81D89" w:rsidP="001A2532">
            <w:r>
              <w:t>(48.1)</w:t>
            </w:r>
          </w:p>
        </w:tc>
        <w:tc>
          <w:tcPr>
            <w:tcW w:w="989" w:type="dxa"/>
            <w:tcBorders>
              <w:top w:val="nil"/>
              <w:left w:val="nil"/>
              <w:bottom w:val="single" w:sz="4" w:space="0" w:color="auto"/>
              <w:right w:val="nil"/>
            </w:tcBorders>
            <w:hideMark/>
          </w:tcPr>
          <w:p w14:paraId="5557EA48" w14:textId="77777777" w:rsidR="00D81D89" w:rsidRDefault="00D81D89" w:rsidP="001A2532">
            <w:pPr>
              <w:jc w:val="right"/>
            </w:pPr>
            <w:r>
              <w:t>17</w:t>
            </w:r>
          </w:p>
        </w:tc>
        <w:tc>
          <w:tcPr>
            <w:tcW w:w="989" w:type="dxa"/>
            <w:tcBorders>
              <w:top w:val="nil"/>
              <w:left w:val="nil"/>
              <w:bottom w:val="single" w:sz="4" w:space="0" w:color="auto"/>
              <w:right w:val="nil"/>
            </w:tcBorders>
            <w:hideMark/>
          </w:tcPr>
          <w:p w14:paraId="28C3A5ED" w14:textId="77777777" w:rsidR="00D81D89" w:rsidRDefault="00D81D89" w:rsidP="001A2532">
            <w:r>
              <w:t>(29.8)</w:t>
            </w:r>
          </w:p>
        </w:tc>
        <w:tc>
          <w:tcPr>
            <w:tcW w:w="2325" w:type="dxa"/>
            <w:tcBorders>
              <w:top w:val="nil"/>
              <w:left w:val="nil"/>
              <w:bottom w:val="single" w:sz="4" w:space="0" w:color="auto"/>
              <w:right w:val="nil"/>
            </w:tcBorders>
            <w:hideMark/>
          </w:tcPr>
          <w:p w14:paraId="74C13070" w14:textId="77777777" w:rsidR="00D81D89" w:rsidRDefault="00D81D89" w:rsidP="001A2532">
            <w:pPr>
              <w:jc w:val="center"/>
            </w:pPr>
            <w:r>
              <w:t>2.03 (1.14-3.61)</w:t>
            </w:r>
          </w:p>
        </w:tc>
        <w:tc>
          <w:tcPr>
            <w:tcW w:w="1632" w:type="dxa"/>
            <w:tcBorders>
              <w:top w:val="nil"/>
              <w:left w:val="nil"/>
              <w:bottom w:val="single" w:sz="4" w:space="0" w:color="auto"/>
              <w:right w:val="nil"/>
            </w:tcBorders>
            <w:hideMark/>
          </w:tcPr>
          <w:p w14:paraId="326C337F" w14:textId="77777777" w:rsidR="00D81D89" w:rsidRDefault="00D81D89" w:rsidP="001A2532">
            <w:pPr>
              <w:jc w:val="center"/>
            </w:pPr>
            <w:r>
              <w:t>0.003</w:t>
            </w:r>
          </w:p>
        </w:tc>
        <w:tc>
          <w:tcPr>
            <w:tcW w:w="1978" w:type="dxa"/>
            <w:tcBorders>
              <w:top w:val="nil"/>
              <w:left w:val="nil"/>
              <w:bottom w:val="single" w:sz="4" w:space="0" w:color="auto"/>
              <w:right w:val="nil"/>
            </w:tcBorders>
            <w:hideMark/>
          </w:tcPr>
          <w:p w14:paraId="7C005DE2" w14:textId="77777777" w:rsidR="00D81D89" w:rsidRDefault="00D81D89" w:rsidP="001A2532">
            <w:pPr>
              <w:jc w:val="center"/>
            </w:pPr>
            <w:r>
              <w:t>2.99 (1.59-5.64)</w:t>
            </w:r>
          </w:p>
        </w:tc>
        <w:tc>
          <w:tcPr>
            <w:tcW w:w="1979" w:type="dxa"/>
            <w:tcBorders>
              <w:top w:val="nil"/>
              <w:left w:val="nil"/>
              <w:bottom w:val="single" w:sz="4" w:space="0" w:color="auto"/>
              <w:right w:val="nil"/>
            </w:tcBorders>
            <w:hideMark/>
          </w:tcPr>
          <w:p w14:paraId="351EA3A2" w14:textId="77777777" w:rsidR="00D81D89" w:rsidRDefault="00D81D89" w:rsidP="001A2532">
            <w:pPr>
              <w:jc w:val="center"/>
            </w:pPr>
            <w:r>
              <w:t>0.001</w:t>
            </w:r>
          </w:p>
        </w:tc>
      </w:tr>
    </w:tbl>
    <w:p w14:paraId="6A27FA36" w14:textId="77777777" w:rsidR="00D81D89" w:rsidRDefault="00D81D89" w:rsidP="001A2532">
      <w:pPr>
        <w:rPr>
          <w:sz w:val="24"/>
          <w:szCs w:val="24"/>
          <w:lang w:eastAsia="nl-NL"/>
        </w:rPr>
      </w:pPr>
      <w:r>
        <w:t xml:space="preserve">Values are </w:t>
      </w:r>
      <w:r w:rsidRPr="008D4DFB">
        <w:rPr>
          <w:i/>
        </w:rPr>
        <w:t>n</w:t>
      </w:r>
      <w:r>
        <w:t xml:space="preserve"> (%) unless otherwise indicated. </w:t>
      </w:r>
    </w:p>
    <w:p w14:paraId="1AB6EA1F" w14:textId="512BF8A5" w:rsidR="00D81D89" w:rsidRDefault="00F020ED" w:rsidP="001A2532">
      <w:pPr>
        <w:rPr>
          <w:lang w:eastAsia="nl-NL"/>
        </w:rPr>
      </w:pPr>
      <w:r>
        <w:rPr>
          <w:lang w:eastAsia="nl-NL"/>
        </w:rPr>
        <w:t xml:space="preserve">NA, </w:t>
      </w:r>
      <w:r w:rsidR="00D81D89">
        <w:rPr>
          <w:lang w:eastAsia="nl-NL"/>
        </w:rPr>
        <w:t xml:space="preserve">not applicable. </w:t>
      </w:r>
    </w:p>
    <w:p w14:paraId="76406E71" w14:textId="3CB337D2" w:rsidR="00D81D89" w:rsidRDefault="00F020ED" w:rsidP="001A2532">
      <w:pPr>
        <w:rPr>
          <w:lang w:eastAsia="nl-NL"/>
        </w:rPr>
      </w:pPr>
      <w:proofErr w:type="spellStart"/>
      <w:r w:rsidRPr="00F020ED">
        <w:rPr>
          <w:vertAlign w:val="superscript"/>
          <w:lang w:eastAsia="nl-NL"/>
        </w:rPr>
        <w:t>a</w:t>
      </w:r>
      <w:r w:rsidR="00D81D89">
        <w:rPr>
          <w:lang w:eastAsia="nl-NL"/>
        </w:rPr>
        <w:t>Corrected</w:t>
      </w:r>
      <w:proofErr w:type="spellEnd"/>
      <w:r w:rsidR="00D81D89">
        <w:rPr>
          <w:lang w:eastAsia="nl-NL"/>
        </w:rPr>
        <w:t xml:space="preserve"> for age at baseline. </w:t>
      </w:r>
    </w:p>
    <w:p w14:paraId="20D9D452" w14:textId="18C010A2" w:rsidR="00D81D89" w:rsidRDefault="00F020ED" w:rsidP="001A2532">
      <w:pPr>
        <w:rPr>
          <w:lang w:eastAsia="nl-NL"/>
        </w:rPr>
      </w:pPr>
      <w:proofErr w:type="spellStart"/>
      <w:r w:rsidRPr="00F020ED">
        <w:rPr>
          <w:vertAlign w:val="superscript"/>
          <w:lang w:eastAsia="nl-NL"/>
        </w:rPr>
        <w:t>b</w:t>
      </w:r>
      <w:r w:rsidR="00D81D89">
        <w:rPr>
          <w:lang w:eastAsia="nl-NL"/>
        </w:rPr>
        <w:t>Cox</w:t>
      </w:r>
      <w:proofErr w:type="spellEnd"/>
      <w:r w:rsidR="00D81D89">
        <w:rPr>
          <w:lang w:eastAsia="nl-NL"/>
        </w:rPr>
        <w:t xml:space="preserve"> regression model could not be constructed, because no SCD events occurred in patients without an ICD.</w:t>
      </w:r>
    </w:p>
    <w:p w14:paraId="5FB31D96" w14:textId="77777777" w:rsidR="00D81D89" w:rsidRDefault="00D81D89" w:rsidP="001A2532">
      <w:pPr>
        <w:rPr>
          <w:lang w:eastAsia="nl-NL"/>
        </w:rPr>
      </w:pPr>
    </w:p>
    <w:p w14:paraId="7582EE7D" w14:textId="77777777" w:rsidR="00D81D89" w:rsidRDefault="00D81D89" w:rsidP="001A2532">
      <w:pPr>
        <w:sectPr w:rsidR="00D81D89">
          <w:pgSz w:w="16838" w:h="11906" w:orient="landscape"/>
          <w:pgMar w:top="1418" w:right="1418" w:bottom="1418" w:left="1418" w:header="709" w:footer="709" w:gutter="0"/>
          <w:cols w:space="708"/>
        </w:sectPr>
      </w:pPr>
    </w:p>
    <w:p w14:paraId="03BD771A" w14:textId="32CC06AE" w:rsidR="00D81D89" w:rsidRDefault="00D81D89" w:rsidP="001A2532">
      <w:pPr>
        <w:pStyle w:val="Kop1"/>
        <w:rPr>
          <w:lang w:eastAsia="nl-NL"/>
        </w:rPr>
      </w:pPr>
      <w:r>
        <w:rPr>
          <w:lang w:eastAsia="nl-NL"/>
        </w:rPr>
        <w:lastRenderedPageBreak/>
        <w:t>Figures</w:t>
      </w:r>
    </w:p>
    <w:p w14:paraId="2763CEA7" w14:textId="3BDF63AC" w:rsidR="00D81D89" w:rsidRDefault="00D81D89" w:rsidP="001A2532">
      <w:pPr>
        <w:rPr>
          <w:b/>
          <w:lang w:eastAsia="nl-NL"/>
        </w:rPr>
      </w:pPr>
      <w:r>
        <w:rPr>
          <w:b/>
          <w:lang w:eastAsia="nl-NL"/>
        </w:rPr>
        <w:t xml:space="preserve">Figure 1. Flowchart of included and excluded patients and outcome events. </w:t>
      </w:r>
    </w:p>
    <w:p w14:paraId="03FF875E" w14:textId="43AFD1A6" w:rsidR="001828C2" w:rsidRDefault="001828C2" w:rsidP="001828C2">
      <w:pPr>
        <w:jc w:val="center"/>
        <w:rPr>
          <w:b/>
          <w:lang w:eastAsia="nl-NL"/>
        </w:rPr>
      </w:pPr>
      <w:r>
        <w:rPr>
          <w:noProof/>
          <w:lang w:val="nl-NL" w:eastAsia="nl-NL"/>
        </w:rPr>
        <w:drawing>
          <wp:inline distT="0" distB="0" distL="0" distR="0" wp14:anchorId="4B0AA20C" wp14:editId="59B051AF">
            <wp:extent cx="5759450" cy="2963545"/>
            <wp:effectExtent l="0" t="0" r="0" b="825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63545"/>
                    </a:xfrm>
                    <a:prstGeom prst="rect">
                      <a:avLst/>
                    </a:prstGeom>
                    <a:noFill/>
                    <a:ln>
                      <a:noFill/>
                    </a:ln>
                  </pic:spPr>
                </pic:pic>
              </a:graphicData>
            </a:graphic>
          </wp:inline>
        </w:drawing>
      </w:r>
    </w:p>
    <w:p w14:paraId="52C97049" w14:textId="135148E8" w:rsidR="00D81D89" w:rsidRDefault="00D81D89" w:rsidP="001A2532">
      <w:pPr>
        <w:jc w:val="center"/>
      </w:pPr>
    </w:p>
    <w:p w14:paraId="14E582AE" w14:textId="77777777" w:rsidR="00D81D89" w:rsidRDefault="00D81D89" w:rsidP="001A2532">
      <w:pPr>
        <w:autoSpaceDE w:val="0"/>
        <w:autoSpaceDN w:val="0"/>
        <w:adjustRightInd w:val="0"/>
        <w:rPr>
          <w:b/>
          <w:lang w:eastAsia="nl-NL"/>
        </w:rPr>
      </w:pPr>
      <w:r>
        <w:rPr>
          <w:b/>
          <w:lang w:eastAsia="nl-NL"/>
        </w:rPr>
        <w:br w:type="page"/>
      </w:r>
      <w:r>
        <w:rPr>
          <w:b/>
          <w:lang w:eastAsia="nl-NL"/>
        </w:rPr>
        <w:lastRenderedPageBreak/>
        <w:t xml:space="preserve">Figure 2. Time-to-event curves for SCD and for combinations of SCD, SCA, appropriate ICD shocks, and syncope. </w:t>
      </w:r>
    </w:p>
    <w:p w14:paraId="43D2FEBD" w14:textId="77777777" w:rsidR="00D81D89" w:rsidRDefault="00D81D89" w:rsidP="001A2532">
      <w:pPr>
        <w:autoSpaceDE w:val="0"/>
        <w:autoSpaceDN w:val="0"/>
        <w:adjustRightInd w:val="0"/>
        <w:rPr>
          <w:b/>
          <w:lang w:eastAsia="nl-NL"/>
        </w:rPr>
      </w:pPr>
      <w:r>
        <w:rPr>
          <w:b/>
          <w:lang w:eastAsia="nl-NL"/>
        </w:rPr>
        <w:t xml:space="preserve"> </w:t>
      </w:r>
    </w:p>
    <w:p w14:paraId="3445AC1B" w14:textId="6598775A" w:rsidR="001A2532" w:rsidRDefault="00D81D89" w:rsidP="001A2532">
      <w:pPr>
        <w:numPr>
          <w:ilvl w:val="0"/>
          <w:numId w:val="4"/>
        </w:numPr>
        <w:autoSpaceDE w:val="0"/>
        <w:autoSpaceDN w:val="0"/>
        <w:adjustRightInd w:val="0"/>
        <w:rPr>
          <w:b/>
          <w:lang w:eastAsia="nl-NL"/>
        </w:rPr>
      </w:pPr>
      <w:r w:rsidRPr="001A2532">
        <w:rPr>
          <w:b/>
          <w:lang w:eastAsia="nl-NL"/>
        </w:rPr>
        <w:t xml:space="preserve">Sudden Cardiac Death </w:t>
      </w:r>
    </w:p>
    <w:p w14:paraId="2527B700" w14:textId="0F00FBB2" w:rsidR="001A2532" w:rsidRDefault="001828C2" w:rsidP="001828C2">
      <w:pPr>
        <w:autoSpaceDE w:val="0"/>
        <w:autoSpaceDN w:val="0"/>
        <w:adjustRightInd w:val="0"/>
        <w:jc w:val="center"/>
        <w:rPr>
          <w:b/>
          <w:lang w:eastAsia="nl-NL"/>
        </w:rPr>
      </w:pPr>
      <w:r w:rsidRPr="001828C2">
        <w:rPr>
          <w:b/>
          <w:noProof/>
          <w:lang w:val="nl-NL" w:eastAsia="nl-NL"/>
        </w:rPr>
        <w:drawing>
          <wp:inline distT="0" distB="0" distL="0" distR="0" wp14:anchorId="24BA5635" wp14:editId="7F5585F5">
            <wp:extent cx="5038090" cy="5038090"/>
            <wp:effectExtent l="0" t="0" r="0" b="0"/>
            <wp:docPr id="2" name="Afbeelding 2" descr="G:\diva1\CPVT\International CPVT Registry\Papers\ICDs secundaire preventie\Manuscript\Eur Heart J\Revisie 1\2019_03_16_Figure 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va1\CPVT\International CPVT Registry\Papers\ICDs secundaire preventie\Manuscript\Eur Heart J\Revisie 1\2019_03_16_Figure 2a.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090" cy="5038090"/>
                    </a:xfrm>
                    <a:prstGeom prst="rect">
                      <a:avLst/>
                    </a:prstGeom>
                    <a:noFill/>
                    <a:ln>
                      <a:noFill/>
                    </a:ln>
                  </pic:spPr>
                </pic:pic>
              </a:graphicData>
            </a:graphic>
          </wp:inline>
        </w:drawing>
      </w:r>
    </w:p>
    <w:p w14:paraId="6E42E368" w14:textId="7625366E" w:rsidR="001A2532" w:rsidRPr="001A2532" w:rsidRDefault="001A2532" w:rsidP="001A2532">
      <w:pPr>
        <w:autoSpaceDE w:val="0"/>
        <w:autoSpaceDN w:val="0"/>
        <w:adjustRightInd w:val="0"/>
        <w:ind w:left="360"/>
        <w:rPr>
          <w:b/>
          <w:lang w:eastAsia="nl-NL"/>
        </w:rPr>
      </w:pPr>
    </w:p>
    <w:p w14:paraId="3CEA0E91" w14:textId="77777777" w:rsidR="001A2532" w:rsidRDefault="001A2532" w:rsidP="001A2532">
      <w:pPr>
        <w:rPr>
          <w:b/>
          <w:lang w:eastAsia="nl-NL"/>
        </w:rPr>
      </w:pPr>
      <w:r>
        <w:rPr>
          <w:b/>
          <w:lang w:eastAsia="nl-NL"/>
        </w:rPr>
        <w:br w:type="page"/>
      </w:r>
    </w:p>
    <w:p w14:paraId="57547549" w14:textId="16FE9654" w:rsidR="001A2532" w:rsidRDefault="00D81D89" w:rsidP="001A2532">
      <w:pPr>
        <w:numPr>
          <w:ilvl w:val="0"/>
          <w:numId w:val="4"/>
        </w:numPr>
        <w:autoSpaceDE w:val="0"/>
        <w:autoSpaceDN w:val="0"/>
        <w:adjustRightInd w:val="0"/>
        <w:rPr>
          <w:b/>
          <w:lang w:eastAsia="nl-NL"/>
        </w:rPr>
      </w:pPr>
      <w:r>
        <w:rPr>
          <w:b/>
          <w:lang w:eastAsia="nl-NL"/>
        </w:rPr>
        <w:lastRenderedPageBreak/>
        <w:t>Sudden Cardiac Death, Sudden Cardiac Arrest, and Appropriate ICD Shock</w:t>
      </w:r>
    </w:p>
    <w:p w14:paraId="599F80D2" w14:textId="115348E7" w:rsidR="001A2532" w:rsidRDefault="001828C2" w:rsidP="001828C2">
      <w:pPr>
        <w:autoSpaceDE w:val="0"/>
        <w:autoSpaceDN w:val="0"/>
        <w:adjustRightInd w:val="0"/>
        <w:jc w:val="center"/>
        <w:rPr>
          <w:b/>
          <w:lang w:eastAsia="nl-NL"/>
        </w:rPr>
      </w:pPr>
      <w:r w:rsidRPr="001828C2">
        <w:rPr>
          <w:b/>
          <w:noProof/>
          <w:lang w:val="nl-NL" w:eastAsia="nl-NL"/>
        </w:rPr>
        <w:drawing>
          <wp:inline distT="0" distB="0" distL="0" distR="0" wp14:anchorId="3524CF80" wp14:editId="095EB505">
            <wp:extent cx="5038090" cy="5400040"/>
            <wp:effectExtent l="0" t="0" r="0" b="0"/>
            <wp:docPr id="3" name="Afbeelding 3" descr="G:\diva1\CPVT\International CPVT Registry\Papers\ICDs secundaire preventie\Manuscript\Eur Heart J\Revisie 1\2019_03_16_Figure 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va1\CPVT\International CPVT Registry\Papers\ICDs secundaire preventie\Manuscript\Eur Heart J\Revisie 1\2019_03_16_Figure 2b.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8090" cy="5400040"/>
                    </a:xfrm>
                    <a:prstGeom prst="rect">
                      <a:avLst/>
                    </a:prstGeom>
                    <a:noFill/>
                    <a:ln>
                      <a:noFill/>
                    </a:ln>
                  </pic:spPr>
                </pic:pic>
              </a:graphicData>
            </a:graphic>
          </wp:inline>
        </w:drawing>
      </w:r>
    </w:p>
    <w:p w14:paraId="238CE0A9" w14:textId="77777777" w:rsidR="001A2532" w:rsidRDefault="001A2532" w:rsidP="001A2532">
      <w:pPr>
        <w:rPr>
          <w:b/>
          <w:lang w:eastAsia="nl-NL"/>
        </w:rPr>
      </w:pPr>
      <w:r>
        <w:rPr>
          <w:b/>
          <w:lang w:eastAsia="nl-NL"/>
        </w:rPr>
        <w:br w:type="page"/>
      </w:r>
    </w:p>
    <w:p w14:paraId="56ED4F3F" w14:textId="3E9E6811" w:rsidR="001A2532" w:rsidRPr="001A2532" w:rsidRDefault="00595D37" w:rsidP="001A2532">
      <w:pPr>
        <w:pStyle w:val="Lijstalinea"/>
        <w:numPr>
          <w:ilvl w:val="0"/>
          <w:numId w:val="4"/>
        </w:numPr>
        <w:autoSpaceDE w:val="0"/>
        <w:autoSpaceDN w:val="0"/>
        <w:adjustRightInd w:val="0"/>
        <w:rPr>
          <w:b/>
          <w:lang w:eastAsia="nl-NL"/>
        </w:rPr>
      </w:pPr>
      <w:r>
        <w:rPr>
          <w:b/>
          <w:noProof/>
          <w:lang w:val="nl-NL" w:eastAsia="nl-NL"/>
        </w:rPr>
        <w:lastRenderedPageBreak/>
        <mc:AlternateContent>
          <mc:Choice Requires="wps">
            <w:drawing>
              <wp:anchor distT="0" distB="0" distL="114300" distR="114300" simplePos="0" relativeHeight="251677696" behindDoc="0" locked="0" layoutInCell="1" allowOverlap="1" wp14:anchorId="364CA73E" wp14:editId="13FC25D3">
                <wp:simplePos x="0" y="0"/>
                <wp:positionH relativeFrom="margin">
                  <wp:posOffset>247650</wp:posOffset>
                </wp:positionH>
                <wp:positionV relativeFrom="paragraph">
                  <wp:posOffset>718820</wp:posOffset>
                </wp:positionV>
                <wp:extent cx="327660" cy="706755"/>
                <wp:effectExtent l="0" t="0" r="0" b="0"/>
                <wp:wrapNone/>
                <wp:docPr id="15" name="Rechthoek 15"/>
                <wp:cNvGraphicFramePr/>
                <a:graphic xmlns:a="http://schemas.openxmlformats.org/drawingml/2006/main">
                  <a:graphicData uri="http://schemas.microsoft.com/office/word/2010/wordprocessingShape">
                    <wps:wsp>
                      <wps:cNvSpPr/>
                      <wps:spPr>
                        <a:xfrm>
                          <a:off x="0" y="0"/>
                          <a:ext cx="327660" cy="7067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70A9F" id="Rechthoek 15" o:spid="_x0000_s1026" style="position:absolute;margin-left:19.5pt;margin-top:56.6pt;width:25.8pt;height:55.6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vVlgIAAIUFAAAOAAAAZHJzL2Uyb0RvYy54bWysVMFu2zAMvQ/YPwi6r3ayJtmCOEWQosOA&#10;og3aDj0rshQbk0VNUuJkXz9Ksp2uK3YYloMjiuQj+URycXVsFDkI62rQBR1d5JQIzaGs9a6g355u&#10;PnyixHmmS6ZAi4KehKNXy/fvFq2ZizFUoEphCYJoN29NQSvvzTzLHK9Ew9wFGKFRKcE2zKNod1lp&#10;WYvojcrGeT7NWrClscCFc3h7nZR0GfGlFNzfS+mEJ6qgmJuPXxu/2/DNlgs231lmqpp3abB/yKJh&#10;tcagA9Q184zsbf0HVFNzCw6kv+DQZCBlzUWsAasZ5a+qeayYEbEWJMeZgSb3/2D53WFjSV3i200o&#10;0azBN3oQvPIViO8E75Cg1rg52j2aje0kh8dQ7VHaJvxjHeQYST0NpIqjJxwvP45n0ylSz1E1y6ez&#10;ScTMzs7GOv9FQEPCoaAW3yxSyQ63zmNANO1NQiwHqi5vaqWiEPpErJUlB4YvvN2NQsLo8ZuV0sFW&#10;Q/BK6nCThbpSJfHkT0oEO6UfhERKMPdxTCQ24zkI41xoP0qqipUixZ7k+Ouj92nFXCJgQJYYf8Du&#10;AHrLBNJjpyw7++AqYi8PzvnfEkvOg0eMDNoPzk2twb4FoLCqLnKy70lK1ASWtlCesGEspElyht/U&#10;+Gy3zPkNszg6+NK4Dvw9fqSCtqDQnSipwP586z7YY0ejlpIWR7Gg7seeWUGJ+qqx1z+PLi/D7Ebh&#10;cjIbo2BfarYvNXrfrAF7YYSLx/B4DPZe9UdpoXnGrbEKUVHFNMfYBeXe9sLapxWBe4eL1Sqa4bwa&#10;5m/1o+EBPLAa2vLp+Mys6XrXY9PfQT+2bP6qhZNt8NSw2nuQdezvM68d3zjrsXG6vRSWyUs5Wp23&#10;5/IXAAAA//8DAFBLAwQUAAYACAAAACEAvb/Ja+AAAAAJAQAADwAAAGRycy9kb3ducmV2LnhtbEyP&#10;wU7DMBBE70j8g7VIXBB1GkNFQ5wKkJC4cKBUiKMbL4nVeB3FbpLy9SwnOM7OaPZNuZl9J0Ycoguk&#10;YbnIQCDVwTpqNOzen6/vQMRkyJouEGo4YYRNdX5WmsKGid5w3KZGcAnFwmhoU+oLKWPdojdxEXok&#10;9r7C4E1iOTTSDmbict/JPMtW0htH/KE1PT61WB+2R6/h9aTUy3ilDtPOqcZ9y8/HjzZofXkxP9yD&#10;SDinvzD84jM6VMy0D0eyUXQa1JqnJL4vVQ6CA+tsBWKvIc9vbkFWpfy/oPoBAAD//wMAUEsBAi0A&#10;FAAGAAgAAAAhALaDOJL+AAAA4QEAABMAAAAAAAAAAAAAAAAAAAAAAFtDb250ZW50X1R5cGVzXS54&#10;bWxQSwECLQAUAAYACAAAACEAOP0h/9YAAACUAQAACwAAAAAAAAAAAAAAAAAvAQAAX3JlbHMvLnJl&#10;bHNQSwECLQAUAAYACAAAACEA168L1ZYCAACFBQAADgAAAAAAAAAAAAAAAAAuAgAAZHJzL2Uyb0Rv&#10;Yy54bWxQSwECLQAUAAYACAAAACEAvb/Ja+AAAAAJAQAADwAAAAAAAAAAAAAAAADwBAAAZHJzL2Rv&#10;d25yZXYueG1sUEsFBgAAAAAEAAQA8wAAAP0FAAAAAA==&#10;" fillcolor="white [3212]" stroked="f" strokeweight="1pt">
                <w10:wrap anchorx="margin"/>
              </v:rect>
            </w:pict>
          </mc:Fallback>
        </mc:AlternateContent>
      </w:r>
      <w:r w:rsidR="00D81D89" w:rsidRPr="001A2532">
        <w:rPr>
          <w:b/>
          <w:lang w:eastAsia="nl-NL"/>
        </w:rPr>
        <w:t>Sudden Cardiac Death, Sudden Cardiac Arrest, Appropriate ICD Shock, and Syncope</w:t>
      </w:r>
    </w:p>
    <w:p w14:paraId="6EC0E6D8" w14:textId="39653115" w:rsidR="001A2532" w:rsidRDefault="001828C2" w:rsidP="001828C2">
      <w:pPr>
        <w:jc w:val="center"/>
        <w:rPr>
          <w:rFonts w:ascii="Cambria" w:eastAsia="Times New Roman" w:hAnsi="Cambria"/>
          <w:b/>
          <w:bCs/>
          <w:kern w:val="32"/>
          <w:sz w:val="28"/>
          <w:szCs w:val="28"/>
        </w:rPr>
      </w:pPr>
      <w:r w:rsidRPr="001828C2">
        <w:rPr>
          <w:noProof/>
          <w:lang w:val="nl-NL" w:eastAsia="nl-NL"/>
        </w:rPr>
        <w:drawing>
          <wp:inline distT="0" distB="0" distL="0" distR="0" wp14:anchorId="4DF04A2F" wp14:editId="3728F5A9">
            <wp:extent cx="5038090" cy="6116320"/>
            <wp:effectExtent l="0" t="0" r="0" b="0"/>
            <wp:docPr id="4" name="Afbeelding 4" descr="G:\diva1\CPVT\International CPVT Registry\Papers\ICDs secundaire preventie\Manuscript\Eur Heart J\Revisie 1\2019_03_16_Figure 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iva1\CPVT\International CPVT Registry\Papers\ICDs secundaire preventie\Manuscript\Eur Heart J\Revisie 1\2019_03_16_Figure 2c.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8090" cy="6116320"/>
                    </a:xfrm>
                    <a:prstGeom prst="rect">
                      <a:avLst/>
                    </a:prstGeom>
                    <a:noFill/>
                    <a:ln>
                      <a:noFill/>
                    </a:ln>
                  </pic:spPr>
                </pic:pic>
              </a:graphicData>
            </a:graphic>
          </wp:inline>
        </w:drawing>
      </w:r>
      <w:r w:rsidR="001A2532">
        <w:br w:type="page"/>
      </w:r>
    </w:p>
    <w:p w14:paraId="5BD62E55" w14:textId="63B6CD9B" w:rsidR="009F030A" w:rsidRDefault="009F030A" w:rsidP="009F030A">
      <w:pPr>
        <w:rPr>
          <w:b/>
          <w:lang w:eastAsia="nl-NL"/>
        </w:rPr>
      </w:pPr>
      <w:r w:rsidRPr="009F030A">
        <w:rPr>
          <w:b/>
        </w:rPr>
        <w:lastRenderedPageBreak/>
        <w:t>Take-home figure.</w:t>
      </w:r>
      <w:r>
        <w:rPr>
          <w:b/>
        </w:rPr>
        <w:t xml:space="preserve"> </w:t>
      </w:r>
      <w:r>
        <w:rPr>
          <w:b/>
          <w:lang w:eastAsia="nl-NL"/>
        </w:rPr>
        <w:t>Time-to-event curve for SCD.</w:t>
      </w:r>
    </w:p>
    <w:p w14:paraId="76FA940A" w14:textId="77777777" w:rsidR="001828C2" w:rsidRDefault="001828C2" w:rsidP="009F030A">
      <w:pPr>
        <w:rPr>
          <w:b/>
          <w:lang w:eastAsia="nl-NL"/>
        </w:rPr>
      </w:pPr>
    </w:p>
    <w:p w14:paraId="35BE43E0" w14:textId="36CAB63F" w:rsidR="009F030A" w:rsidRDefault="001828C2" w:rsidP="009F030A">
      <w:pPr>
        <w:spacing w:line="240" w:lineRule="auto"/>
        <w:jc w:val="center"/>
        <w:rPr>
          <w:rFonts w:ascii="Cambria" w:eastAsia="Times New Roman" w:hAnsi="Cambria"/>
          <w:b/>
          <w:bCs/>
          <w:kern w:val="32"/>
          <w:sz w:val="28"/>
          <w:szCs w:val="28"/>
        </w:rPr>
      </w:pPr>
      <w:r w:rsidRPr="001828C2">
        <w:rPr>
          <w:b/>
          <w:noProof/>
          <w:lang w:val="nl-NL" w:eastAsia="nl-NL"/>
        </w:rPr>
        <w:drawing>
          <wp:inline distT="0" distB="0" distL="0" distR="0" wp14:anchorId="19BE6F19" wp14:editId="39B8CE40">
            <wp:extent cx="5038090" cy="5038090"/>
            <wp:effectExtent l="0" t="0" r="0" b="0"/>
            <wp:docPr id="5" name="Afbeelding 5" descr="G:\diva1\CPVT\International CPVT Registry\Papers\ICDs secundaire preventie\Manuscript\Eur Heart J\Revisie 1\2019_03_16_Figure 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va1\CPVT\International CPVT Registry\Papers\ICDs secundaire preventie\Manuscript\Eur Heart J\Revisie 1\2019_03_16_Figure 2a.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090" cy="5038090"/>
                    </a:xfrm>
                    <a:prstGeom prst="rect">
                      <a:avLst/>
                    </a:prstGeom>
                    <a:noFill/>
                    <a:ln>
                      <a:noFill/>
                    </a:ln>
                  </pic:spPr>
                </pic:pic>
              </a:graphicData>
            </a:graphic>
          </wp:inline>
        </w:drawing>
      </w:r>
      <w:r w:rsidR="009F030A">
        <w:br w:type="page"/>
      </w:r>
    </w:p>
    <w:p w14:paraId="3929E7E1" w14:textId="447E20D4" w:rsidR="00222ADE" w:rsidRDefault="00222ADE" w:rsidP="001A2532">
      <w:pPr>
        <w:pStyle w:val="Kop1"/>
      </w:pPr>
      <w:r>
        <w:lastRenderedPageBreak/>
        <w:t>Supplementary Appendix</w:t>
      </w:r>
    </w:p>
    <w:p w14:paraId="27364A32" w14:textId="478E2648" w:rsidR="008D4DFB" w:rsidRDefault="008D4DFB" w:rsidP="001A2532">
      <w:pPr>
        <w:pStyle w:val="Kop2"/>
      </w:pPr>
      <w:r>
        <w:t>Supplementary Methods</w:t>
      </w:r>
    </w:p>
    <w:p w14:paraId="68C91895" w14:textId="77777777" w:rsidR="008D4DFB" w:rsidRPr="00222ADE" w:rsidRDefault="008D4DFB" w:rsidP="001A2532">
      <w:pPr>
        <w:rPr>
          <w:b/>
        </w:rPr>
      </w:pPr>
      <w:r w:rsidRPr="00222ADE">
        <w:rPr>
          <w:b/>
        </w:rPr>
        <w:t>Therapy</w:t>
      </w:r>
    </w:p>
    <w:p w14:paraId="05C103B8" w14:textId="77777777" w:rsidR="008D4DFB" w:rsidRDefault="008D4DFB" w:rsidP="001A2532">
      <w:r>
        <w:t xml:space="preserve">We collected data on the types and maximal daily doses (after up-titration) of the initial and current or last known </w:t>
      </w:r>
      <w:r w:rsidRPr="008165DA">
        <w:t>β-blocker</w:t>
      </w:r>
      <w:r>
        <w:t xml:space="preserve"> and </w:t>
      </w:r>
      <w:proofErr w:type="spellStart"/>
      <w:r>
        <w:t>flecainide</w:t>
      </w:r>
      <w:proofErr w:type="spellEnd"/>
      <w:r>
        <w:t xml:space="preserve"> that were prescribed to the patients and on the performance of LCSD at baseline or during follow-up. </w:t>
      </w:r>
      <w:r w:rsidRPr="00A352A6">
        <w:t>In patient</w:t>
      </w:r>
      <w:r>
        <w:t>s with an ICD, dates of implant and</w:t>
      </w:r>
      <w:r w:rsidRPr="00A352A6">
        <w:t xml:space="preserve"> explant, </w:t>
      </w:r>
      <w:r>
        <w:t xml:space="preserve">and data on programming </w:t>
      </w:r>
      <w:r w:rsidRPr="00A352A6">
        <w:t xml:space="preserve">and </w:t>
      </w:r>
      <w:r>
        <w:t xml:space="preserve">the number, dates and </w:t>
      </w:r>
      <w:proofErr w:type="spellStart"/>
      <w:r>
        <w:t>electrograms</w:t>
      </w:r>
      <w:proofErr w:type="spellEnd"/>
      <w:r>
        <w:t xml:space="preserve"> of </w:t>
      </w:r>
      <w:r w:rsidRPr="00A352A6">
        <w:t>appropriate and inappropriate shocks, when applicable</w:t>
      </w:r>
      <w:r>
        <w:t xml:space="preserve"> and available</w:t>
      </w:r>
      <w:r w:rsidRPr="00A352A6">
        <w:t xml:space="preserve">, were collected. </w:t>
      </w:r>
    </w:p>
    <w:p w14:paraId="58B8596C" w14:textId="77777777" w:rsidR="008D4DFB" w:rsidRDefault="008D4DFB" w:rsidP="001A2532"/>
    <w:p w14:paraId="334B6B30" w14:textId="77777777" w:rsidR="008D4DFB" w:rsidRPr="00222ADE" w:rsidRDefault="008D4DFB" w:rsidP="001A2532">
      <w:pPr>
        <w:rPr>
          <w:b/>
        </w:rPr>
      </w:pPr>
      <w:r w:rsidRPr="00222ADE">
        <w:rPr>
          <w:b/>
        </w:rPr>
        <w:t>Outcomes</w:t>
      </w:r>
    </w:p>
    <w:p w14:paraId="4D85EAAC" w14:textId="18854075" w:rsidR="004352F7" w:rsidRPr="002A33DC" w:rsidRDefault="004352F7" w:rsidP="001A2532">
      <w:pPr>
        <w:rPr>
          <w:i/>
          <w:highlight w:val="yellow"/>
        </w:rPr>
      </w:pPr>
      <w:r w:rsidRPr="002A33DC">
        <w:rPr>
          <w:i/>
          <w:highlight w:val="yellow"/>
        </w:rPr>
        <w:t>Sudden cardiac death</w:t>
      </w:r>
    </w:p>
    <w:p w14:paraId="165962C8" w14:textId="00F3EF92" w:rsidR="004352F7" w:rsidRPr="002A33DC" w:rsidRDefault="002A33DC" w:rsidP="004352F7">
      <w:pPr>
        <w:rPr>
          <w:highlight w:val="yellow"/>
        </w:rPr>
      </w:pPr>
      <w:r w:rsidRPr="002A33DC">
        <w:rPr>
          <w:highlight w:val="yellow"/>
        </w:rPr>
        <w:t>SCD was defined as n</w:t>
      </w:r>
      <w:r w:rsidR="004352F7" w:rsidRPr="002A33DC">
        <w:rPr>
          <w:highlight w:val="yellow"/>
        </w:rPr>
        <w:t xml:space="preserve">on-traumatic, unexpected fatal event occurring within 1 hour of the onset of symptoms in an apparently healthy subject. If death is not witnessed, the </w:t>
      </w:r>
      <w:r w:rsidR="00FC6200">
        <w:rPr>
          <w:highlight w:val="yellow"/>
        </w:rPr>
        <w:t xml:space="preserve">definition </w:t>
      </w:r>
      <w:r w:rsidR="004352F7" w:rsidRPr="002A33DC">
        <w:rPr>
          <w:highlight w:val="yellow"/>
        </w:rPr>
        <w:t>applies when the victim was in good health 24 hours before the event.</w:t>
      </w:r>
    </w:p>
    <w:p w14:paraId="238138EB" w14:textId="77777777" w:rsidR="004352F7" w:rsidRPr="002A33DC" w:rsidRDefault="004352F7" w:rsidP="001A2532">
      <w:pPr>
        <w:rPr>
          <w:highlight w:val="yellow"/>
        </w:rPr>
      </w:pPr>
    </w:p>
    <w:p w14:paraId="4B0676CF" w14:textId="565858F4" w:rsidR="004352F7" w:rsidRPr="002A33DC" w:rsidRDefault="004352F7" w:rsidP="001A2532">
      <w:pPr>
        <w:rPr>
          <w:i/>
          <w:highlight w:val="yellow"/>
        </w:rPr>
      </w:pPr>
      <w:r w:rsidRPr="002A33DC">
        <w:rPr>
          <w:i/>
          <w:highlight w:val="yellow"/>
        </w:rPr>
        <w:t>Sudden cardiac arrest</w:t>
      </w:r>
    </w:p>
    <w:p w14:paraId="7FA7C4A0" w14:textId="76D8CB3A" w:rsidR="004352F7" w:rsidRDefault="00FC6200" w:rsidP="004352F7">
      <w:r w:rsidRPr="00FC6200">
        <w:rPr>
          <w:highlight w:val="yellow"/>
        </w:rPr>
        <w:t>SCA was defined as unexpected circulatory arrest, occurring within 1 hour of onset of acute symptoms, which was reversed by successful resuscitation maneuvers (e.g. defibrillation).</w:t>
      </w:r>
    </w:p>
    <w:p w14:paraId="75F966FB" w14:textId="77777777" w:rsidR="00FC6200" w:rsidRPr="004352F7" w:rsidRDefault="00FC6200" w:rsidP="004352F7"/>
    <w:p w14:paraId="6F5BD9F1" w14:textId="3F3774BA" w:rsidR="008D4DFB" w:rsidRPr="00222ADE" w:rsidRDefault="008D4DFB" w:rsidP="001A2532">
      <w:pPr>
        <w:rPr>
          <w:i/>
        </w:rPr>
      </w:pPr>
      <w:r w:rsidRPr="00222ADE">
        <w:rPr>
          <w:i/>
        </w:rPr>
        <w:t>Appropriate ICD shock</w:t>
      </w:r>
    </w:p>
    <w:p w14:paraId="31C4D3A9" w14:textId="7F17A2F9" w:rsidR="008D4DFB" w:rsidRDefault="002A33DC" w:rsidP="001A2532">
      <w:r w:rsidRPr="002A33DC">
        <w:rPr>
          <w:highlight w:val="yellow"/>
        </w:rPr>
        <w:t>ICD shocks were considered to be appropriate if the triggering rhythm was determined to be ventricular fibrillation or ventricular tachycardia.</w:t>
      </w:r>
      <w:r>
        <w:t xml:space="preserve"> </w:t>
      </w:r>
      <w:r w:rsidR="008D4DFB" w:rsidRPr="001B5E06">
        <w:t xml:space="preserve">When </w:t>
      </w:r>
      <w:proofErr w:type="spellStart"/>
      <w:r w:rsidR="008D4DFB" w:rsidRPr="001B5E06">
        <w:t>electrograms</w:t>
      </w:r>
      <w:proofErr w:type="spellEnd"/>
      <w:r w:rsidR="008D4DFB" w:rsidRPr="001B5E06">
        <w:t xml:space="preserve"> were available</w:t>
      </w:r>
      <w:r w:rsidR="008D4DFB">
        <w:t xml:space="preserve"> (</w:t>
      </w:r>
      <w:r w:rsidR="002F6F8D" w:rsidRPr="002F6F8D">
        <w:rPr>
          <w:i/>
        </w:rPr>
        <w:t>n</w:t>
      </w:r>
      <w:r w:rsidR="008D4DFB">
        <w:t xml:space="preserve"> = 8)</w:t>
      </w:r>
      <w:r w:rsidR="008D4DFB" w:rsidRPr="001B5E06">
        <w:t xml:space="preserve">, </w:t>
      </w:r>
      <w:bookmarkStart w:id="4" w:name="_Hlk444189"/>
      <w:r w:rsidR="008D4DFB" w:rsidRPr="001B5E06">
        <w:t xml:space="preserve">adjudication of appropriateness </w:t>
      </w:r>
      <w:bookmarkEnd w:id="4"/>
      <w:r w:rsidR="008D4DFB" w:rsidRPr="001B5E06">
        <w:t xml:space="preserve">of ICD shocks was performed by members of the core team of investigators at the Academic Medical Center in Amsterdam, the Netherlands. In the other cases, adjudication of appropriateness of ICD shocks was performed by the local investigators who submitted the patient data. When a patient received multiple appropriate ICD shocks within one </w:t>
      </w:r>
      <w:r w:rsidR="008D4DFB" w:rsidRPr="001B5E06">
        <w:lastRenderedPageBreak/>
        <w:t>ventricular tachyarrhythmia episode or repeated ventricular tachyarrhythmia episodes within 24 hours, this was counted as one outcome event. Data on the loss of consciousness and clinical signs of SCA in patients who received an appropriate ICD shock were available in approximately half of the events.</w:t>
      </w:r>
      <w:r w:rsidR="008D4DFB">
        <w:t xml:space="preserve"> </w:t>
      </w:r>
    </w:p>
    <w:p w14:paraId="66F8BD74" w14:textId="77777777" w:rsidR="008D4DFB" w:rsidRPr="00507CEE" w:rsidRDefault="008D4DFB" w:rsidP="001A2532"/>
    <w:p w14:paraId="6F88FAC8" w14:textId="77777777" w:rsidR="008D4DFB" w:rsidRPr="00222ADE" w:rsidRDefault="008D4DFB" w:rsidP="001A2532">
      <w:pPr>
        <w:rPr>
          <w:i/>
        </w:rPr>
      </w:pPr>
      <w:r w:rsidRPr="00222ADE">
        <w:rPr>
          <w:i/>
        </w:rPr>
        <w:t>Syncope</w:t>
      </w:r>
    </w:p>
    <w:p w14:paraId="74CDD9EA" w14:textId="58CEEE2A" w:rsidR="002A33DC" w:rsidRPr="002A33DC" w:rsidRDefault="002A33DC" w:rsidP="002A33DC">
      <w:pPr>
        <w:rPr>
          <w:highlight w:val="yellow"/>
        </w:rPr>
      </w:pPr>
      <w:r w:rsidRPr="002A33DC">
        <w:rPr>
          <w:highlight w:val="yellow"/>
        </w:rPr>
        <w:t xml:space="preserve">Syncope was defined as transient loss of consciousness due to transient global cerebral </w:t>
      </w:r>
      <w:proofErr w:type="spellStart"/>
      <w:r w:rsidRPr="002A33DC">
        <w:rPr>
          <w:highlight w:val="yellow"/>
        </w:rPr>
        <w:t>hypoperfusion</w:t>
      </w:r>
      <w:proofErr w:type="spellEnd"/>
    </w:p>
    <w:p w14:paraId="7509BD38" w14:textId="12330D15" w:rsidR="008D4DFB" w:rsidRDefault="002A33DC" w:rsidP="002A33DC">
      <w:r w:rsidRPr="002A33DC">
        <w:rPr>
          <w:highlight w:val="yellow"/>
        </w:rPr>
        <w:t>characterized by rapid onset, short duration, and spontaneous complete recovery.</w:t>
      </w:r>
      <w:r>
        <w:t xml:space="preserve"> </w:t>
      </w:r>
      <w:r w:rsidR="008D4DFB">
        <w:t>Only s</w:t>
      </w:r>
      <w:r w:rsidR="008D4DFB" w:rsidRPr="00F32012">
        <w:t>uspected arrhythmic syncop</w:t>
      </w:r>
      <w:r w:rsidR="008D4DFB">
        <w:t xml:space="preserve">al events were included, which were </w:t>
      </w:r>
      <w:r w:rsidR="008D4DFB" w:rsidRPr="00F32012">
        <w:t xml:space="preserve">defined as syncope likely to be caused by </w:t>
      </w:r>
      <w:r w:rsidR="008D4DFB">
        <w:t xml:space="preserve">a ventricular </w:t>
      </w:r>
      <w:r w:rsidR="008D4DFB" w:rsidRPr="00F32012">
        <w:t xml:space="preserve">arrhythmia but without documentation of </w:t>
      </w:r>
      <w:r w:rsidR="008D4DFB">
        <w:t xml:space="preserve">this </w:t>
      </w:r>
      <w:r w:rsidR="008D4DFB" w:rsidRPr="00F32012">
        <w:t xml:space="preserve">arrhythmia. This diagnosis was made particularly when syncope occurred during </w:t>
      </w:r>
      <w:r w:rsidR="008D4DFB">
        <w:t>exercise</w:t>
      </w:r>
      <w:r w:rsidR="008D4DFB" w:rsidRPr="00F32012">
        <w:t xml:space="preserve">, with sudden onset without </w:t>
      </w:r>
      <w:proofErr w:type="spellStart"/>
      <w:r w:rsidR="008D4DFB" w:rsidRPr="00F32012">
        <w:t>prodrome</w:t>
      </w:r>
      <w:proofErr w:type="spellEnd"/>
      <w:r w:rsidR="008D4DFB" w:rsidRPr="00F32012">
        <w:t xml:space="preserve">, </w:t>
      </w:r>
      <w:r w:rsidR="008D4DFB">
        <w:t xml:space="preserve">and </w:t>
      </w:r>
      <w:r w:rsidR="008D4DFB" w:rsidRPr="00F32012">
        <w:t>without typical triggers for reflex or situational syncope</w:t>
      </w:r>
      <w:r w:rsidR="008D4DFB">
        <w:t>.</w:t>
      </w:r>
      <w:r w:rsidR="008D4DFB" w:rsidRPr="00F32012">
        <w:t xml:space="preserve"> </w:t>
      </w:r>
    </w:p>
    <w:p w14:paraId="11AD0336" w14:textId="037A87F0" w:rsidR="008D4DFB" w:rsidRDefault="008D4DFB" w:rsidP="001A2532"/>
    <w:p w14:paraId="5EBF1A5C" w14:textId="5B6D702D" w:rsidR="00F46689" w:rsidRPr="006F40F2" w:rsidRDefault="00F46689" w:rsidP="00F46689">
      <w:pPr>
        <w:rPr>
          <w:b/>
          <w:highlight w:val="yellow"/>
        </w:rPr>
      </w:pPr>
      <w:r w:rsidRPr="006F40F2">
        <w:rPr>
          <w:b/>
          <w:highlight w:val="yellow"/>
        </w:rPr>
        <w:t>Previously published patients</w:t>
      </w:r>
    </w:p>
    <w:p w14:paraId="0EBDA808" w14:textId="15BE1516" w:rsidR="00F46689" w:rsidRDefault="007341B5" w:rsidP="001A2532">
      <w:r w:rsidRPr="006F40F2">
        <w:rPr>
          <w:highlight w:val="yellow"/>
        </w:rPr>
        <w:t>A total of 76 patients (55.9%) have been published previously in other studies on CPVT, but none of these studies focused on patients presenting with a sentinel SCA specifically.</w:t>
      </w:r>
      <w:r w:rsidR="006F40F2" w:rsidRPr="006F40F2">
        <w:rPr>
          <w:highlight w:val="yellow"/>
          <w:vertAlign w:val="superscript"/>
        </w:rPr>
        <w:t>1-26</w:t>
      </w:r>
      <w:r>
        <w:t xml:space="preserve"> </w:t>
      </w:r>
    </w:p>
    <w:p w14:paraId="6349AF81" w14:textId="77777777" w:rsidR="00BC2491" w:rsidRDefault="00BC2491">
      <w:pPr>
        <w:spacing w:line="240" w:lineRule="auto"/>
        <w:rPr>
          <w:rFonts w:ascii="Cambria" w:eastAsia="Times New Roman" w:hAnsi="Cambria"/>
          <w:b/>
          <w:bCs/>
          <w:i/>
          <w:iCs/>
          <w:sz w:val="24"/>
          <w:szCs w:val="24"/>
        </w:rPr>
      </w:pPr>
      <w:r>
        <w:br w:type="page"/>
      </w:r>
    </w:p>
    <w:p w14:paraId="5F3656C1" w14:textId="12C9D053" w:rsidR="008D4DFB" w:rsidRDefault="008D4DFB" w:rsidP="001A2532">
      <w:pPr>
        <w:pStyle w:val="Kop2"/>
      </w:pPr>
      <w:r>
        <w:lastRenderedPageBreak/>
        <w:t>Supplementary Results</w:t>
      </w:r>
    </w:p>
    <w:p w14:paraId="42AB0D3E" w14:textId="77777777" w:rsidR="008D4DFB" w:rsidRPr="008D4DFB" w:rsidRDefault="008D4DFB" w:rsidP="001A2532">
      <w:pPr>
        <w:rPr>
          <w:b/>
        </w:rPr>
      </w:pPr>
      <w:r w:rsidRPr="008D4DFB">
        <w:rPr>
          <w:b/>
        </w:rPr>
        <w:t>Deceased patients</w:t>
      </w:r>
    </w:p>
    <w:p w14:paraId="3727E947" w14:textId="13C588A5" w:rsidR="008D4DFB" w:rsidRDefault="008D4DFB" w:rsidP="001A2532">
      <w:r w:rsidRPr="00044630">
        <w:t>The first deceased patient experienced a sudden cardiac arrest (SCA) at the age of 18. CPVT</w:t>
      </w:r>
      <w:r>
        <w:t xml:space="preserve"> secondary to Q4936K-</w:t>
      </w:r>
      <w:r w:rsidRPr="000273F3">
        <w:t>R</w:t>
      </w:r>
      <w:r>
        <w:t>y</w:t>
      </w:r>
      <w:r w:rsidRPr="000273F3">
        <w:t>R2</w:t>
      </w:r>
      <w:r>
        <w:t xml:space="preserve"> was diagnosed and he was treated with </w:t>
      </w:r>
      <w:proofErr w:type="spellStart"/>
      <w:r>
        <w:t>bisoprolol</w:t>
      </w:r>
      <w:proofErr w:type="spellEnd"/>
      <w:r>
        <w:t xml:space="preserve"> (0.0.05 mg/kg/day), </w:t>
      </w:r>
      <w:proofErr w:type="spellStart"/>
      <w:r>
        <w:t>flecainide</w:t>
      </w:r>
      <w:proofErr w:type="spellEnd"/>
      <w:r>
        <w:t xml:space="preserve"> (2 mg/kg/day) and a </w:t>
      </w:r>
      <w:proofErr w:type="spellStart"/>
      <w:r>
        <w:t>transvenous</w:t>
      </w:r>
      <w:proofErr w:type="spellEnd"/>
      <w:r>
        <w:t xml:space="preserve"> single chamber ICD was implanted. After 1 year, he experienced 6 ICD shocks on one day, of which 3 shocks were considered appropriate. Three years later, he died due to electrical storm, which was initiated by an inappropriate ICD shock caused by atrial fibrillation with a rapid ventricular response. There was no information on medication.</w:t>
      </w:r>
    </w:p>
    <w:p w14:paraId="112D15E6" w14:textId="77777777" w:rsidR="008D4DFB" w:rsidRDefault="008D4DFB" w:rsidP="001A2532">
      <w:pPr>
        <w:ind w:firstLine="708"/>
      </w:pPr>
      <w:r>
        <w:t>One 16-year-old male with an ICD, with CPVT secondary to L4720F-</w:t>
      </w:r>
      <w:r w:rsidRPr="000273F3">
        <w:t>R</w:t>
      </w:r>
      <w:r>
        <w:t>y</w:t>
      </w:r>
      <w:r w:rsidRPr="000273F3">
        <w:t>R2</w:t>
      </w:r>
      <w:r>
        <w:t>, died eight months after his SCA. He also had d</w:t>
      </w:r>
      <w:r w:rsidRPr="00C04759">
        <w:t>evelopmental delay</w:t>
      </w:r>
      <w:r>
        <w:t xml:space="preserve"> and paroxysmal atrial fibrillation for which he underwent catheter ablation.</w:t>
      </w:r>
      <w:r>
        <w:rPr>
          <w:i/>
        </w:rPr>
        <w:t xml:space="preserve"> </w:t>
      </w:r>
      <w:r>
        <w:t xml:space="preserve">He was treated with low-dose </w:t>
      </w:r>
      <w:proofErr w:type="spellStart"/>
      <w:r>
        <w:t>bisoprolol</w:t>
      </w:r>
      <w:proofErr w:type="spellEnd"/>
      <w:r>
        <w:t xml:space="preserve"> (0.25 mg/kg/day) due to sinus bradycardia, verapamil (6 mg/kg/day), </w:t>
      </w:r>
      <w:proofErr w:type="spellStart"/>
      <w:r>
        <w:t>flecainide</w:t>
      </w:r>
      <w:proofErr w:type="spellEnd"/>
      <w:r>
        <w:t xml:space="preserve"> (5 mg/kg/day), and amiodarone (200 mg/day), and a </w:t>
      </w:r>
      <w:proofErr w:type="spellStart"/>
      <w:r>
        <w:t>transvenous</w:t>
      </w:r>
      <w:proofErr w:type="spellEnd"/>
      <w:r>
        <w:t xml:space="preserve"> single chamber ICD was implanted. During follow-up, he received appropriate ICD shocks (no more information available). The fatal event was initiated by emotion-induced VT and VF, leading to repetitive successful appropriate ICD shocks, which were followed by a slow VT, wide complex bradycardia, asystole, and death. There were no indications of medication non-adherence, and it is unknown whether the initiation of amiodarone increased the defibrillation threshold.    </w:t>
      </w:r>
    </w:p>
    <w:p w14:paraId="09ADC883" w14:textId="7045EA1A" w:rsidR="007341B5" w:rsidRDefault="008D4DFB" w:rsidP="001A2532">
      <w:pPr>
        <w:ind w:firstLine="708"/>
      </w:pPr>
      <w:r>
        <w:t xml:space="preserve">The third deceased patient with an ICD had a history of atrial flutter and a transient ischemic attack, and suffered an SCA at the age of 43 years. She was treated with atenolol (0.4 mg/kg/day), a </w:t>
      </w:r>
      <w:proofErr w:type="spellStart"/>
      <w:r>
        <w:t>transvenous</w:t>
      </w:r>
      <w:proofErr w:type="spellEnd"/>
      <w:r>
        <w:t xml:space="preserve"> dual chamber ICD was implanted, and CPVT secondary to E1646D-</w:t>
      </w:r>
      <w:r w:rsidRPr="000273F3">
        <w:t>R</w:t>
      </w:r>
      <w:r>
        <w:t>y</w:t>
      </w:r>
      <w:r w:rsidRPr="000273F3">
        <w:t>R2</w:t>
      </w:r>
      <w:r>
        <w:t xml:space="preserve"> was established. She was found dead at home at the age of 58 years after being seen alive and apparently well several days earlier. No autopsy was performed and the ICD was not interrogated.</w:t>
      </w:r>
    </w:p>
    <w:p w14:paraId="4532EA6C" w14:textId="77777777" w:rsidR="007341B5" w:rsidRDefault="007341B5">
      <w:pPr>
        <w:spacing w:line="240" w:lineRule="auto"/>
      </w:pPr>
      <w:r>
        <w:br w:type="page"/>
      </w:r>
    </w:p>
    <w:p w14:paraId="3856AD5F" w14:textId="75554A2B" w:rsidR="008D4DFB" w:rsidRPr="006F40F2" w:rsidRDefault="007341B5" w:rsidP="007341B5">
      <w:pPr>
        <w:pStyle w:val="Kop2"/>
        <w:rPr>
          <w:highlight w:val="yellow"/>
        </w:rPr>
      </w:pPr>
      <w:r w:rsidRPr="006F40F2">
        <w:rPr>
          <w:highlight w:val="yellow"/>
        </w:rPr>
        <w:lastRenderedPageBreak/>
        <w:t>Supplementary References</w:t>
      </w:r>
    </w:p>
    <w:p w14:paraId="14627544" w14:textId="262156D3" w:rsidR="00BC2491" w:rsidRPr="006F40F2" w:rsidRDefault="00BC2491" w:rsidP="00BC2491">
      <w:pPr>
        <w:rPr>
          <w:highlight w:val="yellow"/>
        </w:rPr>
      </w:pPr>
      <w:r w:rsidRPr="006F40F2">
        <w:rPr>
          <w:highlight w:val="yellow"/>
        </w:rPr>
        <w:t xml:space="preserve">1. Roses-Noguer F, </w:t>
      </w:r>
      <w:proofErr w:type="spellStart"/>
      <w:r w:rsidRPr="006F40F2">
        <w:rPr>
          <w:highlight w:val="yellow"/>
        </w:rPr>
        <w:t>Jarman</w:t>
      </w:r>
      <w:proofErr w:type="spellEnd"/>
      <w:r w:rsidRPr="006F40F2">
        <w:rPr>
          <w:highlight w:val="yellow"/>
        </w:rPr>
        <w:t xml:space="preserve"> JWE, </w:t>
      </w:r>
      <w:proofErr w:type="spellStart"/>
      <w:r w:rsidRPr="006F40F2">
        <w:rPr>
          <w:highlight w:val="yellow"/>
        </w:rPr>
        <w:t>Clague</w:t>
      </w:r>
      <w:proofErr w:type="spellEnd"/>
      <w:r w:rsidRPr="006F40F2">
        <w:rPr>
          <w:highlight w:val="yellow"/>
        </w:rPr>
        <w:t xml:space="preserve"> JR, Till J. Outcomes of defibrillator therapy in </w:t>
      </w:r>
      <w:proofErr w:type="spellStart"/>
      <w:r w:rsidRPr="006F40F2">
        <w:rPr>
          <w:highlight w:val="yellow"/>
        </w:rPr>
        <w:t>catecholaminergic</w:t>
      </w:r>
      <w:proofErr w:type="spellEnd"/>
      <w:r w:rsidRPr="006F40F2">
        <w:rPr>
          <w:highlight w:val="yellow"/>
        </w:rPr>
        <w:t xml:space="preserve"> polymorphic ventricular tachycardia. Heart Rhythm 2014;11:58–66.</w:t>
      </w:r>
    </w:p>
    <w:p w14:paraId="67D0D80E" w14:textId="2166A9B3" w:rsidR="00BC2491" w:rsidRPr="006F40F2" w:rsidRDefault="00BC2491" w:rsidP="00BC2491">
      <w:pPr>
        <w:rPr>
          <w:highlight w:val="yellow"/>
        </w:rPr>
      </w:pPr>
      <w:r w:rsidRPr="006F40F2">
        <w:rPr>
          <w:highlight w:val="yellow"/>
        </w:rPr>
        <w:t xml:space="preserve">2. </w:t>
      </w:r>
      <w:proofErr w:type="spellStart"/>
      <w:r w:rsidRPr="006F40F2">
        <w:rPr>
          <w:highlight w:val="yellow"/>
        </w:rPr>
        <w:t>Roston</w:t>
      </w:r>
      <w:proofErr w:type="spellEnd"/>
      <w:r w:rsidRPr="006F40F2">
        <w:rPr>
          <w:highlight w:val="yellow"/>
        </w:rPr>
        <w:t xml:space="preserve"> TM, </w:t>
      </w:r>
      <w:proofErr w:type="spellStart"/>
      <w:r w:rsidRPr="006F40F2">
        <w:rPr>
          <w:highlight w:val="yellow"/>
        </w:rPr>
        <w:t>Vinocur</w:t>
      </w:r>
      <w:proofErr w:type="spellEnd"/>
      <w:r w:rsidRPr="006F40F2">
        <w:rPr>
          <w:highlight w:val="yellow"/>
        </w:rPr>
        <w:t xml:space="preserve"> JM, Maginot KR, Mohammed S, Salerno JC, Etheridge SP, Cohen M, Hamilton RM, </w:t>
      </w:r>
      <w:proofErr w:type="spellStart"/>
      <w:r w:rsidRPr="006F40F2">
        <w:rPr>
          <w:highlight w:val="yellow"/>
        </w:rPr>
        <w:t>Pflaumer</w:t>
      </w:r>
      <w:proofErr w:type="spellEnd"/>
      <w:r w:rsidRPr="006F40F2">
        <w:rPr>
          <w:highlight w:val="yellow"/>
        </w:rPr>
        <w:t xml:space="preserve"> A, </w:t>
      </w:r>
      <w:proofErr w:type="spellStart"/>
      <w:r w:rsidRPr="006F40F2">
        <w:rPr>
          <w:highlight w:val="yellow"/>
        </w:rPr>
        <w:t>Kanter</w:t>
      </w:r>
      <w:proofErr w:type="spellEnd"/>
      <w:r w:rsidRPr="006F40F2">
        <w:rPr>
          <w:highlight w:val="yellow"/>
        </w:rPr>
        <w:t xml:space="preserve"> RJ, Potts JE, </w:t>
      </w:r>
      <w:proofErr w:type="spellStart"/>
      <w:r w:rsidRPr="006F40F2">
        <w:rPr>
          <w:highlight w:val="yellow"/>
        </w:rPr>
        <w:t>LaPage</w:t>
      </w:r>
      <w:proofErr w:type="spellEnd"/>
      <w:r w:rsidRPr="006F40F2">
        <w:rPr>
          <w:highlight w:val="yellow"/>
        </w:rPr>
        <w:t xml:space="preserve"> MJ, Collins KK, </w:t>
      </w:r>
      <w:proofErr w:type="spellStart"/>
      <w:r w:rsidRPr="006F40F2">
        <w:rPr>
          <w:highlight w:val="yellow"/>
        </w:rPr>
        <w:t>Gebauer</w:t>
      </w:r>
      <w:proofErr w:type="spellEnd"/>
      <w:r w:rsidRPr="006F40F2">
        <w:rPr>
          <w:highlight w:val="yellow"/>
        </w:rPr>
        <w:t xml:space="preserve"> RA, Temple JD, </w:t>
      </w:r>
      <w:proofErr w:type="spellStart"/>
      <w:r w:rsidRPr="006F40F2">
        <w:rPr>
          <w:highlight w:val="yellow"/>
        </w:rPr>
        <w:t>Batra</w:t>
      </w:r>
      <w:proofErr w:type="spellEnd"/>
      <w:r w:rsidRPr="006F40F2">
        <w:rPr>
          <w:highlight w:val="yellow"/>
        </w:rPr>
        <w:t xml:space="preserve"> AS, Erickson C, </w:t>
      </w:r>
      <w:proofErr w:type="spellStart"/>
      <w:r w:rsidRPr="006F40F2">
        <w:rPr>
          <w:highlight w:val="yellow"/>
        </w:rPr>
        <w:t>Miszczak</w:t>
      </w:r>
      <w:proofErr w:type="spellEnd"/>
      <w:r w:rsidRPr="006F40F2">
        <w:rPr>
          <w:highlight w:val="yellow"/>
        </w:rPr>
        <w:t xml:space="preserve">-Knecht M, </w:t>
      </w:r>
      <w:proofErr w:type="spellStart"/>
      <w:r w:rsidRPr="006F40F2">
        <w:rPr>
          <w:highlight w:val="yellow"/>
        </w:rPr>
        <w:t>Kubuš</w:t>
      </w:r>
      <w:proofErr w:type="spellEnd"/>
      <w:r w:rsidRPr="006F40F2">
        <w:rPr>
          <w:highlight w:val="yellow"/>
        </w:rPr>
        <w:t xml:space="preserve"> P, Bar-Cohen Y, </w:t>
      </w:r>
      <w:proofErr w:type="spellStart"/>
      <w:r w:rsidRPr="006F40F2">
        <w:rPr>
          <w:highlight w:val="yellow"/>
        </w:rPr>
        <w:t>Kantoch</w:t>
      </w:r>
      <w:proofErr w:type="spellEnd"/>
      <w:r w:rsidRPr="006F40F2">
        <w:rPr>
          <w:highlight w:val="yellow"/>
        </w:rPr>
        <w:t xml:space="preserve"> M, Thomas VC, </w:t>
      </w:r>
      <w:proofErr w:type="spellStart"/>
      <w:r w:rsidRPr="006F40F2">
        <w:rPr>
          <w:highlight w:val="yellow"/>
        </w:rPr>
        <w:t>Hessling</w:t>
      </w:r>
      <w:proofErr w:type="spellEnd"/>
      <w:r w:rsidRPr="006F40F2">
        <w:rPr>
          <w:highlight w:val="yellow"/>
        </w:rPr>
        <w:t xml:space="preserve"> G, Anderson C, Young ML, Cabrera Ortega M, Lau YR, </w:t>
      </w:r>
      <w:proofErr w:type="spellStart"/>
      <w:r w:rsidRPr="006F40F2">
        <w:rPr>
          <w:highlight w:val="yellow"/>
        </w:rPr>
        <w:t>Johnsrude</w:t>
      </w:r>
      <w:proofErr w:type="spellEnd"/>
      <w:r w:rsidRPr="006F40F2">
        <w:rPr>
          <w:highlight w:val="yellow"/>
        </w:rPr>
        <w:t xml:space="preserve"> CL, Fournier A, Kannankeril PJ, </w:t>
      </w:r>
      <w:proofErr w:type="spellStart"/>
      <w:r w:rsidRPr="006F40F2">
        <w:rPr>
          <w:highlight w:val="yellow"/>
        </w:rPr>
        <w:t>Sanatani</w:t>
      </w:r>
      <w:proofErr w:type="spellEnd"/>
      <w:r w:rsidRPr="006F40F2">
        <w:rPr>
          <w:highlight w:val="yellow"/>
        </w:rPr>
        <w:t xml:space="preserve"> S. </w:t>
      </w:r>
      <w:proofErr w:type="spellStart"/>
      <w:r w:rsidRPr="006F40F2">
        <w:rPr>
          <w:highlight w:val="yellow"/>
        </w:rPr>
        <w:t>Catecholaminergic</w:t>
      </w:r>
      <w:proofErr w:type="spellEnd"/>
      <w:r w:rsidRPr="006F40F2">
        <w:rPr>
          <w:highlight w:val="yellow"/>
        </w:rPr>
        <w:t xml:space="preserve"> polymorphic ventricular tachycardia in children: analysis of therapeutic strategies and outcomes from an international multicenter registry. </w:t>
      </w:r>
      <w:proofErr w:type="spellStart"/>
      <w:r w:rsidRPr="006F40F2">
        <w:rPr>
          <w:highlight w:val="yellow"/>
        </w:rPr>
        <w:t>Circ</w:t>
      </w:r>
      <w:proofErr w:type="spellEnd"/>
      <w:r w:rsidRPr="006F40F2">
        <w:rPr>
          <w:highlight w:val="yellow"/>
        </w:rPr>
        <w:t xml:space="preserve"> </w:t>
      </w:r>
      <w:proofErr w:type="spellStart"/>
      <w:r w:rsidRPr="006F40F2">
        <w:rPr>
          <w:highlight w:val="yellow"/>
        </w:rPr>
        <w:t>Arrhythm</w:t>
      </w:r>
      <w:proofErr w:type="spellEnd"/>
      <w:r w:rsidRPr="006F40F2">
        <w:rPr>
          <w:highlight w:val="yellow"/>
        </w:rPr>
        <w:t xml:space="preserve"> </w:t>
      </w:r>
      <w:proofErr w:type="spellStart"/>
      <w:r w:rsidRPr="006F40F2">
        <w:rPr>
          <w:highlight w:val="yellow"/>
        </w:rPr>
        <w:t>Electrophysiol</w:t>
      </w:r>
      <w:proofErr w:type="spellEnd"/>
      <w:r w:rsidRPr="006F40F2">
        <w:rPr>
          <w:highlight w:val="yellow"/>
        </w:rPr>
        <w:t xml:space="preserve"> 2015;8:633–642.</w:t>
      </w:r>
    </w:p>
    <w:p w14:paraId="3813146A" w14:textId="4C470AAF" w:rsidR="00BC2491" w:rsidRPr="006F40F2" w:rsidRDefault="00BC2491" w:rsidP="00BC2491">
      <w:pPr>
        <w:rPr>
          <w:highlight w:val="yellow"/>
        </w:rPr>
      </w:pPr>
      <w:r w:rsidRPr="006F40F2">
        <w:rPr>
          <w:highlight w:val="yellow"/>
        </w:rPr>
        <w:t xml:space="preserve">3. Hayashi M, </w:t>
      </w:r>
      <w:proofErr w:type="spellStart"/>
      <w:r w:rsidRPr="006F40F2">
        <w:rPr>
          <w:highlight w:val="yellow"/>
        </w:rPr>
        <w:t>Denjoy</w:t>
      </w:r>
      <w:proofErr w:type="spellEnd"/>
      <w:r w:rsidRPr="006F40F2">
        <w:rPr>
          <w:highlight w:val="yellow"/>
        </w:rPr>
        <w:t xml:space="preserve"> I, </w:t>
      </w:r>
      <w:proofErr w:type="spellStart"/>
      <w:r w:rsidRPr="006F40F2">
        <w:rPr>
          <w:highlight w:val="yellow"/>
        </w:rPr>
        <w:t>Extramiana</w:t>
      </w:r>
      <w:proofErr w:type="spellEnd"/>
      <w:r w:rsidRPr="006F40F2">
        <w:rPr>
          <w:highlight w:val="yellow"/>
        </w:rPr>
        <w:t xml:space="preserve"> F, </w:t>
      </w:r>
      <w:proofErr w:type="spellStart"/>
      <w:r w:rsidRPr="006F40F2">
        <w:rPr>
          <w:highlight w:val="yellow"/>
        </w:rPr>
        <w:t>Maltret</w:t>
      </w:r>
      <w:proofErr w:type="spellEnd"/>
      <w:r w:rsidRPr="006F40F2">
        <w:rPr>
          <w:highlight w:val="yellow"/>
        </w:rPr>
        <w:t xml:space="preserve"> A, Buisson NR, </w:t>
      </w:r>
      <w:proofErr w:type="spellStart"/>
      <w:r w:rsidRPr="006F40F2">
        <w:rPr>
          <w:highlight w:val="yellow"/>
        </w:rPr>
        <w:t>Lupoglazoff</w:t>
      </w:r>
      <w:proofErr w:type="spellEnd"/>
      <w:r w:rsidRPr="006F40F2">
        <w:rPr>
          <w:highlight w:val="yellow"/>
        </w:rPr>
        <w:t xml:space="preserve"> JM, Klug D, Hayashi M, Takatsuki S, Villain E, </w:t>
      </w:r>
      <w:proofErr w:type="spellStart"/>
      <w:r w:rsidRPr="006F40F2">
        <w:rPr>
          <w:highlight w:val="yellow"/>
        </w:rPr>
        <w:t>Kamblock</w:t>
      </w:r>
      <w:proofErr w:type="spellEnd"/>
      <w:r w:rsidRPr="006F40F2">
        <w:rPr>
          <w:highlight w:val="yellow"/>
        </w:rPr>
        <w:t xml:space="preserve"> J, </w:t>
      </w:r>
      <w:proofErr w:type="spellStart"/>
      <w:r w:rsidRPr="006F40F2">
        <w:rPr>
          <w:highlight w:val="yellow"/>
        </w:rPr>
        <w:t>Messali</w:t>
      </w:r>
      <w:proofErr w:type="spellEnd"/>
      <w:r w:rsidRPr="006F40F2">
        <w:rPr>
          <w:highlight w:val="yellow"/>
        </w:rPr>
        <w:t xml:space="preserve"> A, </w:t>
      </w:r>
      <w:proofErr w:type="spellStart"/>
      <w:r w:rsidRPr="006F40F2">
        <w:rPr>
          <w:highlight w:val="yellow"/>
        </w:rPr>
        <w:t>Guicheney</w:t>
      </w:r>
      <w:proofErr w:type="spellEnd"/>
      <w:r w:rsidRPr="006F40F2">
        <w:rPr>
          <w:highlight w:val="yellow"/>
        </w:rPr>
        <w:t xml:space="preserve"> P, </w:t>
      </w:r>
      <w:proofErr w:type="spellStart"/>
      <w:r w:rsidRPr="006F40F2">
        <w:rPr>
          <w:highlight w:val="yellow"/>
        </w:rPr>
        <w:t>Lunardi</w:t>
      </w:r>
      <w:proofErr w:type="spellEnd"/>
      <w:r w:rsidRPr="006F40F2">
        <w:rPr>
          <w:highlight w:val="yellow"/>
        </w:rPr>
        <w:t xml:space="preserve"> J, </w:t>
      </w:r>
      <w:proofErr w:type="spellStart"/>
      <w:r w:rsidRPr="006F40F2">
        <w:rPr>
          <w:highlight w:val="yellow"/>
        </w:rPr>
        <w:t>Leenhardt</w:t>
      </w:r>
      <w:proofErr w:type="spellEnd"/>
      <w:r w:rsidRPr="006F40F2">
        <w:rPr>
          <w:highlight w:val="yellow"/>
        </w:rPr>
        <w:t xml:space="preserve"> A. Incidence and risk factors of arrhythmic events in </w:t>
      </w:r>
      <w:proofErr w:type="spellStart"/>
      <w:r w:rsidRPr="006F40F2">
        <w:rPr>
          <w:highlight w:val="yellow"/>
        </w:rPr>
        <w:t>catecholaminergic</w:t>
      </w:r>
      <w:proofErr w:type="spellEnd"/>
      <w:r w:rsidRPr="006F40F2">
        <w:rPr>
          <w:highlight w:val="yellow"/>
        </w:rPr>
        <w:t xml:space="preserve"> polymorphic ventricular tachycardia. Circulation 2009;119:2426–2434.</w:t>
      </w:r>
    </w:p>
    <w:p w14:paraId="6A8B9110" w14:textId="44727CB5" w:rsidR="00BC2491" w:rsidRPr="006F40F2" w:rsidRDefault="00BC2491" w:rsidP="00BC2491">
      <w:pPr>
        <w:rPr>
          <w:highlight w:val="yellow"/>
        </w:rPr>
      </w:pPr>
      <w:r w:rsidRPr="006F40F2">
        <w:rPr>
          <w:highlight w:val="yellow"/>
        </w:rPr>
        <w:t xml:space="preserve">4. van der Werf C, Kannankeril PJ, </w:t>
      </w:r>
      <w:proofErr w:type="spellStart"/>
      <w:r w:rsidRPr="006F40F2">
        <w:rPr>
          <w:highlight w:val="yellow"/>
        </w:rPr>
        <w:t>Sacher</w:t>
      </w:r>
      <w:proofErr w:type="spellEnd"/>
      <w:r w:rsidRPr="006F40F2">
        <w:rPr>
          <w:highlight w:val="yellow"/>
        </w:rPr>
        <w:t xml:space="preserve"> F, Krahn AD, </w:t>
      </w:r>
      <w:proofErr w:type="spellStart"/>
      <w:r w:rsidRPr="006F40F2">
        <w:rPr>
          <w:highlight w:val="yellow"/>
        </w:rPr>
        <w:t>Viskin</w:t>
      </w:r>
      <w:proofErr w:type="spellEnd"/>
      <w:r w:rsidRPr="006F40F2">
        <w:rPr>
          <w:highlight w:val="yellow"/>
        </w:rPr>
        <w:t xml:space="preserve"> S, </w:t>
      </w:r>
      <w:proofErr w:type="spellStart"/>
      <w:r w:rsidRPr="006F40F2">
        <w:rPr>
          <w:highlight w:val="yellow"/>
        </w:rPr>
        <w:t>Leenhardt</w:t>
      </w:r>
      <w:proofErr w:type="spellEnd"/>
      <w:r w:rsidRPr="006F40F2">
        <w:rPr>
          <w:highlight w:val="yellow"/>
        </w:rPr>
        <w:t xml:space="preserve"> A, Shimizu W, Sumitomo N, Fish FA, </w:t>
      </w:r>
      <w:proofErr w:type="spellStart"/>
      <w:r w:rsidRPr="006F40F2">
        <w:rPr>
          <w:highlight w:val="yellow"/>
        </w:rPr>
        <w:t>Bhuiyan</w:t>
      </w:r>
      <w:proofErr w:type="spellEnd"/>
      <w:r w:rsidRPr="006F40F2">
        <w:rPr>
          <w:highlight w:val="yellow"/>
        </w:rPr>
        <w:t xml:space="preserve"> ZA, Willems AR, van der Veen MJ, Watanabe H, </w:t>
      </w:r>
      <w:proofErr w:type="spellStart"/>
      <w:r w:rsidRPr="006F40F2">
        <w:rPr>
          <w:highlight w:val="yellow"/>
        </w:rPr>
        <w:t>Laborderie</w:t>
      </w:r>
      <w:proofErr w:type="spellEnd"/>
      <w:r w:rsidRPr="006F40F2">
        <w:rPr>
          <w:highlight w:val="yellow"/>
        </w:rPr>
        <w:t xml:space="preserve"> J, </w:t>
      </w:r>
      <w:proofErr w:type="spellStart"/>
      <w:r w:rsidRPr="006F40F2">
        <w:rPr>
          <w:highlight w:val="yellow"/>
        </w:rPr>
        <w:t>Haïssaguerre</w:t>
      </w:r>
      <w:proofErr w:type="spellEnd"/>
      <w:r w:rsidRPr="006F40F2">
        <w:rPr>
          <w:highlight w:val="yellow"/>
        </w:rPr>
        <w:t xml:space="preserve"> M, </w:t>
      </w:r>
      <w:proofErr w:type="spellStart"/>
      <w:r w:rsidRPr="006F40F2">
        <w:rPr>
          <w:highlight w:val="yellow"/>
        </w:rPr>
        <w:t>Knollmann</w:t>
      </w:r>
      <w:proofErr w:type="spellEnd"/>
      <w:r w:rsidRPr="006F40F2">
        <w:rPr>
          <w:highlight w:val="yellow"/>
        </w:rPr>
        <w:t xml:space="preserve"> BC, Wilde AA. </w:t>
      </w:r>
      <w:proofErr w:type="spellStart"/>
      <w:r w:rsidRPr="006F40F2">
        <w:rPr>
          <w:highlight w:val="yellow"/>
        </w:rPr>
        <w:t>Flecainide</w:t>
      </w:r>
      <w:proofErr w:type="spellEnd"/>
      <w:r w:rsidRPr="006F40F2">
        <w:rPr>
          <w:highlight w:val="yellow"/>
        </w:rPr>
        <w:t xml:space="preserve"> therapy reduces exercise-induced ventricular arrhythmias in patients with </w:t>
      </w:r>
      <w:proofErr w:type="spellStart"/>
      <w:r w:rsidRPr="006F40F2">
        <w:rPr>
          <w:highlight w:val="yellow"/>
        </w:rPr>
        <w:t>catecholaminergic</w:t>
      </w:r>
      <w:proofErr w:type="spellEnd"/>
      <w:r w:rsidRPr="006F40F2">
        <w:rPr>
          <w:highlight w:val="yellow"/>
        </w:rPr>
        <w:t xml:space="preserve"> polymorphic ventricular tachycardia. J Am </w:t>
      </w:r>
      <w:proofErr w:type="spellStart"/>
      <w:r w:rsidRPr="006F40F2">
        <w:rPr>
          <w:highlight w:val="yellow"/>
        </w:rPr>
        <w:t>Coll</w:t>
      </w:r>
      <w:proofErr w:type="spellEnd"/>
      <w:r w:rsidRPr="006F40F2">
        <w:rPr>
          <w:highlight w:val="yellow"/>
        </w:rPr>
        <w:t xml:space="preserve"> </w:t>
      </w:r>
      <w:proofErr w:type="spellStart"/>
      <w:r w:rsidRPr="006F40F2">
        <w:rPr>
          <w:highlight w:val="yellow"/>
        </w:rPr>
        <w:t>Cardiol</w:t>
      </w:r>
      <w:proofErr w:type="spellEnd"/>
      <w:r w:rsidRPr="006F40F2">
        <w:rPr>
          <w:highlight w:val="yellow"/>
        </w:rPr>
        <w:t xml:space="preserve"> 2011;57:2244–2254.</w:t>
      </w:r>
    </w:p>
    <w:p w14:paraId="074902E9" w14:textId="6627361D" w:rsidR="00BC2491" w:rsidRPr="006F40F2" w:rsidRDefault="00BC2491" w:rsidP="00BC2491">
      <w:pPr>
        <w:rPr>
          <w:highlight w:val="yellow"/>
        </w:rPr>
      </w:pPr>
      <w:r w:rsidRPr="006F40F2">
        <w:rPr>
          <w:highlight w:val="yellow"/>
        </w:rPr>
        <w:t xml:space="preserve">5. Watanabe H, van der Werf C, Roses-Noguer F, Adler A, Sumitomo N, </w:t>
      </w:r>
      <w:proofErr w:type="spellStart"/>
      <w:r w:rsidRPr="006F40F2">
        <w:rPr>
          <w:highlight w:val="yellow"/>
        </w:rPr>
        <w:t>Veltmann</w:t>
      </w:r>
      <w:proofErr w:type="spellEnd"/>
      <w:r w:rsidRPr="006F40F2">
        <w:rPr>
          <w:highlight w:val="yellow"/>
        </w:rPr>
        <w:t xml:space="preserve"> C, Rosso R, </w:t>
      </w:r>
      <w:proofErr w:type="spellStart"/>
      <w:r w:rsidRPr="006F40F2">
        <w:rPr>
          <w:highlight w:val="yellow"/>
        </w:rPr>
        <w:t>Bhuiyan</w:t>
      </w:r>
      <w:proofErr w:type="spellEnd"/>
      <w:r w:rsidRPr="006F40F2">
        <w:rPr>
          <w:highlight w:val="yellow"/>
        </w:rPr>
        <w:t xml:space="preserve"> ZA, Bikker H, Kannankeril PJ, </w:t>
      </w:r>
      <w:proofErr w:type="spellStart"/>
      <w:r w:rsidRPr="006F40F2">
        <w:rPr>
          <w:highlight w:val="yellow"/>
        </w:rPr>
        <w:t>Horie</w:t>
      </w:r>
      <w:proofErr w:type="spellEnd"/>
      <w:r w:rsidRPr="006F40F2">
        <w:rPr>
          <w:highlight w:val="yellow"/>
        </w:rPr>
        <w:t xml:space="preserve"> M, </w:t>
      </w:r>
      <w:proofErr w:type="spellStart"/>
      <w:r w:rsidRPr="006F40F2">
        <w:rPr>
          <w:highlight w:val="yellow"/>
        </w:rPr>
        <w:t>Minamino</w:t>
      </w:r>
      <w:proofErr w:type="spellEnd"/>
      <w:r w:rsidRPr="006F40F2">
        <w:rPr>
          <w:highlight w:val="yellow"/>
        </w:rPr>
        <w:t xml:space="preserve"> T, </w:t>
      </w:r>
      <w:proofErr w:type="spellStart"/>
      <w:r w:rsidRPr="006F40F2">
        <w:rPr>
          <w:highlight w:val="yellow"/>
        </w:rPr>
        <w:t>Viskin</w:t>
      </w:r>
      <w:proofErr w:type="spellEnd"/>
      <w:r w:rsidRPr="006F40F2">
        <w:rPr>
          <w:highlight w:val="yellow"/>
        </w:rPr>
        <w:t xml:space="preserve"> S, </w:t>
      </w:r>
      <w:proofErr w:type="spellStart"/>
      <w:r w:rsidRPr="006F40F2">
        <w:rPr>
          <w:highlight w:val="yellow"/>
        </w:rPr>
        <w:t>Knollmann</w:t>
      </w:r>
      <w:proofErr w:type="spellEnd"/>
      <w:r w:rsidRPr="006F40F2">
        <w:rPr>
          <w:highlight w:val="yellow"/>
        </w:rPr>
        <w:t xml:space="preserve"> BC, Till J, Wilde AA. Effects of </w:t>
      </w:r>
      <w:proofErr w:type="spellStart"/>
      <w:r w:rsidRPr="006F40F2">
        <w:rPr>
          <w:highlight w:val="yellow"/>
        </w:rPr>
        <w:t>flecainide</w:t>
      </w:r>
      <w:proofErr w:type="spellEnd"/>
      <w:r w:rsidRPr="006F40F2">
        <w:rPr>
          <w:highlight w:val="yellow"/>
        </w:rPr>
        <w:t xml:space="preserve"> on exercise-induced ventricular arrhythmias and recurrences in genotype-negative patients with </w:t>
      </w:r>
      <w:proofErr w:type="spellStart"/>
      <w:r w:rsidRPr="006F40F2">
        <w:rPr>
          <w:highlight w:val="yellow"/>
        </w:rPr>
        <w:t>catecholaminergic</w:t>
      </w:r>
      <w:proofErr w:type="spellEnd"/>
      <w:r w:rsidRPr="006F40F2">
        <w:rPr>
          <w:highlight w:val="yellow"/>
        </w:rPr>
        <w:t xml:space="preserve"> polymorphic ventricular tachycardia. Heart Rhythm 2013;10:542–547.</w:t>
      </w:r>
    </w:p>
    <w:p w14:paraId="28178086" w14:textId="4A2C2401" w:rsidR="00BC2491" w:rsidRPr="006F40F2" w:rsidRDefault="00BC2491" w:rsidP="00BC2491">
      <w:pPr>
        <w:rPr>
          <w:highlight w:val="yellow"/>
          <w:lang w:val="nl-NL"/>
        </w:rPr>
      </w:pPr>
      <w:r w:rsidRPr="006F40F2">
        <w:rPr>
          <w:highlight w:val="yellow"/>
        </w:rPr>
        <w:t xml:space="preserve">6. De Ferrari GM, </w:t>
      </w:r>
      <w:proofErr w:type="spellStart"/>
      <w:r w:rsidRPr="006F40F2">
        <w:rPr>
          <w:highlight w:val="yellow"/>
        </w:rPr>
        <w:t>Dusi</w:t>
      </w:r>
      <w:proofErr w:type="spellEnd"/>
      <w:r w:rsidRPr="006F40F2">
        <w:rPr>
          <w:highlight w:val="yellow"/>
        </w:rPr>
        <w:t xml:space="preserve"> V, </w:t>
      </w:r>
      <w:proofErr w:type="spellStart"/>
      <w:r w:rsidRPr="006F40F2">
        <w:rPr>
          <w:highlight w:val="yellow"/>
        </w:rPr>
        <w:t>Spazzolini</w:t>
      </w:r>
      <w:proofErr w:type="spellEnd"/>
      <w:r w:rsidRPr="006F40F2">
        <w:rPr>
          <w:highlight w:val="yellow"/>
        </w:rPr>
        <w:t xml:space="preserve"> C, Bos JM, Abrams DJ, </w:t>
      </w:r>
      <w:proofErr w:type="spellStart"/>
      <w:r w:rsidRPr="006F40F2">
        <w:rPr>
          <w:highlight w:val="yellow"/>
        </w:rPr>
        <w:t>Berul</w:t>
      </w:r>
      <w:proofErr w:type="spellEnd"/>
      <w:r w:rsidRPr="006F40F2">
        <w:rPr>
          <w:highlight w:val="yellow"/>
        </w:rPr>
        <w:t xml:space="preserve"> CI, </w:t>
      </w:r>
      <w:proofErr w:type="spellStart"/>
      <w:r w:rsidRPr="006F40F2">
        <w:rPr>
          <w:highlight w:val="yellow"/>
        </w:rPr>
        <w:t>Crotti</w:t>
      </w:r>
      <w:proofErr w:type="spellEnd"/>
      <w:r w:rsidRPr="006F40F2">
        <w:rPr>
          <w:highlight w:val="yellow"/>
        </w:rPr>
        <w:t xml:space="preserve"> L, Davis AM, </w:t>
      </w:r>
      <w:proofErr w:type="spellStart"/>
      <w:r w:rsidRPr="006F40F2">
        <w:rPr>
          <w:highlight w:val="yellow"/>
        </w:rPr>
        <w:t>Eldar</w:t>
      </w:r>
      <w:proofErr w:type="spellEnd"/>
      <w:r w:rsidRPr="006F40F2">
        <w:rPr>
          <w:highlight w:val="yellow"/>
        </w:rPr>
        <w:t xml:space="preserve"> M, </w:t>
      </w:r>
      <w:proofErr w:type="spellStart"/>
      <w:r w:rsidRPr="006F40F2">
        <w:rPr>
          <w:highlight w:val="yellow"/>
        </w:rPr>
        <w:t>Kharlap</w:t>
      </w:r>
      <w:proofErr w:type="spellEnd"/>
      <w:r w:rsidRPr="006F40F2">
        <w:rPr>
          <w:highlight w:val="yellow"/>
        </w:rPr>
        <w:t xml:space="preserve"> M, </w:t>
      </w:r>
      <w:proofErr w:type="spellStart"/>
      <w:r w:rsidRPr="006F40F2">
        <w:rPr>
          <w:highlight w:val="yellow"/>
        </w:rPr>
        <w:t>Khoury</w:t>
      </w:r>
      <w:proofErr w:type="spellEnd"/>
      <w:r w:rsidRPr="006F40F2">
        <w:rPr>
          <w:highlight w:val="yellow"/>
        </w:rPr>
        <w:t xml:space="preserve"> A, Krahn AD, </w:t>
      </w:r>
      <w:proofErr w:type="spellStart"/>
      <w:r w:rsidRPr="006F40F2">
        <w:rPr>
          <w:highlight w:val="yellow"/>
        </w:rPr>
        <w:t>Leenhardt</w:t>
      </w:r>
      <w:proofErr w:type="spellEnd"/>
      <w:r w:rsidRPr="006F40F2">
        <w:rPr>
          <w:highlight w:val="yellow"/>
        </w:rPr>
        <w:t xml:space="preserve"> A, </w:t>
      </w:r>
      <w:proofErr w:type="spellStart"/>
      <w:r w:rsidRPr="006F40F2">
        <w:rPr>
          <w:highlight w:val="yellow"/>
        </w:rPr>
        <w:t>Moir</w:t>
      </w:r>
      <w:proofErr w:type="spellEnd"/>
      <w:r w:rsidRPr="006F40F2">
        <w:rPr>
          <w:highlight w:val="yellow"/>
        </w:rPr>
        <w:t xml:space="preserve"> CR, </w:t>
      </w:r>
      <w:proofErr w:type="spellStart"/>
      <w:r w:rsidRPr="006F40F2">
        <w:rPr>
          <w:highlight w:val="yellow"/>
        </w:rPr>
        <w:t>Odero</w:t>
      </w:r>
      <w:proofErr w:type="spellEnd"/>
      <w:r w:rsidRPr="006F40F2">
        <w:rPr>
          <w:highlight w:val="yellow"/>
        </w:rPr>
        <w:t xml:space="preserve"> A, Olde Nordkamp L, Paul T, Rosés I Noguer F, </w:t>
      </w:r>
      <w:proofErr w:type="spellStart"/>
      <w:r w:rsidRPr="006F40F2">
        <w:rPr>
          <w:highlight w:val="yellow"/>
        </w:rPr>
        <w:t>Shkolnikova</w:t>
      </w:r>
      <w:proofErr w:type="spellEnd"/>
      <w:r w:rsidRPr="006F40F2">
        <w:rPr>
          <w:highlight w:val="yellow"/>
        </w:rPr>
        <w:t xml:space="preserve"> M, Till J, Wilde AA, Ackerman MJ, Schwartz PJ. Clinical management of </w:t>
      </w:r>
      <w:proofErr w:type="spellStart"/>
      <w:r w:rsidRPr="006F40F2">
        <w:rPr>
          <w:highlight w:val="yellow"/>
        </w:rPr>
        <w:lastRenderedPageBreak/>
        <w:t>catecholaminergic</w:t>
      </w:r>
      <w:proofErr w:type="spellEnd"/>
      <w:r w:rsidRPr="006F40F2">
        <w:rPr>
          <w:highlight w:val="yellow"/>
        </w:rPr>
        <w:t xml:space="preserve"> polymorphic ventricular tachycardia: the role of left cardiac sympathetic denervation. </w:t>
      </w:r>
      <w:proofErr w:type="spellStart"/>
      <w:r w:rsidRPr="006F40F2">
        <w:rPr>
          <w:highlight w:val="yellow"/>
          <w:lang w:val="nl-NL"/>
        </w:rPr>
        <w:t>Circulation</w:t>
      </w:r>
      <w:proofErr w:type="spellEnd"/>
      <w:r w:rsidRPr="006F40F2">
        <w:rPr>
          <w:highlight w:val="yellow"/>
          <w:lang w:val="nl-NL"/>
        </w:rPr>
        <w:t xml:space="preserve"> 2015;131:2185–2193.</w:t>
      </w:r>
    </w:p>
    <w:p w14:paraId="68CF4ED2" w14:textId="041E9E88" w:rsidR="00BC2491" w:rsidRPr="006F40F2" w:rsidRDefault="00BC2491" w:rsidP="00BC2491">
      <w:pPr>
        <w:rPr>
          <w:highlight w:val="yellow"/>
        </w:rPr>
      </w:pPr>
      <w:r w:rsidRPr="006F40F2">
        <w:rPr>
          <w:highlight w:val="yellow"/>
          <w:lang w:val="nl-NL"/>
        </w:rPr>
        <w:t xml:space="preserve">7. van der Werf C, Nederend I, Hofman N, van Geloven N, </w:t>
      </w:r>
      <w:proofErr w:type="spellStart"/>
      <w:r w:rsidRPr="006F40F2">
        <w:rPr>
          <w:highlight w:val="yellow"/>
          <w:lang w:val="nl-NL"/>
        </w:rPr>
        <w:t>Ebink</w:t>
      </w:r>
      <w:proofErr w:type="spellEnd"/>
      <w:r w:rsidRPr="006F40F2">
        <w:rPr>
          <w:highlight w:val="yellow"/>
          <w:lang w:val="nl-NL"/>
        </w:rPr>
        <w:t xml:space="preserve"> C, </w:t>
      </w:r>
      <w:proofErr w:type="spellStart"/>
      <w:r w:rsidRPr="006F40F2">
        <w:rPr>
          <w:highlight w:val="yellow"/>
          <w:lang w:val="nl-NL"/>
        </w:rPr>
        <w:t>Frohn</w:t>
      </w:r>
      <w:proofErr w:type="spellEnd"/>
      <w:r w:rsidRPr="006F40F2">
        <w:rPr>
          <w:highlight w:val="yellow"/>
          <w:lang w:val="nl-NL"/>
        </w:rPr>
        <w:t xml:space="preserve">-Mulder IM, </w:t>
      </w:r>
      <w:proofErr w:type="spellStart"/>
      <w:r w:rsidRPr="006F40F2">
        <w:rPr>
          <w:highlight w:val="yellow"/>
          <w:lang w:val="nl-NL"/>
        </w:rPr>
        <w:t>Alinga</w:t>
      </w:r>
      <w:proofErr w:type="spellEnd"/>
      <w:r w:rsidRPr="006F40F2">
        <w:rPr>
          <w:highlight w:val="yellow"/>
          <w:lang w:val="nl-NL"/>
        </w:rPr>
        <w:t xml:space="preserve"> AM, Bosker HA, </w:t>
      </w:r>
      <w:proofErr w:type="spellStart"/>
      <w:r w:rsidRPr="006F40F2">
        <w:rPr>
          <w:highlight w:val="yellow"/>
          <w:lang w:val="nl-NL"/>
        </w:rPr>
        <w:t>Bracke</w:t>
      </w:r>
      <w:proofErr w:type="spellEnd"/>
      <w:r w:rsidRPr="006F40F2">
        <w:rPr>
          <w:highlight w:val="yellow"/>
          <w:lang w:val="nl-NL"/>
        </w:rPr>
        <w:t xml:space="preserve"> FA, van den Heuvel F, </w:t>
      </w:r>
      <w:proofErr w:type="spellStart"/>
      <w:r w:rsidRPr="006F40F2">
        <w:rPr>
          <w:highlight w:val="yellow"/>
          <w:lang w:val="nl-NL"/>
        </w:rPr>
        <w:t>Waalewijn</w:t>
      </w:r>
      <w:proofErr w:type="spellEnd"/>
      <w:r w:rsidRPr="006F40F2">
        <w:rPr>
          <w:highlight w:val="yellow"/>
          <w:lang w:val="nl-NL"/>
        </w:rPr>
        <w:t xml:space="preserve"> RA, Bikker H, van Tintelen JP, </w:t>
      </w:r>
      <w:proofErr w:type="spellStart"/>
      <w:r w:rsidRPr="006F40F2">
        <w:rPr>
          <w:highlight w:val="yellow"/>
          <w:lang w:val="nl-NL"/>
        </w:rPr>
        <w:t>Bhuiyan</w:t>
      </w:r>
      <w:proofErr w:type="spellEnd"/>
      <w:r w:rsidRPr="006F40F2">
        <w:rPr>
          <w:highlight w:val="yellow"/>
          <w:lang w:val="nl-NL"/>
        </w:rPr>
        <w:t xml:space="preserve"> ZA, van den Berg MP, Wilde AA. </w:t>
      </w:r>
      <w:r w:rsidRPr="006F40F2">
        <w:rPr>
          <w:highlight w:val="yellow"/>
        </w:rPr>
        <w:t xml:space="preserve">Familial evaluation in </w:t>
      </w:r>
      <w:proofErr w:type="spellStart"/>
      <w:r w:rsidRPr="006F40F2">
        <w:rPr>
          <w:highlight w:val="yellow"/>
        </w:rPr>
        <w:t>catecholaminergic</w:t>
      </w:r>
      <w:proofErr w:type="spellEnd"/>
      <w:r w:rsidRPr="006F40F2">
        <w:rPr>
          <w:highlight w:val="yellow"/>
        </w:rPr>
        <w:t xml:space="preserve"> polymorphic ventricular tachycardia: disease penetrance and expression in cardiac ryanodine receptor mutation-carrying relatives. </w:t>
      </w:r>
      <w:proofErr w:type="spellStart"/>
      <w:r w:rsidRPr="006F40F2">
        <w:rPr>
          <w:highlight w:val="yellow"/>
        </w:rPr>
        <w:t>Circ</w:t>
      </w:r>
      <w:proofErr w:type="spellEnd"/>
      <w:r w:rsidRPr="006F40F2">
        <w:rPr>
          <w:highlight w:val="yellow"/>
        </w:rPr>
        <w:t xml:space="preserve"> </w:t>
      </w:r>
      <w:proofErr w:type="spellStart"/>
      <w:r w:rsidRPr="006F40F2">
        <w:rPr>
          <w:highlight w:val="yellow"/>
        </w:rPr>
        <w:t>Arrhythm</w:t>
      </w:r>
      <w:proofErr w:type="spellEnd"/>
      <w:r w:rsidRPr="006F40F2">
        <w:rPr>
          <w:highlight w:val="yellow"/>
        </w:rPr>
        <w:t xml:space="preserve"> </w:t>
      </w:r>
      <w:proofErr w:type="spellStart"/>
      <w:r w:rsidRPr="006F40F2">
        <w:rPr>
          <w:highlight w:val="yellow"/>
        </w:rPr>
        <w:t>Electrophysiol</w:t>
      </w:r>
      <w:proofErr w:type="spellEnd"/>
      <w:r w:rsidRPr="006F40F2">
        <w:rPr>
          <w:highlight w:val="yellow"/>
        </w:rPr>
        <w:t xml:space="preserve"> 2012;5:748–756.</w:t>
      </w:r>
    </w:p>
    <w:p w14:paraId="640B4BA8" w14:textId="5786CC8F" w:rsidR="007341B5" w:rsidRPr="006F40F2" w:rsidRDefault="00BC2491" w:rsidP="00BC2491">
      <w:pPr>
        <w:rPr>
          <w:highlight w:val="yellow"/>
        </w:rPr>
      </w:pPr>
      <w:r w:rsidRPr="006F40F2">
        <w:rPr>
          <w:highlight w:val="yellow"/>
        </w:rPr>
        <w:t xml:space="preserve">8. </w:t>
      </w:r>
      <w:proofErr w:type="spellStart"/>
      <w:r w:rsidRPr="006F40F2">
        <w:rPr>
          <w:highlight w:val="yellow"/>
        </w:rPr>
        <w:t>Kawata</w:t>
      </w:r>
      <w:proofErr w:type="spellEnd"/>
      <w:r w:rsidRPr="006F40F2">
        <w:rPr>
          <w:highlight w:val="yellow"/>
        </w:rPr>
        <w:t xml:space="preserve"> H, </w:t>
      </w:r>
      <w:proofErr w:type="spellStart"/>
      <w:r w:rsidRPr="006F40F2">
        <w:rPr>
          <w:highlight w:val="yellow"/>
        </w:rPr>
        <w:t>Ohno</w:t>
      </w:r>
      <w:proofErr w:type="spellEnd"/>
      <w:r w:rsidRPr="006F40F2">
        <w:rPr>
          <w:highlight w:val="yellow"/>
        </w:rPr>
        <w:t xml:space="preserve"> S, </w:t>
      </w:r>
      <w:proofErr w:type="spellStart"/>
      <w:r w:rsidRPr="006F40F2">
        <w:rPr>
          <w:highlight w:val="yellow"/>
        </w:rPr>
        <w:t>Aiba</w:t>
      </w:r>
      <w:proofErr w:type="spellEnd"/>
      <w:r w:rsidRPr="006F40F2">
        <w:rPr>
          <w:highlight w:val="yellow"/>
        </w:rPr>
        <w:t xml:space="preserve"> T, </w:t>
      </w:r>
      <w:proofErr w:type="spellStart"/>
      <w:r w:rsidRPr="006F40F2">
        <w:rPr>
          <w:highlight w:val="yellow"/>
        </w:rPr>
        <w:t>Sakaguchi</w:t>
      </w:r>
      <w:proofErr w:type="spellEnd"/>
      <w:r w:rsidRPr="006F40F2">
        <w:rPr>
          <w:highlight w:val="yellow"/>
        </w:rPr>
        <w:t xml:space="preserve"> H, Miyazaki A, Sumitomo N, Kamakura T, Nakajima I, Inoue YY, Miyamoto K, Okamura H, Noda T, </w:t>
      </w:r>
      <w:proofErr w:type="spellStart"/>
      <w:r w:rsidRPr="006F40F2">
        <w:rPr>
          <w:highlight w:val="yellow"/>
        </w:rPr>
        <w:t>Kusano</w:t>
      </w:r>
      <w:proofErr w:type="spellEnd"/>
      <w:r w:rsidRPr="006F40F2">
        <w:rPr>
          <w:highlight w:val="yellow"/>
        </w:rPr>
        <w:t xml:space="preserve"> K, Kamakura S, Miyamoto Y, </w:t>
      </w:r>
      <w:proofErr w:type="spellStart"/>
      <w:r w:rsidRPr="006F40F2">
        <w:rPr>
          <w:highlight w:val="yellow"/>
        </w:rPr>
        <w:t>Shiraishi</w:t>
      </w:r>
      <w:proofErr w:type="spellEnd"/>
      <w:r w:rsidRPr="006F40F2">
        <w:rPr>
          <w:highlight w:val="yellow"/>
        </w:rPr>
        <w:t xml:space="preserve"> I, </w:t>
      </w:r>
      <w:proofErr w:type="spellStart"/>
      <w:r w:rsidRPr="006F40F2">
        <w:rPr>
          <w:highlight w:val="yellow"/>
        </w:rPr>
        <w:t>Horie</w:t>
      </w:r>
      <w:proofErr w:type="spellEnd"/>
      <w:r w:rsidRPr="006F40F2">
        <w:rPr>
          <w:highlight w:val="yellow"/>
        </w:rPr>
        <w:t xml:space="preserve"> M, Shimizu W. </w:t>
      </w:r>
      <w:proofErr w:type="spellStart"/>
      <w:r w:rsidRPr="006F40F2">
        <w:rPr>
          <w:highlight w:val="yellow"/>
        </w:rPr>
        <w:t>Catecholaminergic</w:t>
      </w:r>
      <w:proofErr w:type="spellEnd"/>
      <w:r w:rsidRPr="006F40F2">
        <w:rPr>
          <w:highlight w:val="yellow"/>
        </w:rPr>
        <w:t xml:space="preserve"> polymorphic ventricular tachycardia (CPVT) associated with ryanodine receptor (RyR2) gene mutations - long-term prognosis after initiation of medical treatment. </w:t>
      </w:r>
      <w:proofErr w:type="spellStart"/>
      <w:r w:rsidRPr="006F40F2">
        <w:rPr>
          <w:highlight w:val="yellow"/>
        </w:rPr>
        <w:t>Circ</w:t>
      </w:r>
      <w:proofErr w:type="spellEnd"/>
      <w:r w:rsidRPr="006F40F2">
        <w:rPr>
          <w:highlight w:val="yellow"/>
        </w:rPr>
        <w:t xml:space="preserve"> J 2016;80:1907-1915.</w:t>
      </w:r>
    </w:p>
    <w:p w14:paraId="69627D90" w14:textId="5B511088" w:rsidR="00BC2491" w:rsidRPr="006F40F2" w:rsidRDefault="00BC2491" w:rsidP="00BC2491">
      <w:pPr>
        <w:rPr>
          <w:highlight w:val="yellow"/>
        </w:rPr>
      </w:pPr>
      <w:r w:rsidRPr="006F40F2">
        <w:rPr>
          <w:highlight w:val="yellow"/>
        </w:rPr>
        <w:t xml:space="preserve">9. </w:t>
      </w:r>
      <w:proofErr w:type="spellStart"/>
      <w:r w:rsidRPr="006F40F2">
        <w:rPr>
          <w:highlight w:val="yellow"/>
        </w:rPr>
        <w:t>Ohno</w:t>
      </w:r>
      <w:proofErr w:type="spellEnd"/>
      <w:r w:rsidRPr="006F40F2">
        <w:rPr>
          <w:highlight w:val="yellow"/>
        </w:rPr>
        <w:t xml:space="preserve"> S, Hasegawa K, </w:t>
      </w:r>
      <w:proofErr w:type="spellStart"/>
      <w:r w:rsidRPr="006F40F2">
        <w:rPr>
          <w:highlight w:val="yellow"/>
        </w:rPr>
        <w:t>Horie</w:t>
      </w:r>
      <w:proofErr w:type="spellEnd"/>
      <w:r w:rsidRPr="006F40F2">
        <w:rPr>
          <w:highlight w:val="yellow"/>
        </w:rPr>
        <w:t xml:space="preserve"> M. Gender differences in the inheritance mode of RYR2 mutations in </w:t>
      </w:r>
      <w:proofErr w:type="spellStart"/>
      <w:r w:rsidRPr="006F40F2">
        <w:rPr>
          <w:highlight w:val="yellow"/>
        </w:rPr>
        <w:t>catecholaminergic</w:t>
      </w:r>
      <w:proofErr w:type="spellEnd"/>
      <w:r w:rsidRPr="006F40F2">
        <w:rPr>
          <w:highlight w:val="yellow"/>
        </w:rPr>
        <w:t xml:space="preserve"> polymorphic ventricular tachycardia patients. </w:t>
      </w:r>
      <w:proofErr w:type="spellStart"/>
      <w:r w:rsidRPr="006F40F2">
        <w:rPr>
          <w:highlight w:val="yellow"/>
        </w:rPr>
        <w:t>PLoS</w:t>
      </w:r>
      <w:proofErr w:type="spellEnd"/>
      <w:r w:rsidRPr="006F40F2">
        <w:rPr>
          <w:highlight w:val="yellow"/>
        </w:rPr>
        <w:t xml:space="preserve"> One 2015;26;10:e0131517.</w:t>
      </w:r>
    </w:p>
    <w:p w14:paraId="4FF40A92" w14:textId="6A549F02" w:rsidR="00BC2491" w:rsidRPr="006F40F2" w:rsidRDefault="00BC2491" w:rsidP="00BC2491">
      <w:pPr>
        <w:rPr>
          <w:highlight w:val="yellow"/>
        </w:rPr>
      </w:pPr>
      <w:r w:rsidRPr="006F40F2">
        <w:rPr>
          <w:highlight w:val="yellow"/>
        </w:rPr>
        <w:t xml:space="preserve">10. Ozawa J, </w:t>
      </w:r>
      <w:proofErr w:type="spellStart"/>
      <w:r w:rsidRPr="006F40F2">
        <w:rPr>
          <w:highlight w:val="yellow"/>
        </w:rPr>
        <w:t>Ohno</w:t>
      </w:r>
      <w:proofErr w:type="spellEnd"/>
      <w:r w:rsidRPr="006F40F2">
        <w:rPr>
          <w:highlight w:val="yellow"/>
        </w:rPr>
        <w:t xml:space="preserve"> S, </w:t>
      </w:r>
      <w:proofErr w:type="spellStart"/>
      <w:r w:rsidRPr="006F40F2">
        <w:rPr>
          <w:highlight w:val="yellow"/>
        </w:rPr>
        <w:t>Fujii</w:t>
      </w:r>
      <w:proofErr w:type="spellEnd"/>
      <w:r w:rsidRPr="006F40F2">
        <w:rPr>
          <w:highlight w:val="yellow"/>
        </w:rPr>
        <w:t xml:space="preserve"> Y, </w:t>
      </w:r>
      <w:proofErr w:type="spellStart"/>
      <w:r w:rsidRPr="006F40F2">
        <w:rPr>
          <w:highlight w:val="yellow"/>
        </w:rPr>
        <w:t>Makiyama</w:t>
      </w:r>
      <w:proofErr w:type="spellEnd"/>
      <w:r w:rsidRPr="006F40F2">
        <w:rPr>
          <w:highlight w:val="yellow"/>
        </w:rPr>
        <w:t xml:space="preserve"> T, Suzuki H, </w:t>
      </w:r>
      <w:proofErr w:type="spellStart"/>
      <w:r w:rsidRPr="006F40F2">
        <w:rPr>
          <w:highlight w:val="yellow"/>
        </w:rPr>
        <w:t>Saitoh</w:t>
      </w:r>
      <w:proofErr w:type="spellEnd"/>
      <w:r w:rsidRPr="006F40F2">
        <w:rPr>
          <w:highlight w:val="yellow"/>
        </w:rPr>
        <w:t xml:space="preserve"> A, </w:t>
      </w:r>
      <w:proofErr w:type="spellStart"/>
      <w:r w:rsidRPr="006F40F2">
        <w:rPr>
          <w:highlight w:val="yellow"/>
        </w:rPr>
        <w:t>Horie</w:t>
      </w:r>
      <w:proofErr w:type="spellEnd"/>
      <w:r w:rsidRPr="006F40F2">
        <w:rPr>
          <w:highlight w:val="yellow"/>
        </w:rPr>
        <w:t xml:space="preserve"> M. Differential diagnosis between </w:t>
      </w:r>
      <w:proofErr w:type="spellStart"/>
      <w:r w:rsidRPr="006F40F2">
        <w:rPr>
          <w:highlight w:val="yellow"/>
        </w:rPr>
        <w:t>catecholaminergic</w:t>
      </w:r>
      <w:proofErr w:type="spellEnd"/>
      <w:r w:rsidRPr="006F40F2">
        <w:rPr>
          <w:highlight w:val="yellow"/>
        </w:rPr>
        <w:t xml:space="preserve"> polymorphic ventricular tachycardia and long QT syndrome type 1 -  modified Schwartz score. </w:t>
      </w:r>
      <w:proofErr w:type="spellStart"/>
      <w:r w:rsidRPr="006F40F2">
        <w:rPr>
          <w:highlight w:val="yellow"/>
        </w:rPr>
        <w:t>Circ</w:t>
      </w:r>
      <w:proofErr w:type="spellEnd"/>
      <w:r w:rsidRPr="006F40F2">
        <w:rPr>
          <w:highlight w:val="yellow"/>
        </w:rPr>
        <w:t xml:space="preserve"> J 2018;82:2269-2276.</w:t>
      </w:r>
    </w:p>
    <w:p w14:paraId="4B64F029" w14:textId="38DD0B91" w:rsidR="00BC2491" w:rsidRPr="006F40F2" w:rsidRDefault="00BC2491" w:rsidP="00BC2491">
      <w:pPr>
        <w:rPr>
          <w:highlight w:val="yellow"/>
        </w:rPr>
      </w:pPr>
      <w:r w:rsidRPr="006F40F2">
        <w:rPr>
          <w:highlight w:val="yellow"/>
        </w:rPr>
        <w:t xml:space="preserve">11. Kawamura M, </w:t>
      </w:r>
      <w:proofErr w:type="spellStart"/>
      <w:r w:rsidRPr="006F40F2">
        <w:rPr>
          <w:highlight w:val="yellow"/>
        </w:rPr>
        <w:t>Ohno</w:t>
      </w:r>
      <w:proofErr w:type="spellEnd"/>
      <w:r w:rsidRPr="006F40F2">
        <w:rPr>
          <w:highlight w:val="yellow"/>
        </w:rPr>
        <w:t xml:space="preserve"> S, </w:t>
      </w:r>
      <w:proofErr w:type="spellStart"/>
      <w:r w:rsidRPr="006F40F2">
        <w:rPr>
          <w:highlight w:val="yellow"/>
        </w:rPr>
        <w:t>Naiki</w:t>
      </w:r>
      <w:proofErr w:type="spellEnd"/>
      <w:r w:rsidRPr="006F40F2">
        <w:rPr>
          <w:highlight w:val="yellow"/>
        </w:rPr>
        <w:t xml:space="preserve"> N, Nagaoka I, </w:t>
      </w:r>
      <w:proofErr w:type="spellStart"/>
      <w:r w:rsidRPr="006F40F2">
        <w:rPr>
          <w:highlight w:val="yellow"/>
        </w:rPr>
        <w:t>Dochi</w:t>
      </w:r>
      <w:proofErr w:type="spellEnd"/>
      <w:r w:rsidRPr="006F40F2">
        <w:rPr>
          <w:highlight w:val="yellow"/>
        </w:rPr>
        <w:t xml:space="preserve"> K, Wang Q, Hasegawa K, Kimura H, Miyamoto A, Mizusawa Y, Itoh H, </w:t>
      </w:r>
      <w:proofErr w:type="spellStart"/>
      <w:r w:rsidRPr="006F40F2">
        <w:rPr>
          <w:highlight w:val="yellow"/>
        </w:rPr>
        <w:t>Makiyama</w:t>
      </w:r>
      <w:proofErr w:type="spellEnd"/>
      <w:r w:rsidRPr="006F40F2">
        <w:rPr>
          <w:highlight w:val="yellow"/>
        </w:rPr>
        <w:t xml:space="preserve"> T, Sumitomo N, </w:t>
      </w:r>
      <w:proofErr w:type="spellStart"/>
      <w:r w:rsidRPr="006F40F2">
        <w:rPr>
          <w:highlight w:val="yellow"/>
        </w:rPr>
        <w:t>Ushinohama</w:t>
      </w:r>
      <w:proofErr w:type="spellEnd"/>
      <w:r w:rsidRPr="006F40F2">
        <w:rPr>
          <w:highlight w:val="yellow"/>
        </w:rPr>
        <w:t xml:space="preserve"> H, </w:t>
      </w:r>
      <w:proofErr w:type="spellStart"/>
      <w:r w:rsidRPr="006F40F2">
        <w:rPr>
          <w:highlight w:val="yellow"/>
        </w:rPr>
        <w:t>Oyama</w:t>
      </w:r>
      <w:proofErr w:type="spellEnd"/>
      <w:r w:rsidRPr="006F40F2">
        <w:rPr>
          <w:highlight w:val="yellow"/>
        </w:rPr>
        <w:t xml:space="preserve"> K, </w:t>
      </w:r>
      <w:proofErr w:type="spellStart"/>
      <w:r w:rsidRPr="006F40F2">
        <w:rPr>
          <w:highlight w:val="yellow"/>
        </w:rPr>
        <w:t>Murakoshi</w:t>
      </w:r>
      <w:proofErr w:type="spellEnd"/>
      <w:r w:rsidRPr="006F40F2">
        <w:rPr>
          <w:highlight w:val="yellow"/>
        </w:rPr>
        <w:t xml:space="preserve"> N, </w:t>
      </w:r>
      <w:proofErr w:type="spellStart"/>
      <w:r w:rsidRPr="006F40F2">
        <w:rPr>
          <w:highlight w:val="yellow"/>
        </w:rPr>
        <w:t>Aonuma</w:t>
      </w:r>
      <w:proofErr w:type="spellEnd"/>
      <w:r w:rsidRPr="006F40F2">
        <w:rPr>
          <w:highlight w:val="yellow"/>
        </w:rPr>
        <w:t xml:space="preserve"> K, </w:t>
      </w:r>
      <w:proofErr w:type="spellStart"/>
      <w:r w:rsidRPr="006F40F2">
        <w:rPr>
          <w:highlight w:val="yellow"/>
        </w:rPr>
        <w:t>Horigome</w:t>
      </w:r>
      <w:proofErr w:type="spellEnd"/>
      <w:r w:rsidRPr="006F40F2">
        <w:rPr>
          <w:highlight w:val="yellow"/>
        </w:rPr>
        <w:t xml:space="preserve"> H, Honda T, </w:t>
      </w:r>
      <w:proofErr w:type="spellStart"/>
      <w:r w:rsidRPr="006F40F2">
        <w:rPr>
          <w:highlight w:val="yellow"/>
        </w:rPr>
        <w:t>Yoshinaga</w:t>
      </w:r>
      <w:proofErr w:type="spellEnd"/>
      <w:r w:rsidRPr="006F40F2">
        <w:rPr>
          <w:highlight w:val="yellow"/>
        </w:rPr>
        <w:t xml:space="preserve"> M, Ito M, </w:t>
      </w:r>
      <w:proofErr w:type="spellStart"/>
      <w:r w:rsidRPr="006F40F2">
        <w:rPr>
          <w:highlight w:val="yellow"/>
        </w:rPr>
        <w:t>Horie</w:t>
      </w:r>
      <w:proofErr w:type="spellEnd"/>
      <w:r w:rsidRPr="006F40F2">
        <w:rPr>
          <w:highlight w:val="yellow"/>
        </w:rPr>
        <w:t xml:space="preserve"> M. Genetic background of </w:t>
      </w:r>
      <w:proofErr w:type="spellStart"/>
      <w:r w:rsidRPr="006F40F2">
        <w:rPr>
          <w:highlight w:val="yellow"/>
        </w:rPr>
        <w:t>catecholaminergic</w:t>
      </w:r>
      <w:proofErr w:type="spellEnd"/>
      <w:r w:rsidRPr="006F40F2">
        <w:rPr>
          <w:highlight w:val="yellow"/>
        </w:rPr>
        <w:t xml:space="preserve"> polymorphic ventricular tachycardia in Japan. </w:t>
      </w:r>
      <w:proofErr w:type="spellStart"/>
      <w:r w:rsidRPr="006F40F2">
        <w:rPr>
          <w:highlight w:val="yellow"/>
        </w:rPr>
        <w:t>Circ</w:t>
      </w:r>
      <w:proofErr w:type="spellEnd"/>
      <w:r w:rsidRPr="006F40F2">
        <w:rPr>
          <w:highlight w:val="yellow"/>
        </w:rPr>
        <w:t xml:space="preserve"> J 2013;77:1705-13.</w:t>
      </w:r>
    </w:p>
    <w:p w14:paraId="2ED6A109" w14:textId="5A9A6BC1" w:rsidR="00BC2491" w:rsidRPr="006F40F2" w:rsidRDefault="00BC2491" w:rsidP="00BC2491">
      <w:pPr>
        <w:rPr>
          <w:highlight w:val="yellow"/>
        </w:rPr>
      </w:pPr>
      <w:r w:rsidRPr="006F40F2">
        <w:rPr>
          <w:highlight w:val="yellow"/>
        </w:rPr>
        <w:t xml:space="preserve">12. Bellamy D, </w:t>
      </w:r>
      <w:proofErr w:type="spellStart"/>
      <w:r w:rsidRPr="006F40F2">
        <w:rPr>
          <w:highlight w:val="yellow"/>
        </w:rPr>
        <w:t>Nuthall</w:t>
      </w:r>
      <w:proofErr w:type="spellEnd"/>
      <w:r w:rsidRPr="006F40F2">
        <w:rPr>
          <w:highlight w:val="yellow"/>
        </w:rPr>
        <w:t xml:space="preserve"> G, Dalziel S, Skinner JR. </w:t>
      </w:r>
      <w:proofErr w:type="spellStart"/>
      <w:r w:rsidRPr="006F40F2">
        <w:rPr>
          <w:highlight w:val="yellow"/>
        </w:rPr>
        <w:t>Pediatr</w:t>
      </w:r>
      <w:proofErr w:type="spellEnd"/>
      <w:r w:rsidRPr="006F40F2">
        <w:rPr>
          <w:highlight w:val="yellow"/>
        </w:rPr>
        <w:t xml:space="preserve"> </w:t>
      </w:r>
      <w:proofErr w:type="spellStart"/>
      <w:r w:rsidRPr="006F40F2">
        <w:rPr>
          <w:highlight w:val="yellow"/>
        </w:rPr>
        <w:t>Crit</w:t>
      </w:r>
      <w:proofErr w:type="spellEnd"/>
      <w:r w:rsidRPr="006F40F2">
        <w:rPr>
          <w:highlight w:val="yellow"/>
        </w:rPr>
        <w:t xml:space="preserve"> Care Med 2019;20:262-268.</w:t>
      </w:r>
    </w:p>
    <w:p w14:paraId="7124A52D" w14:textId="5987B56D" w:rsidR="00BC2491" w:rsidRPr="006F40F2" w:rsidRDefault="00BC2491" w:rsidP="00BC2491">
      <w:pPr>
        <w:rPr>
          <w:highlight w:val="yellow"/>
        </w:rPr>
      </w:pPr>
      <w:r w:rsidRPr="006F40F2">
        <w:rPr>
          <w:highlight w:val="yellow"/>
        </w:rPr>
        <w:t xml:space="preserve">13. </w:t>
      </w:r>
      <w:proofErr w:type="spellStart"/>
      <w:r w:rsidRPr="006F40F2">
        <w:rPr>
          <w:highlight w:val="yellow"/>
        </w:rPr>
        <w:t>Roston</w:t>
      </w:r>
      <w:proofErr w:type="spellEnd"/>
      <w:r w:rsidRPr="006F40F2">
        <w:rPr>
          <w:highlight w:val="yellow"/>
        </w:rPr>
        <w:t xml:space="preserve"> TM, </w:t>
      </w:r>
      <w:proofErr w:type="spellStart"/>
      <w:r w:rsidRPr="006F40F2">
        <w:rPr>
          <w:highlight w:val="yellow"/>
        </w:rPr>
        <w:t>Guo</w:t>
      </w:r>
      <w:proofErr w:type="spellEnd"/>
      <w:r w:rsidRPr="006F40F2">
        <w:rPr>
          <w:highlight w:val="yellow"/>
        </w:rPr>
        <w:t xml:space="preserve"> W, Krahn AD, Wang R, Van </w:t>
      </w:r>
      <w:proofErr w:type="spellStart"/>
      <w:r w:rsidRPr="006F40F2">
        <w:rPr>
          <w:highlight w:val="yellow"/>
        </w:rPr>
        <w:t>Petegem</w:t>
      </w:r>
      <w:proofErr w:type="spellEnd"/>
      <w:r w:rsidRPr="006F40F2">
        <w:rPr>
          <w:highlight w:val="yellow"/>
        </w:rPr>
        <w:t xml:space="preserve"> F, </w:t>
      </w:r>
      <w:proofErr w:type="spellStart"/>
      <w:r w:rsidRPr="006F40F2">
        <w:rPr>
          <w:highlight w:val="yellow"/>
        </w:rPr>
        <w:t>Sanatani</w:t>
      </w:r>
      <w:proofErr w:type="spellEnd"/>
      <w:r w:rsidRPr="006F40F2">
        <w:rPr>
          <w:highlight w:val="yellow"/>
        </w:rPr>
        <w:t xml:space="preserve"> S, Chen SR, Lehman A. A novel RYR2 loss-of-function mutation (I4855M) is associated with left ventricular non-compaction and atypical </w:t>
      </w:r>
      <w:proofErr w:type="spellStart"/>
      <w:r w:rsidRPr="006F40F2">
        <w:rPr>
          <w:highlight w:val="yellow"/>
        </w:rPr>
        <w:t>catecholaminergic</w:t>
      </w:r>
      <w:proofErr w:type="spellEnd"/>
      <w:r w:rsidRPr="006F40F2">
        <w:rPr>
          <w:highlight w:val="yellow"/>
        </w:rPr>
        <w:t xml:space="preserve"> polymorphic ventricular tachycardia. J </w:t>
      </w:r>
      <w:proofErr w:type="spellStart"/>
      <w:r w:rsidRPr="006F40F2">
        <w:rPr>
          <w:highlight w:val="yellow"/>
        </w:rPr>
        <w:t>Electrocardiol</w:t>
      </w:r>
      <w:proofErr w:type="spellEnd"/>
      <w:r w:rsidRPr="006F40F2">
        <w:rPr>
          <w:highlight w:val="yellow"/>
        </w:rPr>
        <w:t xml:space="preserve"> 2017;50:227-233.</w:t>
      </w:r>
    </w:p>
    <w:p w14:paraId="7AB3AA1B" w14:textId="7E7D41FF" w:rsidR="00BC2491" w:rsidRPr="006F40F2" w:rsidRDefault="00BC2491" w:rsidP="00BC2491">
      <w:pPr>
        <w:rPr>
          <w:highlight w:val="yellow"/>
        </w:rPr>
      </w:pPr>
      <w:r w:rsidRPr="006F40F2">
        <w:rPr>
          <w:highlight w:val="yellow"/>
        </w:rPr>
        <w:lastRenderedPageBreak/>
        <w:t xml:space="preserve">14. </w:t>
      </w:r>
      <w:proofErr w:type="spellStart"/>
      <w:r w:rsidRPr="006F40F2">
        <w:rPr>
          <w:highlight w:val="yellow"/>
        </w:rPr>
        <w:t>Roston</w:t>
      </w:r>
      <w:proofErr w:type="spellEnd"/>
      <w:r w:rsidRPr="006F40F2">
        <w:rPr>
          <w:highlight w:val="yellow"/>
        </w:rPr>
        <w:t xml:space="preserve"> TM, </w:t>
      </w:r>
      <w:proofErr w:type="spellStart"/>
      <w:r w:rsidRPr="006F40F2">
        <w:rPr>
          <w:highlight w:val="yellow"/>
        </w:rPr>
        <w:t>AlAhmari</w:t>
      </w:r>
      <w:proofErr w:type="spellEnd"/>
      <w:r w:rsidRPr="006F40F2">
        <w:rPr>
          <w:highlight w:val="yellow"/>
        </w:rPr>
        <w:t xml:space="preserve"> L, Krahn AD, Sherwin E, </w:t>
      </w:r>
      <w:proofErr w:type="spellStart"/>
      <w:r w:rsidRPr="006F40F2">
        <w:rPr>
          <w:highlight w:val="yellow"/>
        </w:rPr>
        <w:t>Sanatani</w:t>
      </w:r>
      <w:proofErr w:type="spellEnd"/>
      <w:r w:rsidRPr="006F40F2">
        <w:rPr>
          <w:highlight w:val="yellow"/>
        </w:rPr>
        <w:t xml:space="preserve"> S. Choking-induced cardiac arrest unmasks a diagnosis of </w:t>
      </w:r>
      <w:proofErr w:type="spellStart"/>
      <w:r w:rsidRPr="006F40F2">
        <w:rPr>
          <w:highlight w:val="yellow"/>
        </w:rPr>
        <w:t>catecholaminergic</w:t>
      </w:r>
      <w:proofErr w:type="spellEnd"/>
      <w:r w:rsidRPr="006F40F2">
        <w:rPr>
          <w:highlight w:val="yellow"/>
        </w:rPr>
        <w:t xml:space="preserve"> polymorphic ventricular tachycardia. </w:t>
      </w:r>
      <w:proofErr w:type="spellStart"/>
      <w:r w:rsidRPr="006F40F2">
        <w:rPr>
          <w:highlight w:val="yellow"/>
        </w:rPr>
        <w:t>HeartRhythm</w:t>
      </w:r>
      <w:proofErr w:type="spellEnd"/>
      <w:r w:rsidRPr="006F40F2">
        <w:rPr>
          <w:highlight w:val="yellow"/>
        </w:rPr>
        <w:t xml:space="preserve"> Case Rep 2015;1:494-497. </w:t>
      </w:r>
    </w:p>
    <w:p w14:paraId="6E51E4B5" w14:textId="752A2D68" w:rsidR="00FE08B6" w:rsidRPr="006F40F2" w:rsidRDefault="00BC2491" w:rsidP="00FE08B6">
      <w:pPr>
        <w:rPr>
          <w:highlight w:val="yellow"/>
        </w:rPr>
      </w:pPr>
      <w:r w:rsidRPr="006F40F2">
        <w:rPr>
          <w:highlight w:val="yellow"/>
        </w:rPr>
        <w:t xml:space="preserve">15. </w:t>
      </w:r>
      <w:proofErr w:type="spellStart"/>
      <w:r w:rsidR="00FE08B6" w:rsidRPr="006F40F2">
        <w:rPr>
          <w:highlight w:val="yellow"/>
        </w:rPr>
        <w:t>Padfield</w:t>
      </w:r>
      <w:proofErr w:type="spellEnd"/>
      <w:r w:rsidR="00FE08B6" w:rsidRPr="006F40F2">
        <w:rPr>
          <w:highlight w:val="yellow"/>
        </w:rPr>
        <w:t xml:space="preserve"> GJ, </w:t>
      </w:r>
      <w:proofErr w:type="spellStart"/>
      <w:r w:rsidR="00FE08B6" w:rsidRPr="006F40F2">
        <w:rPr>
          <w:highlight w:val="yellow"/>
        </w:rPr>
        <w:t>AlAhmari</w:t>
      </w:r>
      <w:proofErr w:type="spellEnd"/>
      <w:r w:rsidR="00FE08B6" w:rsidRPr="006F40F2">
        <w:rPr>
          <w:highlight w:val="yellow"/>
        </w:rPr>
        <w:t xml:space="preserve"> L, Lieve KV, </w:t>
      </w:r>
      <w:proofErr w:type="spellStart"/>
      <w:r w:rsidR="00FE08B6" w:rsidRPr="006F40F2">
        <w:rPr>
          <w:highlight w:val="yellow"/>
        </w:rPr>
        <w:t>AlAhmari</w:t>
      </w:r>
      <w:proofErr w:type="spellEnd"/>
      <w:r w:rsidR="00FE08B6" w:rsidRPr="006F40F2">
        <w:rPr>
          <w:highlight w:val="yellow"/>
        </w:rPr>
        <w:t xml:space="preserve"> T, </w:t>
      </w:r>
      <w:proofErr w:type="spellStart"/>
      <w:r w:rsidR="00FE08B6" w:rsidRPr="006F40F2">
        <w:rPr>
          <w:highlight w:val="yellow"/>
        </w:rPr>
        <w:t>Roston</w:t>
      </w:r>
      <w:proofErr w:type="spellEnd"/>
      <w:r w:rsidR="00FE08B6" w:rsidRPr="006F40F2">
        <w:rPr>
          <w:highlight w:val="yellow"/>
        </w:rPr>
        <w:t xml:space="preserve"> TM, Wilde AA, Krahn AD, </w:t>
      </w:r>
      <w:proofErr w:type="spellStart"/>
      <w:r w:rsidR="00FE08B6" w:rsidRPr="006F40F2">
        <w:rPr>
          <w:highlight w:val="yellow"/>
        </w:rPr>
        <w:t>Sanatani</w:t>
      </w:r>
      <w:proofErr w:type="spellEnd"/>
      <w:r w:rsidR="00FE08B6" w:rsidRPr="006F40F2">
        <w:rPr>
          <w:highlight w:val="yellow"/>
        </w:rPr>
        <w:t xml:space="preserve"> S. </w:t>
      </w:r>
      <w:proofErr w:type="spellStart"/>
      <w:r w:rsidR="00FE08B6" w:rsidRPr="006F40F2">
        <w:rPr>
          <w:highlight w:val="yellow"/>
        </w:rPr>
        <w:t>Flecainide</w:t>
      </w:r>
      <w:proofErr w:type="spellEnd"/>
      <w:r w:rsidR="00FE08B6" w:rsidRPr="006F40F2">
        <w:rPr>
          <w:highlight w:val="yellow"/>
        </w:rPr>
        <w:t xml:space="preserve"> monotherapy is an option for selected patients with </w:t>
      </w:r>
      <w:proofErr w:type="spellStart"/>
      <w:r w:rsidR="00FE08B6" w:rsidRPr="006F40F2">
        <w:rPr>
          <w:highlight w:val="yellow"/>
        </w:rPr>
        <w:t>catecholaminergic</w:t>
      </w:r>
      <w:proofErr w:type="spellEnd"/>
      <w:r w:rsidR="00FE08B6" w:rsidRPr="006F40F2">
        <w:rPr>
          <w:highlight w:val="yellow"/>
        </w:rPr>
        <w:t xml:space="preserve"> polymorphic ventricular tachycardia intolerant of β-blockade. Heart Rhythm 2016;13:609-613. </w:t>
      </w:r>
    </w:p>
    <w:p w14:paraId="68468F20" w14:textId="068B6652" w:rsidR="00FE08B6" w:rsidRPr="006F40F2" w:rsidRDefault="00FE08B6" w:rsidP="00FE08B6">
      <w:pPr>
        <w:rPr>
          <w:highlight w:val="yellow"/>
        </w:rPr>
      </w:pPr>
      <w:r w:rsidRPr="006F40F2">
        <w:rPr>
          <w:highlight w:val="yellow"/>
        </w:rPr>
        <w:t xml:space="preserve">16. Cheung CC, Lieve KV, </w:t>
      </w:r>
      <w:proofErr w:type="spellStart"/>
      <w:r w:rsidRPr="006F40F2">
        <w:rPr>
          <w:highlight w:val="yellow"/>
        </w:rPr>
        <w:t>Roston</w:t>
      </w:r>
      <w:proofErr w:type="spellEnd"/>
      <w:r w:rsidRPr="006F40F2">
        <w:rPr>
          <w:highlight w:val="yellow"/>
        </w:rPr>
        <w:t xml:space="preserve"> TM, van der Ree MH, </w:t>
      </w:r>
      <w:proofErr w:type="spellStart"/>
      <w:r w:rsidRPr="006F40F2">
        <w:rPr>
          <w:highlight w:val="yellow"/>
        </w:rPr>
        <w:t>Deyell</w:t>
      </w:r>
      <w:proofErr w:type="spellEnd"/>
      <w:r w:rsidRPr="006F40F2">
        <w:rPr>
          <w:highlight w:val="yellow"/>
        </w:rPr>
        <w:t xml:space="preserve"> MW, Andrade JG, </w:t>
      </w:r>
      <w:proofErr w:type="spellStart"/>
      <w:r w:rsidRPr="006F40F2">
        <w:rPr>
          <w:highlight w:val="yellow"/>
        </w:rPr>
        <w:t>Laksman</w:t>
      </w:r>
      <w:proofErr w:type="spellEnd"/>
      <w:r w:rsidRPr="006F40F2">
        <w:rPr>
          <w:highlight w:val="yellow"/>
        </w:rPr>
        <w:t xml:space="preserve"> ZW, Nannenberg EA, </w:t>
      </w:r>
      <w:proofErr w:type="spellStart"/>
      <w:r w:rsidRPr="006F40F2">
        <w:rPr>
          <w:highlight w:val="yellow"/>
        </w:rPr>
        <w:t>Tadros</w:t>
      </w:r>
      <w:proofErr w:type="spellEnd"/>
      <w:r w:rsidRPr="006F40F2">
        <w:rPr>
          <w:highlight w:val="yellow"/>
        </w:rPr>
        <w:t xml:space="preserve"> R, Pang B, </w:t>
      </w:r>
      <w:proofErr w:type="spellStart"/>
      <w:r w:rsidRPr="006F40F2">
        <w:rPr>
          <w:highlight w:val="yellow"/>
        </w:rPr>
        <w:t>Rutberg</w:t>
      </w:r>
      <w:proofErr w:type="spellEnd"/>
      <w:r w:rsidRPr="006F40F2">
        <w:rPr>
          <w:highlight w:val="yellow"/>
        </w:rPr>
        <w:t xml:space="preserve"> J, Green M4, </w:t>
      </w:r>
      <w:proofErr w:type="spellStart"/>
      <w:r w:rsidRPr="006F40F2">
        <w:rPr>
          <w:highlight w:val="yellow"/>
        </w:rPr>
        <w:t>Conacher</w:t>
      </w:r>
      <w:proofErr w:type="spellEnd"/>
      <w:r w:rsidRPr="006F40F2">
        <w:rPr>
          <w:highlight w:val="yellow"/>
        </w:rPr>
        <w:t xml:space="preserve"> S, </w:t>
      </w:r>
      <w:proofErr w:type="spellStart"/>
      <w:r w:rsidRPr="006F40F2">
        <w:rPr>
          <w:highlight w:val="yellow"/>
        </w:rPr>
        <w:t>Seifer</w:t>
      </w:r>
      <w:proofErr w:type="spellEnd"/>
      <w:r w:rsidRPr="006F40F2">
        <w:rPr>
          <w:highlight w:val="yellow"/>
        </w:rPr>
        <w:t xml:space="preserve"> CM, Roberts JD, Steinberg C, </w:t>
      </w:r>
      <w:proofErr w:type="spellStart"/>
      <w:r w:rsidRPr="006F40F2">
        <w:rPr>
          <w:highlight w:val="yellow"/>
        </w:rPr>
        <w:t>Sanatani</w:t>
      </w:r>
      <w:proofErr w:type="spellEnd"/>
      <w:r w:rsidRPr="006F40F2">
        <w:rPr>
          <w:highlight w:val="yellow"/>
        </w:rPr>
        <w:t xml:space="preserve"> S, Wilde AA, Krahn AD. Pregnancy in </w:t>
      </w:r>
      <w:proofErr w:type="spellStart"/>
      <w:r w:rsidRPr="006F40F2">
        <w:rPr>
          <w:highlight w:val="yellow"/>
        </w:rPr>
        <w:t>catecholaminergic</w:t>
      </w:r>
      <w:proofErr w:type="spellEnd"/>
      <w:r w:rsidRPr="006F40F2">
        <w:rPr>
          <w:highlight w:val="yellow"/>
        </w:rPr>
        <w:t xml:space="preserve"> polymorphic ventricular tachycardia. JACC </w:t>
      </w:r>
      <w:proofErr w:type="spellStart"/>
      <w:r w:rsidRPr="006F40F2">
        <w:rPr>
          <w:highlight w:val="yellow"/>
        </w:rPr>
        <w:t>Clin</w:t>
      </w:r>
      <w:proofErr w:type="spellEnd"/>
      <w:r w:rsidRPr="006F40F2">
        <w:rPr>
          <w:highlight w:val="yellow"/>
        </w:rPr>
        <w:t xml:space="preserve"> </w:t>
      </w:r>
      <w:proofErr w:type="spellStart"/>
      <w:r w:rsidRPr="006F40F2">
        <w:rPr>
          <w:highlight w:val="yellow"/>
        </w:rPr>
        <w:t>Electrophysiol</w:t>
      </w:r>
      <w:proofErr w:type="spellEnd"/>
      <w:r w:rsidRPr="006F40F2">
        <w:rPr>
          <w:highlight w:val="yellow"/>
        </w:rPr>
        <w:t xml:space="preserve"> 2019;5:387-394.</w:t>
      </w:r>
    </w:p>
    <w:p w14:paraId="72E98134" w14:textId="4B91351B" w:rsidR="00FE08B6" w:rsidRPr="006F40F2" w:rsidRDefault="00FE08B6" w:rsidP="00FE08B6">
      <w:pPr>
        <w:rPr>
          <w:highlight w:val="yellow"/>
        </w:rPr>
      </w:pPr>
      <w:r w:rsidRPr="00DB156F">
        <w:rPr>
          <w:highlight w:val="yellow"/>
        </w:rPr>
        <w:t xml:space="preserve">17. </w:t>
      </w:r>
      <w:proofErr w:type="spellStart"/>
      <w:r w:rsidRPr="00DB156F">
        <w:rPr>
          <w:highlight w:val="yellow"/>
        </w:rPr>
        <w:t>Broendberg</w:t>
      </w:r>
      <w:proofErr w:type="spellEnd"/>
      <w:r w:rsidRPr="00DB156F">
        <w:rPr>
          <w:highlight w:val="yellow"/>
        </w:rPr>
        <w:t xml:space="preserve"> AK, Nielsen JC, </w:t>
      </w:r>
      <w:proofErr w:type="spellStart"/>
      <w:r w:rsidRPr="00DB156F">
        <w:rPr>
          <w:highlight w:val="yellow"/>
        </w:rPr>
        <w:t>Bjerre</w:t>
      </w:r>
      <w:proofErr w:type="spellEnd"/>
      <w:r w:rsidRPr="00DB156F">
        <w:rPr>
          <w:highlight w:val="yellow"/>
        </w:rPr>
        <w:t xml:space="preserve"> J, Pedersen LN, </w:t>
      </w:r>
      <w:proofErr w:type="spellStart"/>
      <w:r w:rsidRPr="00DB156F">
        <w:rPr>
          <w:highlight w:val="yellow"/>
        </w:rPr>
        <w:t>Kristensen</w:t>
      </w:r>
      <w:proofErr w:type="spellEnd"/>
      <w:r w:rsidRPr="00DB156F">
        <w:rPr>
          <w:highlight w:val="yellow"/>
        </w:rPr>
        <w:t xml:space="preserve"> J, </w:t>
      </w:r>
      <w:proofErr w:type="spellStart"/>
      <w:r w:rsidRPr="00DB156F">
        <w:rPr>
          <w:highlight w:val="yellow"/>
        </w:rPr>
        <w:t>Henriksen</w:t>
      </w:r>
      <w:proofErr w:type="spellEnd"/>
      <w:r w:rsidRPr="00DB156F">
        <w:rPr>
          <w:highlight w:val="yellow"/>
        </w:rPr>
        <w:t xml:space="preserve"> FL, </w:t>
      </w:r>
      <w:proofErr w:type="spellStart"/>
      <w:r w:rsidRPr="00DB156F">
        <w:rPr>
          <w:highlight w:val="yellow"/>
        </w:rPr>
        <w:t>Bundgaard</w:t>
      </w:r>
      <w:proofErr w:type="spellEnd"/>
      <w:r w:rsidRPr="00DB156F">
        <w:rPr>
          <w:highlight w:val="yellow"/>
        </w:rPr>
        <w:t xml:space="preserve"> H, Jensen HK. </w:t>
      </w:r>
      <w:r w:rsidRPr="006F40F2">
        <w:rPr>
          <w:highlight w:val="yellow"/>
        </w:rPr>
        <w:t xml:space="preserve">Nationwide experience of </w:t>
      </w:r>
      <w:proofErr w:type="spellStart"/>
      <w:r w:rsidRPr="006F40F2">
        <w:rPr>
          <w:highlight w:val="yellow"/>
        </w:rPr>
        <w:t>catecholaminergic</w:t>
      </w:r>
      <w:proofErr w:type="spellEnd"/>
      <w:r w:rsidRPr="006F40F2">
        <w:rPr>
          <w:highlight w:val="yellow"/>
        </w:rPr>
        <w:t xml:space="preserve"> polymorphic ventricular tachycardia caused by RyR2 mutations. Heart 2017;103:901-909. </w:t>
      </w:r>
    </w:p>
    <w:p w14:paraId="19781068" w14:textId="2E657936" w:rsidR="00810ECA" w:rsidRPr="006F40F2" w:rsidRDefault="00810ECA" w:rsidP="00810ECA">
      <w:pPr>
        <w:rPr>
          <w:highlight w:val="yellow"/>
        </w:rPr>
      </w:pPr>
      <w:r w:rsidRPr="006F40F2">
        <w:rPr>
          <w:highlight w:val="yellow"/>
        </w:rPr>
        <w:t xml:space="preserve">18. </w:t>
      </w:r>
      <w:proofErr w:type="spellStart"/>
      <w:r w:rsidRPr="006F40F2">
        <w:rPr>
          <w:highlight w:val="yellow"/>
        </w:rPr>
        <w:t>Sy</w:t>
      </w:r>
      <w:proofErr w:type="spellEnd"/>
      <w:r w:rsidRPr="006F40F2">
        <w:rPr>
          <w:highlight w:val="yellow"/>
        </w:rPr>
        <w:t xml:space="preserve"> RW, </w:t>
      </w:r>
      <w:proofErr w:type="spellStart"/>
      <w:r w:rsidRPr="006F40F2">
        <w:rPr>
          <w:highlight w:val="yellow"/>
        </w:rPr>
        <w:t>Gollob</w:t>
      </w:r>
      <w:proofErr w:type="spellEnd"/>
      <w:r w:rsidRPr="006F40F2">
        <w:rPr>
          <w:highlight w:val="yellow"/>
        </w:rPr>
        <w:t xml:space="preserve"> MH, Klein GJ, Yee R, </w:t>
      </w:r>
      <w:proofErr w:type="spellStart"/>
      <w:r w:rsidRPr="006F40F2">
        <w:rPr>
          <w:highlight w:val="yellow"/>
        </w:rPr>
        <w:t>Skanes</w:t>
      </w:r>
      <w:proofErr w:type="spellEnd"/>
      <w:r w:rsidRPr="006F40F2">
        <w:rPr>
          <w:highlight w:val="yellow"/>
        </w:rPr>
        <w:t xml:space="preserve"> AC, </w:t>
      </w:r>
      <w:proofErr w:type="spellStart"/>
      <w:r w:rsidRPr="006F40F2">
        <w:rPr>
          <w:highlight w:val="yellow"/>
        </w:rPr>
        <w:t>Gula</w:t>
      </w:r>
      <w:proofErr w:type="spellEnd"/>
      <w:r w:rsidRPr="006F40F2">
        <w:rPr>
          <w:highlight w:val="yellow"/>
        </w:rPr>
        <w:t xml:space="preserve"> LJ, Leong-Sit P, </w:t>
      </w:r>
      <w:proofErr w:type="spellStart"/>
      <w:r w:rsidRPr="006F40F2">
        <w:rPr>
          <w:highlight w:val="yellow"/>
        </w:rPr>
        <w:t>Gow</w:t>
      </w:r>
      <w:proofErr w:type="spellEnd"/>
      <w:r w:rsidRPr="006F40F2">
        <w:rPr>
          <w:highlight w:val="yellow"/>
        </w:rPr>
        <w:t xml:space="preserve"> RM, Green MS, </w:t>
      </w:r>
      <w:proofErr w:type="spellStart"/>
      <w:r w:rsidRPr="006F40F2">
        <w:rPr>
          <w:highlight w:val="yellow"/>
        </w:rPr>
        <w:t>Birnie</w:t>
      </w:r>
      <w:proofErr w:type="spellEnd"/>
      <w:r w:rsidRPr="006F40F2">
        <w:rPr>
          <w:highlight w:val="yellow"/>
        </w:rPr>
        <w:t xml:space="preserve"> DH, Krahn AD. Arrhythmia characterization and long-term outcomes in </w:t>
      </w:r>
      <w:proofErr w:type="spellStart"/>
      <w:r w:rsidRPr="006F40F2">
        <w:rPr>
          <w:highlight w:val="yellow"/>
        </w:rPr>
        <w:t>catecholaminergic</w:t>
      </w:r>
      <w:proofErr w:type="spellEnd"/>
      <w:r w:rsidRPr="006F40F2">
        <w:rPr>
          <w:highlight w:val="yellow"/>
        </w:rPr>
        <w:t xml:space="preserve"> polymorphic ventricular tachycardia. Heart Rhythm 2011;8:864-871. </w:t>
      </w:r>
    </w:p>
    <w:p w14:paraId="65EF0A5C" w14:textId="37169E1B" w:rsidR="00CA58FB" w:rsidRPr="00DB156F" w:rsidRDefault="00810ECA" w:rsidP="00CA58FB">
      <w:pPr>
        <w:rPr>
          <w:highlight w:val="yellow"/>
          <w:lang w:val="nl-NL"/>
        </w:rPr>
      </w:pPr>
      <w:r w:rsidRPr="006F40F2">
        <w:rPr>
          <w:highlight w:val="yellow"/>
        </w:rPr>
        <w:t xml:space="preserve">19. </w:t>
      </w:r>
      <w:proofErr w:type="spellStart"/>
      <w:r w:rsidR="00CA58FB" w:rsidRPr="006F40F2">
        <w:rPr>
          <w:highlight w:val="yellow"/>
        </w:rPr>
        <w:t>Tülümen</w:t>
      </w:r>
      <w:proofErr w:type="spellEnd"/>
      <w:r w:rsidR="00CA58FB" w:rsidRPr="006F40F2">
        <w:rPr>
          <w:highlight w:val="yellow"/>
        </w:rPr>
        <w:t xml:space="preserve"> E, Schulze-Bahr E, </w:t>
      </w:r>
      <w:proofErr w:type="spellStart"/>
      <w:r w:rsidR="00CA58FB" w:rsidRPr="006F40F2">
        <w:rPr>
          <w:highlight w:val="yellow"/>
        </w:rPr>
        <w:t>Zumhagen</w:t>
      </w:r>
      <w:proofErr w:type="spellEnd"/>
      <w:r w:rsidR="00CA58FB" w:rsidRPr="006F40F2">
        <w:rPr>
          <w:highlight w:val="yellow"/>
        </w:rPr>
        <w:t xml:space="preserve"> S, </w:t>
      </w:r>
      <w:proofErr w:type="spellStart"/>
      <w:r w:rsidR="00CA58FB" w:rsidRPr="006F40F2">
        <w:rPr>
          <w:highlight w:val="yellow"/>
        </w:rPr>
        <w:t>Stallmeyer</w:t>
      </w:r>
      <w:proofErr w:type="spellEnd"/>
      <w:r w:rsidR="00CA58FB" w:rsidRPr="006F40F2">
        <w:rPr>
          <w:highlight w:val="yellow"/>
        </w:rPr>
        <w:t xml:space="preserve"> B, </w:t>
      </w:r>
      <w:proofErr w:type="spellStart"/>
      <w:r w:rsidR="00CA58FB" w:rsidRPr="006F40F2">
        <w:rPr>
          <w:highlight w:val="yellow"/>
        </w:rPr>
        <w:t>Seebohm</w:t>
      </w:r>
      <w:proofErr w:type="spellEnd"/>
      <w:r w:rsidR="00CA58FB" w:rsidRPr="006F40F2">
        <w:rPr>
          <w:highlight w:val="yellow"/>
        </w:rPr>
        <w:t xml:space="preserve"> G, Beckmann BM, </w:t>
      </w:r>
      <w:proofErr w:type="spellStart"/>
      <w:r w:rsidR="00CA58FB" w:rsidRPr="006F40F2">
        <w:rPr>
          <w:highlight w:val="yellow"/>
        </w:rPr>
        <w:t>Kääb</w:t>
      </w:r>
      <w:proofErr w:type="spellEnd"/>
      <w:r w:rsidR="00CA58FB" w:rsidRPr="006F40F2">
        <w:rPr>
          <w:highlight w:val="yellow"/>
        </w:rPr>
        <w:t xml:space="preserve"> S, Rudic B, </w:t>
      </w:r>
      <w:proofErr w:type="spellStart"/>
      <w:r w:rsidR="00CA58FB" w:rsidRPr="006F40F2">
        <w:rPr>
          <w:highlight w:val="yellow"/>
        </w:rPr>
        <w:t>Liebe</w:t>
      </w:r>
      <w:proofErr w:type="spellEnd"/>
      <w:r w:rsidR="00CA58FB" w:rsidRPr="006F40F2">
        <w:rPr>
          <w:highlight w:val="yellow"/>
        </w:rPr>
        <w:t xml:space="preserve"> V, </w:t>
      </w:r>
      <w:proofErr w:type="spellStart"/>
      <w:r w:rsidR="00CA58FB" w:rsidRPr="006F40F2">
        <w:rPr>
          <w:highlight w:val="yellow"/>
        </w:rPr>
        <w:t>Wolpert</w:t>
      </w:r>
      <w:proofErr w:type="spellEnd"/>
      <w:r w:rsidR="00CA58FB" w:rsidRPr="006F40F2">
        <w:rPr>
          <w:highlight w:val="yellow"/>
        </w:rPr>
        <w:t xml:space="preserve"> C, Herrera-</w:t>
      </w:r>
      <w:proofErr w:type="spellStart"/>
      <w:r w:rsidR="00CA58FB" w:rsidRPr="006F40F2">
        <w:rPr>
          <w:highlight w:val="yellow"/>
        </w:rPr>
        <w:t>Siklody</w:t>
      </w:r>
      <w:proofErr w:type="spellEnd"/>
      <w:r w:rsidR="00CA58FB" w:rsidRPr="006F40F2">
        <w:rPr>
          <w:highlight w:val="yellow"/>
        </w:rPr>
        <w:t xml:space="preserve"> C, </w:t>
      </w:r>
      <w:proofErr w:type="spellStart"/>
      <w:r w:rsidR="00CA58FB" w:rsidRPr="006F40F2">
        <w:rPr>
          <w:highlight w:val="yellow"/>
        </w:rPr>
        <w:t>Veltmann</w:t>
      </w:r>
      <w:proofErr w:type="spellEnd"/>
      <w:r w:rsidR="00CA58FB" w:rsidRPr="006F40F2">
        <w:rPr>
          <w:highlight w:val="yellow"/>
        </w:rPr>
        <w:t xml:space="preserve"> C, </w:t>
      </w:r>
      <w:proofErr w:type="spellStart"/>
      <w:r w:rsidR="00CA58FB" w:rsidRPr="006F40F2">
        <w:rPr>
          <w:highlight w:val="yellow"/>
        </w:rPr>
        <w:t>Schimpf</w:t>
      </w:r>
      <w:proofErr w:type="spellEnd"/>
      <w:r w:rsidR="00CA58FB" w:rsidRPr="006F40F2">
        <w:rPr>
          <w:highlight w:val="yellow"/>
        </w:rPr>
        <w:t xml:space="preserve"> R, Borggrefe M. Early repolarization pattern: a marker of increased risk in patients with </w:t>
      </w:r>
      <w:proofErr w:type="spellStart"/>
      <w:r w:rsidR="00CA58FB" w:rsidRPr="006F40F2">
        <w:rPr>
          <w:highlight w:val="yellow"/>
        </w:rPr>
        <w:t>catecholaminergic</w:t>
      </w:r>
      <w:proofErr w:type="spellEnd"/>
      <w:r w:rsidR="00CA58FB" w:rsidRPr="006F40F2">
        <w:rPr>
          <w:highlight w:val="yellow"/>
        </w:rPr>
        <w:t xml:space="preserve"> polymorphic ventricular tachycardia. </w:t>
      </w:r>
      <w:r w:rsidR="00CA58FB" w:rsidRPr="00DB156F">
        <w:rPr>
          <w:highlight w:val="yellow"/>
          <w:lang w:val="nl-NL"/>
        </w:rPr>
        <w:t xml:space="preserve">Europace 2016;18:1587-1592. </w:t>
      </w:r>
    </w:p>
    <w:p w14:paraId="79BC4A12" w14:textId="0D95C8FF" w:rsidR="00CA58FB" w:rsidRPr="006F40F2" w:rsidRDefault="00CA58FB" w:rsidP="00CA58FB">
      <w:pPr>
        <w:rPr>
          <w:highlight w:val="yellow"/>
        </w:rPr>
      </w:pPr>
      <w:r w:rsidRPr="006F40F2">
        <w:rPr>
          <w:highlight w:val="yellow"/>
          <w:lang w:val="nl-NL"/>
        </w:rPr>
        <w:t xml:space="preserve">20. </w:t>
      </w:r>
      <w:r w:rsidR="00C2767A" w:rsidRPr="006F40F2">
        <w:rPr>
          <w:highlight w:val="yellow"/>
          <w:lang w:val="nl-NL"/>
        </w:rPr>
        <w:t xml:space="preserve">Haugaa KH, Leren IS, Berge KE, </w:t>
      </w:r>
      <w:proofErr w:type="spellStart"/>
      <w:r w:rsidR="00C2767A" w:rsidRPr="006F40F2">
        <w:rPr>
          <w:highlight w:val="yellow"/>
          <w:lang w:val="nl-NL"/>
        </w:rPr>
        <w:t>Bathen</w:t>
      </w:r>
      <w:proofErr w:type="spellEnd"/>
      <w:r w:rsidR="00C2767A" w:rsidRPr="006F40F2">
        <w:rPr>
          <w:highlight w:val="yellow"/>
          <w:lang w:val="nl-NL"/>
        </w:rPr>
        <w:t xml:space="preserve"> J, </w:t>
      </w:r>
      <w:proofErr w:type="spellStart"/>
      <w:r w:rsidR="00C2767A" w:rsidRPr="006F40F2">
        <w:rPr>
          <w:highlight w:val="yellow"/>
          <w:lang w:val="nl-NL"/>
        </w:rPr>
        <w:t>Loennechen</w:t>
      </w:r>
      <w:proofErr w:type="spellEnd"/>
      <w:r w:rsidR="00C2767A" w:rsidRPr="006F40F2">
        <w:rPr>
          <w:highlight w:val="yellow"/>
          <w:lang w:val="nl-NL"/>
        </w:rPr>
        <w:t xml:space="preserve"> JP, </w:t>
      </w:r>
      <w:proofErr w:type="spellStart"/>
      <w:r w:rsidR="00C2767A" w:rsidRPr="006F40F2">
        <w:rPr>
          <w:highlight w:val="yellow"/>
          <w:lang w:val="nl-NL"/>
        </w:rPr>
        <w:t>Anfinsen</w:t>
      </w:r>
      <w:proofErr w:type="spellEnd"/>
      <w:r w:rsidR="00C2767A" w:rsidRPr="006F40F2">
        <w:rPr>
          <w:highlight w:val="yellow"/>
          <w:lang w:val="nl-NL"/>
        </w:rPr>
        <w:t xml:space="preserve"> OG, </w:t>
      </w:r>
      <w:proofErr w:type="spellStart"/>
      <w:r w:rsidR="00C2767A" w:rsidRPr="006F40F2">
        <w:rPr>
          <w:highlight w:val="yellow"/>
          <w:lang w:val="nl-NL"/>
        </w:rPr>
        <w:t>Früh</w:t>
      </w:r>
      <w:proofErr w:type="spellEnd"/>
      <w:r w:rsidR="00C2767A" w:rsidRPr="006F40F2">
        <w:rPr>
          <w:highlight w:val="yellow"/>
          <w:lang w:val="nl-NL"/>
        </w:rPr>
        <w:t xml:space="preserve"> A, </w:t>
      </w:r>
      <w:proofErr w:type="spellStart"/>
      <w:r w:rsidR="00C2767A" w:rsidRPr="006F40F2">
        <w:rPr>
          <w:highlight w:val="yellow"/>
          <w:lang w:val="nl-NL"/>
        </w:rPr>
        <w:t>Edvardsen</w:t>
      </w:r>
      <w:proofErr w:type="spellEnd"/>
      <w:r w:rsidR="00C2767A" w:rsidRPr="006F40F2">
        <w:rPr>
          <w:highlight w:val="yellow"/>
          <w:lang w:val="nl-NL"/>
        </w:rPr>
        <w:t xml:space="preserve"> T, </w:t>
      </w:r>
      <w:proofErr w:type="spellStart"/>
      <w:r w:rsidR="00C2767A" w:rsidRPr="006F40F2">
        <w:rPr>
          <w:highlight w:val="yellow"/>
          <w:lang w:val="nl-NL"/>
        </w:rPr>
        <w:t>Kongsgård</w:t>
      </w:r>
      <w:proofErr w:type="spellEnd"/>
      <w:r w:rsidR="00C2767A" w:rsidRPr="006F40F2">
        <w:rPr>
          <w:highlight w:val="yellow"/>
          <w:lang w:val="nl-NL"/>
        </w:rPr>
        <w:t xml:space="preserve"> E, Leren TP, </w:t>
      </w:r>
      <w:proofErr w:type="spellStart"/>
      <w:r w:rsidR="00C2767A" w:rsidRPr="006F40F2">
        <w:rPr>
          <w:highlight w:val="yellow"/>
          <w:lang w:val="nl-NL"/>
        </w:rPr>
        <w:t>Amlie</w:t>
      </w:r>
      <w:proofErr w:type="spellEnd"/>
      <w:r w:rsidR="00C2767A" w:rsidRPr="006F40F2">
        <w:rPr>
          <w:highlight w:val="yellow"/>
          <w:lang w:val="nl-NL"/>
        </w:rPr>
        <w:t xml:space="preserve"> JP. </w:t>
      </w:r>
      <w:proofErr w:type="spellStart"/>
      <w:r w:rsidR="00C2767A" w:rsidRPr="006F40F2">
        <w:rPr>
          <w:highlight w:val="yellow"/>
        </w:rPr>
        <w:t>Europace</w:t>
      </w:r>
      <w:proofErr w:type="spellEnd"/>
      <w:r w:rsidR="00C2767A" w:rsidRPr="006F40F2">
        <w:rPr>
          <w:highlight w:val="yellow"/>
        </w:rPr>
        <w:t xml:space="preserve"> 2010;12:417-423.</w:t>
      </w:r>
    </w:p>
    <w:p w14:paraId="464C939C" w14:textId="78C52A14" w:rsidR="00C2767A" w:rsidRPr="006F40F2" w:rsidRDefault="00C2767A" w:rsidP="00CA58FB">
      <w:pPr>
        <w:rPr>
          <w:highlight w:val="yellow"/>
        </w:rPr>
      </w:pPr>
      <w:r w:rsidRPr="006F40F2">
        <w:rPr>
          <w:highlight w:val="yellow"/>
        </w:rPr>
        <w:t xml:space="preserve">21. Leren IS, </w:t>
      </w:r>
      <w:proofErr w:type="spellStart"/>
      <w:r w:rsidRPr="006F40F2">
        <w:rPr>
          <w:highlight w:val="yellow"/>
        </w:rPr>
        <w:t>Saberniak</w:t>
      </w:r>
      <w:proofErr w:type="spellEnd"/>
      <w:r w:rsidRPr="006F40F2">
        <w:rPr>
          <w:highlight w:val="yellow"/>
        </w:rPr>
        <w:t xml:space="preserve"> J, Majid E, </w:t>
      </w:r>
      <w:proofErr w:type="spellStart"/>
      <w:r w:rsidRPr="006F40F2">
        <w:rPr>
          <w:highlight w:val="yellow"/>
        </w:rPr>
        <w:t>Haland</w:t>
      </w:r>
      <w:proofErr w:type="spellEnd"/>
      <w:r w:rsidRPr="006F40F2">
        <w:rPr>
          <w:highlight w:val="yellow"/>
        </w:rPr>
        <w:t xml:space="preserve"> TF, </w:t>
      </w:r>
      <w:proofErr w:type="spellStart"/>
      <w:r w:rsidRPr="006F40F2">
        <w:rPr>
          <w:highlight w:val="yellow"/>
        </w:rPr>
        <w:t>Edvardsen</w:t>
      </w:r>
      <w:proofErr w:type="spellEnd"/>
      <w:r w:rsidRPr="006F40F2">
        <w:rPr>
          <w:highlight w:val="yellow"/>
        </w:rPr>
        <w:t xml:space="preserve"> T, Haugaa KH. </w:t>
      </w:r>
      <w:proofErr w:type="spellStart"/>
      <w:r w:rsidRPr="006F40F2">
        <w:rPr>
          <w:highlight w:val="yellow"/>
        </w:rPr>
        <w:t>Nadolol</w:t>
      </w:r>
      <w:proofErr w:type="spellEnd"/>
      <w:r w:rsidRPr="006F40F2">
        <w:rPr>
          <w:highlight w:val="yellow"/>
        </w:rPr>
        <w:t xml:space="preserve"> decreases the incidence and severity of ventricular arrhythmias during exercise stress testing compared with β1-selective β-blockers in patients with </w:t>
      </w:r>
      <w:proofErr w:type="spellStart"/>
      <w:r w:rsidRPr="006F40F2">
        <w:rPr>
          <w:highlight w:val="yellow"/>
        </w:rPr>
        <w:t>catecholaminergic</w:t>
      </w:r>
      <w:proofErr w:type="spellEnd"/>
      <w:r w:rsidRPr="006F40F2">
        <w:rPr>
          <w:highlight w:val="yellow"/>
        </w:rPr>
        <w:t xml:space="preserve"> polymorphic ventricular tachycardia. Heart Rhythm 2016;13:433–440.</w:t>
      </w:r>
    </w:p>
    <w:p w14:paraId="7A1EE697" w14:textId="457DFEE0" w:rsidR="00C2767A" w:rsidRPr="006F40F2" w:rsidRDefault="00C2767A" w:rsidP="00C2767A">
      <w:pPr>
        <w:rPr>
          <w:highlight w:val="yellow"/>
        </w:rPr>
      </w:pPr>
      <w:r w:rsidRPr="006F40F2">
        <w:rPr>
          <w:highlight w:val="yellow"/>
        </w:rPr>
        <w:lastRenderedPageBreak/>
        <w:t xml:space="preserve">22. Lieve KV, </w:t>
      </w:r>
      <w:proofErr w:type="spellStart"/>
      <w:r w:rsidRPr="006F40F2">
        <w:rPr>
          <w:highlight w:val="yellow"/>
        </w:rPr>
        <w:t>Verhagen</w:t>
      </w:r>
      <w:proofErr w:type="spellEnd"/>
      <w:r w:rsidRPr="006F40F2">
        <w:rPr>
          <w:highlight w:val="yellow"/>
        </w:rPr>
        <w:t xml:space="preserve"> JM, Wei J, Bos JM, van der Werf C, Rosés I Noguer F, Mancini GM, </w:t>
      </w:r>
      <w:proofErr w:type="spellStart"/>
      <w:r w:rsidRPr="006F40F2">
        <w:rPr>
          <w:highlight w:val="yellow"/>
        </w:rPr>
        <w:t>Guo</w:t>
      </w:r>
      <w:proofErr w:type="spellEnd"/>
      <w:r w:rsidRPr="006F40F2">
        <w:rPr>
          <w:highlight w:val="yellow"/>
        </w:rPr>
        <w:t xml:space="preserve"> W, Wang R, van den Heuvel F, </w:t>
      </w:r>
      <w:proofErr w:type="spellStart"/>
      <w:r w:rsidRPr="006F40F2">
        <w:rPr>
          <w:highlight w:val="yellow"/>
        </w:rPr>
        <w:t>Frohn</w:t>
      </w:r>
      <w:proofErr w:type="spellEnd"/>
      <w:r w:rsidRPr="006F40F2">
        <w:rPr>
          <w:highlight w:val="yellow"/>
        </w:rPr>
        <w:t xml:space="preserve">-Mulder IM, Shimizu W, </w:t>
      </w:r>
      <w:proofErr w:type="spellStart"/>
      <w:r w:rsidRPr="006F40F2">
        <w:rPr>
          <w:highlight w:val="yellow"/>
        </w:rPr>
        <w:t>Nogami</w:t>
      </w:r>
      <w:proofErr w:type="spellEnd"/>
      <w:r w:rsidRPr="006F40F2">
        <w:rPr>
          <w:highlight w:val="yellow"/>
        </w:rPr>
        <w:t xml:space="preserve"> A, </w:t>
      </w:r>
      <w:proofErr w:type="spellStart"/>
      <w:r w:rsidRPr="006F40F2">
        <w:rPr>
          <w:highlight w:val="yellow"/>
        </w:rPr>
        <w:t>Horigome</w:t>
      </w:r>
      <w:proofErr w:type="spellEnd"/>
      <w:r w:rsidRPr="006F40F2">
        <w:rPr>
          <w:highlight w:val="yellow"/>
        </w:rPr>
        <w:t xml:space="preserve"> H, Roberts JD, </w:t>
      </w:r>
      <w:proofErr w:type="spellStart"/>
      <w:r w:rsidRPr="006F40F2">
        <w:rPr>
          <w:highlight w:val="yellow"/>
        </w:rPr>
        <w:t>Leenhardt</w:t>
      </w:r>
      <w:proofErr w:type="spellEnd"/>
      <w:r w:rsidRPr="006F40F2">
        <w:rPr>
          <w:highlight w:val="yellow"/>
        </w:rPr>
        <w:t xml:space="preserve"> A, </w:t>
      </w:r>
      <w:proofErr w:type="spellStart"/>
      <w:r w:rsidRPr="006F40F2">
        <w:rPr>
          <w:highlight w:val="yellow"/>
        </w:rPr>
        <w:t>Crijns</w:t>
      </w:r>
      <w:proofErr w:type="spellEnd"/>
      <w:r w:rsidRPr="006F40F2">
        <w:rPr>
          <w:highlight w:val="yellow"/>
        </w:rPr>
        <w:t xml:space="preserve"> HJ, Blank AC, </w:t>
      </w:r>
      <w:proofErr w:type="spellStart"/>
      <w:r w:rsidRPr="006F40F2">
        <w:rPr>
          <w:highlight w:val="yellow"/>
        </w:rPr>
        <w:t>Aiba</w:t>
      </w:r>
      <w:proofErr w:type="spellEnd"/>
      <w:r w:rsidRPr="006F40F2">
        <w:rPr>
          <w:highlight w:val="yellow"/>
        </w:rPr>
        <w:t xml:space="preserve"> T, </w:t>
      </w:r>
      <w:proofErr w:type="spellStart"/>
      <w:r w:rsidRPr="006F40F2">
        <w:rPr>
          <w:highlight w:val="yellow"/>
        </w:rPr>
        <w:t>Wiesfeld</w:t>
      </w:r>
      <w:proofErr w:type="spellEnd"/>
      <w:r w:rsidRPr="006F40F2">
        <w:rPr>
          <w:highlight w:val="yellow"/>
        </w:rPr>
        <w:t xml:space="preserve"> AC, Blom NA, Sumitomo N, Till J, Ackerman MJ, Chen SR, van de </w:t>
      </w:r>
      <w:proofErr w:type="spellStart"/>
      <w:r w:rsidRPr="006F40F2">
        <w:rPr>
          <w:highlight w:val="yellow"/>
        </w:rPr>
        <w:t>Laar</w:t>
      </w:r>
      <w:proofErr w:type="spellEnd"/>
      <w:r w:rsidRPr="006F40F2">
        <w:rPr>
          <w:highlight w:val="yellow"/>
        </w:rPr>
        <w:t xml:space="preserve"> IM, Wilde AA. Linking the heart and the brain: Neurodevelopmental disorders in patients with </w:t>
      </w:r>
      <w:proofErr w:type="spellStart"/>
      <w:r w:rsidRPr="006F40F2">
        <w:rPr>
          <w:highlight w:val="yellow"/>
        </w:rPr>
        <w:t>catecholaminergic</w:t>
      </w:r>
      <w:proofErr w:type="spellEnd"/>
      <w:r w:rsidRPr="006F40F2">
        <w:rPr>
          <w:highlight w:val="yellow"/>
        </w:rPr>
        <w:t xml:space="preserve"> polymorphic ventricular tachycardia. Heart Rhythm 2019;16:220-228. </w:t>
      </w:r>
    </w:p>
    <w:p w14:paraId="1026C26F" w14:textId="3C351CE3" w:rsidR="00C2767A" w:rsidRPr="006F40F2" w:rsidRDefault="00C2767A" w:rsidP="00C2767A">
      <w:pPr>
        <w:rPr>
          <w:highlight w:val="yellow"/>
        </w:rPr>
      </w:pPr>
      <w:r w:rsidRPr="006F40F2">
        <w:rPr>
          <w:highlight w:val="yellow"/>
        </w:rPr>
        <w:t xml:space="preserve">23. </w:t>
      </w:r>
      <w:proofErr w:type="spellStart"/>
      <w:r w:rsidRPr="006F40F2">
        <w:rPr>
          <w:highlight w:val="yellow"/>
        </w:rPr>
        <w:t>Kozlovski</w:t>
      </w:r>
      <w:proofErr w:type="spellEnd"/>
      <w:r w:rsidRPr="006F40F2">
        <w:rPr>
          <w:highlight w:val="yellow"/>
        </w:rPr>
        <w:t xml:space="preserve"> J, Ingles J, Connell V, Hunt L, </w:t>
      </w:r>
      <w:proofErr w:type="spellStart"/>
      <w:r w:rsidRPr="006F40F2">
        <w:rPr>
          <w:highlight w:val="yellow"/>
        </w:rPr>
        <w:t>McGaughran</w:t>
      </w:r>
      <w:proofErr w:type="spellEnd"/>
      <w:r w:rsidRPr="006F40F2">
        <w:rPr>
          <w:highlight w:val="yellow"/>
        </w:rPr>
        <w:t xml:space="preserve"> J, Turner C, Davis A, </w:t>
      </w:r>
      <w:proofErr w:type="spellStart"/>
      <w:r w:rsidRPr="006F40F2">
        <w:rPr>
          <w:highlight w:val="yellow"/>
        </w:rPr>
        <w:t>Sy</w:t>
      </w:r>
      <w:proofErr w:type="spellEnd"/>
      <w:r w:rsidRPr="006F40F2">
        <w:rPr>
          <w:highlight w:val="yellow"/>
        </w:rPr>
        <w:t xml:space="preserve"> R, Semsarian C. Delay to diagnosis amongst patients with </w:t>
      </w:r>
      <w:proofErr w:type="spellStart"/>
      <w:r w:rsidRPr="006F40F2">
        <w:rPr>
          <w:highlight w:val="yellow"/>
        </w:rPr>
        <w:t>catecholaminergic</w:t>
      </w:r>
      <w:proofErr w:type="spellEnd"/>
      <w:r w:rsidRPr="006F40F2">
        <w:rPr>
          <w:highlight w:val="yellow"/>
        </w:rPr>
        <w:t xml:space="preserve"> polymorphic ventricular tachycardia. </w:t>
      </w:r>
      <w:proofErr w:type="spellStart"/>
      <w:r w:rsidRPr="006F40F2">
        <w:rPr>
          <w:highlight w:val="yellow"/>
        </w:rPr>
        <w:t>Int</w:t>
      </w:r>
      <w:proofErr w:type="spellEnd"/>
      <w:r w:rsidRPr="006F40F2">
        <w:rPr>
          <w:highlight w:val="yellow"/>
        </w:rPr>
        <w:t xml:space="preserve"> J </w:t>
      </w:r>
      <w:proofErr w:type="spellStart"/>
      <w:r w:rsidRPr="006F40F2">
        <w:rPr>
          <w:highlight w:val="yellow"/>
        </w:rPr>
        <w:t>Cardiol</w:t>
      </w:r>
      <w:proofErr w:type="spellEnd"/>
      <w:r w:rsidRPr="006F40F2">
        <w:rPr>
          <w:highlight w:val="yellow"/>
        </w:rPr>
        <w:t xml:space="preserve"> 2014;176:1402-1404. </w:t>
      </w:r>
    </w:p>
    <w:p w14:paraId="3BB0E7C6" w14:textId="40224D19" w:rsidR="00C2767A" w:rsidRPr="006F40F2" w:rsidRDefault="00C2767A" w:rsidP="00C2767A">
      <w:pPr>
        <w:rPr>
          <w:highlight w:val="yellow"/>
        </w:rPr>
      </w:pPr>
      <w:r w:rsidRPr="006F40F2">
        <w:rPr>
          <w:highlight w:val="yellow"/>
        </w:rPr>
        <w:t xml:space="preserve">24. </w:t>
      </w:r>
      <w:proofErr w:type="spellStart"/>
      <w:r w:rsidRPr="006F40F2">
        <w:rPr>
          <w:highlight w:val="yellow"/>
        </w:rPr>
        <w:t>Loar</w:t>
      </w:r>
      <w:proofErr w:type="spellEnd"/>
      <w:r w:rsidRPr="006F40F2">
        <w:rPr>
          <w:highlight w:val="yellow"/>
        </w:rPr>
        <w:t xml:space="preserve"> RW, Bos JM, Cannon BC, Ackerman MJ. Sudden cardiac arrest during sex in patients with either </w:t>
      </w:r>
      <w:proofErr w:type="spellStart"/>
      <w:r w:rsidRPr="006F40F2">
        <w:rPr>
          <w:highlight w:val="yellow"/>
        </w:rPr>
        <w:t>catecholaminergic</w:t>
      </w:r>
      <w:proofErr w:type="spellEnd"/>
      <w:r w:rsidRPr="006F40F2">
        <w:rPr>
          <w:highlight w:val="yellow"/>
        </w:rPr>
        <w:t xml:space="preserve"> polymorphic ventricular tachycardia or long-QT syndrome: a rare but shocking experience. J </w:t>
      </w:r>
      <w:proofErr w:type="spellStart"/>
      <w:r w:rsidRPr="006F40F2">
        <w:rPr>
          <w:highlight w:val="yellow"/>
        </w:rPr>
        <w:t>Cardiovasc</w:t>
      </w:r>
      <w:proofErr w:type="spellEnd"/>
      <w:r w:rsidRPr="006F40F2">
        <w:rPr>
          <w:highlight w:val="yellow"/>
        </w:rPr>
        <w:t xml:space="preserve"> </w:t>
      </w:r>
      <w:proofErr w:type="spellStart"/>
      <w:r w:rsidRPr="006F40F2">
        <w:rPr>
          <w:highlight w:val="yellow"/>
        </w:rPr>
        <w:t>Electrophysiol</w:t>
      </w:r>
      <w:proofErr w:type="spellEnd"/>
      <w:r w:rsidRPr="006F40F2">
        <w:rPr>
          <w:highlight w:val="yellow"/>
        </w:rPr>
        <w:t xml:space="preserve"> 2015;26:300-304. </w:t>
      </w:r>
    </w:p>
    <w:p w14:paraId="2FCC38B7" w14:textId="77777777" w:rsidR="00C2767A" w:rsidRPr="006F40F2" w:rsidRDefault="00C2767A" w:rsidP="00C2767A">
      <w:pPr>
        <w:rPr>
          <w:highlight w:val="yellow"/>
        </w:rPr>
      </w:pPr>
      <w:r w:rsidRPr="006F40F2">
        <w:rPr>
          <w:highlight w:val="yellow"/>
        </w:rPr>
        <w:t xml:space="preserve">25. Coleman MA, Bos JM, Johnson JN, Owen HJ, </w:t>
      </w:r>
      <w:proofErr w:type="spellStart"/>
      <w:r w:rsidRPr="006F40F2">
        <w:rPr>
          <w:highlight w:val="yellow"/>
        </w:rPr>
        <w:t>Deschamps</w:t>
      </w:r>
      <w:proofErr w:type="spellEnd"/>
      <w:r w:rsidRPr="006F40F2">
        <w:rPr>
          <w:highlight w:val="yellow"/>
        </w:rPr>
        <w:t xml:space="preserve"> C, </w:t>
      </w:r>
      <w:proofErr w:type="spellStart"/>
      <w:r w:rsidRPr="006F40F2">
        <w:rPr>
          <w:highlight w:val="yellow"/>
        </w:rPr>
        <w:t>Moir</w:t>
      </w:r>
      <w:proofErr w:type="spellEnd"/>
      <w:r w:rsidRPr="006F40F2">
        <w:rPr>
          <w:highlight w:val="yellow"/>
        </w:rPr>
        <w:t xml:space="preserve"> C, Ackerman MJ. </w:t>
      </w:r>
      <w:proofErr w:type="spellStart"/>
      <w:r w:rsidRPr="006F40F2">
        <w:rPr>
          <w:highlight w:val="yellow"/>
        </w:rPr>
        <w:t>Videoscopic</w:t>
      </w:r>
      <w:proofErr w:type="spellEnd"/>
      <w:r w:rsidRPr="006F40F2">
        <w:rPr>
          <w:highlight w:val="yellow"/>
        </w:rPr>
        <w:t xml:space="preserve"> left cardiac sympathetic denervation for patients with recurrent ventricular fibrillation/malignant ventricular arrhythmia syndromes besides congenital long-QT syndrome. </w:t>
      </w:r>
      <w:proofErr w:type="spellStart"/>
      <w:r w:rsidRPr="006F40F2">
        <w:rPr>
          <w:highlight w:val="yellow"/>
        </w:rPr>
        <w:t>Circ</w:t>
      </w:r>
      <w:proofErr w:type="spellEnd"/>
      <w:r w:rsidRPr="006F40F2">
        <w:rPr>
          <w:highlight w:val="yellow"/>
        </w:rPr>
        <w:t xml:space="preserve"> </w:t>
      </w:r>
      <w:proofErr w:type="spellStart"/>
      <w:r w:rsidRPr="006F40F2">
        <w:rPr>
          <w:highlight w:val="yellow"/>
        </w:rPr>
        <w:t>Arrhythm</w:t>
      </w:r>
      <w:proofErr w:type="spellEnd"/>
      <w:r w:rsidRPr="006F40F2">
        <w:rPr>
          <w:highlight w:val="yellow"/>
        </w:rPr>
        <w:t xml:space="preserve"> </w:t>
      </w:r>
      <w:proofErr w:type="spellStart"/>
      <w:r w:rsidRPr="006F40F2">
        <w:rPr>
          <w:highlight w:val="yellow"/>
        </w:rPr>
        <w:t>Electrophysiol</w:t>
      </w:r>
      <w:proofErr w:type="spellEnd"/>
      <w:r w:rsidRPr="006F40F2">
        <w:rPr>
          <w:highlight w:val="yellow"/>
        </w:rPr>
        <w:t xml:space="preserve"> 2012;5:782-788. </w:t>
      </w:r>
    </w:p>
    <w:p w14:paraId="3DBDA17C" w14:textId="77777777" w:rsidR="006F40F2" w:rsidRDefault="00C2767A" w:rsidP="006F40F2">
      <w:r w:rsidRPr="006F40F2">
        <w:rPr>
          <w:highlight w:val="yellow"/>
        </w:rPr>
        <w:t xml:space="preserve">26. </w:t>
      </w:r>
      <w:proofErr w:type="spellStart"/>
      <w:r w:rsidRPr="006F40F2">
        <w:rPr>
          <w:highlight w:val="yellow"/>
        </w:rPr>
        <w:t>Ostby</w:t>
      </w:r>
      <w:proofErr w:type="spellEnd"/>
      <w:r w:rsidRPr="006F40F2">
        <w:rPr>
          <w:highlight w:val="yellow"/>
        </w:rPr>
        <w:t xml:space="preserve"> SA, Bos JM, Owen HJ, </w:t>
      </w:r>
      <w:proofErr w:type="spellStart"/>
      <w:r w:rsidRPr="006F40F2">
        <w:rPr>
          <w:highlight w:val="yellow"/>
        </w:rPr>
        <w:t>Wackel</w:t>
      </w:r>
      <w:proofErr w:type="spellEnd"/>
      <w:r w:rsidRPr="006F40F2">
        <w:rPr>
          <w:highlight w:val="yellow"/>
        </w:rPr>
        <w:t xml:space="preserve"> PL, Cannon BC, Ackerman MJ. Competitive sports participation in patients with </w:t>
      </w:r>
      <w:proofErr w:type="spellStart"/>
      <w:r w:rsidRPr="006F40F2">
        <w:rPr>
          <w:highlight w:val="yellow"/>
        </w:rPr>
        <w:t>catecholaminergic</w:t>
      </w:r>
      <w:proofErr w:type="spellEnd"/>
      <w:r w:rsidRPr="006F40F2">
        <w:rPr>
          <w:highlight w:val="yellow"/>
        </w:rPr>
        <w:t xml:space="preserve"> polymorphic ventricular tachycardia: a single center's early experience. JACC </w:t>
      </w:r>
      <w:proofErr w:type="spellStart"/>
      <w:r w:rsidRPr="006F40F2">
        <w:rPr>
          <w:highlight w:val="yellow"/>
        </w:rPr>
        <w:t>Clin</w:t>
      </w:r>
      <w:proofErr w:type="spellEnd"/>
      <w:r w:rsidRPr="006F40F2">
        <w:rPr>
          <w:highlight w:val="yellow"/>
        </w:rPr>
        <w:t xml:space="preserve"> </w:t>
      </w:r>
      <w:proofErr w:type="spellStart"/>
      <w:r w:rsidRPr="006F40F2">
        <w:rPr>
          <w:highlight w:val="yellow"/>
        </w:rPr>
        <w:t>Electrophysiol</w:t>
      </w:r>
      <w:proofErr w:type="spellEnd"/>
      <w:r w:rsidRPr="006F40F2">
        <w:rPr>
          <w:highlight w:val="yellow"/>
        </w:rPr>
        <w:t xml:space="preserve"> 2016;2:253-262.</w:t>
      </w:r>
      <w:r>
        <w:t xml:space="preserve"> </w:t>
      </w:r>
    </w:p>
    <w:p w14:paraId="39914AEC" w14:textId="77777777" w:rsidR="006F40F2" w:rsidRDefault="006F40F2">
      <w:pPr>
        <w:spacing w:line="240" w:lineRule="auto"/>
      </w:pPr>
      <w:r>
        <w:br w:type="page"/>
      </w:r>
    </w:p>
    <w:p w14:paraId="0F6017A7" w14:textId="2EE8F1CE" w:rsidR="008D4DFB" w:rsidRDefault="008D4DFB" w:rsidP="006F40F2">
      <w:r w:rsidRPr="006F40F2">
        <w:rPr>
          <w:rStyle w:val="Kop2Char"/>
          <w:rFonts w:eastAsia="Calibri"/>
        </w:rPr>
        <w:lastRenderedPageBreak/>
        <w:t>Supplementary Tables</w:t>
      </w:r>
    </w:p>
    <w:p w14:paraId="7478160A" w14:textId="77777777" w:rsidR="008D4DFB" w:rsidRPr="005830DE" w:rsidRDefault="008D4DFB" w:rsidP="001A2532">
      <w:r>
        <w:rPr>
          <w:b/>
        </w:rPr>
        <w:t>Table S1</w:t>
      </w:r>
      <w:r w:rsidRPr="005830DE">
        <w:rPr>
          <w:b/>
        </w:rPr>
        <w:t xml:space="preserve">. </w:t>
      </w:r>
      <w:r>
        <w:rPr>
          <w:b/>
        </w:rPr>
        <w:t>Indications for not implanting an implantable cardioverter-defibrillator after the sentinel sudden cardiac arrest</w:t>
      </w:r>
      <w:r w:rsidRPr="005830DE">
        <w:rPr>
          <w:b/>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6378"/>
        <w:gridCol w:w="1342"/>
        <w:gridCol w:w="1350"/>
      </w:tblGrid>
      <w:tr w:rsidR="008D4DFB" w:rsidRPr="007F2281" w14:paraId="3E230F7F" w14:textId="77777777" w:rsidTr="008D4DFB">
        <w:tc>
          <w:tcPr>
            <w:tcW w:w="6487" w:type="dxa"/>
            <w:tcBorders>
              <w:top w:val="single" w:sz="4" w:space="0" w:color="auto"/>
              <w:bottom w:val="single" w:sz="4" w:space="0" w:color="auto"/>
            </w:tcBorders>
            <w:shd w:val="clear" w:color="auto" w:fill="auto"/>
          </w:tcPr>
          <w:p w14:paraId="3DF27C90" w14:textId="77777777" w:rsidR="008D4DFB" w:rsidRPr="002C1FCF" w:rsidRDefault="008D4DFB" w:rsidP="001A2532">
            <w:pPr>
              <w:autoSpaceDE w:val="0"/>
              <w:autoSpaceDN w:val="0"/>
              <w:adjustRightInd w:val="0"/>
              <w:rPr>
                <w:b/>
                <w:lang w:eastAsia="nl-NL"/>
              </w:rPr>
            </w:pPr>
          </w:p>
        </w:tc>
        <w:tc>
          <w:tcPr>
            <w:tcW w:w="2725" w:type="dxa"/>
            <w:gridSpan w:val="2"/>
            <w:tcBorders>
              <w:top w:val="single" w:sz="4" w:space="0" w:color="auto"/>
              <w:bottom w:val="single" w:sz="4" w:space="0" w:color="auto"/>
            </w:tcBorders>
            <w:shd w:val="clear" w:color="auto" w:fill="auto"/>
          </w:tcPr>
          <w:p w14:paraId="1AA16EC4" w14:textId="3C1E3DC4" w:rsidR="008D4DFB" w:rsidRPr="007F2281" w:rsidRDefault="00222ADE" w:rsidP="001A2532">
            <w:pPr>
              <w:autoSpaceDE w:val="0"/>
              <w:autoSpaceDN w:val="0"/>
              <w:adjustRightInd w:val="0"/>
              <w:jc w:val="center"/>
              <w:rPr>
                <w:b/>
                <w:lang w:eastAsia="nl-NL"/>
              </w:rPr>
            </w:pPr>
            <w:r>
              <w:rPr>
                <w:b/>
                <w:i/>
                <w:lang w:eastAsia="nl-NL"/>
              </w:rPr>
              <w:t>n</w:t>
            </w:r>
            <w:r w:rsidR="008D4DFB">
              <w:rPr>
                <w:b/>
                <w:lang w:eastAsia="nl-NL"/>
              </w:rPr>
              <w:t xml:space="preserve"> = 37</w:t>
            </w:r>
          </w:p>
        </w:tc>
      </w:tr>
      <w:tr w:rsidR="008D4DFB" w:rsidRPr="007F2281" w14:paraId="0B58F556" w14:textId="77777777" w:rsidTr="008D4DFB">
        <w:tc>
          <w:tcPr>
            <w:tcW w:w="6487" w:type="dxa"/>
            <w:tcBorders>
              <w:top w:val="single" w:sz="4" w:space="0" w:color="auto"/>
            </w:tcBorders>
            <w:shd w:val="clear" w:color="auto" w:fill="auto"/>
          </w:tcPr>
          <w:p w14:paraId="6216611D" w14:textId="77777777" w:rsidR="008D4DFB" w:rsidRPr="007F2281" w:rsidRDefault="008D4DFB" w:rsidP="001A2532">
            <w:pPr>
              <w:autoSpaceDE w:val="0"/>
              <w:autoSpaceDN w:val="0"/>
              <w:adjustRightInd w:val="0"/>
              <w:rPr>
                <w:lang w:eastAsia="nl-NL"/>
              </w:rPr>
            </w:pPr>
            <w:r>
              <w:rPr>
                <w:lang w:eastAsia="nl-NL"/>
              </w:rPr>
              <w:t xml:space="preserve">Considered well protected with medication </w:t>
            </w:r>
          </w:p>
        </w:tc>
        <w:tc>
          <w:tcPr>
            <w:tcW w:w="1362" w:type="dxa"/>
            <w:tcBorders>
              <w:top w:val="single" w:sz="4" w:space="0" w:color="auto"/>
            </w:tcBorders>
            <w:shd w:val="clear" w:color="auto" w:fill="auto"/>
          </w:tcPr>
          <w:p w14:paraId="0F98778B" w14:textId="77777777" w:rsidR="008D4DFB" w:rsidRPr="002924C5" w:rsidRDefault="008D4DFB" w:rsidP="001A2532">
            <w:pPr>
              <w:autoSpaceDE w:val="0"/>
              <w:autoSpaceDN w:val="0"/>
              <w:adjustRightInd w:val="0"/>
              <w:jc w:val="right"/>
              <w:rPr>
                <w:lang w:eastAsia="nl-NL"/>
              </w:rPr>
            </w:pPr>
            <w:r>
              <w:rPr>
                <w:lang w:eastAsia="nl-NL"/>
              </w:rPr>
              <w:t>16</w:t>
            </w:r>
          </w:p>
        </w:tc>
        <w:tc>
          <w:tcPr>
            <w:tcW w:w="1363" w:type="dxa"/>
            <w:tcBorders>
              <w:top w:val="single" w:sz="4" w:space="0" w:color="auto"/>
            </w:tcBorders>
            <w:shd w:val="clear" w:color="auto" w:fill="auto"/>
          </w:tcPr>
          <w:p w14:paraId="672ED973" w14:textId="77777777" w:rsidR="008D4DFB" w:rsidRPr="002924C5" w:rsidRDefault="008D4DFB" w:rsidP="001A2532">
            <w:pPr>
              <w:autoSpaceDE w:val="0"/>
              <w:autoSpaceDN w:val="0"/>
              <w:adjustRightInd w:val="0"/>
              <w:rPr>
                <w:lang w:eastAsia="nl-NL"/>
              </w:rPr>
            </w:pPr>
            <w:r>
              <w:rPr>
                <w:lang w:eastAsia="nl-NL"/>
              </w:rPr>
              <w:t>(43.2)</w:t>
            </w:r>
          </w:p>
        </w:tc>
      </w:tr>
      <w:tr w:rsidR="008D4DFB" w:rsidRPr="007F2281" w14:paraId="50E9B975" w14:textId="77777777" w:rsidTr="008D4DFB">
        <w:tc>
          <w:tcPr>
            <w:tcW w:w="6487" w:type="dxa"/>
            <w:shd w:val="clear" w:color="auto" w:fill="auto"/>
          </w:tcPr>
          <w:p w14:paraId="6EC88E93" w14:textId="77777777" w:rsidR="008D4DFB" w:rsidRPr="007F2281" w:rsidRDefault="008D4DFB" w:rsidP="001A2532">
            <w:pPr>
              <w:autoSpaceDE w:val="0"/>
              <w:autoSpaceDN w:val="0"/>
              <w:adjustRightInd w:val="0"/>
              <w:rPr>
                <w:lang w:eastAsia="nl-NL"/>
              </w:rPr>
            </w:pPr>
            <w:r w:rsidRPr="007F2281">
              <w:rPr>
                <w:lang w:eastAsia="nl-NL"/>
              </w:rPr>
              <w:t xml:space="preserve">Concerns regarding possible </w:t>
            </w:r>
            <w:proofErr w:type="spellStart"/>
            <w:r w:rsidRPr="007F2281">
              <w:rPr>
                <w:lang w:eastAsia="nl-NL"/>
              </w:rPr>
              <w:t>proarrhythmic</w:t>
            </w:r>
            <w:proofErr w:type="spellEnd"/>
            <w:r w:rsidRPr="007F2281">
              <w:rPr>
                <w:lang w:eastAsia="nl-NL"/>
              </w:rPr>
              <w:t xml:space="preserve"> effects of ICD</w:t>
            </w:r>
          </w:p>
        </w:tc>
        <w:tc>
          <w:tcPr>
            <w:tcW w:w="1362" w:type="dxa"/>
            <w:shd w:val="clear" w:color="auto" w:fill="auto"/>
          </w:tcPr>
          <w:p w14:paraId="1F128F4C" w14:textId="77777777" w:rsidR="008D4DFB" w:rsidRPr="002924C5" w:rsidRDefault="008D4DFB" w:rsidP="001A2532">
            <w:pPr>
              <w:autoSpaceDE w:val="0"/>
              <w:autoSpaceDN w:val="0"/>
              <w:adjustRightInd w:val="0"/>
              <w:jc w:val="right"/>
              <w:rPr>
                <w:lang w:eastAsia="nl-NL"/>
              </w:rPr>
            </w:pPr>
            <w:r>
              <w:rPr>
                <w:lang w:eastAsia="nl-NL"/>
              </w:rPr>
              <w:t>11</w:t>
            </w:r>
          </w:p>
        </w:tc>
        <w:tc>
          <w:tcPr>
            <w:tcW w:w="1363" w:type="dxa"/>
            <w:shd w:val="clear" w:color="auto" w:fill="auto"/>
          </w:tcPr>
          <w:p w14:paraId="26100DAF"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33.3</w:t>
            </w:r>
            <w:r w:rsidRPr="002924C5">
              <w:rPr>
                <w:lang w:eastAsia="nl-NL"/>
              </w:rPr>
              <w:t>)</w:t>
            </w:r>
          </w:p>
        </w:tc>
      </w:tr>
      <w:tr w:rsidR="008D4DFB" w:rsidRPr="007F2281" w14:paraId="65BDFEE1" w14:textId="77777777" w:rsidTr="008D4DFB">
        <w:tc>
          <w:tcPr>
            <w:tcW w:w="6487" w:type="dxa"/>
            <w:shd w:val="clear" w:color="auto" w:fill="auto"/>
          </w:tcPr>
          <w:p w14:paraId="317C90E6" w14:textId="77777777" w:rsidR="008D4DFB" w:rsidRPr="007F2281" w:rsidRDefault="008D4DFB" w:rsidP="001A2532">
            <w:pPr>
              <w:autoSpaceDE w:val="0"/>
              <w:autoSpaceDN w:val="0"/>
              <w:adjustRightInd w:val="0"/>
              <w:rPr>
                <w:lang w:eastAsia="nl-NL"/>
              </w:rPr>
            </w:pPr>
            <w:r w:rsidRPr="007F2281">
              <w:rPr>
                <w:lang w:eastAsia="nl-NL"/>
              </w:rPr>
              <w:t>Erroneously diagnosed with another condition in which ICD was not considered indicated</w:t>
            </w:r>
          </w:p>
        </w:tc>
        <w:tc>
          <w:tcPr>
            <w:tcW w:w="1362" w:type="dxa"/>
            <w:shd w:val="clear" w:color="auto" w:fill="auto"/>
          </w:tcPr>
          <w:p w14:paraId="12CFA7C4" w14:textId="77777777" w:rsidR="008D4DFB" w:rsidRPr="002924C5" w:rsidRDefault="008D4DFB" w:rsidP="001A2532">
            <w:pPr>
              <w:autoSpaceDE w:val="0"/>
              <w:autoSpaceDN w:val="0"/>
              <w:adjustRightInd w:val="0"/>
              <w:jc w:val="right"/>
              <w:rPr>
                <w:lang w:eastAsia="nl-NL"/>
              </w:rPr>
            </w:pPr>
            <w:r>
              <w:rPr>
                <w:lang w:eastAsia="nl-NL"/>
              </w:rPr>
              <w:t>3</w:t>
            </w:r>
          </w:p>
        </w:tc>
        <w:tc>
          <w:tcPr>
            <w:tcW w:w="1363" w:type="dxa"/>
            <w:shd w:val="clear" w:color="auto" w:fill="auto"/>
          </w:tcPr>
          <w:p w14:paraId="4363C65F"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9.1</w:t>
            </w:r>
            <w:r w:rsidRPr="002924C5">
              <w:rPr>
                <w:lang w:eastAsia="nl-NL"/>
              </w:rPr>
              <w:t>)</w:t>
            </w:r>
          </w:p>
        </w:tc>
      </w:tr>
      <w:tr w:rsidR="008D4DFB" w:rsidRPr="007F2281" w14:paraId="6898A83C" w14:textId="77777777" w:rsidTr="008D4DFB">
        <w:tc>
          <w:tcPr>
            <w:tcW w:w="6487" w:type="dxa"/>
            <w:shd w:val="clear" w:color="auto" w:fill="auto"/>
          </w:tcPr>
          <w:p w14:paraId="44E7EBCF" w14:textId="77777777" w:rsidR="008D4DFB" w:rsidRPr="002924C5" w:rsidRDefault="008D4DFB" w:rsidP="001A2532">
            <w:pPr>
              <w:autoSpaceDE w:val="0"/>
              <w:autoSpaceDN w:val="0"/>
              <w:adjustRightInd w:val="0"/>
              <w:rPr>
                <w:lang w:eastAsia="nl-NL"/>
              </w:rPr>
            </w:pPr>
            <w:r w:rsidRPr="002924C5">
              <w:rPr>
                <w:lang w:eastAsia="nl-NL"/>
              </w:rPr>
              <w:t>Historical case (ICDs not available)</w:t>
            </w:r>
          </w:p>
        </w:tc>
        <w:tc>
          <w:tcPr>
            <w:tcW w:w="1362" w:type="dxa"/>
            <w:shd w:val="clear" w:color="auto" w:fill="auto"/>
          </w:tcPr>
          <w:p w14:paraId="104E3786" w14:textId="77777777" w:rsidR="008D4DFB" w:rsidRPr="002924C5" w:rsidRDefault="008D4DFB" w:rsidP="001A2532">
            <w:pPr>
              <w:autoSpaceDE w:val="0"/>
              <w:autoSpaceDN w:val="0"/>
              <w:adjustRightInd w:val="0"/>
              <w:jc w:val="right"/>
              <w:rPr>
                <w:lang w:eastAsia="nl-NL"/>
              </w:rPr>
            </w:pPr>
            <w:r>
              <w:rPr>
                <w:lang w:eastAsia="nl-NL"/>
              </w:rPr>
              <w:t>3</w:t>
            </w:r>
          </w:p>
        </w:tc>
        <w:tc>
          <w:tcPr>
            <w:tcW w:w="1363" w:type="dxa"/>
            <w:shd w:val="clear" w:color="auto" w:fill="auto"/>
          </w:tcPr>
          <w:p w14:paraId="23B4C28F"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8.8</w:t>
            </w:r>
            <w:r w:rsidRPr="002924C5">
              <w:rPr>
                <w:lang w:eastAsia="nl-NL"/>
              </w:rPr>
              <w:t>)</w:t>
            </w:r>
          </w:p>
        </w:tc>
      </w:tr>
      <w:tr w:rsidR="008D4DFB" w:rsidRPr="007F2281" w14:paraId="3503E9C9" w14:textId="77777777" w:rsidTr="008D4DFB">
        <w:tc>
          <w:tcPr>
            <w:tcW w:w="6487" w:type="dxa"/>
            <w:shd w:val="clear" w:color="auto" w:fill="auto"/>
          </w:tcPr>
          <w:p w14:paraId="437B0028" w14:textId="77777777" w:rsidR="008D4DFB" w:rsidRPr="002924C5" w:rsidRDefault="008D4DFB" w:rsidP="001A2532">
            <w:pPr>
              <w:autoSpaceDE w:val="0"/>
              <w:autoSpaceDN w:val="0"/>
              <w:adjustRightInd w:val="0"/>
              <w:rPr>
                <w:lang w:eastAsia="nl-NL"/>
              </w:rPr>
            </w:pPr>
            <w:r w:rsidRPr="002924C5">
              <w:rPr>
                <w:lang w:eastAsia="nl-NL"/>
              </w:rPr>
              <w:t>ICD explanted almost quickly because of complications</w:t>
            </w:r>
          </w:p>
        </w:tc>
        <w:tc>
          <w:tcPr>
            <w:tcW w:w="1362" w:type="dxa"/>
            <w:shd w:val="clear" w:color="auto" w:fill="auto"/>
          </w:tcPr>
          <w:p w14:paraId="60C1C9C2" w14:textId="77777777" w:rsidR="008D4DFB" w:rsidRPr="002924C5" w:rsidRDefault="008D4DFB" w:rsidP="001A2532">
            <w:pPr>
              <w:autoSpaceDE w:val="0"/>
              <w:autoSpaceDN w:val="0"/>
              <w:adjustRightInd w:val="0"/>
              <w:jc w:val="right"/>
              <w:rPr>
                <w:lang w:eastAsia="nl-NL"/>
              </w:rPr>
            </w:pPr>
            <w:r>
              <w:rPr>
                <w:lang w:eastAsia="nl-NL"/>
              </w:rPr>
              <w:t>1</w:t>
            </w:r>
          </w:p>
        </w:tc>
        <w:tc>
          <w:tcPr>
            <w:tcW w:w="1363" w:type="dxa"/>
            <w:shd w:val="clear" w:color="auto" w:fill="auto"/>
          </w:tcPr>
          <w:p w14:paraId="0565FF68"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2.9</w:t>
            </w:r>
            <w:r w:rsidRPr="002924C5">
              <w:rPr>
                <w:lang w:eastAsia="nl-NL"/>
              </w:rPr>
              <w:t>)</w:t>
            </w:r>
          </w:p>
        </w:tc>
      </w:tr>
      <w:tr w:rsidR="008D4DFB" w:rsidRPr="007F2281" w14:paraId="7B1AFB67" w14:textId="77777777" w:rsidTr="008D4DFB">
        <w:tc>
          <w:tcPr>
            <w:tcW w:w="6487" w:type="dxa"/>
            <w:shd w:val="clear" w:color="auto" w:fill="auto"/>
          </w:tcPr>
          <w:p w14:paraId="722C95EA" w14:textId="77777777" w:rsidR="008D4DFB" w:rsidRPr="002924C5" w:rsidRDefault="008D4DFB" w:rsidP="001A2532">
            <w:pPr>
              <w:autoSpaceDE w:val="0"/>
              <w:autoSpaceDN w:val="0"/>
              <w:adjustRightInd w:val="0"/>
              <w:rPr>
                <w:lang w:eastAsia="nl-NL"/>
              </w:rPr>
            </w:pPr>
            <w:r>
              <w:rPr>
                <w:lang w:eastAsia="nl-NL"/>
              </w:rPr>
              <w:t>Very young age</w:t>
            </w:r>
          </w:p>
        </w:tc>
        <w:tc>
          <w:tcPr>
            <w:tcW w:w="1362" w:type="dxa"/>
            <w:shd w:val="clear" w:color="auto" w:fill="auto"/>
          </w:tcPr>
          <w:p w14:paraId="3380204E" w14:textId="77777777" w:rsidR="008D4DFB" w:rsidRPr="002924C5" w:rsidRDefault="008D4DFB" w:rsidP="001A2532">
            <w:pPr>
              <w:autoSpaceDE w:val="0"/>
              <w:autoSpaceDN w:val="0"/>
              <w:adjustRightInd w:val="0"/>
              <w:jc w:val="right"/>
              <w:rPr>
                <w:lang w:eastAsia="nl-NL"/>
              </w:rPr>
            </w:pPr>
            <w:r>
              <w:rPr>
                <w:lang w:eastAsia="nl-NL"/>
              </w:rPr>
              <w:t>1</w:t>
            </w:r>
          </w:p>
        </w:tc>
        <w:tc>
          <w:tcPr>
            <w:tcW w:w="1363" w:type="dxa"/>
            <w:shd w:val="clear" w:color="auto" w:fill="auto"/>
          </w:tcPr>
          <w:p w14:paraId="55641232"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2.9</w:t>
            </w:r>
            <w:r w:rsidRPr="002924C5">
              <w:rPr>
                <w:lang w:eastAsia="nl-NL"/>
              </w:rPr>
              <w:t>)</w:t>
            </w:r>
          </w:p>
        </w:tc>
      </w:tr>
      <w:tr w:rsidR="008D4DFB" w:rsidRPr="007F2281" w14:paraId="0018D480" w14:textId="77777777" w:rsidTr="008D4DFB">
        <w:tc>
          <w:tcPr>
            <w:tcW w:w="6487" w:type="dxa"/>
            <w:shd w:val="clear" w:color="auto" w:fill="auto"/>
          </w:tcPr>
          <w:p w14:paraId="552B8631" w14:textId="77777777" w:rsidR="008D4DFB" w:rsidRPr="002924C5" w:rsidRDefault="008D4DFB" w:rsidP="001A2532">
            <w:pPr>
              <w:autoSpaceDE w:val="0"/>
              <w:autoSpaceDN w:val="0"/>
              <w:adjustRightInd w:val="0"/>
              <w:rPr>
                <w:lang w:eastAsia="nl-NL"/>
              </w:rPr>
            </w:pPr>
            <w:r>
              <w:rPr>
                <w:lang w:eastAsia="nl-NL"/>
              </w:rPr>
              <w:t>Uncertainties about diagnosis</w:t>
            </w:r>
          </w:p>
        </w:tc>
        <w:tc>
          <w:tcPr>
            <w:tcW w:w="1362" w:type="dxa"/>
            <w:shd w:val="clear" w:color="auto" w:fill="auto"/>
          </w:tcPr>
          <w:p w14:paraId="01C7F5AC" w14:textId="77777777" w:rsidR="008D4DFB" w:rsidRPr="002924C5" w:rsidRDefault="008D4DFB" w:rsidP="001A2532">
            <w:pPr>
              <w:autoSpaceDE w:val="0"/>
              <w:autoSpaceDN w:val="0"/>
              <w:adjustRightInd w:val="0"/>
              <w:jc w:val="right"/>
              <w:rPr>
                <w:lang w:eastAsia="nl-NL"/>
              </w:rPr>
            </w:pPr>
            <w:r>
              <w:rPr>
                <w:lang w:eastAsia="nl-NL"/>
              </w:rPr>
              <w:t>1</w:t>
            </w:r>
          </w:p>
        </w:tc>
        <w:tc>
          <w:tcPr>
            <w:tcW w:w="1363" w:type="dxa"/>
            <w:shd w:val="clear" w:color="auto" w:fill="auto"/>
          </w:tcPr>
          <w:p w14:paraId="6F28823A"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2.9</w:t>
            </w:r>
            <w:r w:rsidRPr="002924C5">
              <w:rPr>
                <w:lang w:eastAsia="nl-NL"/>
              </w:rPr>
              <w:t>)</w:t>
            </w:r>
          </w:p>
        </w:tc>
      </w:tr>
      <w:tr w:rsidR="008D4DFB" w:rsidRPr="007F2281" w14:paraId="6EA52362" w14:textId="77777777" w:rsidTr="008D4DFB">
        <w:tc>
          <w:tcPr>
            <w:tcW w:w="6487" w:type="dxa"/>
            <w:shd w:val="clear" w:color="auto" w:fill="auto"/>
          </w:tcPr>
          <w:p w14:paraId="539CEC6B" w14:textId="77777777" w:rsidR="008D4DFB" w:rsidRPr="007F2281" w:rsidRDefault="008D4DFB" w:rsidP="001A2532">
            <w:pPr>
              <w:autoSpaceDE w:val="0"/>
              <w:autoSpaceDN w:val="0"/>
              <w:adjustRightInd w:val="0"/>
              <w:rPr>
                <w:lang w:eastAsia="nl-NL"/>
              </w:rPr>
            </w:pPr>
            <w:r w:rsidRPr="007F2281">
              <w:rPr>
                <w:lang w:eastAsia="nl-NL"/>
              </w:rPr>
              <w:t>Patient refusal</w:t>
            </w:r>
          </w:p>
        </w:tc>
        <w:tc>
          <w:tcPr>
            <w:tcW w:w="1362" w:type="dxa"/>
            <w:shd w:val="clear" w:color="auto" w:fill="auto"/>
          </w:tcPr>
          <w:p w14:paraId="4626AE5F" w14:textId="77777777" w:rsidR="008D4DFB" w:rsidRPr="002924C5" w:rsidRDefault="008D4DFB" w:rsidP="001A2532">
            <w:pPr>
              <w:autoSpaceDE w:val="0"/>
              <w:autoSpaceDN w:val="0"/>
              <w:adjustRightInd w:val="0"/>
              <w:jc w:val="right"/>
              <w:rPr>
                <w:lang w:eastAsia="nl-NL"/>
              </w:rPr>
            </w:pPr>
            <w:r>
              <w:rPr>
                <w:lang w:eastAsia="nl-NL"/>
              </w:rPr>
              <w:t>1</w:t>
            </w:r>
          </w:p>
        </w:tc>
        <w:tc>
          <w:tcPr>
            <w:tcW w:w="1363" w:type="dxa"/>
            <w:shd w:val="clear" w:color="auto" w:fill="auto"/>
          </w:tcPr>
          <w:p w14:paraId="54FC5065"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2.9</w:t>
            </w:r>
            <w:r w:rsidRPr="002924C5">
              <w:rPr>
                <w:lang w:eastAsia="nl-NL"/>
              </w:rPr>
              <w:t>)</w:t>
            </w:r>
          </w:p>
        </w:tc>
      </w:tr>
    </w:tbl>
    <w:p w14:paraId="504B47A2" w14:textId="4C5C9F33" w:rsidR="008D4DFB" w:rsidRDefault="00222ADE" w:rsidP="001A2532">
      <w:r>
        <w:t xml:space="preserve">Values are </w:t>
      </w:r>
      <w:r w:rsidRPr="00222ADE">
        <w:rPr>
          <w:i/>
        </w:rPr>
        <w:t>n</w:t>
      </w:r>
      <w:r>
        <w:t xml:space="preserve"> (%). </w:t>
      </w:r>
      <w:r w:rsidR="008D4DFB">
        <w:t>Unknown in 20 patients (35.1%).</w:t>
      </w:r>
    </w:p>
    <w:p w14:paraId="7307F461" w14:textId="73F6B43C" w:rsidR="008D4DFB" w:rsidRDefault="008D4DFB" w:rsidP="001A2532">
      <w:r w:rsidRPr="005830DE">
        <w:t>ICD</w:t>
      </w:r>
      <w:r w:rsidR="00222ADE">
        <w:t xml:space="preserve">, </w:t>
      </w:r>
      <w:r w:rsidRPr="005830DE">
        <w:t>implantable-cardioverter defibrillator</w:t>
      </w:r>
      <w:r>
        <w:t>.</w:t>
      </w:r>
    </w:p>
    <w:p w14:paraId="133727F9" w14:textId="77777777" w:rsidR="008D4DFB" w:rsidRPr="003E439B" w:rsidRDefault="008D4DFB" w:rsidP="001A2532">
      <w:r>
        <w:br w:type="page"/>
      </w:r>
      <w:r w:rsidRPr="003E439B">
        <w:rPr>
          <w:b/>
        </w:rPr>
        <w:lastRenderedPageBreak/>
        <w:t xml:space="preserve">Table </w:t>
      </w:r>
      <w:r>
        <w:rPr>
          <w:b/>
        </w:rPr>
        <w:t>S2</w:t>
      </w:r>
      <w:r w:rsidRPr="003E439B">
        <w:rPr>
          <w:b/>
        </w:rPr>
        <w:t>. Details on implantable cardioverter-defibrillator</w:t>
      </w:r>
      <w:r>
        <w:rPr>
          <w:b/>
        </w:rPr>
        <w:t xml:space="preserve"> types and programming</w:t>
      </w:r>
    </w:p>
    <w:tbl>
      <w:tblPr>
        <w:tblW w:w="9288" w:type="dxa"/>
        <w:tblBorders>
          <w:top w:val="single" w:sz="4" w:space="0" w:color="auto"/>
          <w:bottom w:val="single" w:sz="4" w:space="0" w:color="auto"/>
        </w:tblBorders>
        <w:tblLayout w:type="fixed"/>
        <w:tblLook w:val="04A0" w:firstRow="1" w:lastRow="0" w:firstColumn="1" w:lastColumn="0" w:noHBand="0" w:noVBand="1"/>
      </w:tblPr>
      <w:tblGrid>
        <w:gridCol w:w="2943"/>
        <w:gridCol w:w="993"/>
        <w:gridCol w:w="798"/>
        <w:gridCol w:w="866"/>
        <w:gridCol w:w="865"/>
        <w:gridCol w:w="866"/>
        <w:gridCol w:w="866"/>
        <w:gridCol w:w="1091"/>
      </w:tblGrid>
      <w:tr w:rsidR="008D4DFB" w:rsidRPr="007926B0" w14:paraId="762CADD1" w14:textId="77777777" w:rsidTr="008D4DFB">
        <w:tc>
          <w:tcPr>
            <w:tcW w:w="2943" w:type="dxa"/>
            <w:tcBorders>
              <w:top w:val="single" w:sz="4" w:space="0" w:color="auto"/>
              <w:bottom w:val="single" w:sz="4" w:space="0" w:color="auto"/>
            </w:tcBorders>
            <w:shd w:val="clear" w:color="auto" w:fill="auto"/>
          </w:tcPr>
          <w:p w14:paraId="46054350" w14:textId="77777777" w:rsidR="008D4DFB" w:rsidRPr="003E439B" w:rsidRDefault="008D4DFB" w:rsidP="001A2532">
            <w:pPr>
              <w:rPr>
                <w:b/>
              </w:rPr>
            </w:pPr>
          </w:p>
          <w:p w14:paraId="52F43552" w14:textId="77777777" w:rsidR="008D4DFB" w:rsidRPr="003E439B" w:rsidRDefault="008D4DFB" w:rsidP="001A2532">
            <w:pPr>
              <w:rPr>
                <w:b/>
              </w:rPr>
            </w:pPr>
          </w:p>
          <w:p w14:paraId="7DAE5BC8" w14:textId="77777777" w:rsidR="008D4DFB" w:rsidRPr="003E439B" w:rsidRDefault="008D4DFB" w:rsidP="001A2532">
            <w:pPr>
              <w:rPr>
                <w:b/>
              </w:rPr>
            </w:pPr>
          </w:p>
          <w:p w14:paraId="2504156C" w14:textId="77777777" w:rsidR="008D4DFB" w:rsidRPr="003E439B" w:rsidRDefault="008D4DFB" w:rsidP="001A2532">
            <w:pPr>
              <w:rPr>
                <w:b/>
              </w:rPr>
            </w:pPr>
          </w:p>
          <w:p w14:paraId="28B69D30" w14:textId="77777777" w:rsidR="008D4DFB" w:rsidRPr="003E439B" w:rsidRDefault="008D4DFB" w:rsidP="001A2532">
            <w:pPr>
              <w:rPr>
                <w:b/>
              </w:rPr>
            </w:pPr>
          </w:p>
        </w:tc>
        <w:tc>
          <w:tcPr>
            <w:tcW w:w="1791" w:type="dxa"/>
            <w:gridSpan w:val="2"/>
            <w:tcBorders>
              <w:top w:val="single" w:sz="4" w:space="0" w:color="auto"/>
              <w:bottom w:val="single" w:sz="4" w:space="0" w:color="auto"/>
            </w:tcBorders>
            <w:shd w:val="clear" w:color="auto" w:fill="auto"/>
          </w:tcPr>
          <w:p w14:paraId="00B902D3" w14:textId="77777777" w:rsidR="008D4DFB" w:rsidRPr="003E439B" w:rsidRDefault="008D4DFB" w:rsidP="001A2532">
            <w:pPr>
              <w:jc w:val="center"/>
              <w:rPr>
                <w:b/>
              </w:rPr>
            </w:pPr>
            <w:r w:rsidRPr="003E439B">
              <w:rPr>
                <w:b/>
              </w:rPr>
              <w:t xml:space="preserve">Whole </w:t>
            </w:r>
            <w:r>
              <w:rPr>
                <w:b/>
              </w:rPr>
              <w:t>C</w:t>
            </w:r>
            <w:r w:rsidRPr="003E439B">
              <w:rPr>
                <w:b/>
              </w:rPr>
              <w:t>ohort</w:t>
            </w:r>
          </w:p>
          <w:p w14:paraId="54ADF799" w14:textId="77777777" w:rsidR="008D4DFB" w:rsidRPr="003E439B" w:rsidRDefault="008D4DFB" w:rsidP="001A2532">
            <w:pPr>
              <w:jc w:val="center"/>
              <w:rPr>
                <w:b/>
              </w:rPr>
            </w:pPr>
          </w:p>
          <w:p w14:paraId="31008319" w14:textId="77777777" w:rsidR="008D4DFB" w:rsidRPr="003E439B" w:rsidRDefault="008D4DFB" w:rsidP="001A2532">
            <w:pPr>
              <w:jc w:val="center"/>
              <w:rPr>
                <w:b/>
              </w:rPr>
            </w:pPr>
          </w:p>
          <w:p w14:paraId="7BB22534" w14:textId="77777777" w:rsidR="008D4DFB" w:rsidRPr="003E439B" w:rsidRDefault="008D4DFB" w:rsidP="001A2532">
            <w:pPr>
              <w:jc w:val="center"/>
              <w:rPr>
                <w:b/>
              </w:rPr>
            </w:pPr>
          </w:p>
          <w:p w14:paraId="7C4A34E5" w14:textId="2EEA4ECA" w:rsidR="008D4DFB" w:rsidRPr="003E439B" w:rsidRDefault="008D4DFB" w:rsidP="001A2532">
            <w:pPr>
              <w:jc w:val="center"/>
              <w:rPr>
                <w:b/>
              </w:rPr>
            </w:pPr>
            <w:r w:rsidRPr="003E439B">
              <w:rPr>
                <w:b/>
              </w:rPr>
              <w:t>(</w:t>
            </w:r>
            <w:r w:rsidR="00222ADE" w:rsidRPr="00222ADE">
              <w:rPr>
                <w:b/>
                <w:i/>
              </w:rPr>
              <w:t>n</w:t>
            </w:r>
            <w:r w:rsidRPr="003E439B">
              <w:rPr>
                <w:b/>
              </w:rPr>
              <w:t xml:space="preserve"> = 79)</w:t>
            </w:r>
          </w:p>
        </w:tc>
        <w:tc>
          <w:tcPr>
            <w:tcW w:w="1731" w:type="dxa"/>
            <w:gridSpan w:val="2"/>
            <w:tcBorders>
              <w:top w:val="single" w:sz="4" w:space="0" w:color="auto"/>
              <w:bottom w:val="single" w:sz="4" w:space="0" w:color="auto"/>
            </w:tcBorders>
            <w:shd w:val="clear" w:color="auto" w:fill="auto"/>
          </w:tcPr>
          <w:p w14:paraId="45DC42E1" w14:textId="77777777" w:rsidR="008D4DFB" w:rsidRPr="003E439B" w:rsidRDefault="008D4DFB" w:rsidP="001A2532">
            <w:pPr>
              <w:jc w:val="center"/>
              <w:rPr>
                <w:b/>
              </w:rPr>
            </w:pPr>
            <w:r w:rsidRPr="003E439B">
              <w:rPr>
                <w:b/>
              </w:rPr>
              <w:t xml:space="preserve">Patients with </w:t>
            </w:r>
            <w:r>
              <w:rPr>
                <w:b/>
              </w:rPr>
              <w:t>A</w:t>
            </w:r>
            <w:r w:rsidRPr="003E439B">
              <w:rPr>
                <w:b/>
              </w:rPr>
              <w:t xml:space="preserve">ppropriate </w:t>
            </w:r>
            <w:r>
              <w:rPr>
                <w:b/>
              </w:rPr>
              <w:t>S</w:t>
            </w:r>
            <w:r w:rsidRPr="003E439B">
              <w:rPr>
                <w:b/>
              </w:rPr>
              <w:t>hock</w:t>
            </w:r>
          </w:p>
          <w:p w14:paraId="2DFE9E29" w14:textId="77777777" w:rsidR="008D4DFB" w:rsidRPr="003E439B" w:rsidRDefault="008D4DFB" w:rsidP="001A2532">
            <w:pPr>
              <w:jc w:val="center"/>
              <w:rPr>
                <w:b/>
              </w:rPr>
            </w:pPr>
          </w:p>
          <w:p w14:paraId="1C065E5E" w14:textId="286A7166" w:rsidR="008D4DFB" w:rsidRPr="003E439B" w:rsidRDefault="008D4DFB" w:rsidP="001A2532">
            <w:pPr>
              <w:jc w:val="center"/>
              <w:rPr>
                <w:b/>
              </w:rPr>
            </w:pPr>
            <w:r w:rsidRPr="003E439B">
              <w:rPr>
                <w:b/>
              </w:rPr>
              <w:t>(</w:t>
            </w:r>
            <w:r w:rsidR="00222ADE" w:rsidRPr="00222ADE">
              <w:rPr>
                <w:b/>
                <w:i/>
              </w:rPr>
              <w:t>n</w:t>
            </w:r>
            <w:r w:rsidRPr="003E439B">
              <w:rPr>
                <w:b/>
              </w:rPr>
              <w:t xml:space="preserve"> = 3</w:t>
            </w:r>
            <w:r>
              <w:rPr>
                <w:b/>
              </w:rPr>
              <w:t>6</w:t>
            </w:r>
            <w:r w:rsidRPr="003E439B">
              <w:rPr>
                <w:b/>
              </w:rPr>
              <w:t>)</w:t>
            </w:r>
          </w:p>
        </w:tc>
        <w:tc>
          <w:tcPr>
            <w:tcW w:w="1732" w:type="dxa"/>
            <w:gridSpan w:val="2"/>
            <w:tcBorders>
              <w:top w:val="single" w:sz="4" w:space="0" w:color="auto"/>
              <w:bottom w:val="single" w:sz="4" w:space="0" w:color="auto"/>
            </w:tcBorders>
            <w:shd w:val="clear" w:color="auto" w:fill="auto"/>
          </w:tcPr>
          <w:p w14:paraId="3B5EFCF6" w14:textId="77777777" w:rsidR="008D4DFB" w:rsidRPr="003E439B" w:rsidRDefault="008D4DFB" w:rsidP="001A2532">
            <w:pPr>
              <w:jc w:val="center"/>
              <w:rPr>
                <w:b/>
              </w:rPr>
            </w:pPr>
            <w:r w:rsidRPr="003E439B">
              <w:rPr>
                <w:b/>
              </w:rPr>
              <w:t xml:space="preserve">Patients without </w:t>
            </w:r>
            <w:r>
              <w:rPr>
                <w:b/>
              </w:rPr>
              <w:t>A</w:t>
            </w:r>
            <w:r w:rsidRPr="003E439B">
              <w:rPr>
                <w:b/>
              </w:rPr>
              <w:t xml:space="preserve">ppropriate </w:t>
            </w:r>
            <w:r>
              <w:rPr>
                <w:b/>
              </w:rPr>
              <w:t>S</w:t>
            </w:r>
            <w:r w:rsidRPr="003E439B">
              <w:rPr>
                <w:b/>
              </w:rPr>
              <w:t>hock</w:t>
            </w:r>
          </w:p>
          <w:p w14:paraId="461B47C7" w14:textId="6A3C8D3E" w:rsidR="008D4DFB" w:rsidRPr="003E439B" w:rsidRDefault="008D4DFB" w:rsidP="001A2532">
            <w:pPr>
              <w:jc w:val="center"/>
              <w:rPr>
                <w:b/>
              </w:rPr>
            </w:pPr>
            <w:r w:rsidRPr="003E439B">
              <w:rPr>
                <w:b/>
              </w:rPr>
              <w:t>(</w:t>
            </w:r>
            <w:r w:rsidR="00222ADE" w:rsidRPr="00222ADE">
              <w:rPr>
                <w:b/>
                <w:i/>
              </w:rPr>
              <w:t>n</w:t>
            </w:r>
            <w:r w:rsidRPr="003E439B">
              <w:rPr>
                <w:b/>
              </w:rPr>
              <w:t xml:space="preserve"> = 4</w:t>
            </w:r>
            <w:r>
              <w:rPr>
                <w:b/>
              </w:rPr>
              <w:t>3</w:t>
            </w:r>
            <w:r w:rsidRPr="003E439B">
              <w:rPr>
                <w:b/>
              </w:rPr>
              <w:t>)</w:t>
            </w:r>
          </w:p>
        </w:tc>
        <w:tc>
          <w:tcPr>
            <w:tcW w:w="1091" w:type="dxa"/>
            <w:tcBorders>
              <w:top w:val="single" w:sz="4" w:space="0" w:color="auto"/>
              <w:bottom w:val="single" w:sz="4" w:space="0" w:color="auto"/>
            </w:tcBorders>
          </w:tcPr>
          <w:p w14:paraId="1F9D720A" w14:textId="77777777" w:rsidR="008D4DFB" w:rsidRPr="003E439B" w:rsidRDefault="008D4DFB" w:rsidP="001A2532">
            <w:pPr>
              <w:jc w:val="center"/>
              <w:rPr>
                <w:b/>
              </w:rPr>
            </w:pPr>
            <w:r w:rsidRPr="003E439B">
              <w:rPr>
                <w:b/>
                <w:i/>
              </w:rPr>
              <w:t>P</w:t>
            </w:r>
            <w:r w:rsidRPr="003E439B">
              <w:rPr>
                <w:b/>
              </w:rPr>
              <w:t>-value</w:t>
            </w:r>
          </w:p>
        </w:tc>
      </w:tr>
      <w:tr w:rsidR="008D4DFB" w:rsidRPr="007926B0" w14:paraId="39A3B270" w14:textId="77777777" w:rsidTr="008D4DFB">
        <w:tc>
          <w:tcPr>
            <w:tcW w:w="2943" w:type="dxa"/>
            <w:tcBorders>
              <w:top w:val="single" w:sz="4" w:space="0" w:color="auto"/>
            </w:tcBorders>
            <w:shd w:val="clear" w:color="auto" w:fill="auto"/>
          </w:tcPr>
          <w:p w14:paraId="2B151001" w14:textId="77777777" w:rsidR="008D4DFB" w:rsidRPr="003E439B" w:rsidRDefault="008D4DFB" w:rsidP="001A2532">
            <w:r w:rsidRPr="003E439B">
              <w:t>ICD type</w:t>
            </w:r>
          </w:p>
        </w:tc>
        <w:tc>
          <w:tcPr>
            <w:tcW w:w="993" w:type="dxa"/>
            <w:tcBorders>
              <w:top w:val="single" w:sz="4" w:space="0" w:color="auto"/>
            </w:tcBorders>
            <w:shd w:val="clear" w:color="auto" w:fill="auto"/>
          </w:tcPr>
          <w:p w14:paraId="6213D18D" w14:textId="77777777" w:rsidR="008D4DFB" w:rsidRPr="00B11A32" w:rsidRDefault="008D4DFB" w:rsidP="001A2532">
            <w:pPr>
              <w:jc w:val="right"/>
            </w:pPr>
          </w:p>
        </w:tc>
        <w:tc>
          <w:tcPr>
            <w:tcW w:w="798" w:type="dxa"/>
            <w:tcBorders>
              <w:top w:val="single" w:sz="4" w:space="0" w:color="auto"/>
            </w:tcBorders>
            <w:shd w:val="clear" w:color="auto" w:fill="auto"/>
          </w:tcPr>
          <w:p w14:paraId="2D5AEA3C" w14:textId="77777777" w:rsidR="008D4DFB" w:rsidRPr="00B11A32" w:rsidRDefault="008D4DFB" w:rsidP="001A2532"/>
        </w:tc>
        <w:tc>
          <w:tcPr>
            <w:tcW w:w="866" w:type="dxa"/>
            <w:tcBorders>
              <w:top w:val="single" w:sz="4" w:space="0" w:color="auto"/>
            </w:tcBorders>
            <w:shd w:val="clear" w:color="auto" w:fill="auto"/>
          </w:tcPr>
          <w:p w14:paraId="13D8DBBD" w14:textId="77777777" w:rsidR="008D4DFB" w:rsidRPr="00B11A32" w:rsidRDefault="008D4DFB" w:rsidP="001A2532">
            <w:pPr>
              <w:jc w:val="right"/>
            </w:pPr>
          </w:p>
        </w:tc>
        <w:tc>
          <w:tcPr>
            <w:tcW w:w="865" w:type="dxa"/>
            <w:tcBorders>
              <w:top w:val="single" w:sz="4" w:space="0" w:color="auto"/>
            </w:tcBorders>
            <w:shd w:val="clear" w:color="auto" w:fill="auto"/>
          </w:tcPr>
          <w:p w14:paraId="01729045" w14:textId="77777777" w:rsidR="008D4DFB" w:rsidRPr="00B11A32" w:rsidRDefault="008D4DFB" w:rsidP="001A2532"/>
        </w:tc>
        <w:tc>
          <w:tcPr>
            <w:tcW w:w="866" w:type="dxa"/>
            <w:tcBorders>
              <w:top w:val="single" w:sz="4" w:space="0" w:color="auto"/>
            </w:tcBorders>
            <w:shd w:val="clear" w:color="auto" w:fill="auto"/>
          </w:tcPr>
          <w:p w14:paraId="231559CC" w14:textId="77777777" w:rsidR="008D4DFB" w:rsidRPr="00B11A32" w:rsidRDefault="008D4DFB" w:rsidP="001A2532">
            <w:pPr>
              <w:jc w:val="right"/>
            </w:pPr>
          </w:p>
        </w:tc>
        <w:tc>
          <w:tcPr>
            <w:tcW w:w="866" w:type="dxa"/>
            <w:tcBorders>
              <w:top w:val="single" w:sz="4" w:space="0" w:color="auto"/>
            </w:tcBorders>
            <w:shd w:val="clear" w:color="auto" w:fill="auto"/>
          </w:tcPr>
          <w:p w14:paraId="05229977" w14:textId="77777777" w:rsidR="008D4DFB" w:rsidRPr="00B11A32" w:rsidRDefault="008D4DFB" w:rsidP="001A2532"/>
        </w:tc>
        <w:tc>
          <w:tcPr>
            <w:tcW w:w="1091" w:type="dxa"/>
            <w:tcBorders>
              <w:top w:val="single" w:sz="4" w:space="0" w:color="auto"/>
            </w:tcBorders>
          </w:tcPr>
          <w:p w14:paraId="1B662B9C" w14:textId="77777777" w:rsidR="008D4DFB" w:rsidRPr="00B11A32" w:rsidRDefault="008D4DFB" w:rsidP="001A2532">
            <w:pPr>
              <w:jc w:val="center"/>
            </w:pPr>
            <w:r>
              <w:t>0.329</w:t>
            </w:r>
          </w:p>
        </w:tc>
      </w:tr>
      <w:tr w:rsidR="008D4DFB" w:rsidRPr="007926B0" w14:paraId="453BA0B2" w14:textId="77777777" w:rsidTr="008D4DFB">
        <w:tc>
          <w:tcPr>
            <w:tcW w:w="2943" w:type="dxa"/>
            <w:shd w:val="clear" w:color="auto" w:fill="auto"/>
          </w:tcPr>
          <w:p w14:paraId="58013BB4" w14:textId="77777777" w:rsidR="008D4DFB" w:rsidRPr="003E439B" w:rsidRDefault="008D4DFB" w:rsidP="001A2532">
            <w:pPr>
              <w:ind w:left="708" w:hanging="282"/>
            </w:pPr>
            <w:r w:rsidRPr="003E439B">
              <w:t>Single chamber ICD</w:t>
            </w:r>
          </w:p>
        </w:tc>
        <w:tc>
          <w:tcPr>
            <w:tcW w:w="993" w:type="dxa"/>
            <w:shd w:val="clear" w:color="auto" w:fill="auto"/>
          </w:tcPr>
          <w:p w14:paraId="425C55C9" w14:textId="77777777" w:rsidR="008D4DFB" w:rsidRPr="00B11A32" w:rsidRDefault="008D4DFB" w:rsidP="001A2532">
            <w:pPr>
              <w:jc w:val="right"/>
            </w:pPr>
            <w:r w:rsidRPr="00B11A32">
              <w:t>42/73</w:t>
            </w:r>
          </w:p>
        </w:tc>
        <w:tc>
          <w:tcPr>
            <w:tcW w:w="798" w:type="dxa"/>
            <w:shd w:val="clear" w:color="auto" w:fill="auto"/>
          </w:tcPr>
          <w:p w14:paraId="6B53E159" w14:textId="77777777" w:rsidR="008D4DFB" w:rsidRPr="00B11A32" w:rsidRDefault="008D4DFB" w:rsidP="001A2532">
            <w:r w:rsidRPr="00B11A32">
              <w:t>(57.5)</w:t>
            </w:r>
          </w:p>
        </w:tc>
        <w:tc>
          <w:tcPr>
            <w:tcW w:w="866" w:type="dxa"/>
            <w:shd w:val="clear" w:color="auto" w:fill="auto"/>
          </w:tcPr>
          <w:p w14:paraId="0BF911AA" w14:textId="77777777" w:rsidR="008D4DFB" w:rsidRPr="00B11A32" w:rsidRDefault="008D4DFB" w:rsidP="001A2532">
            <w:pPr>
              <w:jc w:val="right"/>
            </w:pPr>
            <w:r w:rsidRPr="00B11A32">
              <w:t>22/34</w:t>
            </w:r>
          </w:p>
        </w:tc>
        <w:tc>
          <w:tcPr>
            <w:tcW w:w="865" w:type="dxa"/>
            <w:shd w:val="clear" w:color="auto" w:fill="auto"/>
          </w:tcPr>
          <w:p w14:paraId="6D2763D2" w14:textId="77777777" w:rsidR="008D4DFB" w:rsidRPr="00B11A32" w:rsidRDefault="008D4DFB" w:rsidP="001A2532">
            <w:r w:rsidRPr="00B11A32">
              <w:t>(64.7)</w:t>
            </w:r>
          </w:p>
        </w:tc>
        <w:tc>
          <w:tcPr>
            <w:tcW w:w="866" w:type="dxa"/>
            <w:shd w:val="clear" w:color="auto" w:fill="auto"/>
          </w:tcPr>
          <w:p w14:paraId="1B2D70EB" w14:textId="77777777" w:rsidR="008D4DFB" w:rsidRPr="00B11A32" w:rsidRDefault="008D4DFB" w:rsidP="001A2532">
            <w:pPr>
              <w:jc w:val="right"/>
            </w:pPr>
            <w:r>
              <w:t>20/39</w:t>
            </w:r>
          </w:p>
        </w:tc>
        <w:tc>
          <w:tcPr>
            <w:tcW w:w="866" w:type="dxa"/>
            <w:shd w:val="clear" w:color="auto" w:fill="auto"/>
          </w:tcPr>
          <w:p w14:paraId="3951A424" w14:textId="77777777" w:rsidR="008D4DFB" w:rsidRPr="00B11A32" w:rsidRDefault="008D4DFB" w:rsidP="001A2532">
            <w:r>
              <w:t>(51.3)</w:t>
            </w:r>
          </w:p>
        </w:tc>
        <w:tc>
          <w:tcPr>
            <w:tcW w:w="1091" w:type="dxa"/>
          </w:tcPr>
          <w:p w14:paraId="0C12B879" w14:textId="77777777" w:rsidR="008D4DFB" w:rsidRPr="00B11A32" w:rsidRDefault="008D4DFB" w:rsidP="001A2532">
            <w:pPr>
              <w:jc w:val="center"/>
            </w:pPr>
          </w:p>
        </w:tc>
      </w:tr>
      <w:tr w:rsidR="008D4DFB" w:rsidRPr="007926B0" w14:paraId="594B230E" w14:textId="77777777" w:rsidTr="008D4DFB">
        <w:tc>
          <w:tcPr>
            <w:tcW w:w="2943" w:type="dxa"/>
            <w:shd w:val="clear" w:color="auto" w:fill="auto"/>
          </w:tcPr>
          <w:p w14:paraId="1B90A2FC" w14:textId="77777777" w:rsidR="008D4DFB" w:rsidRPr="003E439B" w:rsidRDefault="008D4DFB" w:rsidP="001A2532">
            <w:pPr>
              <w:ind w:left="708" w:hanging="282"/>
            </w:pPr>
            <w:r w:rsidRPr="003E439B">
              <w:t>Dual chamber ICD</w:t>
            </w:r>
          </w:p>
        </w:tc>
        <w:tc>
          <w:tcPr>
            <w:tcW w:w="993" w:type="dxa"/>
            <w:shd w:val="clear" w:color="auto" w:fill="auto"/>
          </w:tcPr>
          <w:p w14:paraId="16C95A9E" w14:textId="77777777" w:rsidR="008D4DFB" w:rsidRPr="00B11A32" w:rsidRDefault="008D4DFB" w:rsidP="001A2532">
            <w:pPr>
              <w:jc w:val="right"/>
            </w:pPr>
            <w:r w:rsidRPr="00B11A32">
              <w:t>24/73</w:t>
            </w:r>
          </w:p>
        </w:tc>
        <w:tc>
          <w:tcPr>
            <w:tcW w:w="798" w:type="dxa"/>
            <w:shd w:val="clear" w:color="auto" w:fill="auto"/>
          </w:tcPr>
          <w:p w14:paraId="45A6144C" w14:textId="77777777" w:rsidR="008D4DFB" w:rsidRPr="00B11A32" w:rsidRDefault="008D4DFB" w:rsidP="001A2532">
            <w:r w:rsidRPr="00B11A32">
              <w:t>(32.9)</w:t>
            </w:r>
          </w:p>
        </w:tc>
        <w:tc>
          <w:tcPr>
            <w:tcW w:w="866" w:type="dxa"/>
            <w:shd w:val="clear" w:color="auto" w:fill="auto"/>
          </w:tcPr>
          <w:p w14:paraId="0F658A98" w14:textId="77777777" w:rsidR="008D4DFB" w:rsidRPr="00B11A32" w:rsidRDefault="008D4DFB" w:rsidP="001A2532">
            <w:pPr>
              <w:jc w:val="right"/>
            </w:pPr>
            <w:r w:rsidRPr="00B11A32">
              <w:t>8/34</w:t>
            </w:r>
          </w:p>
        </w:tc>
        <w:tc>
          <w:tcPr>
            <w:tcW w:w="865" w:type="dxa"/>
            <w:shd w:val="clear" w:color="auto" w:fill="auto"/>
          </w:tcPr>
          <w:p w14:paraId="45829AAC" w14:textId="77777777" w:rsidR="008D4DFB" w:rsidRPr="00B11A32" w:rsidRDefault="008D4DFB" w:rsidP="001A2532">
            <w:r w:rsidRPr="00B11A32">
              <w:t>(23.5)</w:t>
            </w:r>
          </w:p>
        </w:tc>
        <w:tc>
          <w:tcPr>
            <w:tcW w:w="866" w:type="dxa"/>
            <w:shd w:val="clear" w:color="auto" w:fill="auto"/>
          </w:tcPr>
          <w:p w14:paraId="3E748DD4" w14:textId="77777777" w:rsidR="008D4DFB" w:rsidRPr="00B11A32" w:rsidRDefault="008D4DFB" w:rsidP="001A2532">
            <w:pPr>
              <w:jc w:val="right"/>
            </w:pPr>
            <w:r>
              <w:t>16/39</w:t>
            </w:r>
          </w:p>
        </w:tc>
        <w:tc>
          <w:tcPr>
            <w:tcW w:w="866" w:type="dxa"/>
            <w:shd w:val="clear" w:color="auto" w:fill="auto"/>
          </w:tcPr>
          <w:p w14:paraId="1871D396" w14:textId="77777777" w:rsidR="008D4DFB" w:rsidRPr="00B11A32" w:rsidRDefault="008D4DFB" w:rsidP="001A2532">
            <w:r>
              <w:t>(41.0)</w:t>
            </w:r>
          </w:p>
        </w:tc>
        <w:tc>
          <w:tcPr>
            <w:tcW w:w="1091" w:type="dxa"/>
          </w:tcPr>
          <w:p w14:paraId="61CEE59A" w14:textId="77777777" w:rsidR="008D4DFB" w:rsidRPr="00B11A32" w:rsidRDefault="008D4DFB" w:rsidP="001A2532">
            <w:pPr>
              <w:jc w:val="center"/>
            </w:pPr>
          </w:p>
        </w:tc>
      </w:tr>
      <w:tr w:rsidR="008D4DFB" w:rsidRPr="007926B0" w14:paraId="086A1BCB" w14:textId="77777777" w:rsidTr="008D4DFB">
        <w:tc>
          <w:tcPr>
            <w:tcW w:w="2943" w:type="dxa"/>
            <w:shd w:val="clear" w:color="auto" w:fill="auto"/>
          </w:tcPr>
          <w:p w14:paraId="328CAF52" w14:textId="77777777" w:rsidR="008D4DFB" w:rsidRPr="003E439B" w:rsidRDefault="008D4DFB" w:rsidP="001A2532">
            <w:pPr>
              <w:ind w:left="708" w:hanging="282"/>
            </w:pPr>
            <w:r w:rsidRPr="003E439B">
              <w:t>Subcutaneous ICD</w:t>
            </w:r>
          </w:p>
        </w:tc>
        <w:tc>
          <w:tcPr>
            <w:tcW w:w="993" w:type="dxa"/>
            <w:shd w:val="clear" w:color="auto" w:fill="auto"/>
          </w:tcPr>
          <w:p w14:paraId="5A2EB175" w14:textId="77777777" w:rsidR="008D4DFB" w:rsidRPr="00B11A32" w:rsidRDefault="008D4DFB" w:rsidP="001A2532">
            <w:pPr>
              <w:jc w:val="right"/>
            </w:pPr>
            <w:r w:rsidRPr="00B11A32">
              <w:t>6/73</w:t>
            </w:r>
          </w:p>
        </w:tc>
        <w:tc>
          <w:tcPr>
            <w:tcW w:w="798" w:type="dxa"/>
            <w:shd w:val="clear" w:color="auto" w:fill="auto"/>
          </w:tcPr>
          <w:p w14:paraId="4C5AB915" w14:textId="77777777" w:rsidR="008D4DFB" w:rsidRPr="00B11A32" w:rsidRDefault="008D4DFB" w:rsidP="001A2532">
            <w:r w:rsidRPr="00B11A32">
              <w:t>(8.2)</w:t>
            </w:r>
          </w:p>
        </w:tc>
        <w:tc>
          <w:tcPr>
            <w:tcW w:w="866" w:type="dxa"/>
            <w:shd w:val="clear" w:color="auto" w:fill="auto"/>
          </w:tcPr>
          <w:p w14:paraId="4F7B43D4" w14:textId="77777777" w:rsidR="008D4DFB" w:rsidRPr="00B11A32" w:rsidRDefault="008D4DFB" w:rsidP="001A2532">
            <w:pPr>
              <w:jc w:val="right"/>
            </w:pPr>
            <w:r w:rsidRPr="00B11A32">
              <w:t>3/34</w:t>
            </w:r>
          </w:p>
        </w:tc>
        <w:tc>
          <w:tcPr>
            <w:tcW w:w="865" w:type="dxa"/>
            <w:shd w:val="clear" w:color="auto" w:fill="auto"/>
          </w:tcPr>
          <w:p w14:paraId="46E5F6C1" w14:textId="77777777" w:rsidR="008D4DFB" w:rsidRPr="00B11A32" w:rsidRDefault="008D4DFB" w:rsidP="001A2532">
            <w:r w:rsidRPr="00B11A32">
              <w:t>(8.8)</w:t>
            </w:r>
          </w:p>
        </w:tc>
        <w:tc>
          <w:tcPr>
            <w:tcW w:w="866" w:type="dxa"/>
            <w:shd w:val="clear" w:color="auto" w:fill="auto"/>
          </w:tcPr>
          <w:p w14:paraId="7F3822AD" w14:textId="77777777" w:rsidR="008D4DFB" w:rsidRPr="00B11A32" w:rsidRDefault="008D4DFB" w:rsidP="001A2532">
            <w:pPr>
              <w:jc w:val="right"/>
            </w:pPr>
            <w:r>
              <w:t>3/39</w:t>
            </w:r>
          </w:p>
        </w:tc>
        <w:tc>
          <w:tcPr>
            <w:tcW w:w="866" w:type="dxa"/>
            <w:shd w:val="clear" w:color="auto" w:fill="auto"/>
          </w:tcPr>
          <w:p w14:paraId="27973B83" w14:textId="77777777" w:rsidR="008D4DFB" w:rsidRPr="00B11A32" w:rsidRDefault="008D4DFB" w:rsidP="001A2532">
            <w:r>
              <w:t>(7.7)</w:t>
            </w:r>
          </w:p>
        </w:tc>
        <w:tc>
          <w:tcPr>
            <w:tcW w:w="1091" w:type="dxa"/>
          </w:tcPr>
          <w:p w14:paraId="6FD2E362" w14:textId="77777777" w:rsidR="008D4DFB" w:rsidRPr="00B11A32" w:rsidRDefault="008D4DFB" w:rsidP="001A2532">
            <w:pPr>
              <w:jc w:val="center"/>
            </w:pPr>
          </w:p>
        </w:tc>
      </w:tr>
      <w:tr w:rsidR="008D4DFB" w:rsidRPr="007926B0" w14:paraId="4271DF11" w14:textId="77777777" w:rsidTr="008D4DFB">
        <w:tc>
          <w:tcPr>
            <w:tcW w:w="2943" w:type="dxa"/>
            <w:shd w:val="clear" w:color="auto" w:fill="auto"/>
          </w:tcPr>
          <w:p w14:paraId="69B8F184" w14:textId="77777777" w:rsidR="008D4DFB" w:rsidRPr="003E439B" w:rsidRDefault="008D4DFB" w:rsidP="001A2532">
            <w:pPr>
              <w:ind w:left="708" w:hanging="282"/>
            </w:pPr>
            <w:r>
              <w:t>CRT-D</w:t>
            </w:r>
          </w:p>
        </w:tc>
        <w:tc>
          <w:tcPr>
            <w:tcW w:w="993" w:type="dxa"/>
            <w:shd w:val="clear" w:color="auto" w:fill="auto"/>
          </w:tcPr>
          <w:p w14:paraId="77164CAF" w14:textId="77777777" w:rsidR="008D4DFB" w:rsidRPr="00B11A32" w:rsidRDefault="008D4DFB" w:rsidP="001A2532">
            <w:pPr>
              <w:jc w:val="right"/>
            </w:pPr>
            <w:r w:rsidRPr="00B11A32">
              <w:t>1/73</w:t>
            </w:r>
          </w:p>
        </w:tc>
        <w:tc>
          <w:tcPr>
            <w:tcW w:w="798" w:type="dxa"/>
            <w:shd w:val="clear" w:color="auto" w:fill="auto"/>
          </w:tcPr>
          <w:p w14:paraId="2D88DFD2" w14:textId="77777777" w:rsidR="008D4DFB" w:rsidRPr="00B11A32" w:rsidRDefault="008D4DFB" w:rsidP="001A2532">
            <w:r w:rsidRPr="00B11A32">
              <w:t>(1.4)</w:t>
            </w:r>
          </w:p>
        </w:tc>
        <w:tc>
          <w:tcPr>
            <w:tcW w:w="866" w:type="dxa"/>
            <w:shd w:val="clear" w:color="auto" w:fill="auto"/>
          </w:tcPr>
          <w:p w14:paraId="76FF33B5" w14:textId="77777777" w:rsidR="008D4DFB" w:rsidRPr="00B11A32" w:rsidRDefault="008D4DFB" w:rsidP="001A2532">
            <w:pPr>
              <w:jc w:val="right"/>
            </w:pPr>
            <w:r w:rsidRPr="00B11A32">
              <w:t>1/34</w:t>
            </w:r>
          </w:p>
        </w:tc>
        <w:tc>
          <w:tcPr>
            <w:tcW w:w="865" w:type="dxa"/>
            <w:shd w:val="clear" w:color="auto" w:fill="auto"/>
          </w:tcPr>
          <w:p w14:paraId="376F9E57" w14:textId="77777777" w:rsidR="008D4DFB" w:rsidRPr="00B11A32" w:rsidRDefault="008D4DFB" w:rsidP="001A2532">
            <w:r w:rsidRPr="00B11A32">
              <w:t>(2.9)</w:t>
            </w:r>
          </w:p>
        </w:tc>
        <w:tc>
          <w:tcPr>
            <w:tcW w:w="1732" w:type="dxa"/>
            <w:gridSpan w:val="2"/>
            <w:shd w:val="clear" w:color="auto" w:fill="auto"/>
          </w:tcPr>
          <w:p w14:paraId="501A458C" w14:textId="77777777" w:rsidR="008D4DFB" w:rsidRPr="00B11A32" w:rsidRDefault="008D4DFB" w:rsidP="001A2532">
            <w:pPr>
              <w:jc w:val="center"/>
            </w:pPr>
            <w:r>
              <w:t>-</w:t>
            </w:r>
          </w:p>
        </w:tc>
        <w:tc>
          <w:tcPr>
            <w:tcW w:w="1091" w:type="dxa"/>
          </w:tcPr>
          <w:p w14:paraId="1AEAF2D0" w14:textId="77777777" w:rsidR="008D4DFB" w:rsidRPr="00B11A32" w:rsidRDefault="008D4DFB" w:rsidP="001A2532">
            <w:pPr>
              <w:jc w:val="center"/>
            </w:pPr>
          </w:p>
        </w:tc>
      </w:tr>
      <w:tr w:rsidR="008D4DFB" w:rsidRPr="007926B0" w14:paraId="090719B4" w14:textId="77777777" w:rsidTr="008D4DFB">
        <w:tc>
          <w:tcPr>
            <w:tcW w:w="2943" w:type="dxa"/>
            <w:shd w:val="clear" w:color="auto" w:fill="auto"/>
          </w:tcPr>
          <w:p w14:paraId="25877049" w14:textId="77777777" w:rsidR="008D4DFB" w:rsidRPr="003E439B" w:rsidRDefault="008D4DFB" w:rsidP="001A2532">
            <w:r>
              <w:t>ICD</w:t>
            </w:r>
            <w:r w:rsidRPr="003E439B">
              <w:t xml:space="preserve"> programming</w:t>
            </w:r>
          </w:p>
        </w:tc>
        <w:tc>
          <w:tcPr>
            <w:tcW w:w="993" w:type="dxa"/>
            <w:shd w:val="clear" w:color="auto" w:fill="auto"/>
          </w:tcPr>
          <w:p w14:paraId="57EB6394" w14:textId="77777777" w:rsidR="008D4DFB" w:rsidRPr="00B11A32" w:rsidRDefault="008D4DFB" w:rsidP="001A2532">
            <w:pPr>
              <w:jc w:val="right"/>
            </w:pPr>
          </w:p>
        </w:tc>
        <w:tc>
          <w:tcPr>
            <w:tcW w:w="798" w:type="dxa"/>
            <w:shd w:val="clear" w:color="auto" w:fill="auto"/>
          </w:tcPr>
          <w:p w14:paraId="7C581468" w14:textId="77777777" w:rsidR="008D4DFB" w:rsidRPr="00B11A32" w:rsidRDefault="008D4DFB" w:rsidP="001A2532"/>
        </w:tc>
        <w:tc>
          <w:tcPr>
            <w:tcW w:w="866" w:type="dxa"/>
            <w:shd w:val="clear" w:color="auto" w:fill="auto"/>
          </w:tcPr>
          <w:p w14:paraId="5A13CC58" w14:textId="77777777" w:rsidR="008D4DFB" w:rsidRPr="00B11A32" w:rsidRDefault="008D4DFB" w:rsidP="001A2532">
            <w:pPr>
              <w:jc w:val="right"/>
            </w:pPr>
          </w:p>
        </w:tc>
        <w:tc>
          <w:tcPr>
            <w:tcW w:w="865" w:type="dxa"/>
            <w:shd w:val="clear" w:color="auto" w:fill="auto"/>
          </w:tcPr>
          <w:p w14:paraId="449341D5" w14:textId="77777777" w:rsidR="008D4DFB" w:rsidRPr="00B11A32" w:rsidRDefault="008D4DFB" w:rsidP="001A2532"/>
        </w:tc>
        <w:tc>
          <w:tcPr>
            <w:tcW w:w="866" w:type="dxa"/>
            <w:shd w:val="clear" w:color="auto" w:fill="auto"/>
          </w:tcPr>
          <w:p w14:paraId="60515780" w14:textId="77777777" w:rsidR="008D4DFB" w:rsidRPr="00B11A32" w:rsidRDefault="008D4DFB" w:rsidP="001A2532">
            <w:pPr>
              <w:jc w:val="right"/>
            </w:pPr>
          </w:p>
        </w:tc>
        <w:tc>
          <w:tcPr>
            <w:tcW w:w="866" w:type="dxa"/>
            <w:shd w:val="clear" w:color="auto" w:fill="auto"/>
          </w:tcPr>
          <w:p w14:paraId="2B96C283" w14:textId="77777777" w:rsidR="008D4DFB" w:rsidRPr="00B11A32" w:rsidRDefault="008D4DFB" w:rsidP="001A2532"/>
        </w:tc>
        <w:tc>
          <w:tcPr>
            <w:tcW w:w="1091" w:type="dxa"/>
          </w:tcPr>
          <w:p w14:paraId="51B0DC7A" w14:textId="77777777" w:rsidR="008D4DFB" w:rsidRPr="00B11A32" w:rsidRDefault="008D4DFB" w:rsidP="001A2532">
            <w:pPr>
              <w:jc w:val="center"/>
            </w:pPr>
          </w:p>
        </w:tc>
      </w:tr>
      <w:tr w:rsidR="008D4DFB" w:rsidRPr="007926B0" w14:paraId="2FC95810" w14:textId="77777777" w:rsidTr="008D4DFB">
        <w:tc>
          <w:tcPr>
            <w:tcW w:w="2943" w:type="dxa"/>
            <w:shd w:val="clear" w:color="auto" w:fill="auto"/>
          </w:tcPr>
          <w:p w14:paraId="7071B8A6" w14:textId="77777777" w:rsidR="008D4DFB" w:rsidRPr="003E439B" w:rsidRDefault="008D4DFB" w:rsidP="001A2532">
            <w:pPr>
              <w:ind w:left="708" w:hanging="282"/>
            </w:pPr>
            <w:r w:rsidRPr="003E439B">
              <w:t>Number of therapy zones</w:t>
            </w:r>
          </w:p>
        </w:tc>
        <w:tc>
          <w:tcPr>
            <w:tcW w:w="993" w:type="dxa"/>
            <w:shd w:val="clear" w:color="auto" w:fill="auto"/>
          </w:tcPr>
          <w:p w14:paraId="55C5A33A" w14:textId="77777777" w:rsidR="008D4DFB" w:rsidRPr="00B11A32" w:rsidRDefault="008D4DFB" w:rsidP="001A2532">
            <w:pPr>
              <w:jc w:val="right"/>
            </w:pPr>
          </w:p>
        </w:tc>
        <w:tc>
          <w:tcPr>
            <w:tcW w:w="798" w:type="dxa"/>
            <w:shd w:val="clear" w:color="auto" w:fill="auto"/>
          </w:tcPr>
          <w:p w14:paraId="1A13C9B4" w14:textId="77777777" w:rsidR="008D4DFB" w:rsidRPr="00B11A32" w:rsidRDefault="008D4DFB" w:rsidP="001A2532"/>
        </w:tc>
        <w:tc>
          <w:tcPr>
            <w:tcW w:w="866" w:type="dxa"/>
            <w:shd w:val="clear" w:color="auto" w:fill="auto"/>
          </w:tcPr>
          <w:p w14:paraId="042DCBDF" w14:textId="77777777" w:rsidR="008D4DFB" w:rsidRPr="00B11A32" w:rsidRDefault="008D4DFB" w:rsidP="001A2532">
            <w:pPr>
              <w:jc w:val="right"/>
            </w:pPr>
          </w:p>
        </w:tc>
        <w:tc>
          <w:tcPr>
            <w:tcW w:w="865" w:type="dxa"/>
            <w:shd w:val="clear" w:color="auto" w:fill="auto"/>
          </w:tcPr>
          <w:p w14:paraId="6BF2D671" w14:textId="77777777" w:rsidR="008D4DFB" w:rsidRPr="00B11A32" w:rsidRDefault="008D4DFB" w:rsidP="001A2532"/>
        </w:tc>
        <w:tc>
          <w:tcPr>
            <w:tcW w:w="866" w:type="dxa"/>
            <w:shd w:val="clear" w:color="auto" w:fill="auto"/>
          </w:tcPr>
          <w:p w14:paraId="5E19A23D" w14:textId="77777777" w:rsidR="008D4DFB" w:rsidRPr="00B11A32" w:rsidRDefault="008D4DFB" w:rsidP="001A2532">
            <w:pPr>
              <w:jc w:val="right"/>
            </w:pPr>
          </w:p>
        </w:tc>
        <w:tc>
          <w:tcPr>
            <w:tcW w:w="866" w:type="dxa"/>
            <w:shd w:val="clear" w:color="auto" w:fill="auto"/>
          </w:tcPr>
          <w:p w14:paraId="1871DB4C" w14:textId="77777777" w:rsidR="008D4DFB" w:rsidRPr="00B11A32" w:rsidRDefault="008D4DFB" w:rsidP="001A2532"/>
        </w:tc>
        <w:tc>
          <w:tcPr>
            <w:tcW w:w="1091" w:type="dxa"/>
          </w:tcPr>
          <w:p w14:paraId="62F6C3FB" w14:textId="77777777" w:rsidR="008D4DFB" w:rsidRPr="00B11A32" w:rsidRDefault="008D4DFB" w:rsidP="001A2532">
            <w:pPr>
              <w:jc w:val="center"/>
            </w:pPr>
            <w:r>
              <w:t>0.791</w:t>
            </w:r>
          </w:p>
        </w:tc>
      </w:tr>
      <w:tr w:rsidR="008D4DFB" w:rsidRPr="007926B0" w14:paraId="038C0551" w14:textId="77777777" w:rsidTr="008D4DFB">
        <w:tc>
          <w:tcPr>
            <w:tcW w:w="2943" w:type="dxa"/>
            <w:shd w:val="clear" w:color="auto" w:fill="auto"/>
          </w:tcPr>
          <w:p w14:paraId="5A443C85" w14:textId="77777777" w:rsidR="008D4DFB" w:rsidRPr="003E439B" w:rsidRDefault="008D4DFB" w:rsidP="001A2532">
            <w:pPr>
              <w:ind w:left="990" w:hanging="282"/>
            </w:pPr>
            <w:r w:rsidRPr="003E439B">
              <w:t>1</w:t>
            </w:r>
          </w:p>
        </w:tc>
        <w:tc>
          <w:tcPr>
            <w:tcW w:w="993" w:type="dxa"/>
            <w:shd w:val="clear" w:color="auto" w:fill="auto"/>
          </w:tcPr>
          <w:p w14:paraId="06D2AAF0" w14:textId="77777777" w:rsidR="008D4DFB" w:rsidRPr="00B11A32" w:rsidRDefault="008D4DFB" w:rsidP="001A2532">
            <w:pPr>
              <w:jc w:val="right"/>
            </w:pPr>
            <w:r>
              <w:t>40/61</w:t>
            </w:r>
          </w:p>
        </w:tc>
        <w:tc>
          <w:tcPr>
            <w:tcW w:w="798" w:type="dxa"/>
            <w:shd w:val="clear" w:color="auto" w:fill="auto"/>
          </w:tcPr>
          <w:p w14:paraId="5AF46CE3" w14:textId="77777777" w:rsidR="008D4DFB" w:rsidRPr="00B11A32" w:rsidRDefault="008D4DFB" w:rsidP="001A2532">
            <w:r>
              <w:t>(65.6</w:t>
            </w:r>
            <w:r w:rsidRPr="00B11A32">
              <w:t>)</w:t>
            </w:r>
          </w:p>
        </w:tc>
        <w:tc>
          <w:tcPr>
            <w:tcW w:w="866" w:type="dxa"/>
            <w:shd w:val="clear" w:color="auto" w:fill="auto"/>
          </w:tcPr>
          <w:p w14:paraId="6E02270A" w14:textId="77777777" w:rsidR="008D4DFB" w:rsidRPr="00B11A32" w:rsidRDefault="008D4DFB" w:rsidP="001A2532">
            <w:pPr>
              <w:jc w:val="right"/>
            </w:pPr>
            <w:r>
              <w:t>19/30</w:t>
            </w:r>
          </w:p>
        </w:tc>
        <w:tc>
          <w:tcPr>
            <w:tcW w:w="865" w:type="dxa"/>
            <w:shd w:val="clear" w:color="auto" w:fill="auto"/>
          </w:tcPr>
          <w:p w14:paraId="63A09E05" w14:textId="77777777" w:rsidR="008D4DFB" w:rsidRPr="00B11A32" w:rsidRDefault="008D4DFB" w:rsidP="001A2532">
            <w:r>
              <w:t>(63.3)</w:t>
            </w:r>
          </w:p>
        </w:tc>
        <w:tc>
          <w:tcPr>
            <w:tcW w:w="866" w:type="dxa"/>
            <w:shd w:val="clear" w:color="auto" w:fill="auto"/>
          </w:tcPr>
          <w:p w14:paraId="23DB1B88" w14:textId="77777777" w:rsidR="008D4DFB" w:rsidRPr="00B11A32" w:rsidRDefault="008D4DFB" w:rsidP="001A2532">
            <w:r>
              <w:t>21/31</w:t>
            </w:r>
          </w:p>
        </w:tc>
        <w:tc>
          <w:tcPr>
            <w:tcW w:w="866" w:type="dxa"/>
            <w:shd w:val="clear" w:color="auto" w:fill="auto"/>
          </w:tcPr>
          <w:p w14:paraId="27BBF198" w14:textId="77777777" w:rsidR="008D4DFB" w:rsidRPr="00B11A32" w:rsidRDefault="008D4DFB" w:rsidP="001A2532">
            <w:r>
              <w:t>(67.7)</w:t>
            </w:r>
          </w:p>
        </w:tc>
        <w:tc>
          <w:tcPr>
            <w:tcW w:w="1091" w:type="dxa"/>
          </w:tcPr>
          <w:p w14:paraId="70302F1B" w14:textId="77777777" w:rsidR="008D4DFB" w:rsidRPr="00B11A32" w:rsidRDefault="008D4DFB" w:rsidP="001A2532">
            <w:pPr>
              <w:jc w:val="center"/>
            </w:pPr>
          </w:p>
        </w:tc>
      </w:tr>
      <w:tr w:rsidR="008D4DFB" w:rsidRPr="007926B0" w14:paraId="52D829F2" w14:textId="77777777" w:rsidTr="008D4DFB">
        <w:tc>
          <w:tcPr>
            <w:tcW w:w="2943" w:type="dxa"/>
            <w:shd w:val="clear" w:color="auto" w:fill="auto"/>
          </w:tcPr>
          <w:p w14:paraId="2DB4941F" w14:textId="77777777" w:rsidR="008D4DFB" w:rsidRPr="003E439B" w:rsidRDefault="008D4DFB" w:rsidP="001A2532">
            <w:pPr>
              <w:ind w:left="990" w:hanging="282"/>
            </w:pPr>
            <w:r w:rsidRPr="003E439B">
              <w:t>2</w:t>
            </w:r>
          </w:p>
        </w:tc>
        <w:tc>
          <w:tcPr>
            <w:tcW w:w="993" w:type="dxa"/>
            <w:shd w:val="clear" w:color="auto" w:fill="auto"/>
          </w:tcPr>
          <w:p w14:paraId="03A33CBC" w14:textId="77777777" w:rsidR="008D4DFB" w:rsidRPr="00B11A32" w:rsidRDefault="008D4DFB" w:rsidP="001A2532">
            <w:pPr>
              <w:jc w:val="right"/>
            </w:pPr>
            <w:r>
              <w:t>21/61</w:t>
            </w:r>
          </w:p>
        </w:tc>
        <w:tc>
          <w:tcPr>
            <w:tcW w:w="798" w:type="dxa"/>
            <w:shd w:val="clear" w:color="auto" w:fill="auto"/>
          </w:tcPr>
          <w:p w14:paraId="285DB91D" w14:textId="77777777" w:rsidR="008D4DFB" w:rsidRPr="00B11A32" w:rsidRDefault="008D4DFB" w:rsidP="001A2532">
            <w:r>
              <w:t>(34</w:t>
            </w:r>
            <w:r w:rsidRPr="00B11A32">
              <w:t>.</w:t>
            </w:r>
            <w:r>
              <w:t>4</w:t>
            </w:r>
            <w:r w:rsidRPr="00B11A32">
              <w:t>)</w:t>
            </w:r>
          </w:p>
        </w:tc>
        <w:tc>
          <w:tcPr>
            <w:tcW w:w="866" w:type="dxa"/>
            <w:shd w:val="clear" w:color="auto" w:fill="auto"/>
          </w:tcPr>
          <w:p w14:paraId="2E934595" w14:textId="77777777" w:rsidR="008D4DFB" w:rsidRPr="00B11A32" w:rsidRDefault="008D4DFB" w:rsidP="001A2532">
            <w:pPr>
              <w:jc w:val="right"/>
            </w:pPr>
            <w:r>
              <w:t>11/30</w:t>
            </w:r>
          </w:p>
        </w:tc>
        <w:tc>
          <w:tcPr>
            <w:tcW w:w="865" w:type="dxa"/>
            <w:shd w:val="clear" w:color="auto" w:fill="auto"/>
          </w:tcPr>
          <w:p w14:paraId="62E139DF" w14:textId="77777777" w:rsidR="008D4DFB" w:rsidRPr="00B11A32" w:rsidRDefault="008D4DFB" w:rsidP="001A2532">
            <w:r>
              <w:t>(36.7)</w:t>
            </w:r>
          </w:p>
        </w:tc>
        <w:tc>
          <w:tcPr>
            <w:tcW w:w="866" w:type="dxa"/>
            <w:shd w:val="clear" w:color="auto" w:fill="auto"/>
          </w:tcPr>
          <w:p w14:paraId="75760A8F" w14:textId="77777777" w:rsidR="008D4DFB" w:rsidRPr="00B11A32" w:rsidRDefault="008D4DFB" w:rsidP="001A2532">
            <w:r>
              <w:t>10/31</w:t>
            </w:r>
          </w:p>
        </w:tc>
        <w:tc>
          <w:tcPr>
            <w:tcW w:w="866" w:type="dxa"/>
            <w:shd w:val="clear" w:color="auto" w:fill="auto"/>
          </w:tcPr>
          <w:p w14:paraId="4C7FF507" w14:textId="77777777" w:rsidR="008D4DFB" w:rsidRPr="00B11A32" w:rsidRDefault="008D4DFB" w:rsidP="001A2532">
            <w:r>
              <w:t>(32.3)</w:t>
            </w:r>
          </w:p>
        </w:tc>
        <w:tc>
          <w:tcPr>
            <w:tcW w:w="1091" w:type="dxa"/>
          </w:tcPr>
          <w:p w14:paraId="63E7E8BB" w14:textId="77777777" w:rsidR="008D4DFB" w:rsidRPr="00B11A32" w:rsidRDefault="008D4DFB" w:rsidP="001A2532">
            <w:pPr>
              <w:jc w:val="center"/>
            </w:pPr>
          </w:p>
        </w:tc>
      </w:tr>
      <w:tr w:rsidR="008D4DFB" w:rsidRPr="007926B0" w14:paraId="7704719E" w14:textId="77777777" w:rsidTr="008D4DFB">
        <w:tc>
          <w:tcPr>
            <w:tcW w:w="2943" w:type="dxa"/>
            <w:shd w:val="clear" w:color="auto" w:fill="auto"/>
          </w:tcPr>
          <w:p w14:paraId="49CE04DA" w14:textId="77777777" w:rsidR="008D4DFB" w:rsidRPr="003E439B" w:rsidRDefault="008D4DFB" w:rsidP="001A2532">
            <w:pPr>
              <w:ind w:left="564" w:hanging="282"/>
            </w:pPr>
            <w:r w:rsidRPr="003E439B">
              <w:t>Heart rate cut-off</w:t>
            </w:r>
          </w:p>
          <w:p w14:paraId="7F9CF429" w14:textId="1FFA012D" w:rsidR="008D4DFB" w:rsidRPr="003E439B" w:rsidRDefault="008D4DFB" w:rsidP="001A2532">
            <w:pPr>
              <w:ind w:left="564" w:hanging="282"/>
            </w:pPr>
            <w:r>
              <w:t>therapy zone</w:t>
            </w:r>
            <w:r w:rsidRPr="003E439B">
              <w:t xml:space="preserve"> (bpm)</w:t>
            </w:r>
            <w:r w:rsidR="00222ADE" w:rsidRPr="00222ADE">
              <w:rPr>
                <w:vertAlign w:val="superscript"/>
              </w:rPr>
              <w:t>a</w:t>
            </w:r>
          </w:p>
        </w:tc>
        <w:tc>
          <w:tcPr>
            <w:tcW w:w="1791" w:type="dxa"/>
            <w:gridSpan w:val="2"/>
            <w:shd w:val="clear" w:color="auto" w:fill="auto"/>
          </w:tcPr>
          <w:p w14:paraId="434FC859" w14:textId="77777777" w:rsidR="008D4DFB" w:rsidRPr="00B11A32" w:rsidRDefault="008D4DFB" w:rsidP="001A2532">
            <w:pPr>
              <w:jc w:val="center"/>
            </w:pPr>
            <w:r w:rsidRPr="00B11A32">
              <w:t>214 (200-222)</w:t>
            </w:r>
          </w:p>
        </w:tc>
        <w:tc>
          <w:tcPr>
            <w:tcW w:w="1731" w:type="dxa"/>
            <w:gridSpan w:val="2"/>
            <w:shd w:val="clear" w:color="auto" w:fill="auto"/>
          </w:tcPr>
          <w:p w14:paraId="66C5D71F" w14:textId="77777777" w:rsidR="008D4DFB" w:rsidRPr="00B11A32" w:rsidRDefault="008D4DFB" w:rsidP="001A2532">
            <w:pPr>
              <w:jc w:val="center"/>
            </w:pPr>
            <w:r>
              <w:t>221 (200-222)</w:t>
            </w:r>
          </w:p>
        </w:tc>
        <w:tc>
          <w:tcPr>
            <w:tcW w:w="1732" w:type="dxa"/>
            <w:gridSpan w:val="2"/>
            <w:shd w:val="clear" w:color="auto" w:fill="auto"/>
          </w:tcPr>
          <w:p w14:paraId="4EDAA377" w14:textId="77777777" w:rsidR="008D4DFB" w:rsidRPr="00B11A32" w:rsidRDefault="008D4DFB" w:rsidP="001A2532">
            <w:pPr>
              <w:jc w:val="center"/>
            </w:pPr>
            <w:r>
              <w:t>207 (200-220)</w:t>
            </w:r>
          </w:p>
        </w:tc>
        <w:tc>
          <w:tcPr>
            <w:tcW w:w="1091" w:type="dxa"/>
          </w:tcPr>
          <w:p w14:paraId="34BDF8F4" w14:textId="77777777" w:rsidR="008D4DFB" w:rsidRPr="00B11A32" w:rsidRDefault="008D4DFB" w:rsidP="001A2532">
            <w:pPr>
              <w:jc w:val="center"/>
            </w:pPr>
            <w:r>
              <w:t>0.298</w:t>
            </w:r>
          </w:p>
        </w:tc>
      </w:tr>
      <w:tr w:rsidR="008D4DFB" w:rsidRPr="007926B0" w14:paraId="27BF0806" w14:textId="77777777" w:rsidTr="008D4DFB">
        <w:tc>
          <w:tcPr>
            <w:tcW w:w="2943" w:type="dxa"/>
            <w:shd w:val="clear" w:color="auto" w:fill="auto"/>
          </w:tcPr>
          <w:p w14:paraId="0087B775" w14:textId="2C199751" w:rsidR="008D4DFB" w:rsidRPr="003E439B" w:rsidRDefault="008D4DFB" w:rsidP="001A2532">
            <w:pPr>
              <w:ind w:left="564" w:hanging="282"/>
            </w:pPr>
            <w:proofErr w:type="spellStart"/>
            <w:r w:rsidRPr="003E439B">
              <w:t>Antitachycardia</w:t>
            </w:r>
            <w:proofErr w:type="spellEnd"/>
            <w:r w:rsidRPr="003E439B">
              <w:t xml:space="preserve"> </w:t>
            </w:r>
            <w:proofErr w:type="spellStart"/>
            <w:r w:rsidRPr="003E439B">
              <w:t>pacing</w:t>
            </w:r>
            <w:r w:rsidR="00222ADE" w:rsidRPr="00222ADE">
              <w:rPr>
                <w:vertAlign w:val="superscript"/>
              </w:rPr>
              <w:t>b</w:t>
            </w:r>
            <w:proofErr w:type="spellEnd"/>
          </w:p>
        </w:tc>
        <w:tc>
          <w:tcPr>
            <w:tcW w:w="993" w:type="dxa"/>
            <w:shd w:val="clear" w:color="auto" w:fill="auto"/>
          </w:tcPr>
          <w:p w14:paraId="7195BD1F" w14:textId="77777777" w:rsidR="008D4DFB" w:rsidRPr="00B11A32" w:rsidRDefault="008D4DFB" w:rsidP="001A2532">
            <w:pPr>
              <w:jc w:val="right"/>
            </w:pPr>
            <w:r w:rsidRPr="00B11A32">
              <w:t>28/</w:t>
            </w:r>
            <w:r>
              <w:t>56</w:t>
            </w:r>
          </w:p>
        </w:tc>
        <w:tc>
          <w:tcPr>
            <w:tcW w:w="798" w:type="dxa"/>
            <w:shd w:val="clear" w:color="auto" w:fill="auto"/>
          </w:tcPr>
          <w:p w14:paraId="18854241" w14:textId="77777777" w:rsidR="008D4DFB" w:rsidRPr="00B11A32" w:rsidRDefault="008D4DFB" w:rsidP="001A2532">
            <w:r w:rsidRPr="00B11A32">
              <w:t>(</w:t>
            </w:r>
            <w:r>
              <w:t>50.0</w:t>
            </w:r>
            <w:r w:rsidRPr="00B11A32">
              <w:t>)</w:t>
            </w:r>
          </w:p>
        </w:tc>
        <w:tc>
          <w:tcPr>
            <w:tcW w:w="866" w:type="dxa"/>
            <w:shd w:val="clear" w:color="auto" w:fill="auto"/>
          </w:tcPr>
          <w:p w14:paraId="4B4B7D85" w14:textId="77777777" w:rsidR="008D4DFB" w:rsidRPr="00B11A32" w:rsidRDefault="008D4DFB" w:rsidP="001A2532">
            <w:pPr>
              <w:jc w:val="right"/>
            </w:pPr>
            <w:r>
              <w:t>16/28</w:t>
            </w:r>
          </w:p>
        </w:tc>
        <w:tc>
          <w:tcPr>
            <w:tcW w:w="865" w:type="dxa"/>
            <w:shd w:val="clear" w:color="auto" w:fill="auto"/>
          </w:tcPr>
          <w:p w14:paraId="2A1B4337" w14:textId="77777777" w:rsidR="008D4DFB" w:rsidRPr="00B11A32" w:rsidRDefault="008D4DFB" w:rsidP="001A2532">
            <w:r>
              <w:t>(57.1)</w:t>
            </w:r>
          </w:p>
        </w:tc>
        <w:tc>
          <w:tcPr>
            <w:tcW w:w="866" w:type="dxa"/>
            <w:shd w:val="clear" w:color="auto" w:fill="auto"/>
          </w:tcPr>
          <w:p w14:paraId="72EE5E08" w14:textId="77777777" w:rsidR="008D4DFB" w:rsidRPr="00B11A32" w:rsidRDefault="008D4DFB" w:rsidP="001A2532">
            <w:pPr>
              <w:jc w:val="right"/>
            </w:pPr>
            <w:r>
              <w:t>12/28</w:t>
            </w:r>
          </w:p>
        </w:tc>
        <w:tc>
          <w:tcPr>
            <w:tcW w:w="866" w:type="dxa"/>
            <w:shd w:val="clear" w:color="auto" w:fill="auto"/>
          </w:tcPr>
          <w:p w14:paraId="3D9A5CEE" w14:textId="77777777" w:rsidR="008D4DFB" w:rsidRPr="00B11A32" w:rsidRDefault="008D4DFB" w:rsidP="001A2532">
            <w:r>
              <w:t>(42.9)</w:t>
            </w:r>
          </w:p>
        </w:tc>
        <w:tc>
          <w:tcPr>
            <w:tcW w:w="1091" w:type="dxa"/>
          </w:tcPr>
          <w:p w14:paraId="65EBF265" w14:textId="77777777" w:rsidR="008D4DFB" w:rsidRPr="00B11A32" w:rsidRDefault="008D4DFB" w:rsidP="001A2532">
            <w:pPr>
              <w:jc w:val="center"/>
            </w:pPr>
            <w:r>
              <w:t>0.423</w:t>
            </w:r>
          </w:p>
        </w:tc>
      </w:tr>
    </w:tbl>
    <w:p w14:paraId="66A3A744" w14:textId="017E6E80" w:rsidR="008D4DFB" w:rsidRDefault="008D4DFB" w:rsidP="001A2532">
      <w:r w:rsidRPr="003E439B">
        <w:t xml:space="preserve">Values are median (interquartile range) or n (%). Total numbers are included when they differ from those in the overall study group. </w:t>
      </w:r>
    </w:p>
    <w:p w14:paraId="2F54DAC8" w14:textId="653488CD" w:rsidR="008D4DFB" w:rsidRPr="003E439B" w:rsidRDefault="00222ADE" w:rsidP="001A2532">
      <w:r>
        <w:t xml:space="preserve">Bpm, </w:t>
      </w:r>
      <w:r w:rsidR="008D4DFB">
        <w:t xml:space="preserve">beats per minute; CRT-D, cardiac resynchronization therapy-defibrillator; </w:t>
      </w:r>
      <w:r w:rsidR="008D4DFB" w:rsidRPr="005830DE">
        <w:t>ICD</w:t>
      </w:r>
      <w:r w:rsidR="008D4DFB">
        <w:t xml:space="preserve">, </w:t>
      </w:r>
      <w:r w:rsidR="008D4DFB" w:rsidRPr="005830DE">
        <w:t>implantable-cardioverter defibrillator</w:t>
      </w:r>
      <w:r w:rsidR="008D4DFB">
        <w:t>.</w:t>
      </w:r>
    </w:p>
    <w:p w14:paraId="655A06E4" w14:textId="2F3932CC" w:rsidR="008D4DFB" w:rsidRDefault="00222ADE" w:rsidP="001A2532">
      <w:proofErr w:type="spellStart"/>
      <w:r w:rsidRPr="00222ADE">
        <w:rPr>
          <w:vertAlign w:val="superscript"/>
        </w:rPr>
        <w:t>a</w:t>
      </w:r>
      <w:r w:rsidR="008D4DFB" w:rsidRPr="003E439B">
        <w:t>In</w:t>
      </w:r>
      <w:proofErr w:type="spellEnd"/>
      <w:r w:rsidR="008D4DFB" w:rsidRPr="003E439B">
        <w:t xml:space="preserve"> patients who received an appropriate ICD shock, heart rate cut-off </w:t>
      </w:r>
      <w:r w:rsidR="008D4DFB">
        <w:t xml:space="preserve">of </w:t>
      </w:r>
      <w:r w:rsidR="008D4DFB" w:rsidRPr="003E439B">
        <w:t>VT/VF detection at time of the event, when available, was analyzed.</w:t>
      </w:r>
      <w:r w:rsidR="008D4DFB">
        <w:t xml:space="preserve"> Data available in 61 patients (77.2%). </w:t>
      </w:r>
    </w:p>
    <w:p w14:paraId="49C749AB" w14:textId="1FD64DD2" w:rsidR="008D4DFB" w:rsidRDefault="00222ADE" w:rsidP="001A2532">
      <w:proofErr w:type="spellStart"/>
      <w:r w:rsidRPr="00222ADE">
        <w:rPr>
          <w:vertAlign w:val="superscript"/>
        </w:rPr>
        <w:t>b</w:t>
      </w:r>
      <w:r w:rsidR="008D4DFB">
        <w:t>Not</w:t>
      </w:r>
      <w:proofErr w:type="spellEnd"/>
      <w:r w:rsidR="008D4DFB">
        <w:t xml:space="preserve"> applicable in patients with a s</w:t>
      </w:r>
      <w:r w:rsidR="008D4DFB" w:rsidRPr="003E439B">
        <w:t>ubcutaneous ICD</w:t>
      </w:r>
      <w:r w:rsidR="008D4DFB">
        <w:t xml:space="preserve">. </w:t>
      </w:r>
      <w:r w:rsidR="008D4DFB">
        <w:rPr>
          <w:b/>
          <w:lang w:eastAsia="nl-NL"/>
        </w:rPr>
        <w:t xml:space="preserve"> </w:t>
      </w:r>
    </w:p>
    <w:p w14:paraId="7D621416" w14:textId="77777777" w:rsidR="008D4DFB" w:rsidRDefault="008D4DFB" w:rsidP="001A2532">
      <w:pPr>
        <w:rPr>
          <w:b/>
        </w:rPr>
      </w:pPr>
      <w:r>
        <w:rPr>
          <w:b/>
        </w:rPr>
        <w:br w:type="page"/>
      </w:r>
      <w:r>
        <w:rPr>
          <w:b/>
        </w:rPr>
        <w:lastRenderedPageBreak/>
        <w:t>Table S3</w:t>
      </w:r>
      <w:r w:rsidRPr="005830DE">
        <w:rPr>
          <w:b/>
        </w:rPr>
        <w:t xml:space="preserve">. </w:t>
      </w:r>
      <w:r>
        <w:rPr>
          <w:b/>
        </w:rPr>
        <w:t>Indications for implanting an implantable cardioverter-defibrillator during follow-up</w:t>
      </w:r>
    </w:p>
    <w:tbl>
      <w:tblPr>
        <w:tblW w:w="0" w:type="auto"/>
        <w:tblBorders>
          <w:top w:val="single" w:sz="4" w:space="0" w:color="auto"/>
          <w:bottom w:val="single" w:sz="4" w:space="0" w:color="auto"/>
        </w:tblBorders>
        <w:tblLook w:val="04A0" w:firstRow="1" w:lastRow="0" w:firstColumn="1" w:lastColumn="0" w:noHBand="0" w:noVBand="1"/>
      </w:tblPr>
      <w:tblGrid>
        <w:gridCol w:w="6382"/>
        <w:gridCol w:w="1339"/>
        <w:gridCol w:w="1349"/>
      </w:tblGrid>
      <w:tr w:rsidR="008D4DFB" w:rsidRPr="007F2281" w14:paraId="2719BF96" w14:textId="77777777" w:rsidTr="00222ADE">
        <w:tc>
          <w:tcPr>
            <w:tcW w:w="6382" w:type="dxa"/>
            <w:tcBorders>
              <w:top w:val="single" w:sz="4" w:space="0" w:color="auto"/>
              <w:bottom w:val="single" w:sz="4" w:space="0" w:color="auto"/>
            </w:tcBorders>
            <w:shd w:val="clear" w:color="auto" w:fill="auto"/>
          </w:tcPr>
          <w:p w14:paraId="36A99092" w14:textId="77777777" w:rsidR="008D4DFB" w:rsidRPr="002C1FCF" w:rsidRDefault="008D4DFB" w:rsidP="001A2532">
            <w:pPr>
              <w:autoSpaceDE w:val="0"/>
              <w:autoSpaceDN w:val="0"/>
              <w:adjustRightInd w:val="0"/>
              <w:rPr>
                <w:b/>
                <w:lang w:eastAsia="nl-NL"/>
              </w:rPr>
            </w:pPr>
          </w:p>
        </w:tc>
        <w:tc>
          <w:tcPr>
            <w:tcW w:w="2688" w:type="dxa"/>
            <w:gridSpan w:val="2"/>
            <w:tcBorders>
              <w:top w:val="single" w:sz="4" w:space="0" w:color="auto"/>
              <w:bottom w:val="single" w:sz="4" w:space="0" w:color="auto"/>
            </w:tcBorders>
            <w:shd w:val="clear" w:color="auto" w:fill="auto"/>
          </w:tcPr>
          <w:p w14:paraId="221BFF31" w14:textId="48FA6121" w:rsidR="008D4DFB" w:rsidRPr="007F2281" w:rsidRDefault="00222ADE" w:rsidP="001A2532">
            <w:pPr>
              <w:autoSpaceDE w:val="0"/>
              <w:autoSpaceDN w:val="0"/>
              <w:adjustRightInd w:val="0"/>
              <w:jc w:val="center"/>
              <w:rPr>
                <w:b/>
                <w:lang w:eastAsia="nl-NL"/>
              </w:rPr>
            </w:pPr>
            <w:r w:rsidRPr="00222ADE">
              <w:rPr>
                <w:b/>
                <w:i/>
                <w:lang w:eastAsia="nl-NL"/>
              </w:rPr>
              <w:t>n</w:t>
            </w:r>
            <w:r w:rsidR="008D4DFB">
              <w:rPr>
                <w:b/>
                <w:lang w:eastAsia="nl-NL"/>
              </w:rPr>
              <w:t xml:space="preserve"> = 20</w:t>
            </w:r>
          </w:p>
        </w:tc>
      </w:tr>
      <w:tr w:rsidR="008D4DFB" w:rsidRPr="002924C5" w14:paraId="70EC7DE6" w14:textId="77777777" w:rsidTr="00222ADE">
        <w:tc>
          <w:tcPr>
            <w:tcW w:w="6382" w:type="dxa"/>
            <w:tcBorders>
              <w:top w:val="single" w:sz="4" w:space="0" w:color="auto"/>
            </w:tcBorders>
            <w:shd w:val="clear" w:color="auto" w:fill="auto"/>
          </w:tcPr>
          <w:p w14:paraId="21D7AD98" w14:textId="77777777" w:rsidR="008D4DFB" w:rsidRPr="007F2281" w:rsidRDefault="008D4DFB" w:rsidP="001A2532">
            <w:pPr>
              <w:autoSpaceDE w:val="0"/>
              <w:autoSpaceDN w:val="0"/>
              <w:adjustRightInd w:val="0"/>
              <w:rPr>
                <w:lang w:eastAsia="nl-NL"/>
              </w:rPr>
            </w:pPr>
            <w:r>
              <w:rPr>
                <w:lang w:eastAsia="nl-NL"/>
              </w:rPr>
              <w:t xml:space="preserve">Sudden cardiac arrest  </w:t>
            </w:r>
          </w:p>
        </w:tc>
        <w:tc>
          <w:tcPr>
            <w:tcW w:w="1339" w:type="dxa"/>
            <w:tcBorders>
              <w:top w:val="single" w:sz="4" w:space="0" w:color="auto"/>
            </w:tcBorders>
            <w:shd w:val="clear" w:color="auto" w:fill="auto"/>
          </w:tcPr>
          <w:p w14:paraId="6A2B5A5C" w14:textId="77777777" w:rsidR="008D4DFB" w:rsidRPr="002924C5" w:rsidRDefault="008D4DFB" w:rsidP="001A2532">
            <w:pPr>
              <w:autoSpaceDE w:val="0"/>
              <w:autoSpaceDN w:val="0"/>
              <w:adjustRightInd w:val="0"/>
              <w:jc w:val="right"/>
              <w:rPr>
                <w:lang w:eastAsia="nl-NL"/>
              </w:rPr>
            </w:pPr>
            <w:r>
              <w:rPr>
                <w:lang w:eastAsia="nl-NL"/>
              </w:rPr>
              <w:t>9</w:t>
            </w:r>
          </w:p>
        </w:tc>
        <w:tc>
          <w:tcPr>
            <w:tcW w:w="1349" w:type="dxa"/>
            <w:tcBorders>
              <w:top w:val="single" w:sz="4" w:space="0" w:color="auto"/>
            </w:tcBorders>
            <w:shd w:val="clear" w:color="auto" w:fill="auto"/>
          </w:tcPr>
          <w:p w14:paraId="1C3679D4" w14:textId="77777777" w:rsidR="008D4DFB" w:rsidRPr="002924C5" w:rsidRDefault="008D4DFB" w:rsidP="001A2532">
            <w:pPr>
              <w:autoSpaceDE w:val="0"/>
              <w:autoSpaceDN w:val="0"/>
              <w:adjustRightInd w:val="0"/>
              <w:rPr>
                <w:lang w:eastAsia="nl-NL"/>
              </w:rPr>
            </w:pPr>
            <w:r>
              <w:rPr>
                <w:lang w:eastAsia="nl-NL"/>
              </w:rPr>
              <w:t>(45.0)</w:t>
            </w:r>
          </w:p>
        </w:tc>
      </w:tr>
      <w:tr w:rsidR="008D4DFB" w:rsidRPr="002924C5" w14:paraId="4A060C44" w14:textId="77777777" w:rsidTr="00222ADE">
        <w:tc>
          <w:tcPr>
            <w:tcW w:w="6382" w:type="dxa"/>
            <w:shd w:val="clear" w:color="auto" w:fill="auto"/>
          </w:tcPr>
          <w:p w14:paraId="3BA6D020" w14:textId="77777777" w:rsidR="008D4DFB" w:rsidRPr="007F2281" w:rsidRDefault="008D4DFB" w:rsidP="001A2532">
            <w:pPr>
              <w:autoSpaceDE w:val="0"/>
              <w:autoSpaceDN w:val="0"/>
              <w:adjustRightInd w:val="0"/>
              <w:rPr>
                <w:lang w:eastAsia="nl-NL"/>
              </w:rPr>
            </w:pPr>
            <w:r>
              <w:rPr>
                <w:lang w:eastAsia="nl-NL"/>
              </w:rPr>
              <w:t xml:space="preserve">Syncope </w:t>
            </w:r>
          </w:p>
        </w:tc>
        <w:tc>
          <w:tcPr>
            <w:tcW w:w="1339" w:type="dxa"/>
            <w:shd w:val="clear" w:color="auto" w:fill="auto"/>
          </w:tcPr>
          <w:p w14:paraId="098B20F0" w14:textId="77777777" w:rsidR="008D4DFB" w:rsidRPr="002924C5" w:rsidRDefault="008D4DFB" w:rsidP="001A2532">
            <w:pPr>
              <w:autoSpaceDE w:val="0"/>
              <w:autoSpaceDN w:val="0"/>
              <w:adjustRightInd w:val="0"/>
              <w:jc w:val="right"/>
              <w:rPr>
                <w:lang w:eastAsia="nl-NL"/>
              </w:rPr>
            </w:pPr>
            <w:r>
              <w:rPr>
                <w:lang w:eastAsia="nl-NL"/>
              </w:rPr>
              <w:t>6</w:t>
            </w:r>
          </w:p>
        </w:tc>
        <w:tc>
          <w:tcPr>
            <w:tcW w:w="1349" w:type="dxa"/>
            <w:shd w:val="clear" w:color="auto" w:fill="auto"/>
          </w:tcPr>
          <w:p w14:paraId="397B4B57"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30.0</w:t>
            </w:r>
            <w:r w:rsidRPr="002924C5">
              <w:rPr>
                <w:lang w:eastAsia="nl-NL"/>
              </w:rPr>
              <w:t>)</w:t>
            </w:r>
          </w:p>
        </w:tc>
      </w:tr>
      <w:tr w:rsidR="008D4DFB" w:rsidRPr="002924C5" w14:paraId="1479468C" w14:textId="77777777" w:rsidTr="00222ADE">
        <w:tc>
          <w:tcPr>
            <w:tcW w:w="6382" w:type="dxa"/>
            <w:shd w:val="clear" w:color="auto" w:fill="auto"/>
          </w:tcPr>
          <w:p w14:paraId="6511675D" w14:textId="77777777" w:rsidR="008D4DFB" w:rsidRPr="007F2281" w:rsidRDefault="008D4DFB" w:rsidP="001A2532">
            <w:pPr>
              <w:autoSpaceDE w:val="0"/>
              <w:autoSpaceDN w:val="0"/>
              <w:adjustRightInd w:val="0"/>
              <w:rPr>
                <w:lang w:eastAsia="nl-NL"/>
              </w:rPr>
            </w:pPr>
            <w:r>
              <w:rPr>
                <w:lang w:eastAsia="nl-NL"/>
              </w:rPr>
              <w:t>Pacemaker indication</w:t>
            </w:r>
          </w:p>
        </w:tc>
        <w:tc>
          <w:tcPr>
            <w:tcW w:w="1339" w:type="dxa"/>
            <w:shd w:val="clear" w:color="auto" w:fill="auto"/>
          </w:tcPr>
          <w:p w14:paraId="67B752BE" w14:textId="77777777" w:rsidR="008D4DFB" w:rsidRPr="002924C5" w:rsidRDefault="008D4DFB" w:rsidP="001A2532">
            <w:pPr>
              <w:autoSpaceDE w:val="0"/>
              <w:autoSpaceDN w:val="0"/>
              <w:adjustRightInd w:val="0"/>
              <w:jc w:val="right"/>
              <w:rPr>
                <w:lang w:eastAsia="nl-NL"/>
              </w:rPr>
            </w:pPr>
            <w:r>
              <w:rPr>
                <w:lang w:eastAsia="nl-NL"/>
              </w:rPr>
              <w:t>2</w:t>
            </w:r>
          </w:p>
        </w:tc>
        <w:tc>
          <w:tcPr>
            <w:tcW w:w="1349" w:type="dxa"/>
            <w:shd w:val="clear" w:color="auto" w:fill="auto"/>
          </w:tcPr>
          <w:p w14:paraId="7EEE3BCE"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10.0</w:t>
            </w:r>
            <w:r w:rsidRPr="002924C5">
              <w:rPr>
                <w:lang w:eastAsia="nl-NL"/>
              </w:rPr>
              <w:t>)</w:t>
            </w:r>
          </w:p>
        </w:tc>
      </w:tr>
      <w:tr w:rsidR="008D4DFB" w:rsidRPr="002924C5" w14:paraId="487B3A2A" w14:textId="77777777" w:rsidTr="00222ADE">
        <w:tc>
          <w:tcPr>
            <w:tcW w:w="6382" w:type="dxa"/>
            <w:shd w:val="clear" w:color="auto" w:fill="auto"/>
          </w:tcPr>
          <w:p w14:paraId="0B943451" w14:textId="77777777" w:rsidR="008D4DFB" w:rsidRPr="002924C5" w:rsidRDefault="008D4DFB" w:rsidP="001A2532">
            <w:pPr>
              <w:autoSpaceDE w:val="0"/>
              <w:autoSpaceDN w:val="0"/>
              <w:adjustRightInd w:val="0"/>
              <w:rPr>
                <w:lang w:eastAsia="nl-NL"/>
              </w:rPr>
            </w:pPr>
            <w:r>
              <w:rPr>
                <w:lang w:eastAsia="nl-NL"/>
              </w:rPr>
              <w:t>Ventricular premature beats during exercise testing</w:t>
            </w:r>
          </w:p>
        </w:tc>
        <w:tc>
          <w:tcPr>
            <w:tcW w:w="1339" w:type="dxa"/>
            <w:shd w:val="clear" w:color="auto" w:fill="auto"/>
          </w:tcPr>
          <w:p w14:paraId="4FA7B787" w14:textId="77777777" w:rsidR="008D4DFB" w:rsidRPr="002924C5" w:rsidRDefault="008D4DFB" w:rsidP="001A2532">
            <w:pPr>
              <w:autoSpaceDE w:val="0"/>
              <w:autoSpaceDN w:val="0"/>
              <w:adjustRightInd w:val="0"/>
              <w:jc w:val="right"/>
              <w:rPr>
                <w:lang w:eastAsia="nl-NL"/>
              </w:rPr>
            </w:pPr>
            <w:r>
              <w:rPr>
                <w:lang w:eastAsia="nl-NL"/>
              </w:rPr>
              <w:t>1</w:t>
            </w:r>
          </w:p>
        </w:tc>
        <w:tc>
          <w:tcPr>
            <w:tcW w:w="1349" w:type="dxa"/>
            <w:shd w:val="clear" w:color="auto" w:fill="auto"/>
          </w:tcPr>
          <w:p w14:paraId="7038A768"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5.0</w:t>
            </w:r>
            <w:r w:rsidRPr="002924C5">
              <w:rPr>
                <w:lang w:eastAsia="nl-NL"/>
              </w:rPr>
              <w:t>)</w:t>
            </w:r>
          </w:p>
        </w:tc>
      </w:tr>
      <w:tr w:rsidR="008D4DFB" w:rsidRPr="002924C5" w14:paraId="466D31EE" w14:textId="77777777" w:rsidTr="00222ADE">
        <w:tc>
          <w:tcPr>
            <w:tcW w:w="6382" w:type="dxa"/>
            <w:shd w:val="clear" w:color="auto" w:fill="auto"/>
          </w:tcPr>
          <w:p w14:paraId="3A7340FD" w14:textId="77777777" w:rsidR="008D4DFB" w:rsidRPr="002924C5" w:rsidRDefault="008D4DFB" w:rsidP="001A2532">
            <w:pPr>
              <w:autoSpaceDE w:val="0"/>
              <w:autoSpaceDN w:val="0"/>
              <w:adjustRightInd w:val="0"/>
              <w:rPr>
                <w:lang w:eastAsia="nl-NL"/>
              </w:rPr>
            </w:pPr>
            <w:r>
              <w:rPr>
                <w:lang w:eastAsia="nl-NL"/>
              </w:rPr>
              <w:t>Inducible ventricular fibrillation during electrophysiology study</w:t>
            </w:r>
          </w:p>
        </w:tc>
        <w:tc>
          <w:tcPr>
            <w:tcW w:w="1339" w:type="dxa"/>
            <w:shd w:val="clear" w:color="auto" w:fill="auto"/>
          </w:tcPr>
          <w:p w14:paraId="7290FAAE" w14:textId="77777777" w:rsidR="008D4DFB" w:rsidRPr="002924C5" w:rsidRDefault="008D4DFB" w:rsidP="001A2532">
            <w:pPr>
              <w:autoSpaceDE w:val="0"/>
              <w:autoSpaceDN w:val="0"/>
              <w:adjustRightInd w:val="0"/>
              <w:jc w:val="right"/>
              <w:rPr>
                <w:lang w:eastAsia="nl-NL"/>
              </w:rPr>
            </w:pPr>
            <w:r>
              <w:rPr>
                <w:lang w:eastAsia="nl-NL"/>
              </w:rPr>
              <w:t>1</w:t>
            </w:r>
          </w:p>
        </w:tc>
        <w:tc>
          <w:tcPr>
            <w:tcW w:w="1349" w:type="dxa"/>
            <w:shd w:val="clear" w:color="auto" w:fill="auto"/>
          </w:tcPr>
          <w:p w14:paraId="3EEDDE12"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5.0</w:t>
            </w:r>
            <w:r w:rsidRPr="002924C5">
              <w:rPr>
                <w:lang w:eastAsia="nl-NL"/>
              </w:rPr>
              <w:t>)</w:t>
            </w:r>
          </w:p>
        </w:tc>
      </w:tr>
      <w:tr w:rsidR="008D4DFB" w:rsidRPr="002924C5" w14:paraId="7B9A6AAC" w14:textId="77777777" w:rsidTr="00222ADE">
        <w:tc>
          <w:tcPr>
            <w:tcW w:w="6382" w:type="dxa"/>
            <w:shd w:val="clear" w:color="auto" w:fill="auto"/>
          </w:tcPr>
          <w:p w14:paraId="662145AF" w14:textId="77777777" w:rsidR="008D4DFB" w:rsidRPr="002924C5" w:rsidRDefault="008D4DFB" w:rsidP="001A2532">
            <w:pPr>
              <w:autoSpaceDE w:val="0"/>
              <w:autoSpaceDN w:val="0"/>
              <w:adjustRightInd w:val="0"/>
              <w:rPr>
                <w:lang w:eastAsia="nl-NL"/>
              </w:rPr>
            </w:pPr>
            <w:r>
              <w:rPr>
                <w:lang w:eastAsia="nl-NL"/>
              </w:rPr>
              <w:t>Considered indicated based on the sentinel SCA</w:t>
            </w:r>
          </w:p>
        </w:tc>
        <w:tc>
          <w:tcPr>
            <w:tcW w:w="1339" w:type="dxa"/>
            <w:shd w:val="clear" w:color="auto" w:fill="auto"/>
          </w:tcPr>
          <w:p w14:paraId="257B3CB1" w14:textId="77777777" w:rsidR="008D4DFB" w:rsidRPr="002924C5" w:rsidRDefault="008D4DFB" w:rsidP="001A2532">
            <w:pPr>
              <w:autoSpaceDE w:val="0"/>
              <w:autoSpaceDN w:val="0"/>
              <w:adjustRightInd w:val="0"/>
              <w:jc w:val="right"/>
              <w:rPr>
                <w:lang w:eastAsia="nl-NL"/>
              </w:rPr>
            </w:pPr>
            <w:r>
              <w:rPr>
                <w:lang w:eastAsia="nl-NL"/>
              </w:rPr>
              <w:t>1</w:t>
            </w:r>
          </w:p>
        </w:tc>
        <w:tc>
          <w:tcPr>
            <w:tcW w:w="1349" w:type="dxa"/>
            <w:shd w:val="clear" w:color="auto" w:fill="auto"/>
          </w:tcPr>
          <w:p w14:paraId="03D41E48" w14:textId="77777777" w:rsidR="008D4DFB" w:rsidRPr="002924C5" w:rsidRDefault="008D4DFB" w:rsidP="001A2532">
            <w:pPr>
              <w:autoSpaceDE w:val="0"/>
              <w:autoSpaceDN w:val="0"/>
              <w:adjustRightInd w:val="0"/>
              <w:rPr>
                <w:lang w:eastAsia="nl-NL"/>
              </w:rPr>
            </w:pPr>
            <w:r w:rsidRPr="002924C5">
              <w:rPr>
                <w:lang w:eastAsia="nl-NL"/>
              </w:rPr>
              <w:t>(</w:t>
            </w:r>
            <w:r>
              <w:rPr>
                <w:lang w:eastAsia="nl-NL"/>
              </w:rPr>
              <w:t>5.0</w:t>
            </w:r>
            <w:r w:rsidRPr="002924C5">
              <w:rPr>
                <w:lang w:eastAsia="nl-NL"/>
              </w:rPr>
              <w:t>)</w:t>
            </w:r>
          </w:p>
        </w:tc>
      </w:tr>
    </w:tbl>
    <w:p w14:paraId="6DFB435D" w14:textId="37F29C4D" w:rsidR="008D4DFB" w:rsidRDefault="00222ADE" w:rsidP="001A2532">
      <w:r>
        <w:t xml:space="preserve">Values are </w:t>
      </w:r>
      <w:r w:rsidRPr="008D4DFB">
        <w:rPr>
          <w:i/>
        </w:rPr>
        <w:t>n</w:t>
      </w:r>
      <w:r>
        <w:t xml:space="preserve"> (%). </w:t>
      </w:r>
      <w:r w:rsidR="008D4DFB">
        <w:t xml:space="preserve">Unknown in 2 patients (9.1%). </w:t>
      </w:r>
    </w:p>
    <w:p w14:paraId="355FAC92" w14:textId="251A3D2B" w:rsidR="00D81D89" w:rsidRDefault="008D4DFB" w:rsidP="001A2532">
      <w:r w:rsidRPr="005830DE">
        <w:t>ICD</w:t>
      </w:r>
      <w:r w:rsidR="00222ADE">
        <w:t xml:space="preserve">, </w:t>
      </w:r>
      <w:r w:rsidRPr="005830DE">
        <w:t>implantable-cardioverter defibrillator</w:t>
      </w:r>
      <w:r>
        <w:t>; SCA, sudden cardiac arrest.</w:t>
      </w:r>
      <w:r w:rsidR="001375ED">
        <w:rPr>
          <w:b/>
          <w:noProof/>
          <w:lang w:val="nl-NL" w:eastAsia="nl-NL"/>
        </w:rPr>
        <mc:AlternateContent>
          <mc:Choice Requires="wps">
            <w:drawing>
              <wp:anchor distT="0" distB="0" distL="114300" distR="114300" simplePos="0" relativeHeight="251663360" behindDoc="0" locked="0" layoutInCell="1" allowOverlap="1" wp14:anchorId="07E0B434" wp14:editId="794C39A9">
                <wp:simplePos x="0" y="0"/>
                <wp:positionH relativeFrom="column">
                  <wp:posOffset>414068</wp:posOffset>
                </wp:positionH>
                <wp:positionV relativeFrom="paragraph">
                  <wp:posOffset>560082</wp:posOffset>
                </wp:positionV>
                <wp:extent cx="327804" cy="707366"/>
                <wp:effectExtent l="0" t="0" r="0" b="0"/>
                <wp:wrapNone/>
                <wp:docPr id="10" name="Rechthoek 10"/>
                <wp:cNvGraphicFramePr/>
                <a:graphic xmlns:a="http://schemas.openxmlformats.org/drawingml/2006/main">
                  <a:graphicData uri="http://schemas.microsoft.com/office/word/2010/wordprocessingShape">
                    <wps:wsp>
                      <wps:cNvSpPr/>
                      <wps:spPr>
                        <a:xfrm>
                          <a:off x="0" y="0"/>
                          <a:ext cx="327804" cy="7073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29C4D3" id="Rechthoek 10" o:spid="_x0000_s1026" style="position:absolute;margin-left:32.6pt;margin-top:44.1pt;width:25.8pt;height:5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LElAIAAIUFAAAOAAAAZHJzL2Uyb0RvYy54bWysVE1v2zAMvQ/YfxB0X+2kadMFdYogRYcB&#10;RRu0HXpWZCk2JouapMTJfv0oyXayrthhWA6OKD4+fojk9c2+UWQnrKtBF3R0llMiNIey1puCfnu5&#10;+3RFifNMl0yBFgU9CEdv5h8/XLdmJsZQgSqFJUii3aw1Ba28N7Msc7wSDXNnYIRGpQTbMI+i3WSl&#10;ZS2yNyob5/ll1oItjQUunMPb26Sk88gvpeD+UUonPFEFxdh8/Nr4XYdvNr9ms41lpqp5Fwb7hyga&#10;Vmt0OlDdMs/I1tZ/UDU1t+BA+jMOTQZS1lzEHDCbUf4mm+eKGRFzweI4M5TJ/T9a/rBbWVKX+HZY&#10;Hs0afKMnwStfgfhO8A4L1Bo3Q9yzWdlOcngM2e6lbcI/5kH2saiHoahi7wnHy/Px9CqfUMJRNc2n&#10;55eXgTM7Ghvr/BcBDQmHglp8s1hKtrt3PkF7SPDlQNXlXa1UFEKfiKWyZMfwhdebUUf+G0rpgNUQ&#10;rBJhuMlCXimTePIHJQJO6SchsSQY+zgGEpvx6IRxLrQfJVXFSpF8X+T46733YcVEI2Fgluh/4O4I&#10;emQi6blTlB0+mIrYy4Nx/rfAkvFgET2D9oNxU2uw7xEozKrznPB9kVJpQpXWUB6wYSykSXKG39X4&#10;bPfM+RWzODrYRbgO/CN+pIK2oNCdKKnA/nzvPuCxo1FLSYujWFD3Y8usoER91djrn0eTSZjdKEwu&#10;pmMU7KlmfarR22YJ2AsjXDyGx2PAe9UfpYXmFbfGInhFFdMcfReUe9sLS59WBO4dLhaLCMN5Nczf&#10;62fDA3moamjLl/0rs6brXY9N/wD92LLZmxZO2GCpYbH1IOvY38e6dvXGWY+N0+2lsExO5Yg6bs/5&#10;LwAAAP//AwBQSwMEFAAGAAgAAAAhAKqoQ2vgAAAACQEAAA8AAABkcnMvZG93bnJldi54bWxMj0FL&#10;w0AQhe+C/2EZwYvYTRsMacymqCB48WAt4nGbHbOh2dmQ3Sapv97pyZ5mhvd4871yM7tOjDiE1pOC&#10;5SIBgVR701KjYPf5ep+DCFGT0Z0nVHDCAJvq+qrUhfETfeC4jY3gEAqFVmBj7AspQ23R6bDwPRJr&#10;P35wOvI5NNIMeuJw18lVkmTS6Zb4g9U9vlisD9ujU/B+StO38S49TLs2bdpf+f38Zb1Stzfz0yOI&#10;iHP8N8MZn9GhYqa9P5IJolOQPazYqSDPeZ71ZcZV9rys1xnIqpSXDao/AAAA//8DAFBLAQItABQA&#10;BgAIAAAAIQC2gziS/gAAAOEBAAATAAAAAAAAAAAAAAAAAAAAAABbQ29udGVudF9UeXBlc10ueG1s&#10;UEsBAi0AFAAGAAgAAAAhADj9If/WAAAAlAEAAAsAAAAAAAAAAAAAAAAALwEAAF9yZWxzLy5yZWxz&#10;UEsBAi0AFAAGAAgAAAAhAFOWAsSUAgAAhQUAAA4AAAAAAAAAAAAAAAAALgIAAGRycy9lMm9Eb2Mu&#10;eG1sUEsBAi0AFAAGAAgAAAAhAKqoQ2vgAAAACQEAAA8AAAAAAAAAAAAAAAAA7gQAAGRycy9kb3du&#10;cmV2LnhtbFBLBQYAAAAABAAEAPMAAAD7BQAAAAA=&#10;" fillcolor="white [3212]" stroked="f" strokeweight="1pt"/>
            </w:pict>
          </mc:Fallback>
        </mc:AlternateContent>
      </w:r>
    </w:p>
    <w:p w14:paraId="7BF22619" w14:textId="77777777" w:rsidR="00002F8E" w:rsidRPr="00507CEE" w:rsidRDefault="00002F8E" w:rsidP="001A2532"/>
    <w:sectPr w:rsidR="00002F8E" w:rsidRPr="00507CEE" w:rsidSect="00C91F6D">
      <w:headerReference w:type="default" r:id="rId13"/>
      <w:footerReference w:type="default" r:id="rId14"/>
      <w:pgSz w:w="11906" w:h="16838"/>
      <w:pgMar w:top="1418" w:right="1418" w:bottom="1418" w:left="1418" w:header="709" w:footer="709" w:gutter="0"/>
      <w:lnNumType w:countBy="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9EF17" w16cid:durableId="2038FB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6053" w14:textId="77777777" w:rsidR="007341B5" w:rsidRDefault="007341B5" w:rsidP="00CC4827">
      <w:r>
        <w:separator/>
      </w:r>
    </w:p>
  </w:endnote>
  <w:endnote w:type="continuationSeparator" w:id="0">
    <w:p w14:paraId="153CE4E5" w14:textId="77777777" w:rsidR="007341B5" w:rsidRDefault="007341B5" w:rsidP="00CC4827">
      <w:r>
        <w:continuationSeparator/>
      </w:r>
    </w:p>
  </w:endnote>
  <w:endnote w:type="continuationNotice" w:id="1">
    <w:p w14:paraId="35854C4F" w14:textId="77777777" w:rsidR="007341B5" w:rsidRDefault="007341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07494"/>
      <w:docPartObj>
        <w:docPartGallery w:val="Page Numbers (Bottom of Page)"/>
        <w:docPartUnique/>
      </w:docPartObj>
    </w:sdtPr>
    <w:sdtEndPr/>
    <w:sdtContent>
      <w:p w14:paraId="55FDBA8C" w14:textId="5D0836E8" w:rsidR="007341B5" w:rsidRDefault="007341B5">
        <w:pPr>
          <w:pStyle w:val="Voettekst"/>
          <w:jc w:val="center"/>
        </w:pPr>
        <w:r>
          <w:fldChar w:fldCharType="begin"/>
        </w:r>
        <w:r>
          <w:instrText>PAGE   \* MERGEFORMAT</w:instrText>
        </w:r>
        <w:r>
          <w:fldChar w:fldCharType="separate"/>
        </w:r>
        <w:r w:rsidR="00DB156F" w:rsidRPr="00DB156F">
          <w:rPr>
            <w:noProof/>
            <w:lang w:val="nl-NL"/>
          </w:rPr>
          <w:t>21</w:t>
        </w:r>
        <w:r>
          <w:fldChar w:fldCharType="end"/>
        </w:r>
      </w:p>
    </w:sdtContent>
  </w:sdt>
  <w:p w14:paraId="28BBCEAC" w14:textId="77777777" w:rsidR="007341B5" w:rsidRDefault="007341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BC39" w14:textId="64192A88" w:rsidR="007341B5" w:rsidRDefault="007341B5">
    <w:pPr>
      <w:pStyle w:val="Voettekst"/>
      <w:jc w:val="center"/>
    </w:pPr>
    <w:r>
      <w:fldChar w:fldCharType="begin"/>
    </w:r>
    <w:r>
      <w:instrText>PAGE   \* MERGEFORMAT</w:instrText>
    </w:r>
    <w:r>
      <w:fldChar w:fldCharType="separate"/>
    </w:r>
    <w:r w:rsidR="00DB156F" w:rsidRPr="00DB156F">
      <w:rPr>
        <w:noProof/>
        <w:lang w:val="nl-NL"/>
      </w:rPr>
      <w:t>40</w:t>
    </w:r>
    <w:r>
      <w:fldChar w:fldCharType="end"/>
    </w:r>
  </w:p>
  <w:p w14:paraId="704DC41A" w14:textId="77777777" w:rsidR="007341B5" w:rsidRDefault="007341B5" w:rsidP="00CC48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23D2B" w14:textId="77777777" w:rsidR="007341B5" w:rsidRDefault="007341B5" w:rsidP="00CC4827">
      <w:r>
        <w:separator/>
      </w:r>
    </w:p>
  </w:footnote>
  <w:footnote w:type="continuationSeparator" w:id="0">
    <w:p w14:paraId="6FEE2711" w14:textId="77777777" w:rsidR="007341B5" w:rsidRDefault="007341B5" w:rsidP="00CC4827">
      <w:r>
        <w:continuationSeparator/>
      </w:r>
    </w:p>
  </w:footnote>
  <w:footnote w:type="continuationNotice" w:id="1">
    <w:p w14:paraId="0A6DEBB7" w14:textId="77777777" w:rsidR="007341B5" w:rsidRDefault="007341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4D34" w14:textId="77777777" w:rsidR="007341B5" w:rsidRDefault="007341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CED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E4153"/>
    <w:multiLevelType w:val="hybridMultilevel"/>
    <w:tmpl w:val="B44C5256"/>
    <w:lvl w:ilvl="0" w:tplc="2716D21E">
      <w:start w:val="1"/>
      <w:numFmt w:val="decimal"/>
      <w:lvlText w:val="%1."/>
      <w:lvlJc w:val="left"/>
      <w:pPr>
        <w:ind w:left="480" w:hanging="360"/>
      </w:pPr>
      <w:rPr>
        <w:rFonts w:ascii="Times New Roman" w:eastAsia="Times New Roman" w:hAnsi="Times New Roman" w:hint="default"/>
        <w:b/>
        <w:bCs/>
        <w:i/>
        <w:sz w:val="24"/>
        <w:szCs w:val="24"/>
      </w:rPr>
    </w:lvl>
    <w:lvl w:ilvl="1" w:tplc="591ACE12">
      <w:start w:val="1"/>
      <w:numFmt w:val="bullet"/>
      <w:lvlText w:val=""/>
      <w:lvlJc w:val="left"/>
      <w:pPr>
        <w:ind w:left="1200" w:hanging="360"/>
      </w:pPr>
      <w:rPr>
        <w:rFonts w:ascii="Symbol" w:eastAsia="Symbol" w:hAnsi="Symbol" w:hint="default"/>
        <w:b/>
        <w:bCs/>
        <w:sz w:val="24"/>
        <w:szCs w:val="24"/>
      </w:rPr>
    </w:lvl>
    <w:lvl w:ilvl="2" w:tplc="003C3D48">
      <w:start w:val="1"/>
      <w:numFmt w:val="bullet"/>
      <w:lvlText w:val="•"/>
      <w:lvlJc w:val="left"/>
      <w:pPr>
        <w:ind w:left="1200" w:hanging="360"/>
      </w:pPr>
      <w:rPr>
        <w:rFonts w:hint="default"/>
      </w:rPr>
    </w:lvl>
    <w:lvl w:ilvl="3" w:tplc="71C28A3E">
      <w:start w:val="1"/>
      <w:numFmt w:val="bullet"/>
      <w:lvlText w:val="•"/>
      <w:lvlJc w:val="left"/>
      <w:pPr>
        <w:ind w:left="1200" w:hanging="360"/>
      </w:pPr>
      <w:rPr>
        <w:rFonts w:hint="default"/>
      </w:rPr>
    </w:lvl>
    <w:lvl w:ilvl="4" w:tplc="EF2ABA82">
      <w:start w:val="1"/>
      <w:numFmt w:val="bullet"/>
      <w:lvlText w:val="•"/>
      <w:lvlJc w:val="left"/>
      <w:pPr>
        <w:ind w:left="1252" w:hanging="360"/>
      </w:pPr>
      <w:rPr>
        <w:rFonts w:hint="default"/>
      </w:rPr>
    </w:lvl>
    <w:lvl w:ilvl="5" w:tplc="A25C3672">
      <w:start w:val="1"/>
      <w:numFmt w:val="bullet"/>
      <w:lvlText w:val="•"/>
      <w:lvlJc w:val="left"/>
      <w:pPr>
        <w:ind w:left="1252" w:hanging="360"/>
      </w:pPr>
      <w:rPr>
        <w:rFonts w:hint="default"/>
      </w:rPr>
    </w:lvl>
    <w:lvl w:ilvl="6" w:tplc="243EA250">
      <w:start w:val="1"/>
      <w:numFmt w:val="bullet"/>
      <w:lvlText w:val="•"/>
      <w:lvlJc w:val="left"/>
      <w:pPr>
        <w:ind w:left="2774" w:hanging="360"/>
      </w:pPr>
      <w:rPr>
        <w:rFonts w:hint="default"/>
      </w:rPr>
    </w:lvl>
    <w:lvl w:ilvl="7" w:tplc="59BCE33E">
      <w:start w:val="1"/>
      <w:numFmt w:val="bullet"/>
      <w:lvlText w:val="•"/>
      <w:lvlJc w:val="left"/>
      <w:pPr>
        <w:ind w:left="4295" w:hanging="360"/>
      </w:pPr>
      <w:rPr>
        <w:rFonts w:hint="default"/>
      </w:rPr>
    </w:lvl>
    <w:lvl w:ilvl="8" w:tplc="3C64570C">
      <w:start w:val="1"/>
      <w:numFmt w:val="bullet"/>
      <w:lvlText w:val="•"/>
      <w:lvlJc w:val="left"/>
      <w:pPr>
        <w:ind w:left="5817" w:hanging="360"/>
      </w:pPr>
      <w:rPr>
        <w:rFonts w:hint="default"/>
      </w:rPr>
    </w:lvl>
  </w:abstractNum>
  <w:abstractNum w:abstractNumId="2" w15:restartNumberingAfterBreak="0">
    <w:nsid w:val="2B5F1236"/>
    <w:multiLevelType w:val="hybridMultilevel"/>
    <w:tmpl w:val="243443FC"/>
    <w:lvl w:ilvl="0" w:tplc="A88CA442">
      <w:start w:val="1"/>
      <w:numFmt w:val="upperLetter"/>
      <w:lvlText w:val="%1."/>
      <w:lvlJc w:val="left"/>
      <w:pPr>
        <w:ind w:left="360" w:hanging="360"/>
      </w:pPr>
      <w:rPr>
        <w:rFonts w:ascii="Times New Roman" w:hAnsi="Times New Roman" w:cs="Times New Roman" w:hint="default"/>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72B848BF"/>
    <w:multiLevelType w:val="hybridMultilevel"/>
    <w:tmpl w:val="BF3CE5BA"/>
    <w:lvl w:ilvl="0" w:tplc="8C0AC63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F9"/>
    <w:rsid w:val="00002F8E"/>
    <w:rsid w:val="00003F2F"/>
    <w:rsid w:val="00012400"/>
    <w:rsid w:val="00017E6A"/>
    <w:rsid w:val="00020867"/>
    <w:rsid w:val="000256DE"/>
    <w:rsid w:val="00027B80"/>
    <w:rsid w:val="00031029"/>
    <w:rsid w:val="000319E4"/>
    <w:rsid w:val="00034209"/>
    <w:rsid w:val="000354CD"/>
    <w:rsid w:val="000366DF"/>
    <w:rsid w:val="00037794"/>
    <w:rsid w:val="000436DB"/>
    <w:rsid w:val="0004396B"/>
    <w:rsid w:val="00043A03"/>
    <w:rsid w:val="00047662"/>
    <w:rsid w:val="00051235"/>
    <w:rsid w:val="00054FF8"/>
    <w:rsid w:val="00056AAE"/>
    <w:rsid w:val="0005729B"/>
    <w:rsid w:val="00062C02"/>
    <w:rsid w:val="00063A4C"/>
    <w:rsid w:val="00065160"/>
    <w:rsid w:val="000667AF"/>
    <w:rsid w:val="00070D21"/>
    <w:rsid w:val="00072339"/>
    <w:rsid w:val="000741B8"/>
    <w:rsid w:val="00074578"/>
    <w:rsid w:val="00076125"/>
    <w:rsid w:val="000813A3"/>
    <w:rsid w:val="0008533D"/>
    <w:rsid w:val="00090AC4"/>
    <w:rsid w:val="00090E35"/>
    <w:rsid w:val="000978D4"/>
    <w:rsid w:val="000A3630"/>
    <w:rsid w:val="000B051B"/>
    <w:rsid w:val="000B3CD5"/>
    <w:rsid w:val="000B55D7"/>
    <w:rsid w:val="000B7012"/>
    <w:rsid w:val="000C0363"/>
    <w:rsid w:val="000C10B4"/>
    <w:rsid w:val="000C336F"/>
    <w:rsid w:val="000C5988"/>
    <w:rsid w:val="000C6DA8"/>
    <w:rsid w:val="000D0FB8"/>
    <w:rsid w:val="000D15E8"/>
    <w:rsid w:val="000D454E"/>
    <w:rsid w:val="000E42FD"/>
    <w:rsid w:val="000E48F4"/>
    <w:rsid w:val="000E750C"/>
    <w:rsid w:val="000E7CD3"/>
    <w:rsid w:val="000F121A"/>
    <w:rsid w:val="000F139F"/>
    <w:rsid w:val="000F3617"/>
    <w:rsid w:val="000F4915"/>
    <w:rsid w:val="000F5F6E"/>
    <w:rsid w:val="000F685F"/>
    <w:rsid w:val="001026F9"/>
    <w:rsid w:val="001031AF"/>
    <w:rsid w:val="00107A93"/>
    <w:rsid w:val="00110567"/>
    <w:rsid w:val="00110DB2"/>
    <w:rsid w:val="00110F8F"/>
    <w:rsid w:val="0011230A"/>
    <w:rsid w:val="0011246A"/>
    <w:rsid w:val="00113C7F"/>
    <w:rsid w:val="0011635E"/>
    <w:rsid w:val="00122CC6"/>
    <w:rsid w:val="0012490E"/>
    <w:rsid w:val="0013045B"/>
    <w:rsid w:val="00135638"/>
    <w:rsid w:val="001375ED"/>
    <w:rsid w:val="00141DE8"/>
    <w:rsid w:val="00142E4D"/>
    <w:rsid w:val="00143AFF"/>
    <w:rsid w:val="001443A9"/>
    <w:rsid w:val="001511AC"/>
    <w:rsid w:val="001530C0"/>
    <w:rsid w:val="0015360B"/>
    <w:rsid w:val="00153826"/>
    <w:rsid w:val="00153D05"/>
    <w:rsid w:val="00153EED"/>
    <w:rsid w:val="001551CF"/>
    <w:rsid w:val="001558A1"/>
    <w:rsid w:val="00155B10"/>
    <w:rsid w:val="00156E36"/>
    <w:rsid w:val="0015744E"/>
    <w:rsid w:val="00161EF3"/>
    <w:rsid w:val="00162D67"/>
    <w:rsid w:val="001631ED"/>
    <w:rsid w:val="00163445"/>
    <w:rsid w:val="0016452A"/>
    <w:rsid w:val="00164BF9"/>
    <w:rsid w:val="00170B3A"/>
    <w:rsid w:val="001722D1"/>
    <w:rsid w:val="00173968"/>
    <w:rsid w:val="00180659"/>
    <w:rsid w:val="00181E67"/>
    <w:rsid w:val="001828C2"/>
    <w:rsid w:val="00184C9A"/>
    <w:rsid w:val="00184D65"/>
    <w:rsid w:val="00186D11"/>
    <w:rsid w:val="00190C94"/>
    <w:rsid w:val="001942BD"/>
    <w:rsid w:val="001A122F"/>
    <w:rsid w:val="001A1B3F"/>
    <w:rsid w:val="001A2532"/>
    <w:rsid w:val="001A76F0"/>
    <w:rsid w:val="001A7D0B"/>
    <w:rsid w:val="001B2587"/>
    <w:rsid w:val="001B269D"/>
    <w:rsid w:val="001B4FD3"/>
    <w:rsid w:val="001B66DC"/>
    <w:rsid w:val="001C0724"/>
    <w:rsid w:val="001C0C7F"/>
    <w:rsid w:val="001C48A8"/>
    <w:rsid w:val="001D41E0"/>
    <w:rsid w:val="001D5934"/>
    <w:rsid w:val="001D5E58"/>
    <w:rsid w:val="001E2509"/>
    <w:rsid w:val="001E3698"/>
    <w:rsid w:val="001E7D11"/>
    <w:rsid w:val="001F022C"/>
    <w:rsid w:val="001F4205"/>
    <w:rsid w:val="001F6220"/>
    <w:rsid w:val="001F7496"/>
    <w:rsid w:val="00200273"/>
    <w:rsid w:val="0020047D"/>
    <w:rsid w:val="00203057"/>
    <w:rsid w:val="002036C0"/>
    <w:rsid w:val="00206590"/>
    <w:rsid w:val="0020716C"/>
    <w:rsid w:val="0020724D"/>
    <w:rsid w:val="00212EC4"/>
    <w:rsid w:val="002139E4"/>
    <w:rsid w:val="002139E8"/>
    <w:rsid w:val="00222ADE"/>
    <w:rsid w:val="00222BB9"/>
    <w:rsid w:val="00222FEC"/>
    <w:rsid w:val="002234B7"/>
    <w:rsid w:val="0022560E"/>
    <w:rsid w:val="00225B2E"/>
    <w:rsid w:val="0022639B"/>
    <w:rsid w:val="0022682A"/>
    <w:rsid w:val="002331F7"/>
    <w:rsid w:val="00235832"/>
    <w:rsid w:val="00235B99"/>
    <w:rsid w:val="00235F2C"/>
    <w:rsid w:val="00240C5F"/>
    <w:rsid w:val="00241B38"/>
    <w:rsid w:val="002433E9"/>
    <w:rsid w:val="0024378C"/>
    <w:rsid w:val="00243B07"/>
    <w:rsid w:val="00243EFB"/>
    <w:rsid w:val="00243F21"/>
    <w:rsid w:val="00247E42"/>
    <w:rsid w:val="00252485"/>
    <w:rsid w:val="00252BBD"/>
    <w:rsid w:val="002575E6"/>
    <w:rsid w:val="00261361"/>
    <w:rsid w:val="0026365B"/>
    <w:rsid w:val="00265DDB"/>
    <w:rsid w:val="00273926"/>
    <w:rsid w:val="002802FD"/>
    <w:rsid w:val="00280CEE"/>
    <w:rsid w:val="00286457"/>
    <w:rsid w:val="0028774B"/>
    <w:rsid w:val="002903A0"/>
    <w:rsid w:val="002A33DC"/>
    <w:rsid w:val="002B4388"/>
    <w:rsid w:val="002B6809"/>
    <w:rsid w:val="002B6858"/>
    <w:rsid w:val="002B78A2"/>
    <w:rsid w:val="002C135E"/>
    <w:rsid w:val="002C1EDD"/>
    <w:rsid w:val="002C3524"/>
    <w:rsid w:val="002C50FC"/>
    <w:rsid w:val="002D1C0B"/>
    <w:rsid w:val="002D32C6"/>
    <w:rsid w:val="002D3C74"/>
    <w:rsid w:val="002D3ECB"/>
    <w:rsid w:val="002D502E"/>
    <w:rsid w:val="002E0121"/>
    <w:rsid w:val="002E1055"/>
    <w:rsid w:val="002E725E"/>
    <w:rsid w:val="002E764C"/>
    <w:rsid w:val="002F0564"/>
    <w:rsid w:val="002F1DC5"/>
    <w:rsid w:val="002F2188"/>
    <w:rsid w:val="002F6101"/>
    <w:rsid w:val="002F6F8D"/>
    <w:rsid w:val="002F758F"/>
    <w:rsid w:val="002F7B97"/>
    <w:rsid w:val="00303BC0"/>
    <w:rsid w:val="00307F68"/>
    <w:rsid w:val="00311671"/>
    <w:rsid w:val="00315CE1"/>
    <w:rsid w:val="00315EC8"/>
    <w:rsid w:val="00321986"/>
    <w:rsid w:val="00322F06"/>
    <w:rsid w:val="00325232"/>
    <w:rsid w:val="00326222"/>
    <w:rsid w:val="00330276"/>
    <w:rsid w:val="0033116C"/>
    <w:rsid w:val="00333E3B"/>
    <w:rsid w:val="00337367"/>
    <w:rsid w:val="00342C00"/>
    <w:rsid w:val="00344383"/>
    <w:rsid w:val="0035167B"/>
    <w:rsid w:val="00352EFD"/>
    <w:rsid w:val="00354CB0"/>
    <w:rsid w:val="00355F9D"/>
    <w:rsid w:val="0036134E"/>
    <w:rsid w:val="003616DD"/>
    <w:rsid w:val="003617BF"/>
    <w:rsid w:val="00362F7A"/>
    <w:rsid w:val="00364F31"/>
    <w:rsid w:val="003655D2"/>
    <w:rsid w:val="0037783D"/>
    <w:rsid w:val="00380BE2"/>
    <w:rsid w:val="003815D1"/>
    <w:rsid w:val="00381873"/>
    <w:rsid w:val="00382762"/>
    <w:rsid w:val="00382DEE"/>
    <w:rsid w:val="00387AD0"/>
    <w:rsid w:val="00391853"/>
    <w:rsid w:val="00391C74"/>
    <w:rsid w:val="00393393"/>
    <w:rsid w:val="00395519"/>
    <w:rsid w:val="00396978"/>
    <w:rsid w:val="003A0AA1"/>
    <w:rsid w:val="003A10B3"/>
    <w:rsid w:val="003A1125"/>
    <w:rsid w:val="003A1301"/>
    <w:rsid w:val="003A157A"/>
    <w:rsid w:val="003A3046"/>
    <w:rsid w:val="003A5157"/>
    <w:rsid w:val="003A5AC3"/>
    <w:rsid w:val="003A62DD"/>
    <w:rsid w:val="003B4978"/>
    <w:rsid w:val="003B7561"/>
    <w:rsid w:val="003C4BDD"/>
    <w:rsid w:val="003C7ABD"/>
    <w:rsid w:val="003D1323"/>
    <w:rsid w:val="003D1D13"/>
    <w:rsid w:val="003D3012"/>
    <w:rsid w:val="003D421D"/>
    <w:rsid w:val="003D5D3D"/>
    <w:rsid w:val="003E32A5"/>
    <w:rsid w:val="003E408F"/>
    <w:rsid w:val="003E7173"/>
    <w:rsid w:val="003F2363"/>
    <w:rsid w:val="003F2CDF"/>
    <w:rsid w:val="003F2D36"/>
    <w:rsid w:val="003F5F97"/>
    <w:rsid w:val="003F76DD"/>
    <w:rsid w:val="004017BC"/>
    <w:rsid w:val="00403E21"/>
    <w:rsid w:val="00404418"/>
    <w:rsid w:val="004056BC"/>
    <w:rsid w:val="00406A7A"/>
    <w:rsid w:val="00407AE3"/>
    <w:rsid w:val="00414317"/>
    <w:rsid w:val="00415E81"/>
    <w:rsid w:val="004231A9"/>
    <w:rsid w:val="0042332C"/>
    <w:rsid w:val="00431AC9"/>
    <w:rsid w:val="00432084"/>
    <w:rsid w:val="004343A4"/>
    <w:rsid w:val="004352F7"/>
    <w:rsid w:val="00437B90"/>
    <w:rsid w:val="00441888"/>
    <w:rsid w:val="00444115"/>
    <w:rsid w:val="00446416"/>
    <w:rsid w:val="00460EF0"/>
    <w:rsid w:val="0046154E"/>
    <w:rsid w:val="0046348C"/>
    <w:rsid w:val="00464D55"/>
    <w:rsid w:val="00474D0A"/>
    <w:rsid w:val="00482480"/>
    <w:rsid w:val="004879E1"/>
    <w:rsid w:val="00490B2C"/>
    <w:rsid w:val="00490EF5"/>
    <w:rsid w:val="004951CA"/>
    <w:rsid w:val="00495E5B"/>
    <w:rsid w:val="0049770E"/>
    <w:rsid w:val="00497D79"/>
    <w:rsid w:val="004A0464"/>
    <w:rsid w:val="004A3A54"/>
    <w:rsid w:val="004A5617"/>
    <w:rsid w:val="004A5C8F"/>
    <w:rsid w:val="004A689B"/>
    <w:rsid w:val="004B1FF5"/>
    <w:rsid w:val="004B444B"/>
    <w:rsid w:val="004B730D"/>
    <w:rsid w:val="004B7547"/>
    <w:rsid w:val="004C21CA"/>
    <w:rsid w:val="004C3E08"/>
    <w:rsid w:val="004C63FF"/>
    <w:rsid w:val="004D025D"/>
    <w:rsid w:val="004D6054"/>
    <w:rsid w:val="004E17A1"/>
    <w:rsid w:val="004E5133"/>
    <w:rsid w:val="004E55E1"/>
    <w:rsid w:val="004F0BC8"/>
    <w:rsid w:val="004F1BE2"/>
    <w:rsid w:val="004F2333"/>
    <w:rsid w:val="004F2F92"/>
    <w:rsid w:val="004F33AC"/>
    <w:rsid w:val="004F6069"/>
    <w:rsid w:val="004F61EC"/>
    <w:rsid w:val="004F77E7"/>
    <w:rsid w:val="004F783B"/>
    <w:rsid w:val="005062D5"/>
    <w:rsid w:val="005067B7"/>
    <w:rsid w:val="00507406"/>
    <w:rsid w:val="00507995"/>
    <w:rsid w:val="00507CEE"/>
    <w:rsid w:val="005262B4"/>
    <w:rsid w:val="005302F7"/>
    <w:rsid w:val="0053219D"/>
    <w:rsid w:val="005356C0"/>
    <w:rsid w:val="00535A84"/>
    <w:rsid w:val="00535DC4"/>
    <w:rsid w:val="005402BC"/>
    <w:rsid w:val="005414CC"/>
    <w:rsid w:val="005416F2"/>
    <w:rsid w:val="00541D9E"/>
    <w:rsid w:val="00542054"/>
    <w:rsid w:val="00545159"/>
    <w:rsid w:val="00546AB9"/>
    <w:rsid w:val="00551393"/>
    <w:rsid w:val="00554E09"/>
    <w:rsid w:val="00555E87"/>
    <w:rsid w:val="00556549"/>
    <w:rsid w:val="00557C2F"/>
    <w:rsid w:val="00560B45"/>
    <w:rsid w:val="00561C78"/>
    <w:rsid w:val="005637A1"/>
    <w:rsid w:val="00563A5D"/>
    <w:rsid w:val="00565766"/>
    <w:rsid w:val="00566B73"/>
    <w:rsid w:val="00566CC5"/>
    <w:rsid w:val="005677BF"/>
    <w:rsid w:val="00570B47"/>
    <w:rsid w:val="00571D63"/>
    <w:rsid w:val="00571E92"/>
    <w:rsid w:val="0057292A"/>
    <w:rsid w:val="00572BAB"/>
    <w:rsid w:val="005745C9"/>
    <w:rsid w:val="00574D29"/>
    <w:rsid w:val="005817F6"/>
    <w:rsid w:val="0058259E"/>
    <w:rsid w:val="00583C7A"/>
    <w:rsid w:val="00583EAC"/>
    <w:rsid w:val="00585254"/>
    <w:rsid w:val="005920C7"/>
    <w:rsid w:val="00593A34"/>
    <w:rsid w:val="00594711"/>
    <w:rsid w:val="00595045"/>
    <w:rsid w:val="005958E1"/>
    <w:rsid w:val="00595D37"/>
    <w:rsid w:val="00596653"/>
    <w:rsid w:val="00597760"/>
    <w:rsid w:val="005A16EC"/>
    <w:rsid w:val="005A28C2"/>
    <w:rsid w:val="005A3AD2"/>
    <w:rsid w:val="005A5CF1"/>
    <w:rsid w:val="005A7F62"/>
    <w:rsid w:val="005B0B49"/>
    <w:rsid w:val="005B157A"/>
    <w:rsid w:val="005B2272"/>
    <w:rsid w:val="005B3889"/>
    <w:rsid w:val="005B6463"/>
    <w:rsid w:val="005C1DF1"/>
    <w:rsid w:val="005C3FF1"/>
    <w:rsid w:val="005C6B96"/>
    <w:rsid w:val="005D04BE"/>
    <w:rsid w:val="005D2212"/>
    <w:rsid w:val="005D2CAE"/>
    <w:rsid w:val="005D37AF"/>
    <w:rsid w:val="005D6D26"/>
    <w:rsid w:val="005D7A56"/>
    <w:rsid w:val="005D7BAF"/>
    <w:rsid w:val="005E0644"/>
    <w:rsid w:val="005E20A4"/>
    <w:rsid w:val="005E2183"/>
    <w:rsid w:val="005E6AB1"/>
    <w:rsid w:val="005F1B38"/>
    <w:rsid w:val="005F5137"/>
    <w:rsid w:val="00601749"/>
    <w:rsid w:val="006057DF"/>
    <w:rsid w:val="00610F5D"/>
    <w:rsid w:val="006145A0"/>
    <w:rsid w:val="006166EE"/>
    <w:rsid w:val="00616857"/>
    <w:rsid w:val="0062026A"/>
    <w:rsid w:val="00623C96"/>
    <w:rsid w:val="00623D8B"/>
    <w:rsid w:val="00627452"/>
    <w:rsid w:val="00633D12"/>
    <w:rsid w:val="006341A8"/>
    <w:rsid w:val="00634B2B"/>
    <w:rsid w:val="00634D4A"/>
    <w:rsid w:val="00635A9E"/>
    <w:rsid w:val="0063702E"/>
    <w:rsid w:val="00643531"/>
    <w:rsid w:val="00644CB7"/>
    <w:rsid w:val="00645219"/>
    <w:rsid w:val="006479D4"/>
    <w:rsid w:val="006515D5"/>
    <w:rsid w:val="0065211A"/>
    <w:rsid w:val="0065215B"/>
    <w:rsid w:val="006550A5"/>
    <w:rsid w:val="00656523"/>
    <w:rsid w:val="0065795D"/>
    <w:rsid w:val="006604E1"/>
    <w:rsid w:val="00664EC2"/>
    <w:rsid w:val="00667C31"/>
    <w:rsid w:val="00667D53"/>
    <w:rsid w:val="00675A4B"/>
    <w:rsid w:val="006762F9"/>
    <w:rsid w:val="00676D5A"/>
    <w:rsid w:val="00677561"/>
    <w:rsid w:val="00680C27"/>
    <w:rsid w:val="006824A2"/>
    <w:rsid w:val="006848EA"/>
    <w:rsid w:val="00690427"/>
    <w:rsid w:val="0069311A"/>
    <w:rsid w:val="00693B17"/>
    <w:rsid w:val="00696D12"/>
    <w:rsid w:val="006975CC"/>
    <w:rsid w:val="006A2682"/>
    <w:rsid w:val="006A4492"/>
    <w:rsid w:val="006A4555"/>
    <w:rsid w:val="006A7601"/>
    <w:rsid w:val="006B0832"/>
    <w:rsid w:val="006B30EA"/>
    <w:rsid w:val="006C3A3E"/>
    <w:rsid w:val="006C6E9C"/>
    <w:rsid w:val="006C7C12"/>
    <w:rsid w:val="006D0E46"/>
    <w:rsid w:val="006D6465"/>
    <w:rsid w:val="006E071F"/>
    <w:rsid w:val="006E081C"/>
    <w:rsid w:val="006E2774"/>
    <w:rsid w:val="006E3BBB"/>
    <w:rsid w:val="006E3C02"/>
    <w:rsid w:val="006E56CC"/>
    <w:rsid w:val="006E5EBA"/>
    <w:rsid w:val="006E6AF6"/>
    <w:rsid w:val="006E6C47"/>
    <w:rsid w:val="006F027B"/>
    <w:rsid w:val="006F3F0D"/>
    <w:rsid w:val="006F403A"/>
    <w:rsid w:val="006F40F2"/>
    <w:rsid w:val="006F4537"/>
    <w:rsid w:val="006F4835"/>
    <w:rsid w:val="006F6A19"/>
    <w:rsid w:val="006F7812"/>
    <w:rsid w:val="0070068F"/>
    <w:rsid w:val="00702404"/>
    <w:rsid w:val="0070279F"/>
    <w:rsid w:val="00703AF9"/>
    <w:rsid w:val="0070794A"/>
    <w:rsid w:val="00711AC3"/>
    <w:rsid w:val="00711BF9"/>
    <w:rsid w:val="00715BFD"/>
    <w:rsid w:val="00715E9A"/>
    <w:rsid w:val="0072025D"/>
    <w:rsid w:val="00721EB5"/>
    <w:rsid w:val="00722F6F"/>
    <w:rsid w:val="007242B0"/>
    <w:rsid w:val="007246A0"/>
    <w:rsid w:val="00725382"/>
    <w:rsid w:val="00732C48"/>
    <w:rsid w:val="00733179"/>
    <w:rsid w:val="00734065"/>
    <w:rsid w:val="007341B5"/>
    <w:rsid w:val="007352F5"/>
    <w:rsid w:val="007370FD"/>
    <w:rsid w:val="00737A82"/>
    <w:rsid w:val="00740A53"/>
    <w:rsid w:val="00741297"/>
    <w:rsid w:val="00742F59"/>
    <w:rsid w:val="00744423"/>
    <w:rsid w:val="00751622"/>
    <w:rsid w:val="00752BCE"/>
    <w:rsid w:val="00754374"/>
    <w:rsid w:val="00754A1D"/>
    <w:rsid w:val="00755427"/>
    <w:rsid w:val="0075581A"/>
    <w:rsid w:val="00757655"/>
    <w:rsid w:val="00763206"/>
    <w:rsid w:val="007633EC"/>
    <w:rsid w:val="00770262"/>
    <w:rsid w:val="007733D6"/>
    <w:rsid w:val="00774E48"/>
    <w:rsid w:val="007764F4"/>
    <w:rsid w:val="00781277"/>
    <w:rsid w:val="00782F7D"/>
    <w:rsid w:val="007850D8"/>
    <w:rsid w:val="00786ED2"/>
    <w:rsid w:val="007903CB"/>
    <w:rsid w:val="00790A7E"/>
    <w:rsid w:val="00792E94"/>
    <w:rsid w:val="007935D1"/>
    <w:rsid w:val="007A4EB6"/>
    <w:rsid w:val="007A574B"/>
    <w:rsid w:val="007A70DA"/>
    <w:rsid w:val="007B0850"/>
    <w:rsid w:val="007B10CB"/>
    <w:rsid w:val="007B3EF0"/>
    <w:rsid w:val="007B5A7A"/>
    <w:rsid w:val="007B6D5A"/>
    <w:rsid w:val="007C0723"/>
    <w:rsid w:val="007C0C9D"/>
    <w:rsid w:val="007C0CDF"/>
    <w:rsid w:val="007C0EAC"/>
    <w:rsid w:val="007C3637"/>
    <w:rsid w:val="007C5A76"/>
    <w:rsid w:val="007C6D80"/>
    <w:rsid w:val="007C7AC8"/>
    <w:rsid w:val="007D1F7B"/>
    <w:rsid w:val="007D26DC"/>
    <w:rsid w:val="007D27E8"/>
    <w:rsid w:val="007D506A"/>
    <w:rsid w:val="007D781E"/>
    <w:rsid w:val="007E46F0"/>
    <w:rsid w:val="007E50CC"/>
    <w:rsid w:val="007E6853"/>
    <w:rsid w:val="007F0847"/>
    <w:rsid w:val="007F1E6F"/>
    <w:rsid w:val="007F2975"/>
    <w:rsid w:val="007F5586"/>
    <w:rsid w:val="008013F2"/>
    <w:rsid w:val="00803238"/>
    <w:rsid w:val="008033BC"/>
    <w:rsid w:val="0080361D"/>
    <w:rsid w:val="0080572A"/>
    <w:rsid w:val="00806D55"/>
    <w:rsid w:val="00810ECA"/>
    <w:rsid w:val="00812FF0"/>
    <w:rsid w:val="0081316A"/>
    <w:rsid w:val="00813EF4"/>
    <w:rsid w:val="00814914"/>
    <w:rsid w:val="008165DA"/>
    <w:rsid w:val="00820D07"/>
    <w:rsid w:val="00823ABC"/>
    <w:rsid w:val="0082494E"/>
    <w:rsid w:val="0082583E"/>
    <w:rsid w:val="0082769E"/>
    <w:rsid w:val="00827796"/>
    <w:rsid w:val="00832822"/>
    <w:rsid w:val="0083379E"/>
    <w:rsid w:val="00833A49"/>
    <w:rsid w:val="00835D17"/>
    <w:rsid w:val="00837763"/>
    <w:rsid w:val="008415AD"/>
    <w:rsid w:val="00843848"/>
    <w:rsid w:val="0085139C"/>
    <w:rsid w:val="00853A82"/>
    <w:rsid w:val="00853DA9"/>
    <w:rsid w:val="00856F7F"/>
    <w:rsid w:val="00861316"/>
    <w:rsid w:val="00863566"/>
    <w:rsid w:val="00864FCE"/>
    <w:rsid w:val="00867656"/>
    <w:rsid w:val="00870F83"/>
    <w:rsid w:val="00874DB9"/>
    <w:rsid w:val="00880D93"/>
    <w:rsid w:val="00881C3C"/>
    <w:rsid w:val="0088601C"/>
    <w:rsid w:val="0089346D"/>
    <w:rsid w:val="008948B4"/>
    <w:rsid w:val="008A079D"/>
    <w:rsid w:val="008A1745"/>
    <w:rsid w:val="008A1CF0"/>
    <w:rsid w:val="008A3404"/>
    <w:rsid w:val="008A458F"/>
    <w:rsid w:val="008A6853"/>
    <w:rsid w:val="008A6A55"/>
    <w:rsid w:val="008B05AF"/>
    <w:rsid w:val="008B492E"/>
    <w:rsid w:val="008B4AC0"/>
    <w:rsid w:val="008B614F"/>
    <w:rsid w:val="008B775A"/>
    <w:rsid w:val="008C07D9"/>
    <w:rsid w:val="008C1B8E"/>
    <w:rsid w:val="008C26FC"/>
    <w:rsid w:val="008C5492"/>
    <w:rsid w:val="008C5F7F"/>
    <w:rsid w:val="008C72B1"/>
    <w:rsid w:val="008D02D5"/>
    <w:rsid w:val="008D4197"/>
    <w:rsid w:val="008D4DFB"/>
    <w:rsid w:val="008D63D2"/>
    <w:rsid w:val="008D7F21"/>
    <w:rsid w:val="008E2B00"/>
    <w:rsid w:val="008E6B21"/>
    <w:rsid w:val="008F00C6"/>
    <w:rsid w:val="008F190E"/>
    <w:rsid w:val="008F3EC9"/>
    <w:rsid w:val="008F40AE"/>
    <w:rsid w:val="008F794B"/>
    <w:rsid w:val="008F7E77"/>
    <w:rsid w:val="008F7F62"/>
    <w:rsid w:val="00900260"/>
    <w:rsid w:val="00900FD0"/>
    <w:rsid w:val="0090170C"/>
    <w:rsid w:val="009028DD"/>
    <w:rsid w:val="009033AC"/>
    <w:rsid w:val="00903E4B"/>
    <w:rsid w:val="00905A47"/>
    <w:rsid w:val="00906AFC"/>
    <w:rsid w:val="009072AC"/>
    <w:rsid w:val="00910A53"/>
    <w:rsid w:val="00921370"/>
    <w:rsid w:val="00921844"/>
    <w:rsid w:val="00922C90"/>
    <w:rsid w:val="0092468A"/>
    <w:rsid w:val="00925642"/>
    <w:rsid w:val="00930789"/>
    <w:rsid w:val="009361F5"/>
    <w:rsid w:val="009375D5"/>
    <w:rsid w:val="009404D3"/>
    <w:rsid w:val="009416F2"/>
    <w:rsid w:val="00943F04"/>
    <w:rsid w:val="0094554E"/>
    <w:rsid w:val="009472A3"/>
    <w:rsid w:val="0094735F"/>
    <w:rsid w:val="009511D2"/>
    <w:rsid w:val="0095368F"/>
    <w:rsid w:val="00956BC0"/>
    <w:rsid w:val="00957BDC"/>
    <w:rsid w:val="00960EF1"/>
    <w:rsid w:val="00967498"/>
    <w:rsid w:val="00967AC5"/>
    <w:rsid w:val="009709E1"/>
    <w:rsid w:val="00970B81"/>
    <w:rsid w:val="009719F8"/>
    <w:rsid w:val="00972A4B"/>
    <w:rsid w:val="00973B91"/>
    <w:rsid w:val="00975699"/>
    <w:rsid w:val="0097749A"/>
    <w:rsid w:val="00982C3B"/>
    <w:rsid w:val="00984748"/>
    <w:rsid w:val="009944C6"/>
    <w:rsid w:val="009A2087"/>
    <w:rsid w:val="009A5FC9"/>
    <w:rsid w:val="009A78AF"/>
    <w:rsid w:val="009B66E0"/>
    <w:rsid w:val="009B7067"/>
    <w:rsid w:val="009B7F02"/>
    <w:rsid w:val="009C150C"/>
    <w:rsid w:val="009C4614"/>
    <w:rsid w:val="009C4A70"/>
    <w:rsid w:val="009D0178"/>
    <w:rsid w:val="009D30CD"/>
    <w:rsid w:val="009D3626"/>
    <w:rsid w:val="009D5C3D"/>
    <w:rsid w:val="009D5E50"/>
    <w:rsid w:val="009E1913"/>
    <w:rsid w:val="009E312B"/>
    <w:rsid w:val="009E5249"/>
    <w:rsid w:val="009E5513"/>
    <w:rsid w:val="009E7F97"/>
    <w:rsid w:val="009F030A"/>
    <w:rsid w:val="009F0ACB"/>
    <w:rsid w:val="00A00194"/>
    <w:rsid w:val="00A006F7"/>
    <w:rsid w:val="00A0284D"/>
    <w:rsid w:val="00A06EE7"/>
    <w:rsid w:val="00A10FFE"/>
    <w:rsid w:val="00A20730"/>
    <w:rsid w:val="00A228CB"/>
    <w:rsid w:val="00A23FEE"/>
    <w:rsid w:val="00A2501E"/>
    <w:rsid w:val="00A26E37"/>
    <w:rsid w:val="00A329FE"/>
    <w:rsid w:val="00A32FEE"/>
    <w:rsid w:val="00A33107"/>
    <w:rsid w:val="00A33586"/>
    <w:rsid w:val="00A352A6"/>
    <w:rsid w:val="00A35CC2"/>
    <w:rsid w:val="00A3618A"/>
    <w:rsid w:val="00A37DA9"/>
    <w:rsid w:val="00A40C34"/>
    <w:rsid w:val="00A43E02"/>
    <w:rsid w:val="00A56131"/>
    <w:rsid w:val="00A57A7F"/>
    <w:rsid w:val="00A61D12"/>
    <w:rsid w:val="00A64DC5"/>
    <w:rsid w:val="00A6589F"/>
    <w:rsid w:val="00A65D43"/>
    <w:rsid w:val="00A66792"/>
    <w:rsid w:val="00A67030"/>
    <w:rsid w:val="00A75C5B"/>
    <w:rsid w:val="00A76A8F"/>
    <w:rsid w:val="00A81DBD"/>
    <w:rsid w:val="00A81DEB"/>
    <w:rsid w:val="00A82086"/>
    <w:rsid w:val="00A836FB"/>
    <w:rsid w:val="00A8672A"/>
    <w:rsid w:val="00A968D1"/>
    <w:rsid w:val="00A96B47"/>
    <w:rsid w:val="00A96CF4"/>
    <w:rsid w:val="00AA459F"/>
    <w:rsid w:val="00AA49E6"/>
    <w:rsid w:val="00AB2883"/>
    <w:rsid w:val="00AB436D"/>
    <w:rsid w:val="00AB535A"/>
    <w:rsid w:val="00AB5CA8"/>
    <w:rsid w:val="00AB6B09"/>
    <w:rsid w:val="00AB6F2F"/>
    <w:rsid w:val="00AC1E12"/>
    <w:rsid w:val="00AC25A1"/>
    <w:rsid w:val="00AC35A7"/>
    <w:rsid w:val="00AD035B"/>
    <w:rsid w:val="00AD1D5F"/>
    <w:rsid w:val="00AD2A79"/>
    <w:rsid w:val="00AD432A"/>
    <w:rsid w:val="00AD45BE"/>
    <w:rsid w:val="00AD46A7"/>
    <w:rsid w:val="00AD645E"/>
    <w:rsid w:val="00AD6F6E"/>
    <w:rsid w:val="00AD7CD7"/>
    <w:rsid w:val="00AD7F9C"/>
    <w:rsid w:val="00AE007D"/>
    <w:rsid w:val="00AE0478"/>
    <w:rsid w:val="00AE1241"/>
    <w:rsid w:val="00AE3CCA"/>
    <w:rsid w:val="00AF15B4"/>
    <w:rsid w:val="00AF2A0F"/>
    <w:rsid w:val="00AF2F94"/>
    <w:rsid w:val="00AF4164"/>
    <w:rsid w:val="00AF531C"/>
    <w:rsid w:val="00AF626E"/>
    <w:rsid w:val="00AF653F"/>
    <w:rsid w:val="00B00DDF"/>
    <w:rsid w:val="00B01EEC"/>
    <w:rsid w:val="00B05739"/>
    <w:rsid w:val="00B05DE5"/>
    <w:rsid w:val="00B06334"/>
    <w:rsid w:val="00B1020A"/>
    <w:rsid w:val="00B148D8"/>
    <w:rsid w:val="00B153FE"/>
    <w:rsid w:val="00B16F44"/>
    <w:rsid w:val="00B22AAA"/>
    <w:rsid w:val="00B23F95"/>
    <w:rsid w:val="00B252FB"/>
    <w:rsid w:val="00B25398"/>
    <w:rsid w:val="00B25C66"/>
    <w:rsid w:val="00B2690C"/>
    <w:rsid w:val="00B322B2"/>
    <w:rsid w:val="00B3277A"/>
    <w:rsid w:val="00B36052"/>
    <w:rsid w:val="00B364A3"/>
    <w:rsid w:val="00B44190"/>
    <w:rsid w:val="00B44CF5"/>
    <w:rsid w:val="00B44FF0"/>
    <w:rsid w:val="00B45380"/>
    <w:rsid w:val="00B46153"/>
    <w:rsid w:val="00B50673"/>
    <w:rsid w:val="00B5418B"/>
    <w:rsid w:val="00B54B92"/>
    <w:rsid w:val="00B611E7"/>
    <w:rsid w:val="00B61277"/>
    <w:rsid w:val="00B61EB5"/>
    <w:rsid w:val="00B66092"/>
    <w:rsid w:val="00B712B0"/>
    <w:rsid w:val="00B74204"/>
    <w:rsid w:val="00B7607B"/>
    <w:rsid w:val="00B80628"/>
    <w:rsid w:val="00B85CD9"/>
    <w:rsid w:val="00B85D5D"/>
    <w:rsid w:val="00B86CCF"/>
    <w:rsid w:val="00B87029"/>
    <w:rsid w:val="00B87FE2"/>
    <w:rsid w:val="00B93684"/>
    <w:rsid w:val="00B954B3"/>
    <w:rsid w:val="00B97E65"/>
    <w:rsid w:val="00BA13A3"/>
    <w:rsid w:val="00BA1F5A"/>
    <w:rsid w:val="00BA2F61"/>
    <w:rsid w:val="00BA7192"/>
    <w:rsid w:val="00BB0D58"/>
    <w:rsid w:val="00BB217C"/>
    <w:rsid w:val="00BB4238"/>
    <w:rsid w:val="00BC0030"/>
    <w:rsid w:val="00BC0F24"/>
    <w:rsid w:val="00BC196E"/>
    <w:rsid w:val="00BC2491"/>
    <w:rsid w:val="00BC32CC"/>
    <w:rsid w:val="00BC391D"/>
    <w:rsid w:val="00BC5DCA"/>
    <w:rsid w:val="00BD092C"/>
    <w:rsid w:val="00BE21E9"/>
    <w:rsid w:val="00BF29B8"/>
    <w:rsid w:val="00BF6622"/>
    <w:rsid w:val="00BF7C92"/>
    <w:rsid w:val="00BF7D92"/>
    <w:rsid w:val="00C00136"/>
    <w:rsid w:val="00C00236"/>
    <w:rsid w:val="00C0061C"/>
    <w:rsid w:val="00C01B53"/>
    <w:rsid w:val="00C02AAF"/>
    <w:rsid w:val="00C0301D"/>
    <w:rsid w:val="00C04759"/>
    <w:rsid w:val="00C07899"/>
    <w:rsid w:val="00C12C06"/>
    <w:rsid w:val="00C1305D"/>
    <w:rsid w:val="00C16503"/>
    <w:rsid w:val="00C20ADC"/>
    <w:rsid w:val="00C23641"/>
    <w:rsid w:val="00C23D9E"/>
    <w:rsid w:val="00C26537"/>
    <w:rsid w:val="00C26918"/>
    <w:rsid w:val="00C2767A"/>
    <w:rsid w:val="00C27924"/>
    <w:rsid w:val="00C329BA"/>
    <w:rsid w:val="00C33330"/>
    <w:rsid w:val="00C343BF"/>
    <w:rsid w:val="00C3500E"/>
    <w:rsid w:val="00C36964"/>
    <w:rsid w:val="00C3762B"/>
    <w:rsid w:val="00C4051E"/>
    <w:rsid w:val="00C43825"/>
    <w:rsid w:val="00C443B9"/>
    <w:rsid w:val="00C6164F"/>
    <w:rsid w:val="00C6166E"/>
    <w:rsid w:val="00C61D01"/>
    <w:rsid w:val="00C621B3"/>
    <w:rsid w:val="00C65464"/>
    <w:rsid w:val="00C66391"/>
    <w:rsid w:val="00C7471A"/>
    <w:rsid w:val="00C752B6"/>
    <w:rsid w:val="00C77789"/>
    <w:rsid w:val="00C80B67"/>
    <w:rsid w:val="00C80D74"/>
    <w:rsid w:val="00C8178D"/>
    <w:rsid w:val="00C8180D"/>
    <w:rsid w:val="00C878ED"/>
    <w:rsid w:val="00C9005A"/>
    <w:rsid w:val="00C91F6D"/>
    <w:rsid w:val="00C93307"/>
    <w:rsid w:val="00C977B8"/>
    <w:rsid w:val="00CA0943"/>
    <w:rsid w:val="00CA0A39"/>
    <w:rsid w:val="00CA2BDD"/>
    <w:rsid w:val="00CA500C"/>
    <w:rsid w:val="00CA58B3"/>
    <w:rsid w:val="00CA58FB"/>
    <w:rsid w:val="00CA5C7D"/>
    <w:rsid w:val="00CA6A23"/>
    <w:rsid w:val="00CB2259"/>
    <w:rsid w:val="00CB44EA"/>
    <w:rsid w:val="00CB4AE3"/>
    <w:rsid w:val="00CB4EFC"/>
    <w:rsid w:val="00CB5884"/>
    <w:rsid w:val="00CB5B7D"/>
    <w:rsid w:val="00CB7C6A"/>
    <w:rsid w:val="00CC014D"/>
    <w:rsid w:val="00CC386C"/>
    <w:rsid w:val="00CC3D44"/>
    <w:rsid w:val="00CC427F"/>
    <w:rsid w:val="00CC4827"/>
    <w:rsid w:val="00CD1FCC"/>
    <w:rsid w:val="00CD2176"/>
    <w:rsid w:val="00CD22DE"/>
    <w:rsid w:val="00CD2675"/>
    <w:rsid w:val="00CD3D19"/>
    <w:rsid w:val="00CD3ED3"/>
    <w:rsid w:val="00CD549F"/>
    <w:rsid w:val="00CD65DC"/>
    <w:rsid w:val="00CE07B3"/>
    <w:rsid w:val="00CE0D41"/>
    <w:rsid w:val="00CE19E2"/>
    <w:rsid w:val="00CE1C3D"/>
    <w:rsid w:val="00CE2002"/>
    <w:rsid w:val="00CE30DD"/>
    <w:rsid w:val="00CE54D3"/>
    <w:rsid w:val="00CE7068"/>
    <w:rsid w:val="00CE79FF"/>
    <w:rsid w:val="00CE7E70"/>
    <w:rsid w:val="00CF19C3"/>
    <w:rsid w:val="00CF1A87"/>
    <w:rsid w:val="00CF2389"/>
    <w:rsid w:val="00CF2D0F"/>
    <w:rsid w:val="00CF45A6"/>
    <w:rsid w:val="00D0067C"/>
    <w:rsid w:val="00D00719"/>
    <w:rsid w:val="00D0204D"/>
    <w:rsid w:val="00D02D27"/>
    <w:rsid w:val="00D039E5"/>
    <w:rsid w:val="00D04DCE"/>
    <w:rsid w:val="00D050F8"/>
    <w:rsid w:val="00D056BC"/>
    <w:rsid w:val="00D10B55"/>
    <w:rsid w:val="00D17380"/>
    <w:rsid w:val="00D219FD"/>
    <w:rsid w:val="00D22E73"/>
    <w:rsid w:val="00D2531C"/>
    <w:rsid w:val="00D27482"/>
    <w:rsid w:val="00D302A1"/>
    <w:rsid w:val="00D302A7"/>
    <w:rsid w:val="00D30C47"/>
    <w:rsid w:val="00D30F92"/>
    <w:rsid w:val="00D31878"/>
    <w:rsid w:val="00D32219"/>
    <w:rsid w:val="00D32838"/>
    <w:rsid w:val="00D35517"/>
    <w:rsid w:val="00D36557"/>
    <w:rsid w:val="00D36D81"/>
    <w:rsid w:val="00D40203"/>
    <w:rsid w:val="00D40501"/>
    <w:rsid w:val="00D410DA"/>
    <w:rsid w:val="00D43ADA"/>
    <w:rsid w:val="00D45530"/>
    <w:rsid w:val="00D45986"/>
    <w:rsid w:val="00D46F8B"/>
    <w:rsid w:val="00D4745B"/>
    <w:rsid w:val="00D5124E"/>
    <w:rsid w:val="00D51577"/>
    <w:rsid w:val="00D521AD"/>
    <w:rsid w:val="00D525D0"/>
    <w:rsid w:val="00D532DB"/>
    <w:rsid w:val="00D63B98"/>
    <w:rsid w:val="00D72F38"/>
    <w:rsid w:val="00D80302"/>
    <w:rsid w:val="00D81D89"/>
    <w:rsid w:val="00D81EF0"/>
    <w:rsid w:val="00D8699A"/>
    <w:rsid w:val="00D967CC"/>
    <w:rsid w:val="00DA43D4"/>
    <w:rsid w:val="00DA682D"/>
    <w:rsid w:val="00DA7F93"/>
    <w:rsid w:val="00DB0460"/>
    <w:rsid w:val="00DB0BC5"/>
    <w:rsid w:val="00DB156F"/>
    <w:rsid w:val="00DB434C"/>
    <w:rsid w:val="00DB56CE"/>
    <w:rsid w:val="00DC16E3"/>
    <w:rsid w:val="00DC3648"/>
    <w:rsid w:val="00DC3728"/>
    <w:rsid w:val="00DC5642"/>
    <w:rsid w:val="00DC5FE2"/>
    <w:rsid w:val="00DC687F"/>
    <w:rsid w:val="00DD05AC"/>
    <w:rsid w:val="00DD20EC"/>
    <w:rsid w:val="00DD4481"/>
    <w:rsid w:val="00DD6ADE"/>
    <w:rsid w:val="00DD6D78"/>
    <w:rsid w:val="00DE0E56"/>
    <w:rsid w:val="00DE0F7B"/>
    <w:rsid w:val="00DE16DD"/>
    <w:rsid w:val="00DE17CB"/>
    <w:rsid w:val="00DE4F05"/>
    <w:rsid w:val="00DE7965"/>
    <w:rsid w:val="00DF27C5"/>
    <w:rsid w:val="00DF6F07"/>
    <w:rsid w:val="00DF7188"/>
    <w:rsid w:val="00DF749B"/>
    <w:rsid w:val="00E01538"/>
    <w:rsid w:val="00E078A8"/>
    <w:rsid w:val="00E07C9E"/>
    <w:rsid w:val="00E07DA3"/>
    <w:rsid w:val="00E10E81"/>
    <w:rsid w:val="00E11ED3"/>
    <w:rsid w:val="00E12BC6"/>
    <w:rsid w:val="00E13DEE"/>
    <w:rsid w:val="00E1574D"/>
    <w:rsid w:val="00E16C93"/>
    <w:rsid w:val="00E1727D"/>
    <w:rsid w:val="00E25BFC"/>
    <w:rsid w:val="00E270AC"/>
    <w:rsid w:val="00E3223F"/>
    <w:rsid w:val="00E34584"/>
    <w:rsid w:val="00E42018"/>
    <w:rsid w:val="00E43E64"/>
    <w:rsid w:val="00E47180"/>
    <w:rsid w:val="00E5089C"/>
    <w:rsid w:val="00E55693"/>
    <w:rsid w:val="00E56503"/>
    <w:rsid w:val="00E57B16"/>
    <w:rsid w:val="00E60EC6"/>
    <w:rsid w:val="00E613D5"/>
    <w:rsid w:val="00E65E69"/>
    <w:rsid w:val="00E669B4"/>
    <w:rsid w:val="00E73D9B"/>
    <w:rsid w:val="00E75714"/>
    <w:rsid w:val="00E8199B"/>
    <w:rsid w:val="00E83258"/>
    <w:rsid w:val="00E8552F"/>
    <w:rsid w:val="00E960FF"/>
    <w:rsid w:val="00E96292"/>
    <w:rsid w:val="00E979F3"/>
    <w:rsid w:val="00EA285E"/>
    <w:rsid w:val="00EA36F0"/>
    <w:rsid w:val="00EA4277"/>
    <w:rsid w:val="00EA515A"/>
    <w:rsid w:val="00EA6F45"/>
    <w:rsid w:val="00EB2ECD"/>
    <w:rsid w:val="00EB4CC5"/>
    <w:rsid w:val="00EB5DFD"/>
    <w:rsid w:val="00EC0E69"/>
    <w:rsid w:val="00EC2686"/>
    <w:rsid w:val="00EC4F73"/>
    <w:rsid w:val="00ED10C9"/>
    <w:rsid w:val="00ED5602"/>
    <w:rsid w:val="00ED7232"/>
    <w:rsid w:val="00EE080E"/>
    <w:rsid w:val="00EE4101"/>
    <w:rsid w:val="00F020ED"/>
    <w:rsid w:val="00F02B67"/>
    <w:rsid w:val="00F0598D"/>
    <w:rsid w:val="00F05BA7"/>
    <w:rsid w:val="00F066C7"/>
    <w:rsid w:val="00F10360"/>
    <w:rsid w:val="00F111C5"/>
    <w:rsid w:val="00F11675"/>
    <w:rsid w:val="00F11BA2"/>
    <w:rsid w:val="00F11D70"/>
    <w:rsid w:val="00F17D4A"/>
    <w:rsid w:val="00F21DFD"/>
    <w:rsid w:val="00F2219C"/>
    <w:rsid w:val="00F319AC"/>
    <w:rsid w:val="00F32012"/>
    <w:rsid w:val="00F32598"/>
    <w:rsid w:val="00F3343C"/>
    <w:rsid w:val="00F33E7E"/>
    <w:rsid w:val="00F371CC"/>
    <w:rsid w:val="00F37206"/>
    <w:rsid w:val="00F416FA"/>
    <w:rsid w:val="00F430FC"/>
    <w:rsid w:val="00F44AD1"/>
    <w:rsid w:val="00F45E8F"/>
    <w:rsid w:val="00F46689"/>
    <w:rsid w:val="00F4683B"/>
    <w:rsid w:val="00F52EF7"/>
    <w:rsid w:val="00F53830"/>
    <w:rsid w:val="00F55C09"/>
    <w:rsid w:val="00F55E37"/>
    <w:rsid w:val="00F578F0"/>
    <w:rsid w:val="00F61DEE"/>
    <w:rsid w:val="00F633D3"/>
    <w:rsid w:val="00F70517"/>
    <w:rsid w:val="00F70FFF"/>
    <w:rsid w:val="00F7133E"/>
    <w:rsid w:val="00F727E7"/>
    <w:rsid w:val="00F7332E"/>
    <w:rsid w:val="00F75153"/>
    <w:rsid w:val="00F83A5A"/>
    <w:rsid w:val="00F84ACD"/>
    <w:rsid w:val="00F84AF4"/>
    <w:rsid w:val="00F86183"/>
    <w:rsid w:val="00F8729C"/>
    <w:rsid w:val="00F87BDB"/>
    <w:rsid w:val="00F87F4B"/>
    <w:rsid w:val="00F911C7"/>
    <w:rsid w:val="00F9123C"/>
    <w:rsid w:val="00F91D4C"/>
    <w:rsid w:val="00F923CC"/>
    <w:rsid w:val="00F923D6"/>
    <w:rsid w:val="00F92D36"/>
    <w:rsid w:val="00F94595"/>
    <w:rsid w:val="00FA08BC"/>
    <w:rsid w:val="00FA0F10"/>
    <w:rsid w:val="00FA32C4"/>
    <w:rsid w:val="00FA3A4C"/>
    <w:rsid w:val="00FA57A3"/>
    <w:rsid w:val="00FA605A"/>
    <w:rsid w:val="00FA70E2"/>
    <w:rsid w:val="00FB19A4"/>
    <w:rsid w:val="00FB1EAB"/>
    <w:rsid w:val="00FB53C0"/>
    <w:rsid w:val="00FB56DF"/>
    <w:rsid w:val="00FB5EBD"/>
    <w:rsid w:val="00FB798A"/>
    <w:rsid w:val="00FC0D31"/>
    <w:rsid w:val="00FC2A46"/>
    <w:rsid w:val="00FC3BAD"/>
    <w:rsid w:val="00FC504C"/>
    <w:rsid w:val="00FC6200"/>
    <w:rsid w:val="00FC6912"/>
    <w:rsid w:val="00FD0AF5"/>
    <w:rsid w:val="00FD15A5"/>
    <w:rsid w:val="00FD1BEB"/>
    <w:rsid w:val="00FD2A5A"/>
    <w:rsid w:val="00FD329A"/>
    <w:rsid w:val="00FD35C8"/>
    <w:rsid w:val="00FD59B8"/>
    <w:rsid w:val="00FD74AC"/>
    <w:rsid w:val="00FE08B6"/>
    <w:rsid w:val="00FE2F65"/>
    <w:rsid w:val="00FE49AE"/>
    <w:rsid w:val="00FE5D19"/>
    <w:rsid w:val="00FE6308"/>
    <w:rsid w:val="00FF5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EA211"/>
  <w15:chartTrackingRefBased/>
  <w15:docId w15:val="{FD59D417-5B4B-43BB-9706-591294BE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4914"/>
    <w:pPr>
      <w:spacing w:line="480" w:lineRule="auto"/>
    </w:pPr>
    <w:rPr>
      <w:rFonts w:ascii="Times New Roman" w:hAnsi="Times New Roman"/>
      <w:sz w:val="22"/>
      <w:szCs w:val="22"/>
      <w:lang w:val="en-US" w:eastAsia="en-US"/>
    </w:rPr>
  </w:style>
  <w:style w:type="paragraph" w:styleId="Kop1">
    <w:name w:val="heading 1"/>
    <w:basedOn w:val="Standaard"/>
    <w:next w:val="Standaard"/>
    <w:link w:val="Kop1Char"/>
    <w:uiPriority w:val="9"/>
    <w:qFormat/>
    <w:rsid w:val="00DC5FE2"/>
    <w:pPr>
      <w:keepNext/>
      <w:spacing w:before="240" w:after="60"/>
      <w:outlineLvl w:val="0"/>
    </w:pPr>
    <w:rPr>
      <w:rFonts w:ascii="Cambria" w:eastAsia="Times New Roman" w:hAnsi="Cambria"/>
      <w:b/>
      <w:bCs/>
      <w:kern w:val="32"/>
      <w:sz w:val="28"/>
      <w:szCs w:val="28"/>
    </w:rPr>
  </w:style>
  <w:style w:type="paragraph" w:styleId="Kop2">
    <w:name w:val="heading 2"/>
    <w:basedOn w:val="Standaard"/>
    <w:next w:val="Standaard"/>
    <w:link w:val="Kop2Char"/>
    <w:uiPriority w:val="9"/>
    <w:qFormat/>
    <w:rsid w:val="00D302A7"/>
    <w:pPr>
      <w:keepNext/>
      <w:spacing w:before="240" w:after="60"/>
      <w:outlineLvl w:val="1"/>
    </w:pPr>
    <w:rPr>
      <w:rFonts w:ascii="Cambria" w:eastAsia="Times New Roman" w:hAnsi="Cambria"/>
      <w:b/>
      <w:bCs/>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C7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734065"/>
    <w:pPr>
      <w:widowControl w:val="0"/>
      <w:spacing w:line="240" w:lineRule="auto"/>
      <w:ind w:left="800" w:hanging="360"/>
    </w:pPr>
    <w:rPr>
      <w:rFonts w:eastAsia="Times New Roman"/>
      <w:sz w:val="24"/>
      <w:szCs w:val="24"/>
    </w:rPr>
  </w:style>
  <w:style w:type="character" w:customStyle="1" w:styleId="PlattetekstChar">
    <w:name w:val="Platte tekst Char"/>
    <w:link w:val="Plattetekst"/>
    <w:uiPriority w:val="1"/>
    <w:rsid w:val="00734065"/>
    <w:rPr>
      <w:rFonts w:ascii="Times New Roman" w:eastAsia="Times New Roman" w:hAnsi="Times New Roman"/>
      <w:sz w:val="24"/>
      <w:szCs w:val="24"/>
      <w:lang w:val="en-US" w:eastAsia="en-US"/>
    </w:rPr>
  </w:style>
  <w:style w:type="character" w:customStyle="1" w:styleId="Kop1Char">
    <w:name w:val="Kop 1 Char"/>
    <w:link w:val="Kop1"/>
    <w:uiPriority w:val="9"/>
    <w:rsid w:val="00DC5FE2"/>
    <w:rPr>
      <w:rFonts w:ascii="Cambria" w:eastAsia="Times New Roman" w:hAnsi="Cambria" w:cs="Times New Roman"/>
      <w:b/>
      <w:bCs/>
      <w:kern w:val="32"/>
      <w:sz w:val="28"/>
      <w:szCs w:val="28"/>
      <w:lang w:val="en-US" w:eastAsia="en-US"/>
    </w:rPr>
  </w:style>
  <w:style w:type="character" w:customStyle="1" w:styleId="Kop2Char">
    <w:name w:val="Kop 2 Char"/>
    <w:link w:val="Kop2"/>
    <w:uiPriority w:val="9"/>
    <w:rsid w:val="00D302A7"/>
    <w:rPr>
      <w:rFonts w:ascii="Cambria" w:eastAsia="Times New Roman" w:hAnsi="Cambria" w:cs="Times New Roman"/>
      <w:b/>
      <w:bCs/>
      <w:i/>
      <w:iCs/>
      <w:sz w:val="24"/>
      <w:szCs w:val="24"/>
      <w:lang w:val="en-US" w:eastAsia="en-US"/>
    </w:rPr>
  </w:style>
  <w:style w:type="paragraph" w:styleId="Koptekst">
    <w:name w:val="header"/>
    <w:basedOn w:val="Standaard"/>
    <w:link w:val="KoptekstChar"/>
    <w:uiPriority w:val="99"/>
    <w:unhideWhenUsed/>
    <w:rsid w:val="00C91F6D"/>
    <w:pPr>
      <w:tabs>
        <w:tab w:val="center" w:pos="4536"/>
        <w:tab w:val="right" w:pos="9072"/>
      </w:tabs>
    </w:pPr>
  </w:style>
  <w:style w:type="character" w:customStyle="1" w:styleId="KoptekstChar">
    <w:name w:val="Koptekst Char"/>
    <w:link w:val="Koptekst"/>
    <w:uiPriority w:val="99"/>
    <w:rsid w:val="00C91F6D"/>
    <w:rPr>
      <w:sz w:val="22"/>
      <w:szCs w:val="22"/>
      <w:lang w:eastAsia="en-US"/>
    </w:rPr>
  </w:style>
  <w:style w:type="paragraph" w:styleId="Voettekst">
    <w:name w:val="footer"/>
    <w:basedOn w:val="Standaard"/>
    <w:link w:val="VoettekstChar"/>
    <w:uiPriority w:val="99"/>
    <w:unhideWhenUsed/>
    <w:rsid w:val="00C91F6D"/>
    <w:pPr>
      <w:tabs>
        <w:tab w:val="center" w:pos="4536"/>
        <w:tab w:val="right" w:pos="9072"/>
      </w:tabs>
    </w:pPr>
  </w:style>
  <w:style w:type="character" w:customStyle="1" w:styleId="VoettekstChar">
    <w:name w:val="Voettekst Char"/>
    <w:link w:val="Voettekst"/>
    <w:uiPriority w:val="99"/>
    <w:rsid w:val="00C91F6D"/>
    <w:rPr>
      <w:sz w:val="22"/>
      <w:szCs w:val="22"/>
      <w:lang w:eastAsia="en-US"/>
    </w:rPr>
  </w:style>
  <w:style w:type="character" w:styleId="Regelnummer">
    <w:name w:val="line number"/>
    <w:uiPriority w:val="99"/>
    <w:semiHidden/>
    <w:unhideWhenUsed/>
    <w:rsid w:val="00C91F6D"/>
  </w:style>
  <w:style w:type="character" w:styleId="Verwijzingopmerking">
    <w:name w:val="annotation reference"/>
    <w:uiPriority w:val="99"/>
    <w:semiHidden/>
    <w:unhideWhenUsed/>
    <w:rsid w:val="00164BF9"/>
    <w:rPr>
      <w:sz w:val="16"/>
      <w:szCs w:val="16"/>
    </w:rPr>
  </w:style>
  <w:style w:type="paragraph" w:styleId="Tekstopmerking">
    <w:name w:val="annotation text"/>
    <w:basedOn w:val="Standaard"/>
    <w:link w:val="TekstopmerkingChar"/>
    <w:uiPriority w:val="99"/>
    <w:unhideWhenUsed/>
    <w:rsid w:val="00814914"/>
    <w:rPr>
      <w:sz w:val="20"/>
      <w:szCs w:val="20"/>
    </w:rPr>
  </w:style>
  <w:style w:type="character" w:customStyle="1" w:styleId="TekstopmerkingChar">
    <w:name w:val="Tekst opmerking Char"/>
    <w:link w:val="Tekstopmerking"/>
    <w:uiPriority w:val="99"/>
    <w:rsid w:val="00164BF9"/>
    <w:rPr>
      <w:rFonts w:ascii="Times New Roman" w:hAnsi="Times New Roman"/>
      <w:lang w:val="en-US" w:eastAsia="en-US"/>
    </w:rPr>
  </w:style>
  <w:style w:type="paragraph" w:styleId="Onderwerpvanopmerking">
    <w:name w:val="annotation subject"/>
    <w:basedOn w:val="Tekstopmerking"/>
    <w:next w:val="Tekstopmerking"/>
    <w:link w:val="OnderwerpvanopmerkingChar"/>
    <w:uiPriority w:val="99"/>
    <w:semiHidden/>
    <w:unhideWhenUsed/>
    <w:rsid w:val="00164BF9"/>
    <w:rPr>
      <w:b/>
      <w:bCs/>
    </w:rPr>
  </w:style>
  <w:style w:type="character" w:customStyle="1" w:styleId="OnderwerpvanopmerkingChar">
    <w:name w:val="Onderwerp van opmerking Char"/>
    <w:link w:val="Onderwerpvanopmerking"/>
    <w:uiPriority w:val="99"/>
    <w:semiHidden/>
    <w:rsid w:val="00164BF9"/>
    <w:rPr>
      <w:rFonts w:ascii="Times New Roman" w:hAnsi="Times New Roman"/>
      <w:b/>
      <w:bCs/>
      <w:lang w:val="en-US" w:eastAsia="en-US"/>
    </w:rPr>
  </w:style>
  <w:style w:type="paragraph" w:styleId="Ballontekst">
    <w:name w:val="Balloon Text"/>
    <w:basedOn w:val="Standaard"/>
    <w:link w:val="BallontekstChar"/>
    <w:uiPriority w:val="99"/>
    <w:semiHidden/>
    <w:unhideWhenUsed/>
    <w:rsid w:val="00164BF9"/>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164BF9"/>
    <w:rPr>
      <w:rFonts w:ascii="Tahoma" w:hAnsi="Tahoma" w:cs="Tahoma"/>
      <w:sz w:val="16"/>
      <w:szCs w:val="16"/>
      <w:lang w:val="en-US" w:eastAsia="en-US"/>
    </w:rPr>
  </w:style>
  <w:style w:type="paragraph" w:customStyle="1" w:styleId="Kleurrijkearcering-accent11">
    <w:name w:val="Kleurrijke arcering - accent 11"/>
    <w:hidden/>
    <w:uiPriority w:val="99"/>
    <w:semiHidden/>
    <w:rsid w:val="00222FEC"/>
    <w:rPr>
      <w:rFonts w:ascii="Times New Roman" w:hAnsi="Times New Roman"/>
      <w:sz w:val="22"/>
      <w:szCs w:val="22"/>
      <w:lang w:val="en-US" w:eastAsia="en-US"/>
    </w:rPr>
  </w:style>
  <w:style w:type="paragraph" w:customStyle="1" w:styleId="Default">
    <w:name w:val="Default"/>
    <w:rsid w:val="00B97E65"/>
    <w:pPr>
      <w:widowControl w:val="0"/>
      <w:autoSpaceDE w:val="0"/>
      <w:autoSpaceDN w:val="0"/>
      <w:adjustRightInd w:val="0"/>
    </w:pPr>
    <w:rPr>
      <w:rFonts w:ascii="Times New Roman" w:eastAsia="MS Mincho" w:hAnsi="Times New Roman"/>
      <w:color w:val="000000"/>
      <w:sz w:val="24"/>
      <w:szCs w:val="24"/>
      <w:lang w:val="en-US" w:eastAsia="ja-JP"/>
    </w:rPr>
  </w:style>
  <w:style w:type="character" w:styleId="Hyperlink">
    <w:name w:val="Hyperlink"/>
    <w:uiPriority w:val="99"/>
    <w:unhideWhenUsed/>
    <w:rsid w:val="0083379E"/>
    <w:rPr>
      <w:color w:val="0000FF"/>
      <w:u w:val="single"/>
    </w:rPr>
  </w:style>
  <w:style w:type="paragraph" w:styleId="Lijstalinea">
    <w:name w:val="List Paragraph"/>
    <w:basedOn w:val="Standaard"/>
    <w:uiPriority w:val="34"/>
    <w:qFormat/>
    <w:rsid w:val="00595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7101">
      <w:bodyDiv w:val="1"/>
      <w:marLeft w:val="0"/>
      <w:marRight w:val="0"/>
      <w:marTop w:val="0"/>
      <w:marBottom w:val="0"/>
      <w:divBdr>
        <w:top w:val="none" w:sz="0" w:space="0" w:color="auto"/>
        <w:left w:val="none" w:sz="0" w:space="0" w:color="auto"/>
        <w:bottom w:val="none" w:sz="0" w:space="0" w:color="auto"/>
        <w:right w:val="none" w:sz="0" w:space="0" w:color="auto"/>
      </w:divBdr>
    </w:div>
    <w:div w:id="905147738">
      <w:bodyDiv w:val="1"/>
      <w:marLeft w:val="0"/>
      <w:marRight w:val="0"/>
      <w:marTop w:val="0"/>
      <w:marBottom w:val="0"/>
      <w:divBdr>
        <w:top w:val="none" w:sz="0" w:space="0" w:color="auto"/>
        <w:left w:val="none" w:sz="0" w:space="0" w:color="auto"/>
        <w:bottom w:val="none" w:sz="0" w:space="0" w:color="auto"/>
        <w:right w:val="none" w:sz="0" w:space="0" w:color="auto"/>
      </w:divBdr>
    </w:div>
    <w:div w:id="985596049">
      <w:bodyDiv w:val="1"/>
      <w:marLeft w:val="0"/>
      <w:marRight w:val="0"/>
      <w:marTop w:val="0"/>
      <w:marBottom w:val="0"/>
      <w:divBdr>
        <w:top w:val="none" w:sz="0" w:space="0" w:color="auto"/>
        <w:left w:val="none" w:sz="0" w:space="0" w:color="auto"/>
        <w:bottom w:val="none" w:sz="0" w:space="0" w:color="auto"/>
        <w:right w:val="none" w:sz="0" w:space="0" w:color="auto"/>
      </w:divBdr>
    </w:div>
    <w:div w:id="1700426802">
      <w:bodyDiv w:val="1"/>
      <w:marLeft w:val="0"/>
      <w:marRight w:val="0"/>
      <w:marTop w:val="0"/>
      <w:marBottom w:val="0"/>
      <w:divBdr>
        <w:top w:val="none" w:sz="0" w:space="0" w:color="auto"/>
        <w:left w:val="none" w:sz="0" w:space="0" w:color="auto"/>
        <w:bottom w:val="none" w:sz="0" w:space="0" w:color="auto"/>
        <w:right w:val="none" w:sz="0" w:space="0" w:color="auto"/>
      </w:divBdr>
    </w:div>
    <w:div w:id="2086610983">
      <w:bodyDiv w:val="1"/>
      <w:marLeft w:val="0"/>
      <w:marRight w:val="0"/>
      <w:marTop w:val="0"/>
      <w:marBottom w:val="0"/>
      <w:divBdr>
        <w:top w:val="none" w:sz="0" w:space="0" w:color="auto"/>
        <w:left w:val="none" w:sz="0" w:space="0" w:color="auto"/>
        <w:bottom w:val="none" w:sz="0" w:space="0" w:color="auto"/>
        <w:right w:val="none" w:sz="0" w:space="0" w:color="auto"/>
      </w:divBdr>
    </w:div>
    <w:div w:id="21156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D5A55F-DB15-4D7B-9296-7372347E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41</Pages>
  <Words>11534</Words>
  <Characters>63439</Characters>
  <Application>Microsoft Office Word</Application>
  <DocSecurity>0</DocSecurity>
  <Lines>528</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74824</CharactersWithSpaces>
  <SharedDoc>false</SharedDoc>
  <HLinks>
    <vt:vector size="6" baseType="variant">
      <vt:variant>
        <vt:i4>2949230</vt:i4>
      </vt:variant>
      <vt:variant>
        <vt:i4>78</vt:i4>
      </vt:variant>
      <vt:variant>
        <vt:i4>0</vt:i4>
      </vt:variant>
      <vt:variant>
        <vt:i4>5</vt:i4>
      </vt:variant>
      <vt:variant>
        <vt:lpwstr>http://www.openclinica.com/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van der Werf</dc:creator>
  <cp:keywords/>
  <cp:lastModifiedBy>Werf, C. van der</cp:lastModifiedBy>
  <cp:revision>17</cp:revision>
  <dcterms:created xsi:type="dcterms:W3CDTF">2019-03-21T12:42:00Z</dcterms:created>
  <dcterms:modified xsi:type="dcterms:W3CDTF">2019-06-24T05:38:00Z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Unable to retrieve uuid - error: 0. Server error 'Connection refused'</vt:lpwstr>
  </property>
  <property fmtid="{D5CDD505-2E9C-101B-9397-08002B2CF9AE}" pid="24" name="Mendeley Citation Style_1">
    <vt:lpwstr>http://www.zotero.org/styles/journal-of-the-american-college-of-cardiology</vt:lpwstr>
  </property>
</Properties>
</file>