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ED" w:rsidRPr="00BE582C" w:rsidRDefault="00BE582C">
      <w:pPr>
        <w:rPr>
          <w:rFonts w:ascii="Arial" w:hAnsi="Arial" w:cs="Arial"/>
          <w:b/>
          <w:color w:val="2A2A2A"/>
          <w:lang w:val="en"/>
        </w:rPr>
      </w:pPr>
      <w:r w:rsidRPr="00BE582C">
        <w:rPr>
          <w:rFonts w:ascii="Arial" w:hAnsi="Arial" w:cs="Arial"/>
          <w:b/>
          <w:color w:val="2A2A2A"/>
          <w:lang w:val="en"/>
        </w:rPr>
        <w:t xml:space="preserve">Audit examining the difference in clinical outcomes amongst originator biologic treated patients with RA, </w:t>
      </w:r>
      <w:proofErr w:type="spellStart"/>
      <w:r w:rsidRPr="00BE582C">
        <w:rPr>
          <w:rFonts w:ascii="Arial" w:hAnsi="Arial" w:cs="Arial"/>
          <w:b/>
          <w:color w:val="2A2A2A"/>
          <w:lang w:val="en"/>
        </w:rPr>
        <w:t>PsA</w:t>
      </w:r>
      <w:proofErr w:type="spellEnd"/>
      <w:r w:rsidRPr="00BE582C">
        <w:rPr>
          <w:rFonts w:ascii="Arial" w:hAnsi="Arial" w:cs="Arial"/>
          <w:b/>
          <w:color w:val="2A2A2A"/>
          <w:lang w:val="en"/>
        </w:rPr>
        <w:t xml:space="preserve"> and </w:t>
      </w:r>
      <w:proofErr w:type="spellStart"/>
      <w:r w:rsidRPr="00BE582C">
        <w:rPr>
          <w:rFonts w:ascii="Arial" w:hAnsi="Arial" w:cs="Arial"/>
          <w:b/>
          <w:color w:val="2A2A2A"/>
          <w:lang w:val="en"/>
        </w:rPr>
        <w:t>AxSpA</w:t>
      </w:r>
      <w:proofErr w:type="spellEnd"/>
      <w:r w:rsidRPr="00BE582C">
        <w:rPr>
          <w:rFonts w:ascii="Arial" w:hAnsi="Arial" w:cs="Arial"/>
          <w:b/>
          <w:color w:val="2A2A2A"/>
          <w:lang w:val="en"/>
        </w:rPr>
        <w:t xml:space="preserve"> who were switched to biosimilar versions and monitored routinely at St George’s University Hospital NHS Trust</w:t>
      </w:r>
    </w:p>
    <w:p w:rsidR="00BE582C" w:rsidRDefault="00BE582C">
      <w:pPr>
        <w:rPr>
          <w:rFonts w:ascii="Arial" w:hAnsi="Arial" w:cs="Arial"/>
          <w:color w:val="2A2A2A"/>
          <w:lang w:val="en"/>
        </w:rPr>
      </w:pPr>
    </w:p>
    <w:p w:rsidR="00BE582C" w:rsidRPr="00BE582C" w:rsidRDefault="00BE582C">
      <w:pPr>
        <w:rPr>
          <w:rFonts w:ascii="Arial" w:hAnsi="Arial" w:cs="Arial"/>
          <w:color w:val="2A2A2A"/>
          <w:lang w:val="en"/>
        </w:rPr>
      </w:pPr>
      <w:r w:rsidRPr="00BE582C">
        <w:rPr>
          <w:rFonts w:ascii="Arial" w:hAnsi="Arial" w:cs="Arial"/>
        </w:rPr>
        <w:t>S.S. Ali</w:t>
      </w:r>
      <w:r w:rsidRPr="00BE582C">
        <w:rPr>
          <w:rFonts w:ascii="Arial" w:hAnsi="Arial" w:cs="Arial"/>
        </w:rPr>
        <w:t>, D. Hill, N. Sofat</w:t>
      </w:r>
    </w:p>
    <w:p w:rsidR="00BE582C" w:rsidRPr="00BE582C" w:rsidRDefault="00BE582C" w:rsidP="00BE582C">
      <w:pPr>
        <w:rPr>
          <w:rFonts w:ascii="Arial" w:hAnsi="Arial" w:cs="Arial"/>
          <w:lang w:val="en"/>
        </w:rPr>
      </w:pPr>
      <w:r w:rsidRPr="00BE582C">
        <w:rPr>
          <w:rFonts w:ascii="Arial" w:hAnsi="Arial" w:cs="Arial"/>
        </w:rPr>
        <w:t xml:space="preserve">Background: This audit aims to evaluate the difference in clinical outcomes in </w:t>
      </w:r>
      <w:proofErr w:type="spellStart"/>
      <w:r w:rsidRPr="00BE582C">
        <w:rPr>
          <w:rFonts w:ascii="Arial" w:hAnsi="Arial" w:cs="Arial"/>
        </w:rPr>
        <w:t>Remicade</w:t>
      </w:r>
      <w:proofErr w:type="spellEnd"/>
      <w:r w:rsidRPr="00BE582C">
        <w:rPr>
          <w:rFonts w:ascii="Arial" w:hAnsi="Arial" w:cs="Arial"/>
        </w:rPr>
        <w:t xml:space="preserve"> and Enbrel treated patients with rheumatoid arthritis, psoriatic arthritis (</w:t>
      </w:r>
      <w:proofErr w:type="spellStart"/>
      <w:r w:rsidRPr="00BE582C">
        <w:rPr>
          <w:rFonts w:ascii="Arial" w:hAnsi="Arial" w:cs="Arial"/>
        </w:rPr>
        <w:t>PsA</w:t>
      </w:r>
      <w:proofErr w:type="spellEnd"/>
      <w:r w:rsidRPr="00BE582C">
        <w:rPr>
          <w:rFonts w:ascii="Arial" w:hAnsi="Arial" w:cs="Arial"/>
        </w:rPr>
        <w:t xml:space="preserve">) and axial </w:t>
      </w:r>
      <w:proofErr w:type="spellStart"/>
      <w:r w:rsidRPr="00BE582C">
        <w:rPr>
          <w:rFonts w:ascii="Arial" w:hAnsi="Arial" w:cs="Arial"/>
        </w:rPr>
        <w:t>sponyloarthritis</w:t>
      </w:r>
      <w:proofErr w:type="spellEnd"/>
      <w:r w:rsidRPr="00BE582C">
        <w:rPr>
          <w:rFonts w:ascii="Arial" w:hAnsi="Arial" w:cs="Arial"/>
        </w:rPr>
        <w:t xml:space="preserve"> who were switched to </w:t>
      </w:r>
      <w:proofErr w:type="spellStart"/>
      <w:r w:rsidRPr="00BE582C">
        <w:rPr>
          <w:rFonts w:ascii="Arial" w:hAnsi="Arial" w:cs="Arial"/>
        </w:rPr>
        <w:t>Remsima</w:t>
      </w:r>
      <w:proofErr w:type="spellEnd"/>
      <w:r w:rsidRPr="00BE582C">
        <w:rPr>
          <w:rFonts w:ascii="Arial" w:hAnsi="Arial" w:cs="Arial"/>
        </w:rPr>
        <w:t xml:space="preserve"> and </w:t>
      </w:r>
      <w:proofErr w:type="spellStart"/>
      <w:r w:rsidRPr="00BE582C">
        <w:rPr>
          <w:rFonts w:ascii="Arial" w:hAnsi="Arial" w:cs="Arial"/>
        </w:rPr>
        <w:t>Benepali</w:t>
      </w:r>
      <w:proofErr w:type="spellEnd"/>
      <w:r w:rsidRPr="00BE582C">
        <w:rPr>
          <w:rFonts w:ascii="Arial" w:hAnsi="Arial" w:cs="Arial"/>
        </w:rPr>
        <w:t xml:space="preserve"> respectively and monitored routinely at St George’s University Hospital NHS Trust.</w:t>
      </w:r>
    </w:p>
    <w:p w:rsidR="00BE582C" w:rsidRPr="00BE582C" w:rsidRDefault="00BE582C" w:rsidP="00BE582C">
      <w:pPr>
        <w:rPr>
          <w:rFonts w:ascii="Arial" w:hAnsi="Arial" w:cs="Arial"/>
        </w:rPr>
      </w:pPr>
      <w:r w:rsidRPr="00BE582C">
        <w:rPr>
          <w:rFonts w:ascii="Arial" w:hAnsi="Arial" w:cs="Arial"/>
        </w:rPr>
        <w:t xml:space="preserve">Methods: Patients who switched from </w:t>
      </w:r>
      <w:proofErr w:type="spellStart"/>
      <w:r w:rsidRPr="00BE582C">
        <w:rPr>
          <w:rFonts w:ascii="Arial" w:hAnsi="Arial" w:cs="Arial"/>
        </w:rPr>
        <w:t>Remicade</w:t>
      </w:r>
      <w:proofErr w:type="spellEnd"/>
      <w:r w:rsidRPr="00BE582C">
        <w:rPr>
          <w:rFonts w:ascii="Arial" w:hAnsi="Arial" w:cs="Arial"/>
        </w:rPr>
        <w:t xml:space="preserve"> to </w:t>
      </w:r>
      <w:proofErr w:type="spellStart"/>
      <w:r w:rsidRPr="00BE582C">
        <w:rPr>
          <w:rFonts w:ascii="Arial" w:hAnsi="Arial" w:cs="Arial"/>
        </w:rPr>
        <w:t>Remsima</w:t>
      </w:r>
      <w:proofErr w:type="spellEnd"/>
      <w:r w:rsidRPr="00BE582C">
        <w:rPr>
          <w:rFonts w:ascii="Arial" w:hAnsi="Arial" w:cs="Arial"/>
        </w:rPr>
        <w:t xml:space="preserve"> and Enbrel to </w:t>
      </w:r>
      <w:proofErr w:type="spellStart"/>
      <w:r w:rsidRPr="00BE582C">
        <w:rPr>
          <w:rFonts w:ascii="Arial" w:hAnsi="Arial" w:cs="Arial"/>
        </w:rPr>
        <w:t>Benepali</w:t>
      </w:r>
      <w:proofErr w:type="spellEnd"/>
      <w:r w:rsidRPr="00BE582C">
        <w:rPr>
          <w:rFonts w:ascii="Arial" w:hAnsi="Arial" w:cs="Arial"/>
        </w:rPr>
        <w:t xml:space="preserve"> were included in the data analysis. A retrospective audit of case notes was performed to evaluate pain and disease activity scores as determined by the pain VAS, DAS-28, </w:t>
      </w:r>
      <w:proofErr w:type="spellStart"/>
      <w:r w:rsidRPr="00BE582C">
        <w:rPr>
          <w:rFonts w:ascii="Arial" w:hAnsi="Arial" w:cs="Arial"/>
        </w:rPr>
        <w:t>PsARC</w:t>
      </w:r>
      <w:proofErr w:type="spellEnd"/>
      <w:r w:rsidRPr="00BE582C">
        <w:rPr>
          <w:rFonts w:ascii="Arial" w:hAnsi="Arial" w:cs="Arial"/>
        </w:rPr>
        <w:t>, BASDAI and where available BAS-G and BAS-FI at 2-4 months before the switch (pre-switch), at the time of the switch and 2-4 months after switching (post-switch). Reasons for stopping the biosimilar drug were recorded to determine the underlying cause for withdrawal.</w:t>
      </w:r>
    </w:p>
    <w:p w:rsidR="00BE582C" w:rsidRPr="00BE582C" w:rsidRDefault="00BE582C" w:rsidP="00BE582C">
      <w:pPr>
        <w:rPr>
          <w:rFonts w:ascii="Arial" w:hAnsi="Arial" w:cs="Arial"/>
        </w:rPr>
      </w:pPr>
      <w:r w:rsidRPr="00BE582C">
        <w:rPr>
          <w:rFonts w:ascii="Arial" w:hAnsi="Arial" w:cs="Arial"/>
        </w:rPr>
        <w:t xml:space="preserve">Results: In the </w:t>
      </w:r>
      <w:proofErr w:type="spellStart"/>
      <w:r w:rsidRPr="00BE582C">
        <w:rPr>
          <w:rFonts w:ascii="Arial" w:hAnsi="Arial" w:cs="Arial"/>
        </w:rPr>
        <w:t>Remicade</w:t>
      </w:r>
      <w:proofErr w:type="spellEnd"/>
      <w:r w:rsidRPr="00BE582C">
        <w:rPr>
          <w:rFonts w:ascii="Arial" w:hAnsi="Arial" w:cs="Arial"/>
        </w:rPr>
        <w:t>/</w:t>
      </w:r>
      <w:proofErr w:type="spellStart"/>
      <w:r w:rsidRPr="00BE582C">
        <w:rPr>
          <w:rFonts w:ascii="Arial" w:hAnsi="Arial" w:cs="Arial"/>
        </w:rPr>
        <w:t>Remsima</w:t>
      </w:r>
      <w:proofErr w:type="spellEnd"/>
      <w:r w:rsidRPr="00BE582C">
        <w:rPr>
          <w:rFonts w:ascii="Arial" w:hAnsi="Arial" w:cs="Arial"/>
        </w:rPr>
        <w:t xml:space="preserve"> group, DAS 28 scores were similar pre- and post- switch groups in the rheumatoid arthritis group. In contrast, </w:t>
      </w:r>
      <w:proofErr w:type="spellStart"/>
      <w:r w:rsidRPr="00BE582C">
        <w:rPr>
          <w:rFonts w:ascii="Arial" w:hAnsi="Arial" w:cs="Arial"/>
        </w:rPr>
        <w:t>PsARC</w:t>
      </w:r>
      <w:proofErr w:type="spellEnd"/>
      <w:r w:rsidRPr="00BE582C">
        <w:rPr>
          <w:rFonts w:ascii="Arial" w:hAnsi="Arial" w:cs="Arial"/>
        </w:rPr>
        <w:t xml:space="preserve"> scores were also similar in all domains measured apart from ESR and CRP where there was 52% improvement in ESR and 25% improvement in the CRP score respectively three months’ post-switch to </w:t>
      </w:r>
      <w:proofErr w:type="spellStart"/>
      <w:r w:rsidRPr="00BE582C">
        <w:rPr>
          <w:rFonts w:ascii="Arial" w:hAnsi="Arial" w:cs="Arial"/>
        </w:rPr>
        <w:t>Remsima</w:t>
      </w:r>
      <w:proofErr w:type="spellEnd"/>
      <w:r w:rsidRPr="00BE582C">
        <w:rPr>
          <w:rFonts w:ascii="Arial" w:hAnsi="Arial" w:cs="Arial"/>
        </w:rPr>
        <w:t>. BASDAI, BASG, spinal VAS and BAS FI were all improved three months’ post switch by 3.8%, 16.2%, 51% and 34,7% respectively (see Table 1). In the Enbrel/</w:t>
      </w:r>
      <w:proofErr w:type="spellStart"/>
      <w:r w:rsidRPr="00BE582C">
        <w:rPr>
          <w:rFonts w:ascii="Arial" w:hAnsi="Arial" w:cs="Arial"/>
        </w:rPr>
        <w:t>Benepali</w:t>
      </w:r>
      <w:proofErr w:type="spellEnd"/>
      <w:r w:rsidRPr="00BE582C">
        <w:rPr>
          <w:rFonts w:ascii="Arial" w:hAnsi="Arial" w:cs="Arial"/>
        </w:rPr>
        <w:t xml:space="preserve"> </w:t>
      </w:r>
      <w:proofErr w:type="spellStart"/>
      <w:r w:rsidRPr="00BE582C">
        <w:rPr>
          <w:rFonts w:ascii="Arial" w:hAnsi="Arial" w:cs="Arial"/>
        </w:rPr>
        <w:t>Etanercept</w:t>
      </w:r>
      <w:proofErr w:type="spellEnd"/>
      <w:r w:rsidRPr="00BE582C">
        <w:rPr>
          <w:rFonts w:ascii="Arial" w:hAnsi="Arial" w:cs="Arial"/>
        </w:rPr>
        <w:t xml:space="preserve"> group, DAS 28 scores showed that remission persisted post-switch. For the </w:t>
      </w:r>
      <w:proofErr w:type="spellStart"/>
      <w:r w:rsidRPr="00BE582C">
        <w:rPr>
          <w:rFonts w:ascii="Arial" w:hAnsi="Arial" w:cs="Arial"/>
        </w:rPr>
        <w:t>PsA</w:t>
      </w:r>
      <w:proofErr w:type="spellEnd"/>
      <w:r w:rsidRPr="00BE582C">
        <w:rPr>
          <w:rFonts w:ascii="Arial" w:hAnsi="Arial" w:cs="Arial"/>
        </w:rPr>
        <w:t xml:space="preserve"> cohort, scores were again similar in all domains mentioned apart from ESR where there was a 50% improvement post switch, however there was a 72% worsening of CRP score. BASDAI, Spinal VAS and BASFI were similar in 3 months before and after </w:t>
      </w:r>
      <w:proofErr w:type="spellStart"/>
      <w:r w:rsidRPr="00BE582C">
        <w:rPr>
          <w:rFonts w:ascii="Arial" w:hAnsi="Arial" w:cs="Arial"/>
        </w:rPr>
        <w:t>Benepali</w:t>
      </w:r>
      <w:proofErr w:type="spellEnd"/>
      <w:r w:rsidRPr="00BE582C">
        <w:rPr>
          <w:rFonts w:ascii="Arial" w:hAnsi="Arial" w:cs="Arial"/>
        </w:rPr>
        <w:t xml:space="preserve"> in the axial spondylitis group (see Table 1). Four patients stopped </w:t>
      </w:r>
      <w:proofErr w:type="spellStart"/>
      <w:r w:rsidRPr="00BE582C">
        <w:rPr>
          <w:rFonts w:ascii="Arial" w:hAnsi="Arial" w:cs="Arial"/>
        </w:rPr>
        <w:t>Remsima</w:t>
      </w:r>
      <w:proofErr w:type="spellEnd"/>
      <w:r w:rsidRPr="00BE582C">
        <w:rPr>
          <w:rFonts w:ascii="Arial" w:hAnsi="Arial" w:cs="Arial"/>
        </w:rPr>
        <w:t xml:space="preserve"> and were switched to other biologics. Three patients in the </w:t>
      </w:r>
      <w:proofErr w:type="spellStart"/>
      <w:r w:rsidRPr="00BE582C">
        <w:rPr>
          <w:rFonts w:ascii="Arial" w:hAnsi="Arial" w:cs="Arial"/>
        </w:rPr>
        <w:t>Benepali</w:t>
      </w:r>
      <w:proofErr w:type="spellEnd"/>
      <w:r w:rsidRPr="00BE582C">
        <w:rPr>
          <w:rFonts w:ascii="Arial" w:hAnsi="Arial" w:cs="Arial"/>
        </w:rPr>
        <w:t xml:space="preserve"> </w:t>
      </w:r>
      <w:proofErr w:type="spellStart"/>
      <w:r w:rsidRPr="00BE582C">
        <w:rPr>
          <w:rFonts w:ascii="Arial" w:hAnsi="Arial" w:cs="Arial"/>
        </w:rPr>
        <w:t>Etanercept</w:t>
      </w:r>
      <w:proofErr w:type="spellEnd"/>
      <w:r w:rsidRPr="00BE582C">
        <w:rPr>
          <w:rFonts w:ascii="Arial" w:hAnsi="Arial" w:cs="Arial"/>
        </w:rPr>
        <w:t xml:space="preserve"> group switched back to Enbrel. Table 1 Disease activity 3 months prior to versus 3 months after the switch from </w:t>
      </w:r>
      <w:proofErr w:type="spellStart"/>
      <w:r w:rsidRPr="00BE582C">
        <w:rPr>
          <w:rFonts w:ascii="Arial" w:hAnsi="Arial" w:cs="Arial"/>
        </w:rPr>
        <w:t>Remicade</w:t>
      </w:r>
      <w:proofErr w:type="spellEnd"/>
      <w:r w:rsidRPr="00BE582C">
        <w:rPr>
          <w:rFonts w:ascii="Arial" w:hAnsi="Arial" w:cs="Arial"/>
        </w:rPr>
        <w:t xml:space="preserve"> to </w:t>
      </w:r>
      <w:proofErr w:type="spellStart"/>
      <w:r w:rsidRPr="00BE582C">
        <w:rPr>
          <w:rFonts w:ascii="Arial" w:hAnsi="Arial" w:cs="Arial"/>
        </w:rPr>
        <w:t>Remsima</w:t>
      </w:r>
      <w:proofErr w:type="spellEnd"/>
      <w:r w:rsidRPr="00BE582C">
        <w:rPr>
          <w:rFonts w:ascii="Arial" w:hAnsi="Arial" w:cs="Arial"/>
        </w:rPr>
        <w:t xml:space="preserve"> by diagnosis and Enbrel </w:t>
      </w:r>
      <w:proofErr w:type="spellStart"/>
      <w:r w:rsidRPr="00BE582C">
        <w:rPr>
          <w:rFonts w:ascii="Arial" w:hAnsi="Arial" w:cs="Arial"/>
        </w:rPr>
        <w:t>Etanercept</w:t>
      </w:r>
      <w:proofErr w:type="spellEnd"/>
      <w:r w:rsidRPr="00BE582C">
        <w:rPr>
          <w:rFonts w:ascii="Arial" w:hAnsi="Arial" w:cs="Arial"/>
        </w:rPr>
        <w:t xml:space="preserve"> to </w:t>
      </w:r>
      <w:proofErr w:type="spellStart"/>
      <w:r w:rsidRPr="00BE582C">
        <w:rPr>
          <w:rFonts w:ascii="Arial" w:hAnsi="Arial" w:cs="Arial"/>
        </w:rPr>
        <w:t>Benepali</w:t>
      </w:r>
      <w:proofErr w:type="spellEnd"/>
      <w:r w:rsidRPr="00BE582C">
        <w:rPr>
          <w:rFonts w:ascii="Arial" w:hAnsi="Arial" w:cs="Arial"/>
        </w:rPr>
        <w:t xml:space="preserve"> </w:t>
      </w:r>
      <w:proofErr w:type="spellStart"/>
      <w:r w:rsidRPr="00BE582C">
        <w:rPr>
          <w:rFonts w:ascii="Arial" w:hAnsi="Arial" w:cs="Arial"/>
        </w:rPr>
        <w:t>Etanercept</w:t>
      </w:r>
      <w:proofErr w:type="spellEnd"/>
      <w:r w:rsidRPr="00BE582C">
        <w:rPr>
          <w:rFonts w:ascii="Arial" w:hAnsi="Arial" w:cs="Arial"/>
        </w:rPr>
        <w:t xml:space="preserve"> by diagnosis. </w:t>
      </w:r>
    </w:p>
    <w:p w:rsidR="00BE582C" w:rsidRPr="00BE582C" w:rsidRDefault="00BE582C" w:rsidP="00BE582C">
      <w:pPr>
        <w:shd w:val="clear" w:color="auto" w:fill="FFFFFF"/>
        <w:spacing w:after="0" w:line="360" w:lineRule="atLeast"/>
        <w:rPr>
          <w:rFonts w:ascii="Merriweather" w:eastAsia="Times New Roman" w:hAnsi="Merriweather" w:cs="Times New Roman"/>
          <w:color w:val="2A2A2A"/>
          <w:sz w:val="24"/>
          <w:szCs w:val="24"/>
          <w:lang w:val="en" w:eastAsia="en-GB"/>
        </w:rPr>
      </w:pPr>
      <w:r w:rsidRPr="00BE582C">
        <w:rPr>
          <w:rFonts w:ascii="Merriweather" w:eastAsia="Times New Roman" w:hAnsi="Merriweather" w:cs="Times New Roman"/>
          <w:color w:val="2A2A2A"/>
          <w:sz w:val="24"/>
          <w:szCs w:val="24"/>
          <w:lang w:val="en" w:eastAsia="en-GB"/>
        </w:rPr>
        <w:t>Table</w:t>
      </w:r>
    </w:p>
    <w:tbl>
      <w:tblPr>
        <w:tblW w:w="0" w:type="auto"/>
        <w:tblBorders>
          <w:top w:val="single" w:sz="6" w:space="0" w:color="CFD5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1892"/>
        <w:gridCol w:w="1861"/>
        <w:gridCol w:w="2308"/>
      </w:tblGrid>
      <w:tr w:rsidR="00BE582C" w:rsidRPr="00BE582C" w:rsidTr="00BE582C">
        <w:trPr>
          <w:gridAfter w:val="1"/>
          <w:tblHeader/>
        </w:trPr>
        <w:tc>
          <w:tcPr>
            <w:tcW w:w="0" w:type="auto"/>
            <w:gridSpan w:val="3"/>
            <w:tcBorders>
              <w:bottom w:val="single" w:sz="6" w:space="0" w:color="CFD5E4"/>
            </w:tcBorders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Disease Activity -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Remicade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Remsima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Group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RA (n = 17)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3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mo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 Pre Switch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Switch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 months Post switch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DAS28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 (1.39-5.39)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3.66 (1.67-6.72)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3.08 (0.91-5.66)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ESR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28 (4-68)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32 (4-105)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17 (3-105)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CRP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15.25 (2-20.5)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6.7 (0.8-116)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2.6 (1.2-26)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Patient Global Score, mm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37.5 (10-80)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30 (10-80)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35 (5-100)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lastRenderedPageBreak/>
              <w:t>PsA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(n = 6)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ESR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21 (7-35)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18.5 (2-35)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11 (2-39)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SJC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 (0-12)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(0-4)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TJC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3.5 (2-5)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3.5 (1-12)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0.5 (0-22)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Pre-switch Pt score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(2-3)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1.5 (1-22)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Pre-switch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Phy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 Score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(2-3)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1.5 (1-5)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CRP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 (4-4)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 (4-4)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 (1-3.7)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AxSp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(n = 7)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BASDAI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5.9 (0.36-8.33)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5.41 (0.5-6.59)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5.67 (0.73-7)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BAS-G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4.5 (0.15-7.75)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3.77 (0-6.35)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3.77 (0.35-7)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Spinal VAS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7 (0.2-8.5)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(0.5-8.3)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3.4 (0.4-1.8)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BAS-FI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6.5 (0.2-9.02)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4.065 (0.32-8.1)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4.24 (0.29-8.1) </w:t>
            </w:r>
          </w:p>
        </w:tc>
      </w:tr>
      <w:tr w:rsidR="00BE582C" w:rsidRPr="00BE582C" w:rsidTr="00BE582C">
        <w:tc>
          <w:tcPr>
            <w:tcW w:w="0" w:type="auto"/>
            <w:gridSpan w:val="3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Disease Activity Enbrel to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Etanercept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group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RA (n = 36)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3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mo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 Pre Switch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Switch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 months Post switch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Patient with available data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DAS28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2.87 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3.53 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2.07 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ESR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15 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12 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16 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CRP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2.9 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4.7 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3.1 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Patient Global Score, mm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50 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50 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40 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lastRenderedPageBreak/>
              <w:t>PsA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(n = 18)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ESR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11 (2-18)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7.5 (2-17)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5.5 (2-16)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SJC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 (0-8)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 (0-4)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 (0-1)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TJC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 (0-9)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 (0-32)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 (0-8)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Pre-switch Pt score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 (1-4)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(2-3)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Pre-switch </w:t>
            </w:r>
            <w:proofErr w:type="spellStart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Phy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 xml:space="preserve"> Score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(1-2)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(1-3)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 (1-3)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CRP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1.8 (1-3.8)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2.5 (1-3.4)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6.65 (3.7-6.6)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proofErr w:type="spellStart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>AxSp</w:t>
            </w:r>
            <w:proofErr w:type="spellEnd"/>
            <w:r w:rsidRPr="00BE582C">
              <w:rPr>
                <w:rFonts w:ascii="Source Sans Pro" w:eastAsia="Times New Roman" w:hAnsi="Source Sans Pro" w:cs="Times New Roman"/>
                <w:b/>
                <w:bCs/>
                <w:color w:val="2A2A2A"/>
                <w:sz w:val="24"/>
                <w:szCs w:val="24"/>
                <w:lang w:eastAsia="en-GB"/>
              </w:rPr>
              <w:t xml:space="preserve"> (n = 18)</w:t>
            </w: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BASDAI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2.1 (0-5.43)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2.13 (0-6.15)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2.5 (1.6-5.68)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Spinal VAS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3.9 (0-5.7)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2.45 (0-8.7)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3.25 (1-6.5) </w:t>
            </w:r>
          </w:p>
        </w:tc>
      </w:tr>
      <w:tr w:rsidR="00BE582C" w:rsidRPr="00BE582C" w:rsidTr="00BE582C"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BAS-FI 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0.1 (0.1)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 (0) </w:t>
            </w:r>
          </w:p>
        </w:tc>
        <w:tc>
          <w:tcPr>
            <w:tcW w:w="0" w:type="auto"/>
            <w:tcBorders>
              <w:bottom w:val="single" w:sz="6" w:space="0" w:color="CFD5E4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BE582C" w:rsidRPr="00BE582C" w:rsidRDefault="00BE582C" w:rsidP="00BE582C">
            <w:pPr>
              <w:spacing w:after="0" w:line="312" w:lineRule="atLeast"/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</w:pPr>
            <w:r w:rsidRPr="00BE582C">
              <w:rPr>
                <w:rFonts w:ascii="Source Sans Pro" w:eastAsia="Times New Roman" w:hAnsi="Source Sans Pro" w:cs="Times New Roman"/>
                <w:color w:val="2A2A2A"/>
                <w:sz w:val="24"/>
                <w:szCs w:val="24"/>
                <w:lang w:eastAsia="en-GB"/>
              </w:rPr>
              <w:t>0.1 (0.1) </w:t>
            </w:r>
          </w:p>
        </w:tc>
      </w:tr>
    </w:tbl>
    <w:p w:rsidR="00BE582C" w:rsidRDefault="00BE582C" w:rsidP="00BE582C"/>
    <w:p w:rsidR="00BE582C" w:rsidRPr="00BE582C" w:rsidRDefault="00BE582C" w:rsidP="00BE582C">
      <w:pPr>
        <w:rPr>
          <w:rFonts w:ascii="Arial" w:hAnsi="Arial" w:cs="Arial"/>
          <w:lang w:val="en"/>
        </w:rPr>
      </w:pPr>
      <w:r w:rsidRPr="00BE582C">
        <w:rPr>
          <w:rFonts w:ascii="Arial" w:hAnsi="Arial" w:cs="Arial"/>
        </w:rPr>
        <w:t>Conclusion: This audit demonstrated that in a real world setting switching to the biosimilar molecule had no negative impact on disease activity scores.</w:t>
      </w:r>
    </w:p>
    <w:p w:rsidR="00BE582C" w:rsidRDefault="00BE582C"/>
    <w:sectPr w:rsidR="00BE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C"/>
    <w:rsid w:val="003458ED"/>
    <w:rsid w:val="00B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FFE50-7707-4EEF-8102-A4B60857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7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66666"/>
                                                    <w:left w:val="single" w:sz="6" w:space="0" w:color="666666"/>
                                                    <w:bottom w:val="single" w:sz="6" w:space="0" w:color="666666"/>
                                                    <w:right w:val="single" w:sz="6" w:space="0" w:color="666666"/>
                                                  </w:divBdr>
                                                  <w:divsChild>
                                                    <w:div w:id="182493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3737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2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18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4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372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43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190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26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3415</Characters>
  <Application>Microsoft Office Word</Application>
  <DocSecurity>0</DocSecurity>
  <Lines>28</Lines>
  <Paragraphs>8</Paragraphs>
  <ScaleCrop>false</ScaleCrop>
  <Company>St Georges, University of London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Sofat</dc:creator>
  <cp:keywords/>
  <dc:description/>
  <cp:lastModifiedBy>Nidhi Sofat</cp:lastModifiedBy>
  <cp:revision>1</cp:revision>
  <dcterms:created xsi:type="dcterms:W3CDTF">2019-04-25T13:36:00Z</dcterms:created>
  <dcterms:modified xsi:type="dcterms:W3CDTF">2019-04-25T13:39:00Z</dcterms:modified>
</cp:coreProperties>
</file>