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E64" w:rsidRDefault="00C46E64" w:rsidP="000A4F5C">
      <w:pPr>
        <w:spacing w:line="360" w:lineRule="auto"/>
        <w:rPr>
          <w:b/>
          <w:sz w:val="28"/>
          <w:szCs w:val="24"/>
        </w:rPr>
      </w:pPr>
      <w:bookmarkStart w:id="0" w:name="_GoBack"/>
      <w:r>
        <w:rPr>
          <w:b/>
          <w:sz w:val="28"/>
          <w:szCs w:val="24"/>
        </w:rPr>
        <w:t xml:space="preserve">Invasive meningococcal disease as a cause of sudden and unexpected death in a teenager: </w:t>
      </w:r>
      <w:r w:rsidR="00916528">
        <w:rPr>
          <w:b/>
          <w:sz w:val="28"/>
          <w:szCs w:val="24"/>
        </w:rPr>
        <w:t xml:space="preserve">the public health importance of confirming the diagnosis </w:t>
      </w:r>
    </w:p>
    <w:bookmarkEnd w:id="0"/>
    <w:p w:rsidR="002B3933" w:rsidRDefault="002B3933">
      <w:pPr>
        <w:rPr>
          <w:b/>
          <w:sz w:val="24"/>
          <w:szCs w:val="24"/>
        </w:rPr>
      </w:pPr>
      <w:r>
        <w:rPr>
          <w:b/>
          <w:sz w:val="24"/>
          <w:szCs w:val="24"/>
        </w:rPr>
        <w:t>Authors</w:t>
      </w:r>
      <w:r w:rsidR="004D6711">
        <w:rPr>
          <w:b/>
          <w:sz w:val="24"/>
          <w:szCs w:val="24"/>
        </w:rPr>
        <w:t>:</w:t>
      </w:r>
    </w:p>
    <w:p w:rsidR="002B3933" w:rsidRDefault="00AE2762">
      <w:pPr>
        <w:rPr>
          <w:b/>
          <w:sz w:val="24"/>
          <w:szCs w:val="24"/>
        </w:rPr>
      </w:pPr>
      <w:r w:rsidRPr="00AE2762">
        <w:rPr>
          <w:b/>
          <w:sz w:val="24"/>
          <w:szCs w:val="24"/>
          <w:vertAlign w:val="superscript"/>
        </w:rPr>
        <w:t>1</w:t>
      </w:r>
      <w:r w:rsidR="00916528">
        <w:rPr>
          <w:b/>
          <w:sz w:val="24"/>
          <w:szCs w:val="24"/>
        </w:rPr>
        <w:t>Helen Campbell</w:t>
      </w:r>
      <w:r>
        <w:rPr>
          <w:b/>
          <w:sz w:val="24"/>
          <w:szCs w:val="24"/>
        </w:rPr>
        <w:t xml:space="preserve">, </w:t>
      </w:r>
      <w:hyperlink r:id="rId7" w:history="1">
        <w:r w:rsidRPr="00BD3D59">
          <w:rPr>
            <w:rStyle w:val="Hyperlink"/>
            <w:b/>
            <w:sz w:val="24"/>
            <w:szCs w:val="24"/>
          </w:rPr>
          <w:t>helen.campbell@phe.gov.uk</w:t>
        </w:r>
      </w:hyperlink>
      <w:r>
        <w:rPr>
          <w:b/>
          <w:sz w:val="24"/>
          <w:szCs w:val="24"/>
        </w:rPr>
        <w:t xml:space="preserve"> </w:t>
      </w:r>
    </w:p>
    <w:p w:rsidR="00916528" w:rsidRDefault="00AE2762">
      <w:pPr>
        <w:rPr>
          <w:b/>
          <w:sz w:val="24"/>
          <w:szCs w:val="24"/>
        </w:rPr>
      </w:pPr>
      <w:r w:rsidRPr="00AE2762">
        <w:rPr>
          <w:b/>
          <w:sz w:val="24"/>
          <w:szCs w:val="24"/>
          <w:vertAlign w:val="superscript"/>
        </w:rPr>
        <w:t>2</w:t>
      </w:r>
      <w:r w:rsidR="00916528">
        <w:rPr>
          <w:b/>
          <w:sz w:val="24"/>
          <w:szCs w:val="24"/>
        </w:rPr>
        <w:t>Ray Borrow</w:t>
      </w:r>
      <w:r>
        <w:rPr>
          <w:b/>
          <w:sz w:val="24"/>
          <w:szCs w:val="24"/>
        </w:rPr>
        <w:t xml:space="preserve">, </w:t>
      </w:r>
      <w:hyperlink r:id="rId8" w:history="1">
        <w:r w:rsidRPr="00BD3D59">
          <w:rPr>
            <w:rStyle w:val="Hyperlink"/>
            <w:b/>
            <w:sz w:val="24"/>
            <w:szCs w:val="24"/>
          </w:rPr>
          <w:t>ray.borrow@phe.gov.uk</w:t>
        </w:r>
      </w:hyperlink>
      <w:r>
        <w:rPr>
          <w:b/>
          <w:sz w:val="24"/>
          <w:szCs w:val="24"/>
        </w:rPr>
        <w:t xml:space="preserve"> </w:t>
      </w:r>
    </w:p>
    <w:p w:rsidR="00903450" w:rsidRDefault="00AE2762">
      <w:pPr>
        <w:rPr>
          <w:b/>
          <w:sz w:val="24"/>
          <w:szCs w:val="24"/>
        </w:rPr>
      </w:pPr>
      <w:r w:rsidRPr="00AE2762">
        <w:rPr>
          <w:b/>
          <w:sz w:val="24"/>
          <w:szCs w:val="24"/>
          <w:vertAlign w:val="superscript"/>
        </w:rPr>
        <w:t>3</w:t>
      </w:r>
      <w:r w:rsidR="00903450" w:rsidRPr="00903450">
        <w:rPr>
          <w:b/>
          <w:sz w:val="24"/>
          <w:szCs w:val="24"/>
        </w:rPr>
        <w:t>Chitra Arumugam</w:t>
      </w:r>
      <w:r>
        <w:rPr>
          <w:b/>
          <w:sz w:val="24"/>
          <w:szCs w:val="24"/>
        </w:rPr>
        <w:t xml:space="preserve">, </w:t>
      </w:r>
      <w:hyperlink r:id="rId9" w:history="1">
        <w:r w:rsidRPr="00BD3D59">
          <w:rPr>
            <w:rStyle w:val="Hyperlink"/>
            <w:b/>
            <w:sz w:val="24"/>
            <w:szCs w:val="24"/>
          </w:rPr>
          <w:t>Chitra.arumugam@phe.gov.uk</w:t>
        </w:r>
      </w:hyperlink>
      <w:r>
        <w:rPr>
          <w:b/>
          <w:sz w:val="24"/>
          <w:szCs w:val="24"/>
        </w:rPr>
        <w:t xml:space="preserve"> </w:t>
      </w:r>
    </w:p>
    <w:p w:rsidR="00916528" w:rsidRDefault="00AE2762" w:rsidP="00916528">
      <w:pPr>
        <w:rPr>
          <w:b/>
          <w:sz w:val="24"/>
          <w:szCs w:val="24"/>
        </w:rPr>
      </w:pPr>
      <w:r w:rsidRPr="00AE2762">
        <w:rPr>
          <w:b/>
          <w:sz w:val="24"/>
          <w:szCs w:val="24"/>
          <w:vertAlign w:val="superscript"/>
        </w:rPr>
        <w:t>1</w:t>
      </w:r>
      <w:r w:rsidR="00916528">
        <w:rPr>
          <w:b/>
          <w:sz w:val="24"/>
          <w:szCs w:val="24"/>
        </w:rPr>
        <w:t>Mary Ramsay</w:t>
      </w:r>
      <w:r>
        <w:rPr>
          <w:b/>
          <w:sz w:val="24"/>
          <w:szCs w:val="24"/>
        </w:rPr>
        <w:t xml:space="preserve">, </w:t>
      </w:r>
      <w:hyperlink r:id="rId10" w:history="1">
        <w:r w:rsidRPr="00BD3D59">
          <w:rPr>
            <w:rStyle w:val="Hyperlink"/>
            <w:b/>
            <w:sz w:val="24"/>
            <w:szCs w:val="24"/>
          </w:rPr>
          <w:t>mary.ramsay@phe.gov.uk</w:t>
        </w:r>
      </w:hyperlink>
      <w:r>
        <w:rPr>
          <w:b/>
          <w:sz w:val="24"/>
          <w:szCs w:val="24"/>
        </w:rPr>
        <w:t xml:space="preserve"> </w:t>
      </w:r>
    </w:p>
    <w:p w:rsidR="00916528" w:rsidRDefault="00AE2762">
      <w:pPr>
        <w:rPr>
          <w:b/>
          <w:sz w:val="24"/>
          <w:szCs w:val="24"/>
        </w:rPr>
      </w:pPr>
      <w:r w:rsidRPr="00AE2762">
        <w:rPr>
          <w:b/>
          <w:sz w:val="24"/>
          <w:szCs w:val="24"/>
          <w:vertAlign w:val="superscript"/>
        </w:rPr>
        <w:t>1</w:t>
      </w:r>
      <w:r w:rsidR="006F6F12">
        <w:rPr>
          <w:b/>
          <w:sz w:val="24"/>
          <w:szCs w:val="24"/>
          <w:vertAlign w:val="superscript"/>
        </w:rPr>
        <w:t xml:space="preserve"> </w:t>
      </w:r>
      <w:r w:rsidR="00916528">
        <w:rPr>
          <w:b/>
          <w:sz w:val="24"/>
          <w:szCs w:val="24"/>
        </w:rPr>
        <w:t>Shamez Ladhani</w:t>
      </w:r>
      <w:r>
        <w:rPr>
          <w:b/>
          <w:sz w:val="24"/>
          <w:szCs w:val="24"/>
        </w:rPr>
        <w:t xml:space="preserve">, </w:t>
      </w:r>
      <w:hyperlink r:id="rId11" w:history="1">
        <w:r w:rsidRPr="00BD3D59">
          <w:rPr>
            <w:rStyle w:val="Hyperlink"/>
            <w:b/>
            <w:sz w:val="24"/>
            <w:szCs w:val="24"/>
          </w:rPr>
          <w:t>shamez.ladhani@phe.gov.uk</w:t>
        </w:r>
      </w:hyperlink>
      <w:r>
        <w:rPr>
          <w:b/>
          <w:sz w:val="24"/>
          <w:szCs w:val="24"/>
        </w:rPr>
        <w:t xml:space="preserve"> </w:t>
      </w:r>
    </w:p>
    <w:p w:rsidR="002B3933" w:rsidRPr="005D21CC" w:rsidRDefault="00AE2762" w:rsidP="00AE2762">
      <w:pPr>
        <w:rPr>
          <w:sz w:val="24"/>
          <w:szCs w:val="24"/>
        </w:rPr>
      </w:pPr>
      <w:r w:rsidRPr="005D21CC">
        <w:rPr>
          <w:sz w:val="24"/>
          <w:szCs w:val="24"/>
          <w:vertAlign w:val="superscript"/>
        </w:rPr>
        <w:t>1</w:t>
      </w:r>
      <w:r w:rsidRPr="005D21CC">
        <w:rPr>
          <w:sz w:val="24"/>
          <w:szCs w:val="24"/>
        </w:rPr>
        <w:t xml:space="preserve"> Public Health England Immunisation and Countermeasures, 61 Colindale Avenue, London</w:t>
      </w:r>
      <w:r w:rsidR="005D21CC" w:rsidRPr="005D21CC">
        <w:rPr>
          <w:sz w:val="24"/>
          <w:szCs w:val="24"/>
        </w:rPr>
        <w:t xml:space="preserve"> UK</w:t>
      </w:r>
    </w:p>
    <w:p w:rsidR="00AE2762" w:rsidRDefault="005D21CC" w:rsidP="00AE2762">
      <w:pPr>
        <w:rPr>
          <w:sz w:val="24"/>
          <w:szCs w:val="24"/>
        </w:rPr>
      </w:pPr>
      <w:r w:rsidRPr="005D21CC">
        <w:rPr>
          <w:sz w:val="24"/>
          <w:szCs w:val="24"/>
          <w:vertAlign w:val="superscript"/>
        </w:rPr>
        <w:t>2</w:t>
      </w:r>
      <w:r>
        <w:rPr>
          <w:sz w:val="24"/>
          <w:szCs w:val="24"/>
        </w:rPr>
        <w:t xml:space="preserve"> </w:t>
      </w:r>
      <w:r w:rsidR="00AE2762" w:rsidRPr="005D21CC">
        <w:rPr>
          <w:sz w:val="24"/>
          <w:szCs w:val="24"/>
        </w:rPr>
        <w:t xml:space="preserve">Public Health England Meningococcal Reference Unit, </w:t>
      </w:r>
      <w:r w:rsidRPr="005D21CC">
        <w:rPr>
          <w:sz w:val="24"/>
          <w:szCs w:val="24"/>
        </w:rPr>
        <w:t>Manchester Royal Infirmary, Oxford Road, Manchester UK</w:t>
      </w:r>
    </w:p>
    <w:p w:rsidR="005D21CC" w:rsidRPr="005D21CC" w:rsidRDefault="000006F6" w:rsidP="005D21CC">
      <w:pPr>
        <w:rPr>
          <w:sz w:val="24"/>
          <w:szCs w:val="24"/>
        </w:rPr>
      </w:pPr>
      <w:r w:rsidRPr="000006F6">
        <w:rPr>
          <w:sz w:val="24"/>
          <w:szCs w:val="24"/>
          <w:vertAlign w:val="superscript"/>
        </w:rPr>
        <w:t>3</w:t>
      </w:r>
      <w:r>
        <w:rPr>
          <w:sz w:val="24"/>
          <w:szCs w:val="24"/>
        </w:rPr>
        <w:t xml:space="preserve"> </w:t>
      </w:r>
      <w:r w:rsidR="005D21CC" w:rsidRPr="005D21CC">
        <w:rPr>
          <w:sz w:val="24"/>
          <w:szCs w:val="24"/>
        </w:rPr>
        <w:t>Public Health England South West</w:t>
      </w:r>
      <w:r w:rsidR="005D21CC">
        <w:rPr>
          <w:sz w:val="24"/>
          <w:szCs w:val="24"/>
        </w:rPr>
        <w:t xml:space="preserve">, </w:t>
      </w:r>
      <w:r>
        <w:rPr>
          <w:sz w:val="24"/>
          <w:szCs w:val="24"/>
        </w:rPr>
        <w:t xml:space="preserve">2 Rivergate, </w:t>
      </w:r>
      <w:r w:rsidR="005D21CC" w:rsidRPr="005D21CC">
        <w:rPr>
          <w:sz w:val="24"/>
          <w:szCs w:val="24"/>
        </w:rPr>
        <w:t>Temple Quay</w:t>
      </w:r>
      <w:r>
        <w:rPr>
          <w:sz w:val="24"/>
          <w:szCs w:val="24"/>
        </w:rPr>
        <w:t>,</w:t>
      </w:r>
      <w:r w:rsidR="005D21CC" w:rsidRPr="005D21CC">
        <w:rPr>
          <w:sz w:val="24"/>
          <w:szCs w:val="24"/>
        </w:rPr>
        <w:t xml:space="preserve"> Bristol</w:t>
      </w:r>
      <w:r>
        <w:rPr>
          <w:sz w:val="24"/>
          <w:szCs w:val="24"/>
        </w:rPr>
        <w:t xml:space="preserve"> UK</w:t>
      </w:r>
    </w:p>
    <w:p w:rsidR="005D21CC" w:rsidRDefault="005D21CC" w:rsidP="006F6F12">
      <w:pPr>
        <w:rPr>
          <w:sz w:val="24"/>
          <w:szCs w:val="24"/>
        </w:rPr>
      </w:pPr>
      <w:r w:rsidRPr="005D21CC">
        <w:rPr>
          <w:sz w:val="24"/>
          <w:szCs w:val="24"/>
        </w:rPr>
        <w:t xml:space="preserve"> </w:t>
      </w:r>
    </w:p>
    <w:p w:rsidR="004D6711" w:rsidRPr="00AA5C9F" w:rsidRDefault="002B3933" w:rsidP="004D6711">
      <w:pPr>
        <w:rPr>
          <w:sz w:val="24"/>
          <w:szCs w:val="24"/>
        </w:rPr>
      </w:pPr>
      <w:r>
        <w:rPr>
          <w:b/>
          <w:sz w:val="24"/>
          <w:szCs w:val="24"/>
        </w:rPr>
        <w:t>Corresponding Author</w:t>
      </w:r>
      <w:r w:rsidR="004D6711">
        <w:rPr>
          <w:b/>
          <w:sz w:val="24"/>
          <w:szCs w:val="24"/>
        </w:rPr>
        <w:t xml:space="preserve">: </w:t>
      </w:r>
      <w:r w:rsidR="00AA5C9F" w:rsidRPr="00AA5C9F">
        <w:rPr>
          <w:sz w:val="24"/>
          <w:szCs w:val="24"/>
        </w:rPr>
        <w:t>Shamez N Ladhani,</w:t>
      </w:r>
      <w:r w:rsidR="00AA5C9F">
        <w:rPr>
          <w:b/>
          <w:sz w:val="24"/>
          <w:szCs w:val="24"/>
        </w:rPr>
        <w:t xml:space="preserve"> </w:t>
      </w:r>
      <w:r w:rsidR="00AA5C9F">
        <w:rPr>
          <w:sz w:val="24"/>
          <w:szCs w:val="24"/>
        </w:rPr>
        <w:t>Public Health England, Immunisation and Countermeasures Department, 61 Coli</w:t>
      </w:r>
      <w:r w:rsidR="00613F93">
        <w:rPr>
          <w:sz w:val="24"/>
          <w:szCs w:val="24"/>
        </w:rPr>
        <w:t xml:space="preserve">ndale Avenue, London NW9 5EQ, UK. Email: </w:t>
      </w:r>
      <w:hyperlink r:id="rId12" w:history="1">
        <w:r w:rsidR="00613F93" w:rsidRPr="00BD0687">
          <w:rPr>
            <w:rStyle w:val="Hyperlink"/>
            <w:sz w:val="24"/>
            <w:szCs w:val="24"/>
          </w:rPr>
          <w:t>shamez.ladhani@phe.gov.uk</w:t>
        </w:r>
      </w:hyperlink>
      <w:r w:rsidR="00613F93">
        <w:rPr>
          <w:sz w:val="24"/>
          <w:szCs w:val="24"/>
        </w:rPr>
        <w:t xml:space="preserve"> </w:t>
      </w:r>
    </w:p>
    <w:p w:rsidR="00001755" w:rsidRDefault="00001755" w:rsidP="000A4F5C">
      <w:pPr>
        <w:spacing w:line="360" w:lineRule="auto"/>
        <w:rPr>
          <w:sz w:val="24"/>
          <w:szCs w:val="24"/>
        </w:rPr>
      </w:pPr>
    </w:p>
    <w:p w:rsidR="00001755" w:rsidRPr="00001755" w:rsidRDefault="00001755" w:rsidP="00001755">
      <w:pPr>
        <w:spacing w:line="360" w:lineRule="auto"/>
        <w:rPr>
          <w:sz w:val="24"/>
          <w:szCs w:val="24"/>
        </w:rPr>
      </w:pPr>
      <w:r w:rsidRPr="00001755">
        <w:rPr>
          <w:sz w:val="24"/>
          <w:szCs w:val="24"/>
        </w:rPr>
        <w:t>Dear Editor,</w:t>
      </w:r>
    </w:p>
    <w:p w:rsidR="0053675E" w:rsidRDefault="00001755" w:rsidP="000A4F5C">
      <w:pPr>
        <w:spacing w:line="360" w:lineRule="auto"/>
        <w:rPr>
          <w:sz w:val="24"/>
          <w:szCs w:val="24"/>
        </w:rPr>
      </w:pPr>
      <w:r w:rsidRPr="00001755">
        <w:rPr>
          <w:sz w:val="24"/>
          <w:szCs w:val="24"/>
        </w:rPr>
        <w:t xml:space="preserve">We read with interest the article in this Journal by </w:t>
      </w:r>
      <w:r>
        <w:rPr>
          <w:sz w:val="24"/>
          <w:szCs w:val="24"/>
        </w:rPr>
        <w:t xml:space="preserve">Hong et al., who describe the clonal replacement and expansion of a hypervirulent strain of group W </w:t>
      </w:r>
      <w:r w:rsidRPr="00001755">
        <w:rPr>
          <w:i/>
          <w:sz w:val="24"/>
          <w:szCs w:val="24"/>
        </w:rPr>
        <w:t>Neisseria meningitidis</w:t>
      </w:r>
      <w:r>
        <w:rPr>
          <w:sz w:val="24"/>
          <w:szCs w:val="24"/>
        </w:rPr>
        <w:t xml:space="preserve"> </w:t>
      </w:r>
      <w:r w:rsidR="00FE00CF">
        <w:rPr>
          <w:sz w:val="24"/>
          <w:szCs w:val="24"/>
        </w:rPr>
        <w:t xml:space="preserve">(MenW) belonging to the ST11 clonal complex (cc11) </w:t>
      </w:r>
      <w:r>
        <w:rPr>
          <w:sz w:val="24"/>
          <w:szCs w:val="24"/>
        </w:rPr>
        <w:t>in France</w:t>
      </w:r>
      <w:r w:rsidR="00AA5C9F">
        <w:rPr>
          <w:sz w:val="24"/>
          <w:szCs w:val="24"/>
        </w:rPr>
        <w:t>, which was associated with a high case fatality rate</w:t>
      </w:r>
      <w:r w:rsidR="00657C3E">
        <w:rPr>
          <w:sz w:val="24"/>
          <w:szCs w:val="24"/>
        </w:rPr>
        <w:t xml:space="preserve"> (CFR)</w:t>
      </w:r>
      <w:r w:rsidR="008D28C0">
        <w:rPr>
          <w:sz w:val="24"/>
          <w:szCs w:val="24"/>
        </w:rPr>
        <w:t xml:space="preserve"> [1]</w:t>
      </w:r>
      <w:r>
        <w:rPr>
          <w:sz w:val="24"/>
          <w:szCs w:val="24"/>
        </w:rPr>
        <w:t xml:space="preserve">. </w:t>
      </w:r>
      <w:r w:rsidR="000A4F5C">
        <w:rPr>
          <w:sz w:val="24"/>
          <w:szCs w:val="24"/>
        </w:rPr>
        <w:t>Invasive meningococcal disease (IMD) is notorious for its sudden onset and rapid progression to life-threatening infection</w:t>
      </w:r>
      <w:r w:rsidR="00DA4E5A">
        <w:rPr>
          <w:sz w:val="24"/>
          <w:szCs w:val="24"/>
        </w:rPr>
        <w:t xml:space="preserve"> and death</w:t>
      </w:r>
      <w:r w:rsidR="00464927">
        <w:rPr>
          <w:sz w:val="24"/>
          <w:szCs w:val="24"/>
        </w:rPr>
        <w:t xml:space="preserve"> </w:t>
      </w:r>
      <w:r w:rsidR="00896A9C">
        <w:rPr>
          <w:sz w:val="24"/>
          <w:szCs w:val="24"/>
        </w:rPr>
        <w:t>[2]</w:t>
      </w:r>
      <w:r w:rsidR="00464927">
        <w:rPr>
          <w:sz w:val="24"/>
          <w:szCs w:val="24"/>
        </w:rPr>
        <w:t>.</w:t>
      </w:r>
      <w:r w:rsidR="00394183">
        <w:rPr>
          <w:sz w:val="24"/>
          <w:szCs w:val="24"/>
        </w:rPr>
        <w:t xml:space="preserve"> In adolescents and young adults, where the condition can mimic other illnesses, such as </w:t>
      </w:r>
      <w:r w:rsidR="008019DC">
        <w:rPr>
          <w:sz w:val="24"/>
          <w:szCs w:val="24"/>
        </w:rPr>
        <w:t>influenza</w:t>
      </w:r>
      <w:r w:rsidR="00394183">
        <w:rPr>
          <w:sz w:val="24"/>
          <w:szCs w:val="24"/>
        </w:rPr>
        <w:t>, food pois</w:t>
      </w:r>
      <w:r w:rsidR="009E464D">
        <w:rPr>
          <w:sz w:val="24"/>
          <w:szCs w:val="24"/>
        </w:rPr>
        <w:t>on</w:t>
      </w:r>
      <w:r w:rsidR="00394183">
        <w:rPr>
          <w:sz w:val="24"/>
          <w:szCs w:val="24"/>
        </w:rPr>
        <w:t xml:space="preserve">ing, drug misuse </w:t>
      </w:r>
      <w:r w:rsidR="00464927">
        <w:rPr>
          <w:sz w:val="24"/>
          <w:szCs w:val="24"/>
        </w:rPr>
        <w:t xml:space="preserve">or </w:t>
      </w:r>
      <w:r w:rsidR="00394183">
        <w:rPr>
          <w:sz w:val="24"/>
          <w:szCs w:val="24"/>
        </w:rPr>
        <w:t>alcohol intoxication</w:t>
      </w:r>
      <w:r w:rsidR="004F140C">
        <w:rPr>
          <w:sz w:val="24"/>
          <w:szCs w:val="24"/>
        </w:rPr>
        <w:t>, the diagnosis of IMD may not be considered by clinicians in the acute stages of the illness</w:t>
      </w:r>
      <w:r w:rsidR="004A40A1">
        <w:rPr>
          <w:sz w:val="24"/>
          <w:szCs w:val="24"/>
        </w:rPr>
        <w:t>.</w:t>
      </w:r>
      <w:r w:rsidR="004F140C">
        <w:rPr>
          <w:sz w:val="24"/>
          <w:szCs w:val="24"/>
        </w:rPr>
        <w:t xml:space="preserve"> Where IMD is </w:t>
      </w:r>
      <w:r w:rsidR="00DA4E5A">
        <w:rPr>
          <w:sz w:val="24"/>
          <w:szCs w:val="24"/>
        </w:rPr>
        <w:t>suspected</w:t>
      </w:r>
      <w:r w:rsidR="004F140C">
        <w:rPr>
          <w:sz w:val="24"/>
          <w:szCs w:val="24"/>
        </w:rPr>
        <w:t xml:space="preserve">, antibiotic administration prior to hospital transfer or prior to performing blood cultures </w:t>
      </w:r>
      <w:r w:rsidR="006A03E2">
        <w:rPr>
          <w:sz w:val="24"/>
          <w:szCs w:val="24"/>
        </w:rPr>
        <w:lastRenderedPageBreak/>
        <w:t>increases the likelihood of</w:t>
      </w:r>
      <w:r w:rsidR="004F140C">
        <w:rPr>
          <w:sz w:val="24"/>
          <w:szCs w:val="24"/>
        </w:rPr>
        <w:t xml:space="preserve"> negative </w:t>
      </w:r>
      <w:r w:rsidR="00DA4E5A">
        <w:rPr>
          <w:sz w:val="24"/>
          <w:szCs w:val="24"/>
        </w:rPr>
        <w:t xml:space="preserve">bacterial cultures </w:t>
      </w:r>
      <w:r w:rsidR="00143C86">
        <w:rPr>
          <w:sz w:val="24"/>
          <w:szCs w:val="24"/>
        </w:rPr>
        <w:t>and</w:t>
      </w:r>
      <w:r w:rsidR="00464927">
        <w:rPr>
          <w:sz w:val="24"/>
          <w:szCs w:val="24"/>
        </w:rPr>
        <w:t>,</w:t>
      </w:r>
      <w:r w:rsidR="004F140C">
        <w:rPr>
          <w:sz w:val="24"/>
          <w:szCs w:val="24"/>
        </w:rPr>
        <w:t xml:space="preserve"> therefore</w:t>
      </w:r>
      <w:r w:rsidR="00464927">
        <w:rPr>
          <w:sz w:val="24"/>
          <w:szCs w:val="24"/>
        </w:rPr>
        <w:t>,</w:t>
      </w:r>
      <w:r w:rsidR="004F140C">
        <w:rPr>
          <w:sz w:val="24"/>
          <w:szCs w:val="24"/>
        </w:rPr>
        <w:t xml:space="preserve"> missing the aetiology</w:t>
      </w:r>
      <w:r w:rsidR="00464927">
        <w:rPr>
          <w:sz w:val="24"/>
          <w:szCs w:val="24"/>
        </w:rPr>
        <w:t xml:space="preserve"> </w:t>
      </w:r>
      <w:r w:rsidR="00896A9C">
        <w:rPr>
          <w:sz w:val="24"/>
          <w:szCs w:val="24"/>
        </w:rPr>
        <w:t>[3]</w:t>
      </w:r>
      <w:r w:rsidR="00464927">
        <w:rPr>
          <w:sz w:val="24"/>
          <w:szCs w:val="24"/>
        </w:rPr>
        <w:t>.</w:t>
      </w:r>
      <w:r w:rsidR="004F140C">
        <w:rPr>
          <w:sz w:val="24"/>
          <w:szCs w:val="24"/>
        </w:rPr>
        <w:t xml:space="preserve"> The diagnosis of IMD might also be missed in cases with a rapidly </w:t>
      </w:r>
      <w:r w:rsidR="00906C3E">
        <w:rPr>
          <w:sz w:val="24"/>
          <w:szCs w:val="24"/>
        </w:rPr>
        <w:t>progressing illness resulting in sudden death outside the hospital setting,</w:t>
      </w:r>
      <w:r w:rsidR="004F140C">
        <w:rPr>
          <w:sz w:val="24"/>
          <w:szCs w:val="24"/>
        </w:rPr>
        <w:t xml:space="preserve"> where the condition of the patient prior to death </w:t>
      </w:r>
      <w:r w:rsidR="00906C3E">
        <w:rPr>
          <w:sz w:val="24"/>
          <w:szCs w:val="24"/>
        </w:rPr>
        <w:t xml:space="preserve">might </w:t>
      </w:r>
      <w:r w:rsidR="004F140C">
        <w:rPr>
          <w:sz w:val="24"/>
          <w:szCs w:val="24"/>
        </w:rPr>
        <w:t xml:space="preserve">not </w:t>
      </w:r>
      <w:r w:rsidR="00464927">
        <w:rPr>
          <w:sz w:val="24"/>
          <w:szCs w:val="24"/>
        </w:rPr>
        <w:t>have been witnessed</w:t>
      </w:r>
      <w:r w:rsidR="004F140C">
        <w:rPr>
          <w:sz w:val="24"/>
          <w:szCs w:val="24"/>
        </w:rPr>
        <w:t xml:space="preserve">. </w:t>
      </w:r>
      <w:r w:rsidR="00D9255B">
        <w:rPr>
          <w:sz w:val="24"/>
          <w:szCs w:val="24"/>
        </w:rPr>
        <w:t xml:space="preserve">We were recently involved with such a </w:t>
      </w:r>
      <w:r w:rsidR="00906C3E">
        <w:rPr>
          <w:sz w:val="24"/>
          <w:szCs w:val="24"/>
        </w:rPr>
        <w:t>case</w:t>
      </w:r>
      <w:r w:rsidR="00394183">
        <w:rPr>
          <w:sz w:val="24"/>
          <w:szCs w:val="24"/>
        </w:rPr>
        <w:t xml:space="preserve">, who was diagnosed with </w:t>
      </w:r>
      <w:r w:rsidR="00906C3E">
        <w:rPr>
          <w:sz w:val="24"/>
          <w:szCs w:val="24"/>
        </w:rPr>
        <w:t>IMD</w:t>
      </w:r>
      <w:r w:rsidR="00464927">
        <w:rPr>
          <w:sz w:val="24"/>
          <w:szCs w:val="24"/>
        </w:rPr>
        <w:t xml:space="preserve"> four months after death</w:t>
      </w:r>
      <w:r w:rsidR="00B61A5F">
        <w:rPr>
          <w:sz w:val="24"/>
          <w:szCs w:val="24"/>
        </w:rPr>
        <w:t xml:space="preserve">, and </w:t>
      </w:r>
      <w:r w:rsidR="00D9255B">
        <w:rPr>
          <w:sz w:val="24"/>
          <w:szCs w:val="24"/>
        </w:rPr>
        <w:t xml:space="preserve">would like to </w:t>
      </w:r>
      <w:r w:rsidR="00B61A5F">
        <w:rPr>
          <w:sz w:val="24"/>
          <w:szCs w:val="24"/>
        </w:rPr>
        <w:t>highlight the clinical and public health importance of ascertaining this rare but important diagnosis</w:t>
      </w:r>
      <w:r w:rsidR="00464927">
        <w:rPr>
          <w:sz w:val="24"/>
          <w:szCs w:val="24"/>
        </w:rPr>
        <w:t>,</w:t>
      </w:r>
      <w:r w:rsidR="00B61A5F">
        <w:rPr>
          <w:sz w:val="24"/>
          <w:szCs w:val="24"/>
        </w:rPr>
        <w:t xml:space="preserve"> even at post</w:t>
      </w:r>
      <w:r w:rsidR="00906C3E">
        <w:rPr>
          <w:sz w:val="24"/>
          <w:szCs w:val="24"/>
        </w:rPr>
        <w:t>-</w:t>
      </w:r>
      <w:r w:rsidR="00B61A5F">
        <w:rPr>
          <w:sz w:val="24"/>
          <w:szCs w:val="24"/>
        </w:rPr>
        <w:t>mortem</w:t>
      </w:r>
      <w:r w:rsidR="00906C3E">
        <w:rPr>
          <w:sz w:val="24"/>
          <w:szCs w:val="24"/>
        </w:rPr>
        <w:t>.</w:t>
      </w:r>
    </w:p>
    <w:p w:rsidR="00B61A5F" w:rsidRDefault="00FD6A27" w:rsidP="00276571">
      <w:pPr>
        <w:spacing w:line="360" w:lineRule="auto"/>
        <w:rPr>
          <w:sz w:val="24"/>
          <w:szCs w:val="24"/>
        </w:rPr>
      </w:pPr>
      <w:r>
        <w:rPr>
          <w:sz w:val="24"/>
          <w:szCs w:val="24"/>
        </w:rPr>
        <w:t>An 18-year old first-</w:t>
      </w:r>
      <w:r w:rsidR="00B61A5F">
        <w:rPr>
          <w:sz w:val="24"/>
          <w:szCs w:val="24"/>
        </w:rPr>
        <w:t xml:space="preserve">year university student </w:t>
      </w:r>
      <w:r w:rsidR="00D9255B">
        <w:rPr>
          <w:sz w:val="24"/>
          <w:szCs w:val="24"/>
        </w:rPr>
        <w:t xml:space="preserve">recently </w:t>
      </w:r>
      <w:r w:rsidR="00B61A5F">
        <w:rPr>
          <w:sz w:val="24"/>
          <w:szCs w:val="24"/>
        </w:rPr>
        <w:t>developed mild headache on a Friday</w:t>
      </w:r>
      <w:r w:rsidR="00711D09">
        <w:rPr>
          <w:sz w:val="24"/>
          <w:szCs w:val="24"/>
        </w:rPr>
        <w:t xml:space="preserve">, which </w:t>
      </w:r>
      <w:r w:rsidR="00B61A5F" w:rsidRPr="00FB5350">
        <w:rPr>
          <w:sz w:val="24"/>
          <w:szCs w:val="24"/>
        </w:rPr>
        <w:t xml:space="preserve">worsened on Saturday </w:t>
      </w:r>
      <w:r w:rsidR="00711D09">
        <w:rPr>
          <w:sz w:val="24"/>
          <w:szCs w:val="24"/>
        </w:rPr>
        <w:t xml:space="preserve">although </w:t>
      </w:r>
      <w:r w:rsidR="00B61A5F">
        <w:rPr>
          <w:sz w:val="24"/>
          <w:szCs w:val="24"/>
        </w:rPr>
        <w:t>the case</w:t>
      </w:r>
      <w:r w:rsidR="00B61A5F" w:rsidRPr="00FB5350">
        <w:rPr>
          <w:sz w:val="24"/>
          <w:szCs w:val="24"/>
        </w:rPr>
        <w:t xml:space="preserve"> </w:t>
      </w:r>
      <w:r w:rsidR="00B61A5F">
        <w:rPr>
          <w:sz w:val="24"/>
          <w:szCs w:val="24"/>
        </w:rPr>
        <w:t>was well enough to attend a</w:t>
      </w:r>
      <w:r w:rsidR="00B61A5F" w:rsidRPr="00FB5350">
        <w:rPr>
          <w:sz w:val="24"/>
          <w:szCs w:val="24"/>
        </w:rPr>
        <w:t xml:space="preserve"> concert </w:t>
      </w:r>
      <w:r w:rsidR="00B61A5F">
        <w:rPr>
          <w:sz w:val="24"/>
          <w:szCs w:val="24"/>
        </w:rPr>
        <w:t>that evening</w:t>
      </w:r>
      <w:r w:rsidR="00B61A5F" w:rsidRPr="00FB5350">
        <w:rPr>
          <w:sz w:val="24"/>
          <w:szCs w:val="24"/>
        </w:rPr>
        <w:t xml:space="preserve">. </w:t>
      </w:r>
      <w:r w:rsidR="00B61A5F">
        <w:rPr>
          <w:sz w:val="24"/>
          <w:szCs w:val="24"/>
        </w:rPr>
        <w:t>The case returned to the family home around midday Sunday, ate lunch and slept in the afternoon, but woke up reporting cold hands and feet at 18:00</w:t>
      </w:r>
      <w:r w:rsidR="006A03E2">
        <w:rPr>
          <w:sz w:val="24"/>
          <w:szCs w:val="24"/>
        </w:rPr>
        <w:t xml:space="preserve"> and</w:t>
      </w:r>
      <w:r w:rsidR="00B61A5F">
        <w:rPr>
          <w:sz w:val="24"/>
          <w:szCs w:val="24"/>
        </w:rPr>
        <w:t xml:space="preserve"> </w:t>
      </w:r>
      <w:r w:rsidR="003C2CBE">
        <w:rPr>
          <w:sz w:val="24"/>
          <w:szCs w:val="24"/>
        </w:rPr>
        <w:t>stoma</w:t>
      </w:r>
      <w:r w:rsidR="003D3B13">
        <w:rPr>
          <w:sz w:val="24"/>
          <w:szCs w:val="24"/>
        </w:rPr>
        <w:t xml:space="preserve">ch </w:t>
      </w:r>
      <w:r w:rsidR="003C2CBE">
        <w:rPr>
          <w:sz w:val="24"/>
          <w:szCs w:val="24"/>
        </w:rPr>
        <w:t>ache with vomiting</w:t>
      </w:r>
      <w:r w:rsidR="00B61A5F">
        <w:rPr>
          <w:sz w:val="24"/>
          <w:szCs w:val="24"/>
        </w:rPr>
        <w:t xml:space="preserve"> at 23:00, 02:00 and 04:00. The case’s parents contacted the out-of-hours doctor and </w:t>
      </w:r>
      <w:r w:rsidR="00B54ACC">
        <w:rPr>
          <w:sz w:val="24"/>
          <w:szCs w:val="24"/>
        </w:rPr>
        <w:t>a clinical diagnosis of acute food-poisoning following chicken consumption at the concert was made during the telephone consultation.</w:t>
      </w:r>
      <w:r w:rsidR="00B946B0">
        <w:rPr>
          <w:sz w:val="24"/>
          <w:szCs w:val="24"/>
        </w:rPr>
        <w:t xml:space="preserve"> </w:t>
      </w:r>
      <w:r w:rsidR="004A40A1">
        <w:rPr>
          <w:sz w:val="24"/>
          <w:szCs w:val="24"/>
        </w:rPr>
        <w:t xml:space="preserve">A plan was made for medical review at the case’s home, which occurred at 05:30. </w:t>
      </w:r>
      <w:r w:rsidR="009E464D">
        <w:rPr>
          <w:sz w:val="24"/>
          <w:szCs w:val="24"/>
        </w:rPr>
        <w:t>At this point</w:t>
      </w:r>
      <w:r w:rsidR="004A40A1">
        <w:rPr>
          <w:sz w:val="24"/>
          <w:szCs w:val="24"/>
        </w:rPr>
        <w:t xml:space="preserve">, the case was seriously unwell. Intramuscular </w:t>
      </w:r>
      <w:r w:rsidR="0053675E">
        <w:rPr>
          <w:sz w:val="24"/>
          <w:szCs w:val="24"/>
        </w:rPr>
        <w:t>benzylpenicillin was</w:t>
      </w:r>
      <w:r w:rsidR="004A40A1">
        <w:rPr>
          <w:sz w:val="24"/>
          <w:szCs w:val="24"/>
        </w:rPr>
        <w:t xml:space="preserve"> administered immediately and the case was transferred by ambulance to the hospital. </w:t>
      </w:r>
      <w:r w:rsidR="00B946B0">
        <w:rPr>
          <w:sz w:val="24"/>
          <w:szCs w:val="24"/>
        </w:rPr>
        <w:t>T</w:t>
      </w:r>
      <w:r w:rsidR="004A40A1">
        <w:rPr>
          <w:sz w:val="24"/>
          <w:szCs w:val="24"/>
        </w:rPr>
        <w:t>he case developed septic shock, continued to deteriorate rapidly</w:t>
      </w:r>
      <w:r w:rsidR="00B61A5F">
        <w:rPr>
          <w:sz w:val="24"/>
          <w:szCs w:val="24"/>
        </w:rPr>
        <w:t xml:space="preserve"> and passed away at 10:00 on the </w:t>
      </w:r>
      <w:r w:rsidR="00276571">
        <w:rPr>
          <w:sz w:val="24"/>
          <w:szCs w:val="24"/>
        </w:rPr>
        <w:t xml:space="preserve">same </w:t>
      </w:r>
      <w:r w:rsidR="00B61A5F">
        <w:rPr>
          <w:sz w:val="24"/>
          <w:szCs w:val="24"/>
        </w:rPr>
        <w:t>day.</w:t>
      </w:r>
    </w:p>
    <w:p w:rsidR="00F47473" w:rsidRDefault="00B61A5F" w:rsidP="00B61A5F">
      <w:pPr>
        <w:spacing w:line="360" w:lineRule="auto"/>
        <w:rPr>
          <w:sz w:val="24"/>
          <w:szCs w:val="24"/>
        </w:rPr>
      </w:pPr>
      <w:r>
        <w:rPr>
          <w:sz w:val="24"/>
          <w:szCs w:val="24"/>
        </w:rPr>
        <w:t xml:space="preserve">A </w:t>
      </w:r>
      <w:r w:rsidR="00B946B0">
        <w:rPr>
          <w:sz w:val="24"/>
          <w:szCs w:val="24"/>
        </w:rPr>
        <w:t>post-</w:t>
      </w:r>
      <w:r>
        <w:rPr>
          <w:sz w:val="24"/>
          <w:szCs w:val="24"/>
        </w:rPr>
        <w:t xml:space="preserve">mortem was </w:t>
      </w:r>
      <w:r w:rsidR="003319DB">
        <w:rPr>
          <w:sz w:val="24"/>
          <w:szCs w:val="24"/>
        </w:rPr>
        <w:t xml:space="preserve">performed </w:t>
      </w:r>
      <w:r>
        <w:rPr>
          <w:sz w:val="24"/>
          <w:szCs w:val="24"/>
        </w:rPr>
        <w:t xml:space="preserve">four days </w:t>
      </w:r>
      <w:r w:rsidR="00B946B0">
        <w:rPr>
          <w:sz w:val="24"/>
          <w:szCs w:val="24"/>
        </w:rPr>
        <w:t xml:space="preserve">later </w:t>
      </w:r>
      <w:r>
        <w:rPr>
          <w:sz w:val="24"/>
          <w:szCs w:val="24"/>
        </w:rPr>
        <w:t xml:space="preserve">but </w:t>
      </w:r>
      <w:r w:rsidRPr="004633D7">
        <w:rPr>
          <w:sz w:val="24"/>
          <w:szCs w:val="24"/>
        </w:rPr>
        <w:t xml:space="preserve">only toxicology samples </w:t>
      </w:r>
      <w:r>
        <w:rPr>
          <w:sz w:val="24"/>
          <w:szCs w:val="24"/>
        </w:rPr>
        <w:t xml:space="preserve">were </w:t>
      </w:r>
      <w:r w:rsidRPr="004633D7">
        <w:rPr>
          <w:sz w:val="24"/>
          <w:szCs w:val="24"/>
        </w:rPr>
        <w:t>taken</w:t>
      </w:r>
      <w:r w:rsidR="003319DB">
        <w:rPr>
          <w:sz w:val="24"/>
          <w:szCs w:val="24"/>
        </w:rPr>
        <w:t xml:space="preserve"> for analysis</w:t>
      </w:r>
      <w:r>
        <w:rPr>
          <w:sz w:val="24"/>
          <w:szCs w:val="24"/>
        </w:rPr>
        <w:t xml:space="preserve">. </w:t>
      </w:r>
      <w:r w:rsidR="003319DB">
        <w:rPr>
          <w:sz w:val="24"/>
          <w:szCs w:val="24"/>
        </w:rPr>
        <w:t xml:space="preserve">Three months later, </w:t>
      </w:r>
      <w:r>
        <w:rPr>
          <w:sz w:val="24"/>
          <w:szCs w:val="24"/>
        </w:rPr>
        <w:t xml:space="preserve">the coroner reported the cause of death as unascertained. </w:t>
      </w:r>
      <w:r w:rsidR="003319DB">
        <w:rPr>
          <w:sz w:val="24"/>
          <w:szCs w:val="24"/>
        </w:rPr>
        <w:t xml:space="preserve">Despite the clinical history </w:t>
      </w:r>
      <w:r w:rsidR="00CB5DCE">
        <w:rPr>
          <w:sz w:val="24"/>
          <w:szCs w:val="24"/>
        </w:rPr>
        <w:t xml:space="preserve">being </w:t>
      </w:r>
      <w:r w:rsidR="003319DB">
        <w:rPr>
          <w:sz w:val="24"/>
          <w:szCs w:val="24"/>
        </w:rPr>
        <w:t xml:space="preserve">consistent with serious bacterial infection, a drug-related cause of death was suspected because of the age of the case. </w:t>
      </w:r>
      <w:r w:rsidR="00F25D4F">
        <w:rPr>
          <w:sz w:val="24"/>
          <w:szCs w:val="24"/>
        </w:rPr>
        <w:t xml:space="preserve">It was only after the parents contacted a national meningitis charity that </w:t>
      </w:r>
      <w:r w:rsidR="001E28D1">
        <w:rPr>
          <w:sz w:val="24"/>
          <w:szCs w:val="24"/>
        </w:rPr>
        <w:t xml:space="preserve">it became apparent that testing for meningococcal disease </w:t>
      </w:r>
      <w:r w:rsidR="00CB5DCE">
        <w:rPr>
          <w:sz w:val="24"/>
          <w:szCs w:val="24"/>
        </w:rPr>
        <w:t xml:space="preserve">(or any other infectious disease) </w:t>
      </w:r>
      <w:r w:rsidR="001E28D1">
        <w:rPr>
          <w:sz w:val="24"/>
          <w:szCs w:val="24"/>
        </w:rPr>
        <w:t>had not been undertaken</w:t>
      </w:r>
      <w:r w:rsidR="006A03E2">
        <w:rPr>
          <w:sz w:val="24"/>
          <w:szCs w:val="24"/>
        </w:rPr>
        <w:t xml:space="preserve"> </w:t>
      </w:r>
      <w:r w:rsidR="00A50DB7">
        <w:rPr>
          <w:sz w:val="24"/>
          <w:szCs w:val="24"/>
        </w:rPr>
        <w:t xml:space="preserve">at </w:t>
      </w:r>
      <w:r w:rsidR="001E28D1">
        <w:rPr>
          <w:sz w:val="24"/>
          <w:szCs w:val="24"/>
        </w:rPr>
        <w:t xml:space="preserve">the hospital or during </w:t>
      </w:r>
      <w:r w:rsidR="00BF0D68">
        <w:rPr>
          <w:sz w:val="24"/>
          <w:szCs w:val="24"/>
        </w:rPr>
        <w:t>post-mortem investigation.</w:t>
      </w:r>
      <w:r w:rsidR="007A2960">
        <w:rPr>
          <w:sz w:val="24"/>
          <w:szCs w:val="24"/>
        </w:rPr>
        <w:t xml:space="preserve"> After extensive discussions with the coroner, four stored post-mortem blood samples were retrieved from the local hospital and sent to the Public Health England </w:t>
      </w:r>
      <w:r w:rsidR="00366E0E">
        <w:rPr>
          <w:sz w:val="24"/>
          <w:szCs w:val="24"/>
        </w:rPr>
        <w:t xml:space="preserve">(PHE) </w:t>
      </w:r>
      <w:r w:rsidR="007A2960">
        <w:rPr>
          <w:sz w:val="24"/>
          <w:szCs w:val="24"/>
        </w:rPr>
        <w:t xml:space="preserve">Meningococcal Reference Unit (MRU) for PCR-testing. A diagnosis of </w:t>
      </w:r>
      <w:r w:rsidR="00B833FF">
        <w:rPr>
          <w:sz w:val="24"/>
          <w:szCs w:val="24"/>
        </w:rPr>
        <w:t xml:space="preserve">group </w:t>
      </w:r>
      <w:r w:rsidR="007A2960">
        <w:rPr>
          <w:sz w:val="24"/>
          <w:szCs w:val="24"/>
        </w:rPr>
        <w:t xml:space="preserve">W IMD was confirmed within two days of </w:t>
      </w:r>
      <w:r w:rsidR="00E93207">
        <w:rPr>
          <w:sz w:val="24"/>
          <w:szCs w:val="24"/>
        </w:rPr>
        <w:t xml:space="preserve">sample </w:t>
      </w:r>
      <w:r w:rsidR="007A2960">
        <w:rPr>
          <w:sz w:val="24"/>
          <w:szCs w:val="24"/>
        </w:rPr>
        <w:t>receipt</w:t>
      </w:r>
      <w:r w:rsidR="007A2960" w:rsidRPr="00891D0B">
        <w:rPr>
          <w:sz w:val="24"/>
          <w:szCs w:val="24"/>
        </w:rPr>
        <w:t>.</w:t>
      </w:r>
      <w:r w:rsidR="007A2960">
        <w:rPr>
          <w:sz w:val="24"/>
          <w:szCs w:val="24"/>
        </w:rPr>
        <w:t xml:space="preserve"> </w:t>
      </w:r>
    </w:p>
    <w:p w:rsidR="007A2960" w:rsidRDefault="007A2960" w:rsidP="003605C5">
      <w:pPr>
        <w:spacing w:line="360" w:lineRule="auto"/>
        <w:rPr>
          <w:sz w:val="24"/>
          <w:szCs w:val="24"/>
        </w:rPr>
      </w:pPr>
      <w:r>
        <w:rPr>
          <w:sz w:val="24"/>
          <w:szCs w:val="24"/>
        </w:rPr>
        <w:t>Infectio</w:t>
      </w:r>
      <w:r w:rsidR="003605C5">
        <w:rPr>
          <w:sz w:val="24"/>
          <w:szCs w:val="24"/>
        </w:rPr>
        <w:t xml:space="preserve">n </w:t>
      </w:r>
      <w:r>
        <w:rPr>
          <w:sz w:val="24"/>
          <w:szCs w:val="24"/>
        </w:rPr>
        <w:t xml:space="preserve">is </w:t>
      </w:r>
      <w:r w:rsidR="00A12AF9">
        <w:rPr>
          <w:sz w:val="24"/>
          <w:szCs w:val="24"/>
        </w:rPr>
        <w:t xml:space="preserve">known to be </w:t>
      </w:r>
      <w:r>
        <w:rPr>
          <w:sz w:val="24"/>
          <w:szCs w:val="24"/>
        </w:rPr>
        <w:t xml:space="preserve">a rare cause of death in </w:t>
      </w:r>
      <w:r w:rsidR="00A12AF9">
        <w:rPr>
          <w:sz w:val="24"/>
          <w:szCs w:val="24"/>
        </w:rPr>
        <w:t xml:space="preserve">healthy </w:t>
      </w:r>
      <w:r>
        <w:rPr>
          <w:sz w:val="24"/>
          <w:szCs w:val="24"/>
        </w:rPr>
        <w:t>teenagers and young adults</w:t>
      </w:r>
      <w:r w:rsidR="00896A9C">
        <w:rPr>
          <w:sz w:val="24"/>
          <w:szCs w:val="24"/>
        </w:rPr>
        <w:t xml:space="preserve"> [4]</w:t>
      </w:r>
      <w:r w:rsidR="00E05C1E">
        <w:rPr>
          <w:sz w:val="24"/>
          <w:szCs w:val="24"/>
        </w:rPr>
        <w:t>, in contrast to d</w:t>
      </w:r>
      <w:r w:rsidRPr="004D4CF7">
        <w:rPr>
          <w:sz w:val="24"/>
          <w:szCs w:val="24"/>
        </w:rPr>
        <w:t>rug use and drug dependence</w:t>
      </w:r>
      <w:r w:rsidR="00E05C1E">
        <w:rPr>
          <w:sz w:val="24"/>
          <w:szCs w:val="24"/>
        </w:rPr>
        <w:t>, which</w:t>
      </w:r>
      <w:r w:rsidRPr="004D4CF7">
        <w:rPr>
          <w:sz w:val="24"/>
          <w:szCs w:val="24"/>
        </w:rPr>
        <w:t xml:space="preserve"> are </w:t>
      </w:r>
      <w:r>
        <w:rPr>
          <w:sz w:val="24"/>
          <w:szCs w:val="24"/>
        </w:rPr>
        <w:t>recognised</w:t>
      </w:r>
      <w:r w:rsidRPr="004D4CF7">
        <w:rPr>
          <w:sz w:val="24"/>
          <w:szCs w:val="24"/>
        </w:rPr>
        <w:t xml:space="preserve"> </w:t>
      </w:r>
      <w:r w:rsidR="00E05C1E">
        <w:rPr>
          <w:sz w:val="24"/>
          <w:szCs w:val="24"/>
        </w:rPr>
        <w:t xml:space="preserve">as common </w:t>
      </w:r>
      <w:r w:rsidRPr="004D4CF7">
        <w:rPr>
          <w:sz w:val="24"/>
          <w:szCs w:val="24"/>
        </w:rPr>
        <w:t xml:space="preserve">causes of </w:t>
      </w:r>
      <w:r>
        <w:rPr>
          <w:sz w:val="24"/>
          <w:szCs w:val="24"/>
        </w:rPr>
        <w:t xml:space="preserve">early </w:t>
      </w:r>
      <w:r>
        <w:rPr>
          <w:sz w:val="24"/>
          <w:szCs w:val="24"/>
        </w:rPr>
        <w:lastRenderedPageBreak/>
        <w:t>death</w:t>
      </w:r>
      <w:r w:rsidR="00A12AF9">
        <w:rPr>
          <w:sz w:val="24"/>
          <w:szCs w:val="24"/>
        </w:rPr>
        <w:t xml:space="preserve">. </w:t>
      </w:r>
      <w:r w:rsidR="00270B47">
        <w:rPr>
          <w:sz w:val="24"/>
          <w:szCs w:val="24"/>
        </w:rPr>
        <w:t>Death due to d</w:t>
      </w:r>
      <w:r w:rsidR="00086845" w:rsidRPr="004D4CF7">
        <w:rPr>
          <w:sz w:val="24"/>
          <w:szCs w:val="24"/>
        </w:rPr>
        <w:t xml:space="preserve">rug misuse </w:t>
      </w:r>
      <w:r w:rsidR="00270B47">
        <w:rPr>
          <w:sz w:val="24"/>
          <w:szCs w:val="24"/>
        </w:rPr>
        <w:t xml:space="preserve">occurs when the underlying cause is </w:t>
      </w:r>
      <w:r w:rsidR="00086845" w:rsidRPr="004D4CF7">
        <w:rPr>
          <w:sz w:val="24"/>
          <w:szCs w:val="24"/>
        </w:rPr>
        <w:t>(a) drug abuse or drug dependence</w:t>
      </w:r>
      <w:r w:rsidR="00270B47">
        <w:rPr>
          <w:sz w:val="24"/>
          <w:szCs w:val="24"/>
        </w:rPr>
        <w:t>;</w:t>
      </w:r>
      <w:r w:rsidR="00086845" w:rsidRPr="004D4CF7">
        <w:rPr>
          <w:sz w:val="24"/>
          <w:szCs w:val="24"/>
        </w:rPr>
        <w:t xml:space="preserve"> or (b) drug poisoning and where any of the substances controlled under the Misuse of Drugs Act 1971 are involved</w:t>
      </w:r>
      <w:r w:rsidR="00270B47">
        <w:rPr>
          <w:sz w:val="24"/>
          <w:szCs w:val="24"/>
        </w:rPr>
        <w:t xml:space="preserve"> </w:t>
      </w:r>
      <w:r w:rsidR="00896A9C">
        <w:rPr>
          <w:sz w:val="24"/>
          <w:szCs w:val="24"/>
        </w:rPr>
        <w:t>[5]</w:t>
      </w:r>
      <w:r w:rsidR="00086845" w:rsidRPr="004D4CF7">
        <w:rPr>
          <w:sz w:val="24"/>
          <w:szCs w:val="24"/>
        </w:rPr>
        <w:t>.</w:t>
      </w:r>
      <w:r w:rsidR="00086845">
        <w:rPr>
          <w:sz w:val="24"/>
          <w:szCs w:val="24"/>
        </w:rPr>
        <w:t xml:space="preserve"> </w:t>
      </w:r>
      <w:r w:rsidR="00621AD4">
        <w:rPr>
          <w:sz w:val="24"/>
          <w:szCs w:val="24"/>
        </w:rPr>
        <w:t xml:space="preserve">In England and Wales, </w:t>
      </w:r>
      <w:r w:rsidR="00FB52F2">
        <w:rPr>
          <w:sz w:val="24"/>
          <w:szCs w:val="24"/>
        </w:rPr>
        <w:t>d</w:t>
      </w:r>
      <w:r w:rsidRPr="004D4CF7">
        <w:rPr>
          <w:sz w:val="24"/>
          <w:szCs w:val="24"/>
        </w:rPr>
        <w:t xml:space="preserve">rug poisoning </w:t>
      </w:r>
      <w:r w:rsidR="00FB52F2">
        <w:rPr>
          <w:sz w:val="24"/>
          <w:szCs w:val="24"/>
        </w:rPr>
        <w:t xml:space="preserve">was </w:t>
      </w:r>
      <w:r w:rsidR="00B953F0">
        <w:rPr>
          <w:sz w:val="24"/>
          <w:szCs w:val="24"/>
        </w:rPr>
        <w:t>responsible</w:t>
      </w:r>
      <w:r w:rsidRPr="004D4CF7">
        <w:rPr>
          <w:sz w:val="24"/>
          <w:szCs w:val="24"/>
        </w:rPr>
        <w:t xml:space="preserve"> for 1 in 6 deaths among people in their 20s and 30s in 201</w:t>
      </w:r>
      <w:r w:rsidR="004A6EBD">
        <w:rPr>
          <w:sz w:val="24"/>
          <w:szCs w:val="24"/>
        </w:rPr>
        <w:t>6</w:t>
      </w:r>
      <w:r w:rsidR="00621AD4">
        <w:rPr>
          <w:sz w:val="24"/>
          <w:szCs w:val="24"/>
        </w:rPr>
        <w:t xml:space="preserve"> </w:t>
      </w:r>
      <w:r w:rsidR="00FB52F2">
        <w:rPr>
          <w:sz w:val="24"/>
          <w:szCs w:val="24"/>
        </w:rPr>
        <w:fldChar w:fldCharType="begin"/>
      </w:r>
      <w:r w:rsidR="00FB52F2">
        <w:rPr>
          <w:sz w:val="24"/>
          <w:szCs w:val="24"/>
        </w:rPr>
        <w:instrText xml:space="preserve"> ADDIN EN.CITE &lt;EndNote&gt;&lt;Cite&gt;&lt;Author&gt;ONS&lt;/Author&gt;&lt;Year&gt;2017&lt;/Year&gt;&lt;RecNum&gt;1619&lt;/RecNum&gt;&lt;DisplayText&gt;[4]&lt;/DisplayText&gt;&lt;record&gt;&lt;rec-number&gt;1619&lt;/rec-number&gt;&lt;foreign-keys&gt;&lt;key app="EN" db-id="xed5td5drr2zppete245fxvldpsrz25rvr59" timestamp="1528888087"&gt;1619&lt;/key&gt;&lt;/foreign-keys&gt;&lt;ref-type name="Government Document"&gt;46&lt;/ref-type&gt;&lt;contributors&gt;&lt;authors&gt;&lt;author&gt;ONS&lt;/author&gt;&lt;/authors&gt;&lt;secondary-authors&gt;&lt;author&gt;Office for National Statistics&lt;/author&gt;&lt;/secondary-authors&gt;&lt;/contributors&gt;&lt;titles&gt;&lt;title&gt;Statistical bulletin: Deaths related to drug poisoning in England and Wales: 2016 registrations&lt;/title&gt;&lt;/titles&gt;&lt;dates&gt;&lt;year&gt;2017&lt;/year&gt;&lt;/dates&gt;&lt;pub-location&gt;&lt;style face="underline" font="default" size="100%"&gt;https://www.ons.gov.uk/peoplepopulationandcommunity/birthsdeathsandmarriages/deaths/bulletins/deathsrelatedtodrugpoisoninginenglandandwales/2016registrations&lt;/style&gt;&lt;/pub-location&gt;&lt;urls&gt;&lt;/urls&gt;&lt;/record&gt;&lt;/Cite&gt;&lt;/EndNote&gt;</w:instrText>
      </w:r>
      <w:r w:rsidR="00FB52F2">
        <w:rPr>
          <w:sz w:val="24"/>
          <w:szCs w:val="24"/>
        </w:rPr>
        <w:fldChar w:fldCharType="separate"/>
      </w:r>
      <w:r w:rsidR="00FB52F2">
        <w:rPr>
          <w:noProof/>
          <w:sz w:val="24"/>
          <w:szCs w:val="24"/>
        </w:rPr>
        <w:t>[4]</w:t>
      </w:r>
      <w:r w:rsidR="00FB52F2">
        <w:rPr>
          <w:sz w:val="24"/>
          <w:szCs w:val="24"/>
        </w:rPr>
        <w:fldChar w:fldCharType="end"/>
      </w:r>
      <w:r w:rsidR="00F47473">
        <w:rPr>
          <w:sz w:val="24"/>
          <w:szCs w:val="24"/>
        </w:rPr>
        <w:t>.</w:t>
      </w:r>
      <w:r>
        <w:rPr>
          <w:sz w:val="24"/>
          <w:szCs w:val="24"/>
        </w:rPr>
        <w:t xml:space="preserve"> </w:t>
      </w:r>
      <w:r w:rsidR="00621AD4">
        <w:rPr>
          <w:sz w:val="24"/>
          <w:szCs w:val="24"/>
        </w:rPr>
        <w:t>D</w:t>
      </w:r>
      <w:r w:rsidR="00FB52F2">
        <w:rPr>
          <w:sz w:val="24"/>
          <w:szCs w:val="24"/>
        </w:rPr>
        <w:t>uring 2016, there were 2,153 recorded deaths in 15</w:t>
      </w:r>
      <w:r w:rsidR="00621AD4">
        <w:rPr>
          <w:sz w:val="24"/>
          <w:szCs w:val="24"/>
        </w:rPr>
        <w:t>-</w:t>
      </w:r>
      <w:r w:rsidR="00FB52F2">
        <w:rPr>
          <w:sz w:val="24"/>
          <w:szCs w:val="24"/>
        </w:rPr>
        <w:t>24 year</w:t>
      </w:r>
      <w:r w:rsidR="00621AD4">
        <w:rPr>
          <w:sz w:val="24"/>
          <w:szCs w:val="24"/>
        </w:rPr>
        <w:t>-old</w:t>
      </w:r>
      <w:r w:rsidR="00FB52F2">
        <w:rPr>
          <w:sz w:val="24"/>
          <w:szCs w:val="24"/>
        </w:rPr>
        <w:t>s (</w:t>
      </w:r>
      <w:r w:rsidR="009F1F5A">
        <w:rPr>
          <w:sz w:val="24"/>
          <w:szCs w:val="24"/>
        </w:rPr>
        <w:t>1</w:t>
      </w:r>
      <w:r w:rsidR="00621AD4">
        <w:rPr>
          <w:sz w:val="24"/>
          <w:szCs w:val="24"/>
        </w:rPr>
        <w:t>,</w:t>
      </w:r>
      <w:r w:rsidR="009F1F5A">
        <w:rPr>
          <w:sz w:val="24"/>
          <w:szCs w:val="24"/>
        </w:rPr>
        <w:t>487 male, 69%</w:t>
      </w:r>
      <w:r w:rsidR="00FB52F2">
        <w:rPr>
          <w:sz w:val="24"/>
          <w:szCs w:val="24"/>
        </w:rPr>
        <w:t>)</w:t>
      </w:r>
      <w:r w:rsidR="00621AD4">
        <w:rPr>
          <w:sz w:val="24"/>
          <w:szCs w:val="24"/>
        </w:rPr>
        <w:t xml:space="preserve"> and </w:t>
      </w:r>
      <w:r w:rsidR="00FB52F2" w:rsidRPr="004A6EBD">
        <w:rPr>
          <w:sz w:val="24"/>
          <w:szCs w:val="24"/>
        </w:rPr>
        <w:t>1</w:t>
      </w:r>
      <w:r w:rsidR="00FB52F2">
        <w:rPr>
          <w:sz w:val="24"/>
          <w:szCs w:val="24"/>
        </w:rPr>
        <w:t>,</w:t>
      </w:r>
      <w:r w:rsidR="00FB52F2" w:rsidRPr="004A6EBD">
        <w:rPr>
          <w:sz w:val="24"/>
          <w:szCs w:val="24"/>
        </w:rPr>
        <w:t xml:space="preserve">244 </w:t>
      </w:r>
      <w:r w:rsidR="00FB52F2">
        <w:rPr>
          <w:sz w:val="24"/>
          <w:szCs w:val="24"/>
        </w:rPr>
        <w:t>(</w:t>
      </w:r>
      <w:r w:rsidR="009F1F5A">
        <w:rPr>
          <w:sz w:val="24"/>
          <w:szCs w:val="24"/>
        </w:rPr>
        <w:t>966 male, 78%</w:t>
      </w:r>
      <w:r w:rsidR="00FB52F2">
        <w:rPr>
          <w:sz w:val="24"/>
          <w:szCs w:val="24"/>
        </w:rPr>
        <w:t xml:space="preserve">) </w:t>
      </w:r>
      <w:r w:rsidR="00FB52F2" w:rsidRPr="004A6EBD">
        <w:rPr>
          <w:sz w:val="24"/>
          <w:szCs w:val="24"/>
        </w:rPr>
        <w:t>were due to ‘External causes of morbidity and mortality’</w:t>
      </w:r>
      <w:r w:rsidR="00896A9C">
        <w:rPr>
          <w:sz w:val="24"/>
          <w:szCs w:val="24"/>
        </w:rPr>
        <w:t xml:space="preserve"> [6]</w:t>
      </w:r>
      <w:r w:rsidR="00FB52F2">
        <w:rPr>
          <w:sz w:val="24"/>
          <w:szCs w:val="24"/>
        </w:rPr>
        <w:t>.</w:t>
      </w:r>
      <w:r w:rsidR="00FB52F2" w:rsidRPr="004A6EBD">
        <w:rPr>
          <w:sz w:val="24"/>
          <w:szCs w:val="24"/>
        </w:rPr>
        <w:t xml:space="preserve"> </w:t>
      </w:r>
    </w:p>
    <w:p w:rsidR="00FC7128" w:rsidRDefault="00FC7128" w:rsidP="00FC7128">
      <w:pPr>
        <w:spacing w:line="360" w:lineRule="auto"/>
        <w:rPr>
          <w:sz w:val="24"/>
          <w:szCs w:val="24"/>
        </w:rPr>
      </w:pPr>
      <w:r>
        <w:rPr>
          <w:sz w:val="24"/>
          <w:szCs w:val="24"/>
        </w:rPr>
        <w:t xml:space="preserve">Death due to </w:t>
      </w:r>
      <w:r w:rsidR="002D09A8">
        <w:rPr>
          <w:sz w:val="24"/>
          <w:szCs w:val="24"/>
        </w:rPr>
        <w:t xml:space="preserve">IMD </w:t>
      </w:r>
      <w:r>
        <w:rPr>
          <w:sz w:val="24"/>
          <w:szCs w:val="24"/>
        </w:rPr>
        <w:t xml:space="preserve">is rare, especially in teenagers. </w:t>
      </w:r>
      <w:r w:rsidR="00366E0E">
        <w:rPr>
          <w:sz w:val="24"/>
          <w:szCs w:val="24"/>
        </w:rPr>
        <w:t>In England, d</w:t>
      </w:r>
      <w:r w:rsidR="003179C3">
        <w:rPr>
          <w:sz w:val="24"/>
          <w:szCs w:val="24"/>
        </w:rPr>
        <w:t xml:space="preserve">uring </w:t>
      </w:r>
      <w:r>
        <w:rPr>
          <w:sz w:val="24"/>
          <w:szCs w:val="24"/>
        </w:rPr>
        <w:t>2014/15</w:t>
      </w:r>
      <w:r w:rsidR="003179C3">
        <w:rPr>
          <w:sz w:val="24"/>
          <w:szCs w:val="24"/>
        </w:rPr>
        <w:t>-</w:t>
      </w:r>
      <w:r>
        <w:rPr>
          <w:sz w:val="24"/>
          <w:szCs w:val="24"/>
        </w:rPr>
        <w:t>2016/17, there were 36</w:t>
      </w:r>
      <w:r w:rsidR="00696198">
        <w:rPr>
          <w:sz w:val="24"/>
          <w:szCs w:val="24"/>
        </w:rPr>
        <w:t>8</w:t>
      </w:r>
      <w:r>
        <w:rPr>
          <w:sz w:val="24"/>
          <w:szCs w:val="24"/>
        </w:rPr>
        <w:t xml:space="preserve"> IMD cases (</w:t>
      </w:r>
      <w:r w:rsidR="00F47473">
        <w:rPr>
          <w:sz w:val="24"/>
          <w:szCs w:val="24"/>
        </w:rPr>
        <w:t>138 cases</w:t>
      </w:r>
      <w:r w:rsidR="003179C3">
        <w:rPr>
          <w:sz w:val="24"/>
          <w:szCs w:val="24"/>
        </w:rPr>
        <w:t xml:space="preserve"> in 2016/17; </w:t>
      </w:r>
      <w:r>
        <w:rPr>
          <w:sz w:val="24"/>
          <w:szCs w:val="24"/>
        </w:rPr>
        <w:t>incidence</w:t>
      </w:r>
      <w:r w:rsidR="003179C3">
        <w:rPr>
          <w:sz w:val="24"/>
          <w:szCs w:val="24"/>
        </w:rPr>
        <w:t>,</w:t>
      </w:r>
      <w:r>
        <w:rPr>
          <w:sz w:val="24"/>
          <w:szCs w:val="24"/>
        </w:rPr>
        <w:t xml:space="preserve"> 1.8</w:t>
      </w:r>
      <w:r w:rsidR="003179C3">
        <w:rPr>
          <w:sz w:val="24"/>
          <w:szCs w:val="24"/>
        </w:rPr>
        <w:t>/</w:t>
      </w:r>
      <w:r>
        <w:rPr>
          <w:sz w:val="24"/>
          <w:szCs w:val="24"/>
        </w:rPr>
        <w:t xml:space="preserve"> 100,000</w:t>
      </w:r>
      <w:r w:rsidR="003179C3">
        <w:rPr>
          <w:sz w:val="24"/>
          <w:szCs w:val="24"/>
        </w:rPr>
        <w:t>)</w:t>
      </w:r>
      <w:r>
        <w:rPr>
          <w:sz w:val="24"/>
          <w:szCs w:val="24"/>
        </w:rPr>
        <w:t xml:space="preserve"> and 23 deaths </w:t>
      </w:r>
      <w:r w:rsidR="00366E0E">
        <w:rPr>
          <w:sz w:val="24"/>
          <w:szCs w:val="24"/>
        </w:rPr>
        <w:t xml:space="preserve">recorded on the death certificates among </w:t>
      </w:r>
      <w:r>
        <w:rPr>
          <w:sz w:val="24"/>
          <w:szCs w:val="24"/>
        </w:rPr>
        <w:t>15-24 year-olds</w:t>
      </w:r>
      <w:r w:rsidR="00657C3E">
        <w:rPr>
          <w:sz w:val="24"/>
          <w:szCs w:val="24"/>
        </w:rPr>
        <w:t xml:space="preserve"> (</w:t>
      </w:r>
      <w:r w:rsidR="00366E0E">
        <w:rPr>
          <w:sz w:val="24"/>
          <w:szCs w:val="24"/>
        </w:rPr>
        <w:t xml:space="preserve">case fatality rate </w:t>
      </w:r>
      <w:r>
        <w:rPr>
          <w:sz w:val="24"/>
          <w:szCs w:val="24"/>
        </w:rPr>
        <w:t>6%, equivalent to a</w:t>
      </w:r>
      <w:r w:rsidR="00366E0E">
        <w:rPr>
          <w:sz w:val="24"/>
          <w:szCs w:val="24"/>
        </w:rPr>
        <w:t>n annual</w:t>
      </w:r>
      <w:r>
        <w:rPr>
          <w:sz w:val="24"/>
          <w:szCs w:val="24"/>
        </w:rPr>
        <w:t xml:space="preserve"> mortality rate of </w:t>
      </w:r>
      <w:r w:rsidR="00366E0E">
        <w:rPr>
          <w:sz w:val="24"/>
          <w:szCs w:val="24"/>
        </w:rPr>
        <w:t>~</w:t>
      </w:r>
      <w:r>
        <w:rPr>
          <w:sz w:val="24"/>
          <w:szCs w:val="24"/>
        </w:rPr>
        <w:t>1 per million</w:t>
      </w:r>
      <w:r w:rsidR="00366E0E">
        <w:rPr>
          <w:sz w:val="24"/>
          <w:szCs w:val="24"/>
        </w:rPr>
        <w:t>)</w:t>
      </w:r>
      <w:r>
        <w:rPr>
          <w:sz w:val="24"/>
          <w:szCs w:val="24"/>
        </w:rPr>
        <w:t xml:space="preserve">. Additionally, enhanced national IMD surveillance through PHE identified </w:t>
      </w:r>
      <w:r w:rsidR="00505FFB">
        <w:rPr>
          <w:sz w:val="24"/>
          <w:szCs w:val="24"/>
        </w:rPr>
        <w:t xml:space="preserve">only </w:t>
      </w:r>
      <w:r>
        <w:rPr>
          <w:sz w:val="24"/>
          <w:szCs w:val="24"/>
        </w:rPr>
        <w:t xml:space="preserve">four </w:t>
      </w:r>
      <w:r w:rsidR="00366E0E">
        <w:rPr>
          <w:sz w:val="24"/>
          <w:szCs w:val="24"/>
        </w:rPr>
        <w:t xml:space="preserve">additional </w:t>
      </w:r>
      <w:r w:rsidR="00E0189D">
        <w:rPr>
          <w:sz w:val="24"/>
          <w:szCs w:val="24"/>
        </w:rPr>
        <w:t xml:space="preserve">IMD-associated </w:t>
      </w:r>
      <w:r>
        <w:rPr>
          <w:sz w:val="24"/>
          <w:szCs w:val="24"/>
        </w:rPr>
        <w:t>deaths in 15-2</w:t>
      </w:r>
      <w:r w:rsidR="00366E0E">
        <w:rPr>
          <w:sz w:val="24"/>
          <w:szCs w:val="24"/>
        </w:rPr>
        <w:t>4 year olds over the same three-</w:t>
      </w:r>
      <w:r>
        <w:rPr>
          <w:sz w:val="24"/>
          <w:szCs w:val="24"/>
        </w:rPr>
        <w:t>year period.</w:t>
      </w:r>
    </w:p>
    <w:p w:rsidR="00C24725" w:rsidRDefault="007A2960" w:rsidP="00C24725">
      <w:pPr>
        <w:spacing w:line="360" w:lineRule="auto"/>
        <w:rPr>
          <w:sz w:val="24"/>
          <w:szCs w:val="24"/>
        </w:rPr>
      </w:pPr>
      <w:r>
        <w:rPr>
          <w:sz w:val="24"/>
          <w:szCs w:val="24"/>
        </w:rPr>
        <w:t>Whilst recognising that dru</w:t>
      </w:r>
      <w:r w:rsidR="004D6711">
        <w:rPr>
          <w:sz w:val="24"/>
          <w:szCs w:val="24"/>
        </w:rPr>
        <w:t xml:space="preserve">g use and drug dependence are </w:t>
      </w:r>
      <w:r>
        <w:rPr>
          <w:sz w:val="24"/>
          <w:szCs w:val="24"/>
        </w:rPr>
        <w:t>leading cause</w:t>
      </w:r>
      <w:r w:rsidR="004D6711">
        <w:rPr>
          <w:sz w:val="24"/>
          <w:szCs w:val="24"/>
        </w:rPr>
        <w:t>s</w:t>
      </w:r>
      <w:r>
        <w:rPr>
          <w:sz w:val="24"/>
          <w:szCs w:val="24"/>
        </w:rPr>
        <w:t xml:space="preserve"> of death in teenagers and young adults, </w:t>
      </w:r>
      <w:r w:rsidR="00E0189D">
        <w:rPr>
          <w:sz w:val="24"/>
          <w:szCs w:val="24"/>
        </w:rPr>
        <w:t>it is important to consider an infectious cause, especially when infection-related symptoms precede the death, even if there is a history of social activity or behaviour which may increase suspicion for drug misuse, such as clubbing, recent recreational drug taking or alcohol consumption</w:t>
      </w:r>
      <w:r w:rsidR="00A87F9A">
        <w:rPr>
          <w:sz w:val="24"/>
          <w:szCs w:val="24"/>
        </w:rPr>
        <w:t>, which is common in this age-</w:t>
      </w:r>
      <w:r w:rsidR="00505FFB">
        <w:rPr>
          <w:sz w:val="24"/>
          <w:szCs w:val="24"/>
        </w:rPr>
        <w:t>group</w:t>
      </w:r>
      <w:r w:rsidR="00E0189D">
        <w:rPr>
          <w:sz w:val="24"/>
          <w:szCs w:val="24"/>
        </w:rPr>
        <w:t xml:space="preserve">. </w:t>
      </w:r>
      <w:r w:rsidR="008364E2">
        <w:rPr>
          <w:sz w:val="24"/>
          <w:szCs w:val="24"/>
        </w:rPr>
        <w:t>New universit</w:t>
      </w:r>
      <w:r w:rsidR="00AC528F">
        <w:rPr>
          <w:sz w:val="24"/>
          <w:szCs w:val="24"/>
        </w:rPr>
        <w:t xml:space="preserve">y entrants, especially those in halls of residence, </w:t>
      </w:r>
      <w:r w:rsidR="00E0189D">
        <w:rPr>
          <w:sz w:val="24"/>
          <w:szCs w:val="24"/>
        </w:rPr>
        <w:t xml:space="preserve">have a </w:t>
      </w:r>
      <w:r w:rsidR="00AC528F">
        <w:rPr>
          <w:sz w:val="24"/>
          <w:szCs w:val="24"/>
        </w:rPr>
        <w:t>&gt;</w:t>
      </w:r>
      <w:r w:rsidR="00E0189D">
        <w:rPr>
          <w:sz w:val="24"/>
          <w:szCs w:val="24"/>
        </w:rPr>
        <w:t>1</w:t>
      </w:r>
      <w:r w:rsidR="00AC528F">
        <w:rPr>
          <w:sz w:val="24"/>
          <w:szCs w:val="24"/>
        </w:rPr>
        <w:t>0</w:t>
      </w:r>
      <w:r w:rsidR="00E0189D">
        <w:rPr>
          <w:sz w:val="24"/>
          <w:szCs w:val="24"/>
        </w:rPr>
        <w:t xml:space="preserve">-fold higher risk of developing IMD compared to </w:t>
      </w:r>
      <w:r w:rsidR="00AC528F">
        <w:rPr>
          <w:sz w:val="24"/>
          <w:szCs w:val="24"/>
        </w:rPr>
        <w:t xml:space="preserve">those in the same age-group who are not </w:t>
      </w:r>
      <w:r w:rsidR="00E0189D">
        <w:rPr>
          <w:sz w:val="24"/>
          <w:szCs w:val="24"/>
        </w:rPr>
        <w:t>attend</w:t>
      </w:r>
      <w:r w:rsidR="00AC528F">
        <w:rPr>
          <w:sz w:val="24"/>
          <w:szCs w:val="24"/>
        </w:rPr>
        <w:t>ing</w:t>
      </w:r>
      <w:r w:rsidR="00E0189D">
        <w:rPr>
          <w:sz w:val="24"/>
          <w:szCs w:val="24"/>
        </w:rPr>
        <w:t xml:space="preserve"> university</w:t>
      </w:r>
      <w:r w:rsidR="00896A9C">
        <w:rPr>
          <w:sz w:val="24"/>
          <w:szCs w:val="24"/>
        </w:rPr>
        <w:t xml:space="preserve"> [7]</w:t>
      </w:r>
      <w:r w:rsidR="00C85D63">
        <w:rPr>
          <w:sz w:val="24"/>
          <w:szCs w:val="24"/>
        </w:rPr>
        <w:t>.</w:t>
      </w:r>
    </w:p>
    <w:p w:rsidR="00E0189D" w:rsidRDefault="00E0189D" w:rsidP="00E0189D">
      <w:pPr>
        <w:spacing w:line="360" w:lineRule="auto"/>
        <w:rPr>
          <w:sz w:val="24"/>
          <w:szCs w:val="24"/>
        </w:rPr>
      </w:pPr>
      <w:r>
        <w:rPr>
          <w:sz w:val="24"/>
          <w:szCs w:val="24"/>
        </w:rPr>
        <w:t xml:space="preserve"> </w:t>
      </w:r>
      <w:r w:rsidR="00C827B7">
        <w:rPr>
          <w:sz w:val="24"/>
          <w:szCs w:val="24"/>
        </w:rPr>
        <w:t>E</w:t>
      </w:r>
      <w:r>
        <w:rPr>
          <w:sz w:val="24"/>
          <w:szCs w:val="24"/>
        </w:rPr>
        <w:t xml:space="preserve">arly recognition of IMD </w:t>
      </w:r>
      <w:r w:rsidR="00C01FF1">
        <w:rPr>
          <w:sz w:val="24"/>
          <w:szCs w:val="24"/>
        </w:rPr>
        <w:t>cases is important</w:t>
      </w:r>
      <w:r>
        <w:rPr>
          <w:sz w:val="24"/>
          <w:szCs w:val="24"/>
        </w:rPr>
        <w:t>:</w:t>
      </w:r>
    </w:p>
    <w:p w:rsidR="00796C91" w:rsidRPr="00064484" w:rsidRDefault="00796C91" w:rsidP="00796C91">
      <w:pPr>
        <w:pStyle w:val="ListParagraph"/>
        <w:numPr>
          <w:ilvl w:val="0"/>
          <w:numId w:val="10"/>
        </w:numPr>
        <w:spacing w:line="360" w:lineRule="auto"/>
        <w:rPr>
          <w:sz w:val="24"/>
          <w:szCs w:val="24"/>
        </w:rPr>
      </w:pPr>
      <w:r>
        <w:rPr>
          <w:sz w:val="24"/>
          <w:szCs w:val="24"/>
        </w:rPr>
        <w:t xml:space="preserve">So that families are </w:t>
      </w:r>
      <w:r w:rsidR="00AC528F">
        <w:rPr>
          <w:sz w:val="24"/>
          <w:szCs w:val="24"/>
        </w:rPr>
        <w:t xml:space="preserve">appropriately </w:t>
      </w:r>
      <w:r>
        <w:rPr>
          <w:sz w:val="24"/>
          <w:szCs w:val="24"/>
        </w:rPr>
        <w:t>and accurately informed without undue delay.</w:t>
      </w:r>
    </w:p>
    <w:p w:rsidR="00E0189D" w:rsidRDefault="00E0189D" w:rsidP="00E0189D">
      <w:pPr>
        <w:pStyle w:val="ListParagraph"/>
        <w:numPr>
          <w:ilvl w:val="0"/>
          <w:numId w:val="10"/>
        </w:numPr>
        <w:spacing w:line="360" w:lineRule="auto"/>
        <w:rPr>
          <w:sz w:val="24"/>
          <w:szCs w:val="24"/>
        </w:rPr>
      </w:pPr>
      <w:r>
        <w:rPr>
          <w:sz w:val="24"/>
          <w:szCs w:val="24"/>
        </w:rPr>
        <w:t>To ensure timely and appropriate public health actions to minimise the short</w:t>
      </w:r>
      <w:r w:rsidR="00AC528F">
        <w:rPr>
          <w:sz w:val="24"/>
          <w:szCs w:val="24"/>
        </w:rPr>
        <w:t>-term and long-</w:t>
      </w:r>
      <w:r>
        <w:rPr>
          <w:sz w:val="24"/>
          <w:szCs w:val="24"/>
        </w:rPr>
        <w:t>term risk in close contacts of the case</w:t>
      </w:r>
      <w:r w:rsidR="00C85D63">
        <w:rPr>
          <w:sz w:val="24"/>
          <w:szCs w:val="24"/>
        </w:rPr>
        <w:t>, including rapid antibiotic chemoprophylaxis and vaccination</w:t>
      </w:r>
      <w:r w:rsidR="00796C91">
        <w:rPr>
          <w:sz w:val="24"/>
          <w:szCs w:val="24"/>
        </w:rPr>
        <w:t xml:space="preserve"> where appropriate</w:t>
      </w:r>
      <w:r>
        <w:rPr>
          <w:sz w:val="24"/>
          <w:szCs w:val="24"/>
        </w:rPr>
        <w:t>;</w:t>
      </w:r>
    </w:p>
    <w:p w:rsidR="00E0189D" w:rsidRDefault="00E0189D" w:rsidP="00E0189D">
      <w:pPr>
        <w:pStyle w:val="ListParagraph"/>
        <w:numPr>
          <w:ilvl w:val="0"/>
          <w:numId w:val="10"/>
        </w:numPr>
        <w:spacing w:line="360" w:lineRule="auto"/>
        <w:rPr>
          <w:sz w:val="24"/>
          <w:szCs w:val="24"/>
        </w:rPr>
      </w:pPr>
      <w:r>
        <w:rPr>
          <w:sz w:val="24"/>
          <w:szCs w:val="24"/>
        </w:rPr>
        <w:t>To facilitate monitoring of outbreaks through disease surveillance</w:t>
      </w:r>
      <w:r w:rsidR="00ED022A">
        <w:rPr>
          <w:sz w:val="24"/>
          <w:szCs w:val="24"/>
        </w:rPr>
        <w:t>;</w:t>
      </w:r>
      <w:r w:rsidR="00E22D29">
        <w:rPr>
          <w:sz w:val="24"/>
          <w:szCs w:val="24"/>
        </w:rPr>
        <w:t xml:space="preserve"> timely identification of an outbreak could potentially lead to implementation of mass chemoprophylaxis with or without vaccination to prevent further cases from occurring.</w:t>
      </w:r>
    </w:p>
    <w:p w:rsidR="00E0189D" w:rsidRDefault="00E0189D" w:rsidP="00E0189D">
      <w:pPr>
        <w:pStyle w:val="ListParagraph"/>
        <w:numPr>
          <w:ilvl w:val="0"/>
          <w:numId w:val="10"/>
        </w:numPr>
        <w:spacing w:line="360" w:lineRule="auto"/>
        <w:rPr>
          <w:sz w:val="24"/>
          <w:szCs w:val="24"/>
        </w:rPr>
      </w:pPr>
      <w:r>
        <w:rPr>
          <w:sz w:val="24"/>
          <w:szCs w:val="24"/>
        </w:rPr>
        <w:lastRenderedPageBreak/>
        <w:t xml:space="preserve">To ensure that any specific characteristics of circulating strains are identified so that clinicians can be informed, such as </w:t>
      </w:r>
      <w:r w:rsidR="00963EBE">
        <w:rPr>
          <w:sz w:val="24"/>
          <w:szCs w:val="24"/>
        </w:rPr>
        <w:t xml:space="preserve">group </w:t>
      </w:r>
      <w:r>
        <w:rPr>
          <w:sz w:val="24"/>
          <w:szCs w:val="24"/>
        </w:rPr>
        <w:t>W disease and gastrointestinal presentation</w:t>
      </w:r>
      <w:r w:rsidR="00896A9C">
        <w:rPr>
          <w:sz w:val="24"/>
          <w:szCs w:val="24"/>
        </w:rPr>
        <w:t xml:space="preserve"> [8]</w:t>
      </w:r>
      <w:r w:rsidR="00796C91">
        <w:rPr>
          <w:sz w:val="24"/>
          <w:szCs w:val="24"/>
        </w:rPr>
        <w:t>.</w:t>
      </w:r>
    </w:p>
    <w:p w:rsidR="00E22D29" w:rsidRDefault="00155D76" w:rsidP="005377B4">
      <w:pPr>
        <w:spacing w:line="360" w:lineRule="auto"/>
        <w:rPr>
          <w:sz w:val="24"/>
          <w:szCs w:val="24"/>
        </w:rPr>
      </w:pPr>
      <w:r>
        <w:rPr>
          <w:sz w:val="24"/>
          <w:szCs w:val="24"/>
        </w:rPr>
        <w:t>Whils</w:t>
      </w:r>
      <w:r w:rsidR="007B04B1">
        <w:rPr>
          <w:sz w:val="24"/>
          <w:szCs w:val="24"/>
        </w:rPr>
        <w:t>t</w:t>
      </w:r>
      <w:r>
        <w:rPr>
          <w:sz w:val="24"/>
          <w:szCs w:val="24"/>
        </w:rPr>
        <w:t xml:space="preserve"> d</w:t>
      </w:r>
      <w:r w:rsidR="00AC2801">
        <w:rPr>
          <w:sz w:val="24"/>
          <w:szCs w:val="24"/>
        </w:rPr>
        <w:t>r</w:t>
      </w:r>
      <w:r>
        <w:rPr>
          <w:sz w:val="24"/>
          <w:szCs w:val="24"/>
        </w:rPr>
        <w:t xml:space="preserve">ug misuse remains the most important cause of sudden and unexpected death in teenagers and young adults, other causes, especially those related to infection, should be considered. In particular, confirming IMD is critical because of potential clinical and public health implications for the family and the wider community. Since administering antibiotics prior to taking microbiological specimens is likely to yield negative bacterial cultures, additional investigations such as molecular testing, including PCR-testing for IMD and other infectious diseases, should be routinely performed in all fatal cases where the cause of death is not ascertained. </w:t>
      </w:r>
    </w:p>
    <w:p w:rsidR="00E51E93" w:rsidRDefault="00E51E93" w:rsidP="005377B4">
      <w:pPr>
        <w:spacing w:line="360" w:lineRule="auto"/>
        <w:rPr>
          <w:sz w:val="24"/>
          <w:szCs w:val="24"/>
        </w:rPr>
      </w:pPr>
    </w:p>
    <w:p w:rsidR="00E51E93" w:rsidRDefault="00E51E93" w:rsidP="005377B4">
      <w:pPr>
        <w:spacing w:line="360" w:lineRule="auto"/>
        <w:rPr>
          <w:sz w:val="24"/>
          <w:szCs w:val="24"/>
        </w:rPr>
      </w:pPr>
    </w:p>
    <w:p w:rsidR="003C2CBE" w:rsidRPr="0022297C" w:rsidRDefault="003C2CBE" w:rsidP="005377B4">
      <w:pPr>
        <w:numPr>
          <w:ilvl w:val="0"/>
          <w:numId w:val="12"/>
        </w:numPr>
        <w:shd w:val="clear" w:color="auto" w:fill="FFFFFF"/>
        <w:tabs>
          <w:tab w:val="clear" w:pos="720"/>
          <w:tab w:val="num" w:pos="284"/>
        </w:tabs>
        <w:spacing w:before="100" w:beforeAutospacing="1" w:after="96" w:line="360" w:lineRule="auto"/>
        <w:ind w:left="142" w:hanging="142"/>
        <w:rPr>
          <w:b/>
          <w:sz w:val="24"/>
          <w:szCs w:val="24"/>
        </w:rPr>
      </w:pPr>
      <w:r w:rsidRPr="0022297C">
        <w:rPr>
          <w:b/>
          <w:sz w:val="24"/>
          <w:szCs w:val="24"/>
        </w:rPr>
        <w:t>Consent for publication</w:t>
      </w:r>
      <w:r w:rsidR="00E51E93">
        <w:rPr>
          <w:b/>
          <w:sz w:val="24"/>
          <w:szCs w:val="24"/>
        </w:rPr>
        <w:t>:</w:t>
      </w:r>
    </w:p>
    <w:p w:rsidR="003C2CBE" w:rsidRPr="00C827B7" w:rsidRDefault="003C2CBE" w:rsidP="005377B4">
      <w:pPr>
        <w:shd w:val="clear" w:color="auto" w:fill="FFFFFF"/>
        <w:tabs>
          <w:tab w:val="num" w:pos="284"/>
        </w:tabs>
        <w:spacing w:before="100" w:beforeAutospacing="1" w:after="96" w:line="360" w:lineRule="auto"/>
        <w:ind w:left="142" w:hanging="142"/>
        <w:rPr>
          <w:sz w:val="24"/>
          <w:szCs w:val="24"/>
        </w:rPr>
      </w:pPr>
      <w:r w:rsidRPr="00C827B7">
        <w:rPr>
          <w:sz w:val="24"/>
          <w:szCs w:val="24"/>
        </w:rPr>
        <w:t>Written informed consent was obtained from the parent of this patient for publication of the case report</w:t>
      </w:r>
    </w:p>
    <w:p w:rsidR="003C2CBE" w:rsidRPr="0022297C" w:rsidRDefault="003C2CBE" w:rsidP="005377B4">
      <w:pPr>
        <w:numPr>
          <w:ilvl w:val="0"/>
          <w:numId w:val="12"/>
        </w:numPr>
        <w:shd w:val="clear" w:color="auto" w:fill="FFFFFF"/>
        <w:tabs>
          <w:tab w:val="clear" w:pos="720"/>
          <w:tab w:val="num" w:pos="284"/>
        </w:tabs>
        <w:spacing w:before="100" w:beforeAutospacing="1" w:after="96" w:line="360" w:lineRule="auto"/>
        <w:ind w:left="142" w:hanging="142"/>
        <w:rPr>
          <w:b/>
          <w:sz w:val="24"/>
          <w:szCs w:val="24"/>
        </w:rPr>
      </w:pPr>
      <w:r w:rsidRPr="0022297C">
        <w:rPr>
          <w:b/>
          <w:sz w:val="24"/>
          <w:szCs w:val="24"/>
        </w:rPr>
        <w:t>Competing interests</w:t>
      </w:r>
    </w:p>
    <w:p w:rsidR="002A54AB" w:rsidRPr="00C827B7" w:rsidRDefault="003C2CBE" w:rsidP="008019DC">
      <w:pPr>
        <w:shd w:val="clear" w:color="auto" w:fill="FFFFFF"/>
        <w:tabs>
          <w:tab w:val="num" w:pos="284"/>
        </w:tabs>
        <w:spacing w:before="100" w:beforeAutospacing="1" w:after="96" w:line="360" w:lineRule="auto"/>
        <w:rPr>
          <w:sz w:val="24"/>
          <w:szCs w:val="24"/>
        </w:rPr>
      </w:pPr>
      <w:r w:rsidRPr="00C827B7">
        <w:rPr>
          <w:sz w:val="24"/>
          <w:szCs w:val="24"/>
        </w:rPr>
        <w:t>HC</w:t>
      </w:r>
      <w:r w:rsidR="008019DC">
        <w:rPr>
          <w:sz w:val="24"/>
          <w:szCs w:val="24"/>
        </w:rPr>
        <w:t>, CA, MR</w:t>
      </w:r>
      <w:r w:rsidRPr="00C827B7">
        <w:rPr>
          <w:sz w:val="24"/>
          <w:szCs w:val="24"/>
        </w:rPr>
        <w:t xml:space="preserve"> and SL have no personal competing interest. </w:t>
      </w:r>
      <w:r w:rsidR="008019DC">
        <w:rPr>
          <w:sz w:val="24"/>
          <w:szCs w:val="24"/>
        </w:rPr>
        <w:t xml:space="preserve">MR </w:t>
      </w:r>
      <w:r w:rsidR="001824FF">
        <w:rPr>
          <w:sz w:val="24"/>
          <w:szCs w:val="24"/>
        </w:rPr>
        <w:t xml:space="preserve">is a </w:t>
      </w:r>
      <w:r w:rsidR="001824FF" w:rsidRPr="001824FF">
        <w:rPr>
          <w:sz w:val="24"/>
          <w:szCs w:val="24"/>
        </w:rPr>
        <w:t xml:space="preserve">medical advisor </w:t>
      </w:r>
      <w:r w:rsidR="004D6711" w:rsidRPr="001824FF">
        <w:rPr>
          <w:sz w:val="24"/>
          <w:szCs w:val="24"/>
        </w:rPr>
        <w:t xml:space="preserve">and on the research panel </w:t>
      </w:r>
      <w:r w:rsidR="001824FF" w:rsidRPr="001824FF">
        <w:rPr>
          <w:sz w:val="24"/>
          <w:szCs w:val="24"/>
        </w:rPr>
        <w:t xml:space="preserve">for </w:t>
      </w:r>
      <w:r w:rsidR="001824FF">
        <w:rPr>
          <w:sz w:val="24"/>
          <w:szCs w:val="24"/>
        </w:rPr>
        <w:t xml:space="preserve">the </w:t>
      </w:r>
      <w:r w:rsidR="001824FF" w:rsidRPr="001824FF">
        <w:rPr>
          <w:sz w:val="24"/>
          <w:szCs w:val="24"/>
        </w:rPr>
        <w:t xml:space="preserve">MRF </w:t>
      </w:r>
      <w:r w:rsidR="004D6711">
        <w:rPr>
          <w:sz w:val="24"/>
          <w:szCs w:val="24"/>
        </w:rPr>
        <w:t xml:space="preserve">and </w:t>
      </w:r>
      <w:r w:rsidR="001824FF" w:rsidRPr="001824FF">
        <w:rPr>
          <w:sz w:val="24"/>
          <w:szCs w:val="24"/>
        </w:rPr>
        <w:t>MenNow</w:t>
      </w:r>
      <w:r w:rsidR="001824FF">
        <w:rPr>
          <w:sz w:val="24"/>
          <w:szCs w:val="24"/>
        </w:rPr>
        <w:t xml:space="preserve"> charities</w:t>
      </w:r>
      <w:r w:rsidR="004D6711">
        <w:rPr>
          <w:sz w:val="24"/>
          <w:szCs w:val="24"/>
        </w:rPr>
        <w:t xml:space="preserve"> respectively</w:t>
      </w:r>
      <w:r w:rsidR="001824FF">
        <w:rPr>
          <w:sz w:val="24"/>
          <w:szCs w:val="24"/>
        </w:rPr>
        <w:t xml:space="preserve">. </w:t>
      </w:r>
      <w:r w:rsidR="008019DC" w:rsidRPr="008019DC">
        <w:rPr>
          <w:sz w:val="24"/>
          <w:szCs w:val="24"/>
        </w:rPr>
        <w:t>PHE Immunisation and Countermeasures has provided vaccine manufactures with post-marketing surveillance reports which the companies are required to submit to the UK Licensing authority in compliance with their Risk Management Strategy. In acc</w:t>
      </w:r>
      <w:r w:rsidR="008019DC">
        <w:rPr>
          <w:sz w:val="24"/>
          <w:szCs w:val="24"/>
        </w:rPr>
        <w:t xml:space="preserve">ordance </w:t>
      </w:r>
      <w:r w:rsidR="008019DC" w:rsidRPr="008019DC">
        <w:rPr>
          <w:sz w:val="24"/>
          <w:szCs w:val="24"/>
        </w:rPr>
        <w:t>with PHE policy a cost recovery charge is made for these reports.</w:t>
      </w:r>
      <w:r w:rsidR="00E51E93">
        <w:rPr>
          <w:sz w:val="24"/>
          <w:szCs w:val="24"/>
        </w:rPr>
        <w:t xml:space="preserve"> </w:t>
      </w:r>
      <w:r w:rsidR="002A54AB">
        <w:rPr>
          <w:sz w:val="24"/>
          <w:szCs w:val="24"/>
        </w:rPr>
        <w:t>RB performs contract research on behalf of Public Health England for GSK, Pfizer and Sanofi Pasteur.</w:t>
      </w:r>
    </w:p>
    <w:p w:rsidR="003C2CBE" w:rsidRPr="0022297C" w:rsidRDefault="003C2CBE" w:rsidP="005377B4">
      <w:pPr>
        <w:numPr>
          <w:ilvl w:val="0"/>
          <w:numId w:val="12"/>
        </w:numPr>
        <w:shd w:val="clear" w:color="auto" w:fill="FFFFFF"/>
        <w:tabs>
          <w:tab w:val="clear" w:pos="720"/>
          <w:tab w:val="num" w:pos="284"/>
        </w:tabs>
        <w:spacing w:before="100" w:beforeAutospacing="1" w:after="96" w:line="360" w:lineRule="auto"/>
        <w:ind w:left="142" w:hanging="142"/>
        <w:rPr>
          <w:b/>
          <w:sz w:val="24"/>
          <w:szCs w:val="24"/>
        </w:rPr>
      </w:pPr>
      <w:r w:rsidRPr="0022297C">
        <w:rPr>
          <w:b/>
          <w:sz w:val="24"/>
          <w:szCs w:val="24"/>
        </w:rPr>
        <w:t>Funding</w:t>
      </w:r>
    </w:p>
    <w:p w:rsidR="003C2CBE" w:rsidRPr="00C827B7" w:rsidRDefault="00374401" w:rsidP="005377B4">
      <w:pPr>
        <w:shd w:val="clear" w:color="auto" w:fill="FFFFFF"/>
        <w:tabs>
          <w:tab w:val="num" w:pos="284"/>
        </w:tabs>
        <w:spacing w:before="100" w:beforeAutospacing="1" w:after="96" w:line="360" w:lineRule="auto"/>
        <w:ind w:left="142" w:hanging="142"/>
        <w:rPr>
          <w:sz w:val="24"/>
          <w:szCs w:val="24"/>
        </w:rPr>
      </w:pPr>
      <w:r w:rsidRPr="00C827B7">
        <w:rPr>
          <w:sz w:val="24"/>
          <w:szCs w:val="24"/>
        </w:rPr>
        <w:t>No</w:t>
      </w:r>
      <w:r w:rsidR="00E51E93">
        <w:rPr>
          <w:sz w:val="24"/>
          <w:szCs w:val="24"/>
        </w:rPr>
        <w:t>ne</w:t>
      </w:r>
    </w:p>
    <w:p w:rsidR="003C2CBE" w:rsidRPr="0022297C" w:rsidRDefault="003C2CBE" w:rsidP="005377B4">
      <w:pPr>
        <w:numPr>
          <w:ilvl w:val="0"/>
          <w:numId w:val="12"/>
        </w:numPr>
        <w:shd w:val="clear" w:color="auto" w:fill="FFFFFF"/>
        <w:tabs>
          <w:tab w:val="clear" w:pos="720"/>
          <w:tab w:val="num" w:pos="284"/>
        </w:tabs>
        <w:spacing w:before="100" w:beforeAutospacing="1" w:after="96" w:line="360" w:lineRule="auto"/>
        <w:ind w:left="142" w:hanging="142"/>
        <w:rPr>
          <w:b/>
          <w:sz w:val="24"/>
          <w:szCs w:val="24"/>
        </w:rPr>
      </w:pPr>
      <w:r w:rsidRPr="0022297C">
        <w:rPr>
          <w:b/>
          <w:sz w:val="24"/>
          <w:szCs w:val="24"/>
        </w:rPr>
        <w:t>Acknowledgements</w:t>
      </w:r>
    </w:p>
    <w:p w:rsidR="00374401" w:rsidRDefault="00374401" w:rsidP="005377B4">
      <w:pPr>
        <w:shd w:val="clear" w:color="auto" w:fill="FFFFFF"/>
        <w:tabs>
          <w:tab w:val="num" w:pos="284"/>
        </w:tabs>
        <w:spacing w:before="100" w:beforeAutospacing="1" w:after="96" w:line="360" w:lineRule="auto"/>
        <w:rPr>
          <w:sz w:val="24"/>
          <w:szCs w:val="24"/>
        </w:rPr>
      </w:pPr>
      <w:r w:rsidRPr="00C827B7">
        <w:rPr>
          <w:sz w:val="24"/>
          <w:szCs w:val="24"/>
        </w:rPr>
        <w:t>We would like to thank the parents of this case for sharing their experiences and Steve Dayman of Meningitis Now for his support in generating this case report</w:t>
      </w:r>
      <w:r w:rsidR="00F6270F" w:rsidRPr="00C827B7">
        <w:rPr>
          <w:sz w:val="24"/>
          <w:szCs w:val="24"/>
        </w:rPr>
        <w:t>.</w:t>
      </w:r>
      <w:r w:rsidRPr="00C827B7">
        <w:rPr>
          <w:sz w:val="24"/>
          <w:szCs w:val="24"/>
        </w:rPr>
        <w:t xml:space="preserve"> </w:t>
      </w:r>
      <w:r w:rsidR="00F6270F" w:rsidRPr="00C827B7">
        <w:rPr>
          <w:sz w:val="24"/>
          <w:szCs w:val="24"/>
        </w:rPr>
        <w:t>Meningitis Now and</w:t>
      </w:r>
      <w:r w:rsidRPr="00C827B7">
        <w:rPr>
          <w:sz w:val="24"/>
          <w:szCs w:val="24"/>
        </w:rPr>
        <w:t xml:space="preserve"> </w:t>
      </w:r>
      <w:r w:rsidR="00F6270F" w:rsidRPr="00C827B7">
        <w:rPr>
          <w:sz w:val="24"/>
          <w:szCs w:val="24"/>
        </w:rPr>
        <w:t xml:space="preserve">the Meningococcal Research Foundation were very keen to highlight the </w:t>
      </w:r>
      <w:r w:rsidR="00796C91">
        <w:rPr>
          <w:sz w:val="24"/>
          <w:szCs w:val="24"/>
        </w:rPr>
        <w:t xml:space="preserve">importance </w:t>
      </w:r>
      <w:r w:rsidR="00F6270F" w:rsidRPr="00C827B7">
        <w:rPr>
          <w:sz w:val="24"/>
          <w:szCs w:val="24"/>
        </w:rPr>
        <w:t xml:space="preserve">of missed diagnosis of IMD even at Post Mortem in the light of the </w:t>
      </w:r>
      <w:r w:rsidR="00796C91">
        <w:rPr>
          <w:sz w:val="24"/>
          <w:szCs w:val="24"/>
        </w:rPr>
        <w:t xml:space="preserve">unnecessary </w:t>
      </w:r>
      <w:r w:rsidR="00F6270F" w:rsidRPr="00C827B7">
        <w:rPr>
          <w:sz w:val="24"/>
          <w:szCs w:val="24"/>
        </w:rPr>
        <w:t>pain that this has caused some families.</w:t>
      </w:r>
    </w:p>
    <w:p w:rsidR="00896A9C" w:rsidRDefault="00896A9C" w:rsidP="005377B4">
      <w:pPr>
        <w:shd w:val="clear" w:color="auto" w:fill="FFFFFF"/>
        <w:tabs>
          <w:tab w:val="num" w:pos="284"/>
        </w:tabs>
        <w:spacing w:before="100" w:beforeAutospacing="1" w:after="96" w:line="360" w:lineRule="auto"/>
        <w:rPr>
          <w:sz w:val="24"/>
          <w:szCs w:val="24"/>
        </w:rPr>
      </w:pPr>
    </w:p>
    <w:p w:rsidR="00896A9C" w:rsidRPr="00896A9C" w:rsidRDefault="00896A9C" w:rsidP="005377B4">
      <w:pPr>
        <w:shd w:val="clear" w:color="auto" w:fill="FFFFFF"/>
        <w:tabs>
          <w:tab w:val="num" w:pos="284"/>
        </w:tabs>
        <w:spacing w:before="100" w:beforeAutospacing="1" w:after="96" w:line="360" w:lineRule="auto"/>
        <w:rPr>
          <w:b/>
          <w:sz w:val="24"/>
          <w:szCs w:val="24"/>
        </w:rPr>
      </w:pPr>
    </w:p>
    <w:p w:rsidR="00896A9C" w:rsidRPr="00896A9C" w:rsidRDefault="00896A9C" w:rsidP="005377B4">
      <w:pPr>
        <w:shd w:val="clear" w:color="auto" w:fill="FFFFFF"/>
        <w:tabs>
          <w:tab w:val="num" w:pos="284"/>
        </w:tabs>
        <w:spacing w:before="100" w:beforeAutospacing="1" w:after="96" w:line="360" w:lineRule="auto"/>
        <w:rPr>
          <w:b/>
          <w:sz w:val="24"/>
          <w:szCs w:val="24"/>
        </w:rPr>
      </w:pPr>
      <w:r w:rsidRPr="00896A9C">
        <w:rPr>
          <w:b/>
          <w:sz w:val="24"/>
          <w:szCs w:val="24"/>
        </w:rPr>
        <w:t>REFERENCES</w:t>
      </w:r>
    </w:p>
    <w:p w:rsidR="00896A9C" w:rsidRDefault="008D28C0" w:rsidP="00896A9C">
      <w:pPr>
        <w:pStyle w:val="ListParagraph"/>
        <w:numPr>
          <w:ilvl w:val="0"/>
          <w:numId w:val="13"/>
        </w:numPr>
        <w:spacing w:line="360" w:lineRule="auto"/>
      </w:pPr>
      <w:r w:rsidRPr="00FB52F2">
        <w:t xml:space="preserve">Pace, D. and A.J. Pollard, </w:t>
      </w:r>
      <w:r w:rsidRPr="008D28C0">
        <w:rPr>
          <w:i/>
        </w:rPr>
        <w:t>Meningococcal disease: clinical presentation and sequelae.</w:t>
      </w:r>
      <w:r w:rsidRPr="00FB52F2">
        <w:t xml:space="preserve"> Vaccine, 2012. </w:t>
      </w:r>
      <w:r w:rsidRPr="008D28C0">
        <w:rPr>
          <w:b/>
        </w:rPr>
        <w:t>30 Suppl 2</w:t>
      </w:r>
      <w:r w:rsidRPr="00FB52F2">
        <w:t>: p. B3-9</w:t>
      </w:r>
    </w:p>
    <w:p w:rsidR="00896A9C" w:rsidRDefault="008D28C0" w:rsidP="00896A9C">
      <w:pPr>
        <w:pStyle w:val="ListParagraph"/>
        <w:numPr>
          <w:ilvl w:val="0"/>
          <w:numId w:val="13"/>
        </w:numPr>
        <w:spacing w:line="360" w:lineRule="auto"/>
      </w:pPr>
      <w:r w:rsidRPr="00FB52F2">
        <w:t xml:space="preserve">Ragunathan, L., et al., </w:t>
      </w:r>
      <w:r w:rsidRPr="00896A9C">
        <w:rPr>
          <w:i/>
        </w:rPr>
        <w:t>Clinical features, laboratory findings and management of meningococcal meningitis in England and Wales: report of a 1997 survey. Meningococcal meningitis: 1997 survey report.</w:t>
      </w:r>
      <w:r w:rsidRPr="00FB52F2">
        <w:t xml:space="preserve"> J Infect, 2000. </w:t>
      </w:r>
      <w:r w:rsidRPr="00896A9C">
        <w:rPr>
          <w:b/>
        </w:rPr>
        <w:t>40</w:t>
      </w:r>
      <w:r w:rsidRPr="00FB52F2">
        <w:t>(1): p. 74-9.</w:t>
      </w:r>
    </w:p>
    <w:p w:rsidR="00896A9C" w:rsidRDefault="008D28C0" w:rsidP="00896A9C">
      <w:pPr>
        <w:pStyle w:val="ListParagraph"/>
        <w:numPr>
          <w:ilvl w:val="0"/>
          <w:numId w:val="13"/>
        </w:numPr>
        <w:spacing w:line="360" w:lineRule="auto"/>
      </w:pPr>
      <w:r w:rsidRPr="00FB52F2">
        <w:t xml:space="preserve">Parikh, S.R., et al., </w:t>
      </w:r>
      <w:r w:rsidRPr="00896A9C">
        <w:rPr>
          <w:i/>
        </w:rPr>
        <w:t>Epidemiology, clinical presentation, risk factors, intensive care admission and outcomes of invasive meningococcal disease in England, 2010-2015.</w:t>
      </w:r>
      <w:r w:rsidRPr="00FB52F2">
        <w:t xml:space="preserve"> Vaccine, 2018.</w:t>
      </w:r>
    </w:p>
    <w:p w:rsidR="00896A9C" w:rsidRDefault="008D28C0" w:rsidP="00896A9C">
      <w:pPr>
        <w:pStyle w:val="ListParagraph"/>
        <w:numPr>
          <w:ilvl w:val="0"/>
          <w:numId w:val="13"/>
        </w:numPr>
        <w:spacing w:line="360" w:lineRule="auto"/>
      </w:pPr>
      <w:r w:rsidRPr="00FB52F2">
        <w:t xml:space="preserve">ONS, </w:t>
      </w:r>
      <w:r w:rsidRPr="00896A9C">
        <w:rPr>
          <w:i/>
        </w:rPr>
        <w:t>Statistical bulletin: Deaths related to drug poisoning in England and Wales: 2016 registrations</w:t>
      </w:r>
      <w:r w:rsidRPr="00FB52F2">
        <w:t xml:space="preserve">, O.f.N. Statistics, Editor. 2017: </w:t>
      </w:r>
      <w:hyperlink r:id="rId13" w:history="1">
        <w:r w:rsidRPr="00FB52F2">
          <w:rPr>
            <w:rStyle w:val="Hyperlink"/>
          </w:rPr>
          <w:t>https://www.ons.gov.uk/peoplepopulationandcommunity/birthsdeathsandmarriages/deaths/bulletins/deathsrelatedtodrugpoisoninginenglandandwales/2016registrations</w:t>
        </w:r>
      </w:hyperlink>
      <w:r w:rsidRPr="00FB52F2">
        <w:t>.</w:t>
      </w:r>
    </w:p>
    <w:p w:rsidR="00896A9C" w:rsidRDefault="008D28C0" w:rsidP="00896A9C">
      <w:pPr>
        <w:pStyle w:val="ListParagraph"/>
        <w:numPr>
          <w:ilvl w:val="0"/>
          <w:numId w:val="13"/>
        </w:numPr>
        <w:spacing w:line="360" w:lineRule="auto"/>
      </w:pPr>
      <w:r w:rsidRPr="00FB52F2">
        <w:t>O</w:t>
      </w:r>
      <w:r w:rsidR="00896A9C">
        <w:t xml:space="preserve">ffice for </w:t>
      </w:r>
      <w:r w:rsidRPr="00FB52F2">
        <w:t>N</w:t>
      </w:r>
      <w:r w:rsidR="00896A9C">
        <w:t xml:space="preserve">ational </w:t>
      </w:r>
      <w:r w:rsidRPr="00FB52F2">
        <w:t>S</w:t>
      </w:r>
      <w:r w:rsidR="00896A9C">
        <w:t>tatistics.</w:t>
      </w:r>
      <w:r w:rsidRPr="00FB52F2">
        <w:t xml:space="preserve"> </w:t>
      </w:r>
      <w:r w:rsidRPr="00896A9C">
        <w:rPr>
          <w:i/>
        </w:rPr>
        <w:t>ONS Death registrations summary tables - England and Wales 2016</w:t>
      </w:r>
      <w:r w:rsidR="00896A9C">
        <w:t xml:space="preserve">, Office </w:t>
      </w:r>
      <w:r w:rsidRPr="00FB52F2">
        <w:t>f</w:t>
      </w:r>
      <w:r w:rsidR="00896A9C">
        <w:t xml:space="preserve">or </w:t>
      </w:r>
      <w:r w:rsidRPr="00FB52F2">
        <w:t>N</w:t>
      </w:r>
      <w:r w:rsidR="00896A9C">
        <w:t>ational</w:t>
      </w:r>
      <w:r w:rsidRPr="00FB52F2">
        <w:t xml:space="preserve"> Statistics, Editor. 2017: </w:t>
      </w:r>
      <w:hyperlink r:id="rId14" w:history="1">
        <w:r w:rsidRPr="00FB52F2">
          <w:rPr>
            <w:rStyle w:val="Hyperlink"/>
          </w:rPr>
          <w:t>https://www.ons.gov.uk/peoplepopulationandcommunity/birthsdeathsandmarriages/deaths/datasets/deathregistrationssummarytablesenglandandwalesreferencetables</w:t>
        </w:r>
      </w:hyperlink>
      <w:r w:rsidRPr="00FB52F2">
        <w:t xml:space="preserve"> </w:t>
      </w:r>
    </w:p>
    <w:p w:rsidR="00896A9C" w:rsidRDefault="008D28C0" w:rsidP="00896A9C">
      <w:pPr>
        <w:pStyle w:val="ListParagraph"/>
        <w:numPr>
          <w:ilvl w:val="0"/>
          <w:numId w:val="13"/>
        </w:numPr>
        <w:spacing w:line="360" w:lineRule="auto"/>
      </w:pPr>
      <w:r w:rsidRPr="00FB52F2">
        <w:t xml:space="preserve">Mandal, S., et al., </w:t>
      </w:r>
      <w:r w:rsidRPr="00896A9C">
        <w:rPr>
          <w:i/>
        </w:rPr>
        <w:t>Risk of invasive meningococcal disease in university students in England and optimal strategies for protection using MenACWY vaccine.</w:t>
      </w:r>
      <w:r w:rsidRPr="00FB52F2">
        <w:t xml:space="preserve"> Vaccine, 2017. </w:t>
      </w:r>
      <w:r w:rsidRPr="00896A9C">
        <w:rPr>
          <w:b/>
        </w:rPr>
        <w:t>35</w:t>
      </w:r>
      <w:r w:rsidRPr="00FB52F2">
        <w:t>(43): p. 5814-5818.</w:t>
      </w:r>
    </w:p>
    <w:p w:rsidR="008D28C0" w:rsidRPr="00896A9C" w:rsidRDefault="008D28C0" w:rsidP="00896A9C">
      <w:pPr>
        <w:pStyle w:val="ListParagraph"/>
        <w:numPr>
          <w:ilvl w:val="0"/>
          <w:numId w:val="13"/>
        </w:numPr>
        <w:spacing w:line="360" w:lineRule="auto"/>
      </w:pPr>
      <w:r w:rsidRPr="00FB52F2">
        <w:t xml:space="preserve">Campbell, H., et al., </w:t>
      </w:r>
      <w:r w:rsidRPr="00896A9C">
        <w:rPr>
          <w:i/>
        </w:rPr>
        <w:t>Presentation with gastrointestinal symptoms and high case fatality associated with group W meningococcal disease (MenW) in teenagers, England, July 2015 to January 2016.</w:t>
      </w:r>
      <w:r w:rsidRPr="00FB52F2">
        <w:t xml:space="preserve"> Euro Surveill, 2016. </w:t>
      </w:r>
      <w:r w:rsidRPr="00896A9C">
        <w:rPr>
          <w:b/>
        </w:rPr>
        <w:t>21</w:t>
      </w:r>
      <w:r w:rsidRPr="00FB52F2">
        <w:t>(12)</w:t>
      </w:r>
    </w:p>
    <w:sectPr w:rsidR="008D28C0" w:rsidRPr="00896A9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12B" w:rsidRDefault="00B7012B" w:rsidP="00315902">
      <w:pPr>
        <w:spacing w:after="0" w:line="240" w:lineRule="auto"/>
      </w:pPr>
      <w:r>
        <w:separator/>
      </w:r>
    </w:p>
  </w:endnote>
  <w:endnote w:type="continuationSeparator" w:id="0">
    <w:p w:rsidR="00B7012B" w:rsidRDefault="00B7012B" w:rsidP="0031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9C" w:rsidRDefault="00896A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225978"/>
      <w:docPartObj>
        <w:docPartGallery w:val="Page Numbers (Bottom of Page)"/>
        <w:docPartUnique/>
      </w:docPartObj>
    </w:sdtPr>
    <w:sdtEndPr>
      <w:rPr>
        <w:noProof/>
      </w:rPr>
    </w:sdtEndPr>
    <w:sdtContent>
      <w:p w:rsidR="00896A9C" w:rsidRDefault="00896A9C">
        <w:pPr>
          <w:pStyle w:val="Footer"/>
          <w:jc w:val="right"/>
        </w:pPr>
        <w:r>
          <w:fldChar w:fldCharType="begin"/>
        </w:r>
        <w:r>
          <w:instrText xml:space="preserve"> PAGE   \* MERGEFORMAT </w:instrText>
        </w:r>
        <w:r>
          <w:fldChar w:fldCharType="separate"/>
        </w:r>
        <w:r w:rsidR="0025279A">
          <w:rPr>
            <w:noProof/>
          </w:rPr>
          <w:t>1</w:t>
        </w:r>
        <w:r>
          <w:rPr>
            <w:noProof/>
          </w:rPr>
          <w:fldChar w:fldCharType="end"/>
        </w:r>
      </w:p>
    </w:sdtContent>
  </w:sdt>
  <w:p w:rsidR="00896A9C" w:rsidRDefault="00896A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9C" w:rsidRDefault="00896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12B" w:rsidRDefault="00B7012B" w:rsidP="00315902">
      <w:pPr>
        <w:spacing w:after="0" w:line="240" w:lineRule="auto"/>
      </w:pPr>
      <w:r>
        <w:separator/>
      </w:r>
    </w:p>
  </w:footnote>
  <w:footnote w:type="continuationSeparator" w:id="0">
    <w:p w:rsidR="00B7012B" w:rsidRDefault="00B7012B" w:rsidP="00315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9C" w:rsidRDefault="00896A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9C" w:rsidRDefault="00896A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9C" w:rsidRDefault="00896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1D00"/>
    <w:multiLevelType w:val="hybridMultilevel"/>
    <w:tmpl w:val="AE3CE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2745A"/>
    <w:multiLevelType w:val="hybridMultilevel"/>
    <w:tmpl w:val="F2D8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77D31"/>
    <w:multiLevelType w:val="multilevel"/>
    <w:tmpl w:val="2930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CA792B"/>
    <w:multiLevelType w:val="multilevel"/>
    <w:tmpl w:val="9040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EC501D"/>
    <w:multiLevelType w:val="multilevel"/>
    <w:tmpl w:val="28EC44B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d5td5drr2zppete245fxvldpsrz25rvr59&quot;&gt;Attitudes EndNote Library&lt;record-ids&gt;&lt;item&gt;377&lt;/item&gt;&lt;item&gt;1565&lt;/item&gt;&lt;item&gt;1582&lt;/item&gt;&lt;item&gt;1599&lt;/item&gt;&lt;item&gt;1618&lt;/item&gt;&lt;item&gt;1619&lt;/item&gt;&lt;item&gt;1620&lt;/item&gt;&lt;/record-ids&gt;&lt;/item&gt;&lt;/Libraries&gt;"/>
  </w:docVars>
  <w:rsids>
    <w:rsidRoot w:val="00542939"/>
    <w:rsid w:val="000006F6"/>
    <w:rsid w:val="00001755"/>
    <w:rsid w:val="0005020E"/>
    <w:rsid w:val="00064484"/>
    <w:rsid w:val="0008223B"/>
    <w:rsid w:val="00086845"/>
    <w:rsid w:val="00094E13"/>
    <w:rsid w:val="000A4F5C"/>
    <w:rsid w:val="00143C86"/>
    <w:rsid w:val="00155D76"/>
    <w:rsid w:val="00160388"/>
    <w:rsid w:val="0016641D"/>
    <w:rsid w:val="001824FF"/>
    <w:rsid w:val="00185E5D"/>
    <w:rsid w:val="001B3A5C"/>
    <w:rsid w:val="001D7068"/>
    <w:rsid w:val="001E28D1"/>
    <w:rsid w:val="002115AF"/>
    <w:rsid w:val="0022297C"/>
    <w:rsid w:val="00237731"/>
    <w:rsid w:val="0024512B"/>
    <w:rsid w:val="00251AC4"/>
    <w:rsid w:val="0025279A"/>
    <w:rsid w:val="00270B47"/>
    <w:rsid w:val="00273DDA"/>
    <w:rsid w:val="00276571"/>
    <w:rsid w:val="002945D3"/>
    <w:rsid w:val="002A54AB"/>
    <w:rsid w:val="002B3933"/>
    <w:rsid w:val="002C2425"/>
    <w:rsid w:val="002C7ECC"/>
    <w:rsid w:val="002D09A8"/>
    <w:rsid w:val="002F3779"/>
    <w:rsid w:val="003116D2"/>
    <w:rsid w:val="00313AC4"/>
    <w:rsid w:val="0031537E"/>
    <w:rsid w:val="00315902"/>
    <w:rsid w:val="003179C3"/>
    <w:rsid w:val="003319DB"/>
    <w:rsid w:val="0035534B"/>
    <w:rsid w:val="003605C5"/>
    <w:rsid w:val="00366917"/>
    <w:rsid w:val="00366E0E"/>
    <w:rsid w:val="00374401"/>
    <w:rsid w:val="003839EF"/>
    <w:rsid w:val="00384B0D"/>
    <w:rsid w:val="00394183"/>
    <w:rsid w:val="003C2CBE"/>
    <w:rsid w:val="003D1469"/>
    <w:rsid w:val="003D25D7"/>
    <w:rsid w:val="003D3B13"/>
    <w:rsid w:val="003E0C73"/>
    <w:rsid w:val="003E3A1B"/>
    <w:rsid w:val="003F3286"/>
    <w:rsid w:val="004128B2"/>
    <w:rsid w:val="00440EF9"/>
    <w:rsid w:val="004633D7"/>
    <w:rsid w:val="00464927"/>
    <w:rsid w:val="0046520E"/>
    <w:rsid w:val="004A1D7F"/>
    <w:rsid w:val="004A40A1"/>
    <w:rsid w:val="004A6EBD"/>
    <w:rsid w:val="004B19EC"/>
    <w:rsid w:val="004D14C8"/>
    <w:rsid w:val="004D4CF7"/>
    <w:rsid w:val="004D6711"/>
    <w:rsid w:val="004D7DE2"/>
    <w:rsid w:val="004F140C"/>
    <w:rsid w:val="004F7B47"/>
    <w:rsid w:val="00505FFB"/>
    <w:rsid w:val="00522595"/>
    <w:rsid w:val="0053675E"/>
    <w:rsid w:val="005377B4"/>
    <w:rsid w:val="00542939"/>
    <w:rsid w:val="00553E3F"/>
    <w:rsid w:val="00577E42"/>
    <w:rsid w:val="0058193E"/>
    <w:rsid w:val="005A2FAB"/>
    <w:rsid w:val="005B538E"/>
    <w:rsid w:val="005C4881"/>
    <w:rsid w:val="005D21CC"/>
    <w:rsid w:val="005E25D9"/>
    <w:rsid w:val="005E755E"/>
    <w:rsid w:val="00613F93"/>
    <w:rsid w:val="00621AD4"/>
    <w:rsid w:val="006344A1"/>
    <w:rsid w:val="00645693"/>
    <w:rsid w:val="00657C3E"/>
    <w:rsid w:val="00696198"/>
    <w:rsid w:val="006A03E2"/>
    <w:rsid w:val="006D0C54"/>
    <w:rsid w:val="006F6F12"/>
    <w:rsid w:val="00711D09"/>
    <w:rsid w:val="00724B31"/>
    <w:rsid w:val="00757397"/>
    <w:rsid w:val="007765CF"/>
    <w:rsid w:val="007845A1"/>
    <w:rsid w:val="00796C91"/>
    <w:rsid w:val="007A2960"/>
    <w:rsid w:val="007B04B1"/>
    <w:rsid w:val="008019DC"/>
    <w:rsid w:val="00802E9D"/>
    <w:rsid w:val="00803A03"/>
    <w:rsid w:val="008364E2"/>
    <w:rsid w:val="00842CC3"/>
    <w:rsid w:val="00891D0B"/>
    <w:rsid w:val="00896A9C"/>
    <w:rsid w:val="008C1BA4"/>
    <w:rsid w:val="008D28C0"/>
    <w:rsid w:val="00903450"/>
    <w:rsid w:val="00903D1E"/>
    <w:rsid w:val="00906C3E"/>
    <w:rsid w:val="00916528"/>
    <w:rsid w:val="00930ACA"/>
    <w:rsid w:val="00944341"/>
    <w:rsid w:val="00951D78"/>
    <w:rsid w:val="00952BE5"/>
    <w:rsid w:val="00963EBE"/>
    <w:rsid w:val="009843E0"/>
    <w:rsid w:val="009E464D"/>
    <w:rsid w:val="009F1F5A"/>
    <w:rsid w:val="00A12AF9"/>
    <w:rsid w:val="00A50DB7"/>
    <w:rsid w:val="00A87F9A"/>
    <w:rsid w:val="00A92DDA"/>
    <w:rsid w:val="00AA5C9F"/>
    <w:rsid w:val="00AC2801"/>
    <w:rsid w:val="00AC528F"/>
    <w:rsid w:val="00AD5AC2"/>
    <w:rsid w:val="00AE2762"/>
    <w:rsid w:val="00B07268"/>
    <w:rsid w:val="00B13202"/>
    <w:rsid w:val="00B25411"/>
    <w:rsid w:val="00B30926"/>
    <w:rsid w:val="00B31C5B"/>
    <w:rsid w:val="00B54ACC"/>
    <w:rsid w:val="00B61A5F"/>
    <w:rsid w:val="00B7012B"/>
    <w:rsid w:val="00B830BD"/>
    <w:rsid w:val="00B833FF"/>
    <w:rsid w:val="00B91843"/>
    <w:rsid w:val="00B946B0"/>
    <w:rsid w:val="00B953F0"/>
    <w:rsid w:val="00BA460A"/>
    <w:rsid w:val="00BD67B1"/>
    <w:rsid w:val="00BF0D68"/>
    <w:rsid w:val="00BF6D40"/>
    <w:rsid w:val="00C01FF1"/>
    <w:rsid w:val="00C24725"/>
    <w:rsid w:val="00C46E64"/>
    <w:rsid w:val="00C827B7"/>
    <w:rsid w:val="00C85D63"/>
    <w:rsid w:val="00CB4A6C"/>
    <w:rsid w:val="00CB5DCE"/>
    <w:rsid w:val="00CD3B44"/>
    <w:rsid w:val="00CE0F4C"/>
    <w:rsid w:val="00CE64C0"/>
    <w:rsid w:val="00CF3BCF"/>
    <w:rsid w:val="00D25C5E"/>
    <w:rsid w:val="00D5362E"/>
    <w:rsid w:val="00D60C3D"/>
    <w:rsid w:val="00D822AB"/>
    <w:rsid w:val="00D9255B"/>
    <w:rsid w:val="00DA4E5A"/>
    <w:rsid w:val="00DB7342"/>
    <w:rsid w:val="00DD40CD"/>
    <w:rsid w:val="00DD4143"/>
    <w:rsid w:val="00DE3647"/>
    <w:rsid w:val="00E0189D"/>
    <w:rsid w:val="00E05C1E"/>
    <w:rsid w:val="00E22D29"/>
    <w:rsid w:val="00E36449"/>
    <w:rsid w:val="00E51E93"/>
    <w:rsid w:val="00E54C99"/>
    <w:rsid w:val="00E93207"/>
    <w:rsid w:val="00EB1D13"/>
    <w:rsid w:val="00ED022A"/>
    <w:rsid w:val="00F25D4F"/>
    <w:rsid w:val="00F32306"/>
    <w:rsid w:val="00F43745"/>
    <w:rsid w:val="00F47473"/>
    <w:rsid w:val="00F6270F"/>
    <w:rsid w:val="00FB52F2"/>
    <w:rsid w:val="00FB5350"/>
    <w:rsid w:val="00FC7128"/>
    <w:rsid w:val="00FD5A49"/>
    <w:rsid w:val="00FD6A27"/>
    <w:rsid w:val="00FE0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AFEE6-325A-4937-8938-53A144CB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D13"/>
  </w:style>
  <w:style w:type="paragraph" w:styleId="Heading1">
    <w:name w:val="heading 1"/>
    <w:aliases w:val="F8 Main Heading, Char1 Char,Char1 Char Char,Char1 Char"/>
    <w:basedOn w:val="Normal"/>
    <w:next w:val="BodyText"/>
    <w:link w:val="Heading1Char"/>
    <w:qFormat/>
    <w:rsid w:val="00EB1D13"/>
    <w:pPr>
      <w:keepNext/>
      <w:keepLines/>
      <w:pageBreakBefore/>
      <w:numPr>
        <w:numId w:val="9"/>
      </w:numPr>
      <w:pBdr>
        <w:top w:val="single" w:sz="36" w:space="4" w:color="0075A4"/>
        <w:left w:val="single" w:sz="36" w:space="4" w:color="0075A4"/>
        <w:bottom w:val="single" w:sz="36" w:space="4" w:color="0075A4"/>
        <w:right w:val="single" w:sz="36" w:space="4" w:color="0075A4"/>
      </w:pBdr>
      <w:shd w:val="clear" w:color="auto" w:fill="0075A4"/>
      <w:spacing w:before="120" w:after="360"/>
      <w:outlineLvl w:val="0"/>
    </w:pPr>
    <w:rPr>
      <w:rFonts w:asciiTheme="majorHAnsi" w:eastAsiaTheme="majorEastAsia" w:hAnsiTheme="majorHAnsi" w:cstheme="majorBidi"/>
      <w:b/>
      <w:bCs/>
      <w:color w:val="FFFFFF" w:themeColor="background1"/>
      <w:sz w:val="28"/>
      <w:szCs w:val="28"/>
    </w:rPr>
  </w:style>
  <w:style w:type="paragraph" w:styleId="Heading2">
    <w:name w:val="heading 2"/>
    <w:aliases w:val="F7 Sub Heading"/>
    <w:basedOn w:val="Normal"/>
    <w:next w:val="BodyText"/>
    <w:link w:val="Heading2Char"/>
    <w:unhideWhenUsed/>
    <w:qFormat/>
    <w:rsid w:val="00EB1D13"/>
    <w:pPr>
      <w:keepNext/>
      <w:keepLines/>
      <w:numPr>
        <w:ilvl w:val="1"/>
        <w:numId w:val="9"/>
      </w:numPr>
      <w:spacing w:before="200" w:after="120"/>
      <w:outlineLvl w:val="1"/>
    </w:pPr>
    <w:rPr>
      <w:rFonts w:asciiTheme="majorHAnsi" w:eastAsiaTheme="majorEastAsia" w:hAnsiTheme="majorHAnsi" w:cstheme="majorBidi"/>
      <w:b/>
      <w:bCs/>
      <w:color w:val="0075A4"/>
      <w:sz w:val="26"/>
      <w:szCs w:val="26"/>
    </w:rPr>
  </w:style>
  <w:style w:type="paragraph" w:styleId="Heading3">
    <w:name w:val="heading 3"/>
    <w:aliases w:val="F6 Sub sub Heading"/>
    <w:basedOn w:val="Normal"/>
    <w:next w:val="BodyText"/>
    <w:link w:val="Heading3Char"/>
    <w:unhideWhenUsed/>
    <w:qFormat/>
    <w:rsid w:val="00EB1D13"/>
    <w:pPr>
      <w:keepNext/>
      <w:keepLines/>
      <w:numPr>
        <w:ilvl w:val="2"/>
        <w:numId w:val="9"/>
      </w:numPr>
      <w:spacing w:before="200" w:after="120"/>
      <w:outlineLvl w:val="2"/>
    </w:pPr>
    <w:rPr>
      <w:rFonts w:asciiTheme="majorHAnsi" w:eastAsiaTheme="majorEastAsia" w:hAnsiTheme="majorHAnsi" w:cstheme="majorBidi"/>
      <w:b/>
      <w:bCs/>
    </w:rPr>
  </w:style>
  <w:style w:type="paragraph" w:styleId="Heading4">
    <w:name w:val="heading 4"/>
    <w:basedOn w:val="Normal"/>
    <w:next w:val="Normal"/>
    <w:link w:val="Heading4Char"/>
    <w:qFormat/>
    <w:rsid w:val="00EB1D13"/>
    <w:pPr>
      <w:keepNext/>
      <w:keepLines/>
      <w:numPr>
        <w:ilvl w:val="3"/>
        <w:numId w:val="9"/>
      </w:numPr>
      <w:spacing w:before="200" w:after="0"/>
      <w:outlineLvl w:val="3"/>
    </w:pPr>
    <w:rPr>
      <w:rFonts w:asciiTheme="majorHAnsi" w:eastAsiaTheme="majorEastAsia" w:hAnsiTheme="majorHAnsi" w:cstheme="majorBidi"/>
      <w:b/>
      <w:bCs/>
      <w:i/>
      <w:iCs/>
    </w:rPr>
  </w:style>
  <w:style w:type="paragraph" w:styleId="Heading5">
    <w:name w:val="heading 5"/>
    <w:aliases w:val="paragraph"/>
    <w:basedOn w:val="Normal"/>
    <w:next w:val="Normal"/>
    <w:link w:val="Heading5Char"/>
    <w:unhideWhenUsed/>
    <w:qFormat/>
    <w:rsid w:val="00EB1D13"/>
    <w:pPr>
      <w:numPr>
        <w:ilvl w:val="4"/>
        <w:numId w:val="9"/>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EB1D13"/>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B1D13"/>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B1D13"/>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B1D1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1Figure">
    <w:name w:val="F11 Figure"/>
    <w:basedOn w:val="NoSpacing"/>
    <w:next w:val="BodyText"/>
    <w:link w:val="F11FigureChar"/>
    <w:uiPriority w:val="7"/>
    <w:qFormat/>
    <w:rsid w:val="00EB1D13"/>
    <w:pPr>
      <w:pBdr>
        <w:top w:val="single" w:sz="4" w:space="1" w:color="4F81BD" w:themeColor="accent1"/>
        <w:bottom w:val="single" w:sz="4" w:space="1" w:color="4F81BD" w:themeColor="accent1"/>
      </w:pBdr>
      <w:spacing w:before="120" w:after="360"/>
    </w:pPr>
    <w:rPr>
      <w:sz w:val="18"/>
    </w:rPr>
  </w:style>
  <w:style w:type="character" w:customStyle="1" w:styleId="F11FigureChar">
    <w:name w:val="F11 Figure Char"/>
    <w:basedOn w:val="DefaultParagraphFont"/>
    <w:link w:val="F11Figure"/>
    <w:uiPriority w:val="7"/>
    <w:rsid w:val="00EB1D13"/>
    <w:rPr>
      <w:sz w:val="18"/>
    </w:rPr>
  </w:style>
  <w:style w:type="paragraph" w:styleId="NoSpacing">
    <w:name w:val="No Spacing"/>
    <w:uiPriority w:val="1"/>
    <w:qFormat/>
    <w:rsid w:val="00EB1D13"/>
    <w:pPr>
      <w:spacing w:after="0" w:line="240" w:lineRule="auto"/>
    </w:pPr>
  </w:style>
  <w:style w:type="paragraph" w:styleId="BodyText">
    <w:name w:val="Body Text"/>
    <w:aliases w:val="F4 Main Text,Bulline,Body Text2,Document,Body Text Char1,Body Text2 Char1,Body text,body text. Body text,body text."/>
    <w:basedOn w:val="Normal"/>
    <w:link w:val="BodyTextChar"/>
    <w:qFormat/>
    <w:rsid w:val="00EB1D13"/>
    <w:pPr>
      <w:spacing w:before="120" w:after="120"/>
      <w:ind w:left="567"/>
      <w:jc w:val="both"/>
    </w:pPr>
  </w:style>
  <w:style w:type="character" w:customStyle="1" w:styleId="BodyTextChar">
    <w:name w:val="Body Text Char"/>
    <w:aliases w:val="F4 Main Text Char,Bulline Char,Body Text2 Char,Document Char,Body Text Char1 Char,Body Text2 Char1 Char,Body text Char,body text. Body text Char,body text. Char"/>
    <w:basedOn w:val="DefaultParagraphFont"/>
    <w:link w:val="BodyText"/>
    <w:rsid w:val="00EB1D13"/>
  </w:style>
  <w:style w:type="character" w:customStyle="1" w:styleId="Heading1Char">
    <w:name w:val="Heading 1 Char"/>
    <w:aliases w:val="F8 Main Heading Char, Char1 Char Char,Char1 Char Char Char,Char1 Char Char1"/>
    <w:basedOn w:val="DefaultParagraphFont"/>
    <w:link w:val="Heading1"/>
    <w:rsid w:val="00EB1D13"/>
    <w:rPr>
      <w:rFonts w:asciiTheme="majorHAnsi" w:eastAsiaTheme="majorEastAsia" w:hAnsiTheme="majorHAnsi" w:cstheme="majorBidi"/>
      <w:b/>
      <w:bCs/>
      <w:color w:val="FFFFFF" w:themeColor="background1"/>
      <w:sz w:val="28"/>
      <w:szCs w:val="28"/>
      <w:shd w:val="clear" w:color="auto" w:fill="0075A4"/>
    </w:rPr>
  </w:style>
  <w:style w:type="character" w:customStyle="1" w:styleId="Heading2Char">
    <w:name w:val="Heading 2 Char"/>
    <w:aliases w:val="F7 Sub Heading Char"/>
    <w:basedOn w:val="DefaultParagraphFont"/>
    <w:link w:val="Heading2"/>
    <w:rsid w:val="00EB1D13"/>
    <w:rPr>
      <w:rFonts w:asciiTheme="majorHAnsi" w:eastAsiaTheme="majorEastAsia" w:hAnsiTheme="majorHAnsi" w:cstheme="majorBidi"/>
      <w:b/>
      <w:bCs/>
      <w:color w:val="0075A4"/>
      <w:sz w:val="26"/>
      <w:szCs w:val="26"/>
    </w:rPr>
  </w:style>
  <w:style w:type="character" w:customStyle="1" w:styleId="Heading3Char">
    <w:name w:val="Heading 3 Char"/>
    <w:aliases w:val="F6 Sub sub Heading Char"/>
    <w:basedOn w:val="DefaultParagraphFont"/>
    <w:link w:val="Heading3"/>
    <w:rsid w:val="00EB1D13"/>
    <w:rPr>
      <w:rFonts w:asciiTheme="majorHAnsi" w:eastAsiaTheme="majorEastAsia" w:hAnsiTheme="majorHAnsi" w:cstheme="majorBidi"/>
      <w:b/>
      <w:bCs/>
    </w:rPr>
  </w:style>
  <w:style w:type="character" w:customStyle="1" w:styleId="Heading4Char">
    <w:name w:val="Heading 4 Char"/>
    <w:basedOn w:val="DefaultParagraphFont"/>
    <w:link w:val="Heading4"/>
    <w:rsid w:val="00EB1D13"/>
    <w:rPr>
      <w:rFonts w:asciiTheme="majorHAnsi" w:eastAsiaTheme="majorEastAsia" w:hAnsiTheme="majorHAnsi" w:cstheme="majorBidi"/>
      <w:b/>
      <w:bCs/>
      <w:i/>
      <w:iCs/>
    </w:rPr>
  </w:style>
  <w:style w:type="character" w:customStyle="1" w:styleId="Heading5Char">
    <w:name w:val="Heading 5 Char"/>
    <w:aliases w:val="paragraph Char"/>
    <w:basedOn w:val="DefaultParagraphFont"/>
    <w:link w:val="Heading5"/>
    <w:rsid w:val="00EB1D1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EB1D1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EB1D1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EB1D1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EB1D1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F11Figure"/>
    <w:uiPriority w:val="6"/>
    <w:qFormat/>
    <w:rsid w:val="00EB1D13"/>
    <w:pPr>
      <w:keepNext/>
      <w:keepLines/>
      <w:spacing w:before="240" w:after="120" w:line="240" w:lineRule="auto"/>
    </w:pPr>
    <w:rPr>
      <w:b/>
      <w:bCs/>
      <w:szCs w:val="18"/>
    </w:rPr>
  </w:style>
  <w:style w:type="paragraph" w:styleId="ListParagraph">
    <w:name w:val="List Paragraph"/>
    <w:basedOn w:val="Normal"/>
    <w:uiPriority w:val="34"/>
    <w:qFormat/>
    <w:rsid w:val="00064484"/>
    <w:pPr>
      <w:ind w:left="720"/>
      <w:contextualSpacing/>
    </w:pPr>
  </w:style>
  <w:style w:type="character" w:styleId="CommentReference">
    <w:name w:val="annotation reference"/>
    <w:basedOn w:val="DefaultParagraphFont"/>
    <w:uiPriority w:val="99"/>
    <w:semiHidden/>
    <w:unhideWhenUsed/>
    <w:rsid w:val="00315902"/>
    <w:rPr>
      <w:sz w:val="16"/>
      <w:szCs w:val="16"/>
    </w:rPr>
  </w:style>
  <w:style w:type="paragraph" w:styleId="CommentText">
    <w:name w:val="annotation text"/>
    <w:basedOn w:val="Normal"/>
    <w:link w:val="CommentTextChar"/>
    <w:uiPriority w:val="99"/>
    <w:semiHidden/>
    <w:unhideWhenUsed/>
    <w:rsid w:val="00315902"/>
    <w:pPr>
      <w:spacing w:line="240" w:lineRule="auto"/>
    </w:pPr>
    <w:rPr>
      <w:sz w:val="20"/>
      <w:szCs w:val="20"/>
    </w:rPr>
  </w:style>
  <w:style w:type="character" w:customStyle="1" w:styleId="CommentTextChar">
    <w:name w:val="Comment Text Char"/>
    <w:basedOn w:val="DefaultParagraphFont"/>
    <w:link w:val="CommentText"/>
    <w:uiPriority w:val="99"/>
    <w:semiHidden/>
    <w:rsid w:val="00315902"/>
    <w:rPr>
      <w:sz w:val="20"/>
      <w:szCs w:val="20"/>
    </w:rPr>
  </w:style>
  <w:style w:type="paragraph" w:styleId="CommentSubject">
    <w:name w:val="annotation subject"/>
    <w:basedOn w:val="CommentText"/>
    <w:next w:val="CommentText"/>
    <w:link w:val="CommentSubjectChar"/>
    <w:uiPriority w:val="99"/>
    <w:semiHidden/>
    <w:unhideWhenUsed/>
    <w:rsid w:val="00315902"/>
    <w:rPr>
      <w:b/>
      <w:bCs/>
    </w:rPr>
  </w:style>
  <w:style w:type="character" w:customStyle="1" w:styleId="CommentSubjectChar">
    <w:name w:val="Comment Subject Char"/>
    <w:basedOn w:val="CommentTextChar"/>
    <w:link w:val="CommentSubject"/>
    <w:uiPriority w:val="99"/>
    <w:semiHidden/>
    <w:rsid w:val="00315902"/>
    <w:rPr>
      <w:b/>
      <w:bCs/>
      <w:sz w:val="20"/>
      <w:szCs w:val="20"/>
    </w:rPr>
  </w:style>
  <w:style w:type="paragraph" w:styleId="BalloonText">
    <w:name w:val="Balloon Text"/>
    <w:basedOn w:val="Normal"/>
    <w:link w:val="BalloonTextChar"/>
    <w:uiPriority w:val="99"/>
    <w:semiHidden/>
    <w:unhideWhenUsed/>
    <w:rsid w:val="0031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902"/>
    <w:rPr>
      <w:rFonts w:ascii="Tahoma" w:hAnsi="Tahoma" w:cs="Tahoma"/>
      <w:sz w:val="16"/>
      <w:szCs w:val="16"/>
    </w:rPr>
  </w:style>
  <w:style w:type="paragraph" w:styleId="FootnoteText">
    <w:name w:val="footnote text"/>
    <w:basedOn w:val="Normal"/>
    <w:link w:val="FootnoteTextChar"/>
    <w:uiPriority w:val="99"/>
    <w:semiHidden/>
    <w:unhideWhenUsed/>
    <w:rsid w:val="003159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902"/>
    <w:rPr>
      <w:sz w:val="20"/>
      <w:szCs w:val="20"/>
    </w:rPr>
  </w:style>
  <w:style w:type="character" w:styleId="FootnoteReference">
    <w:name w:val="footnote reference"/>
    <w:basedOn w:val="DefaultParagraphFont"/>
    <w:uiPriority w:val="99"/>
    <w:semiHidden/>
    <w:unhideWhenUsed/>
    <w:rsid w:val="00315902"/>
    <w:rPr>
      <w:vertAlign w:val="superscript"/>
    </w:rPr>
  </w:style>
  <w:style w:type="paragraph" w:styleId="NormalWeb">
    <w:name w:val="Normal (Web)"/>
    <w:basedOn w:val="Normal"/>
    <w:uiPriority w:val="99"/>
    <w:semiHidden/>
    <w:unhideWhenUsed/>
    <w:rsid w:val="00AD5A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D5AC2"/>
    <w:rPr>
      <w:b/>
      <w:bCs/>
    </w:rPr>
  </w:style>
  <w:style w:type="paragraph" w:styleId="Revision">
    <w:name w:val="Revision"/>
    <w:hidden/>
    <w:uiPriority w:val="99"/>
    <w:semiHidden/>
    <w:rsid w:val="006A03E2"/>
    <w:pPr>
      <w:spacing w:after="0" w:line="240" w:lineRule="auto"/>
    </w:pPr>
  </w:style>
  <w:style w:type="character" w:styleId="Hyperlink">
    <w:name w:val="Hyperlink"/>
    <w:basedOn w:val="DefaultParagraphFont"/>
    <w:uiPriority w:val="99"/>
    <w:unhideWhenUsed/>
    <w:rsid w:val="0024512B"/>
    <w:rPr>
      <w:color w:val="0000FF" w:themeColor="hyperlink"/>
      <w:u w:val="single"/>
    </w:rPr>
  </w:style>
  <w:style w:type="paragraph" w:customStyle="1" w:styleId="EndNoteBibliographyTitle">
    <w:name w:val="EndNote Bibliography Title"/>
    <w:basedOn w:val="Normal"/>
    <w:link w:val="EndNoteBibliographyTitleChar"/>
    <w:rsid w:val="00237731"/>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37731"/>
    <w:rPr>
      <w:rFonts w:ascii="Calibri" w:hAnsi="Calibri"/>
      <w:noProof/>
      <w:lang w:val="en-US"/>
    </w:rPr>
  </w:style>
  <w:style w:type="paragraph" w:customStyle="1" w:styleId="EndNoteBibliography">
    <w:name w:val="EndNote Bibliography"/>
    <w:basedOn w:val="Normal"/>
    <w:link w:val="EndNoteBibliographyChar"/>
    <w:rsid w:val="00237731"/>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37731"/>
    <w:rPr>
      <w:rFonts w:ascii="Calibri" w:hAnsi="Calibri"/>
      <w:noProof/>
      <w:lang w:val="en-US"/>
    </w:rPr>
  </w:style>
  <w:style w:type="character" w:styleId="FollowedHyperlink">
    <w:name w:val="FollowedHyperlink"/>
    <w:basedOn w:val="DefaultParagraphFont"/>
    <w:uiPriority w:val="99"/>
    <w:semiHidden/>
    <w:unhideWhenUsed/>
    <w:rsid w:val="00D5362E"/>
    <w:rPr>
      <w:color w:val="800080" w:themeColor="followedHyperlink"/>
      <w:u w:val="single"/>
    </w:rPr>
  </w:style>
  <w:style w:type="paragraph" w:styleId="Header">
    <w:name w:val="header"/>
    <w:basedOn w:val="Normal"/>
    <w:link w:val="HeaderChar"/>
    <w:uiPriority w:val="99"/>
    <w:unhideWhenUsed/>
    <w:rsid w:val="00896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A9C"/>
  </w:style>
  <w:style w:type="paragraph" w:styleId="Footer">
    <w:name w:val="footer"/>
    <w:basedOn w:val="Normal"/>
    <w:link w:val="FooterChar"/>
    <w:uiPriority w:val="99"/>
    <w:unhideWhenUsed/>
    <w:rsid w:val="00896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2599">
      <w:bodyDiv w:val="1"/>
      <w:marLeft w:val="0"/>
      <w:marRight w:val="0"/>
      <w:marTop w:val="0"/>
      <w:marBottom w:val="0"/>
      <w:divBdr>
        <w:top w:val="none" w:sz="0" w:space="0" w:color="auto"/>
        <w:left w:val="none" w:sz="0" w:space="0" w:color="auto"/>
        <w:bottom w:val="none" w:sz="0" w:space="0" w:color="auto"/>
        <w:right w:val="none" w:sz="0" w:space="0" w:color="auto"/>
      </w:divBdr>
    </w:div>
    <w:div w:id="323558459">
      <w:bodyDiv w:val="1"/>
      <w:marLeft w:val="0"/>
      <w:marRight w:val="0"/>
      <w:marTop w:val="0"/>
      <w:marBottom w:val="0"/>
      <w:divBdr>
        <w:top w:val="none" w:sz="0" w:space="0" w:color="auto"/>
        <w:left w:val="none" w:sz="0" w:space="0" w:color="auto"/>
        <w:bottom w:val="none" w:sz="0" w:space="0" w:color="auto"/>
        <w:right w:val="none" w:sz="0" w:space="0" w:color="auto"/>
      </w:divBdr>
    </w:div>
    <w:div w:id="587539727">
      <w:bodyDiv w:val="1"/>
      <w:marLeft w:val="0"/>
      <w:marRight w:val="0"/>
      <w:marTop w:val="0"/>
      <w:marBottom w:val="0"/>
      <w:divBdr>
        <w:top w:val="none" w:sz="0" w:space="0" w:color="auto"/>
        <w:left w:val="none" w:sz="0" w:space="0" w:color="auto"/>
        <w:bottom w:val="none" w:sz="0" w:space="0" w:color="auto"/>
        <w:right w:val="none" w:sz="0" w:space="0" w:color="auto"/>
      </w:divBdr>
    </w:div>
    <w:div w:id="637493455">
      <w:bodyDiv w:val="1"/>
      <w:marLeft w:val="0"/>
      <w:marRight w:val="0"/>
      <w:marTop w:val="0"/>
      <w:marBottom w:val="0"/>
      <w:divBdr>
        <w:top w:val="none" w:sz="0" w:space="0" w:color="auto"/>
        <w:left w:val="none" w:sz="0" w:space="0" w:color="auto"/>
        <w:bottom w:val="none" w:sz="0" w:space="0" w:color="auto"/>
        <w:right w:val="none" w:sz="0" w:space="0" w:color="auto"/>
      </w:divBdr>
    </w:div>
    <w:div w:id="12678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borrow@phe.gov.uk" TargetMode="External"/><Relationship Id="rId13" Type="http://schemas.openxmlformats.org/officeDocument/2006/relationships/hyperlink" Target="https://www.ons.gov.uk/peoplepopulationandcommunity/birthsdeathsandmarriages/deaths/bulletins/deathsrelatedtodrugpoisoninginenglandandwales/2016registration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helen.campbell@phe.gov.uk" TargetMode="External"/><Relationship Id="rId12" Type="http://schemas.openxmlformats.org/officeDocument/2006/relationships/hyperlink" Target="mailto:shamez.ladhani@phe.gov.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mez.ladhani@phe.gov.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ary.ramsay@phe.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hitra.arumugam@phe.gov.uk" TargetMode="External"/><Relationship Id="rId14" Type="http://schemas.openxmlformats.org/officeDocument/2006/relationships/hyperlink" Target="https://www.ons.gov.uk/peoplepopulationandcommunity/birthsdeathsandmarriages/deaths/datasets/deathregistrationssummarytablesenglandandwalesreferencetabl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9753</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PHE ENGLAND</Company>
  <LinksUpToDate>false</LinksUpToDate>
  <CharactersWithSpaces>11442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Campbell</dc:creator>
  <cp:lastModifiedBy>Sana Ibrahim</cp:lastModifiedBy>
  <cp:revision>2</cp:revision>
  <cp:lastPrinted>2018-06-11T17:19:00Z</cp:lastPrinted>
  <dcterms:created xsi:type="dcterms:W3CDTF">2019-01-28T14:50:00Z</dcterms:created>
  <dcterms:modified xsi:type="dcterms:W3CDTF">2019-01-28T14:50:00Z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helen.campbell@phe.gov.uk@www.mendeley.com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