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AAC" w:rsidRPr="00594937" w:rsidRDefault="00CA3AAC" w:rsidP="00CA3AAC">
      <w:bookmarkStart w:id="0" w:name="_GoBack"/>
      <w:bookmarkEnd w:id="0"/>
      <w:r>
        <w:rPr>
          <w:b/>
          <w:u w:val="single"/>
        </w:rPr>
        <w:t>Estimating g</w:t>
      </w:r>
      <w:r w:rsidRPr="00594937">
        <w:rPr>
          <w:b/>
          <w:u w:val="single"/>
        </w:rPr>
        <w:t>lobal trends in</w:t>
      </w:r>
      <w:r>
        <w:rPr>
          <w:b/>
          <w:u w:val="single"/>
        </w:rPr>
        <w:t xml:space="preserve"> total and childhood</w:t>
      </w:r>
      <w:r w:rsidRPr="00594937">
        <w:rPr>
          <w:b/>
          <w:u w:val="single"/>
        </w:rPr>
        <w:t xml:space="preserve"> antibiotic consumption, 2011-2015</w:t>
      </w:r>
      <w:r>
        <w:rPr>
          <w:b/>
          <w:u w:val="single"/>
        </w:rPr>
        <w:t>: Appendix</w:t>
      </w:r>
    </w:p>
    <w:p w:rsidR="00CA3AAC" w:rsidRDefault="00CA3AAC" w:rsidP="00CA3AAC">
      <w:pPr>
        <w:rPr>
          <w:i/>
        </w:rPr>
      </w:pPr>
    </w:p>
    <w:p w:rsidR="009B3B8F" w:rsidRPr="00720899" w:rsidRDefault="009B3B8F" w:rsidP="009B3B8F">
      <w:r w:rsidRPr="00720899">
        <w:t>Charlotte Jackson</w:t>
      </w:r>
      <w:r>
        <w:rPr>
          <w:vertAlign w:val="superscript"/>
        </w:rPr>
        <w:t>1</w:t>
      </w:r>
      <w:r>
        <w:t>, Yingfen Hsia</w:t>
      </w:r>
      <w:r>
        <w:rPr>
          <w:vertAlign w:val="superscript"/>
        </w:rPr>
        <w:t>1</w:t>
      </w:r>
      <w:r>
        <w:t>, Julia A Bielicki</w:t>
      </w:r>
      <w:r>
        <w:rPr>
          <w:vertAlign w:val="superscript"/>
        </w:rPr>
        <w:t>1,2</w:t>
      </w:r>
      <w:r>
        <w:t>, Sally Ellis</w:t>
      </w:r>
      <w:r>
        <w:rPr>
          <w:vertAlign w:val="superscript"/>
        </w:rPr>
        <w:t>3</w:t>
      </w:r>
      <w:r>
        <w:t>, Peter Stephens</w:t>
      </w:r>
      <w:r>
        <w:rPr>
          <w:vertAlign w:val="superscript"/>
        </w:rPr>
        <w:t>4</w:t>
      </w:r>
      <w:r>
        <w:t>, Ian CK Wong</w:t>
      </w:r>
      <w:r>
        <w:rPr>
          <w:vertAlign w:val="superscript"/>
        </w:rPr>
        <w:t>5,6</w:t>
      </w:r>
      <w:r>
        <w:t>, Mike Sharland</w:t>
      </w:r>
      <w:r>
        <w:rPr>
          <w:vertAlign w:val="superscript"/>
        </w:rPr>
        <w:t>1</w:t>
      </w:r>
    </w:p>
    <w:p w:rsidR="009B3B8F" w:rsidRPr="00720899" w:rsidRDefault="009B3B8F" w:rsidP="009B3B8F">
      <w:pPr>
        <w:rPr>
          <w:b/>
        </w:rPr>
      </w:pPr>
    </w:p>
    <w:p w:rsidR="009B3B8F" w:rsidRDefault="009B3B8F" w:rsidP="009B3B8F">
      <w:r w:rsidRPr="00720899">
        <w:rPr>
          <w:vertAlign w:val="superscript"/>
        </w:rPr>
        <w:t>1</w:t>
      </w:r>
      <w:r w:rsidRPr="00720899">
        <w:t xml:space="preserve"> Paediatric Infectious Diseases Research Group, Institute of Infection and I</w:t>
      </w:r>
      <w:r w:rsidRPr="00B80BD5">
        <w:t>mmunity, St George’s, University of London, Cranmer Terrace, London SW17 0RE</w:t>
      </w:r>
      <w:r>
        <w:t>, United Kingdom</w:t>
      </w:r>
    </w:p>
    <w:p w:rsidR="009B3B8F" w:rsidRPr="00720899" w:rsidRDefault="009B3B8F" w:rsidP="009B3B8F"/>
    <w:p w:rsidR="009B3B8F" w:rsidRPr="00596B0A" w:rsidRDefault="009B3B8F" w:rsidP="009B3B8F">
      <w:pPr>
        <w:autoSpaceDE w:val="0"/>
        <w:autoSpaceDN w:val="0"/>
        <w:adjustRightInd w:val="0"/>
      </w:pPr>
      <w:r w:rsidRPr="00B80BD5">
        <w:rPr>
          <w:vertAlign w:val="superscript"/>
        </w:rPr>
        <w:t>2</w:t>
      </w:r>
      <w:r w:rsidRPr="00B80BD5">
        <w:t xml:space="preserve"> </w:t>
      </w:r>
      <w:r w:rsidRPr="00596B0A">
        <w:t>Paediatric Pharmacology and Paediatric Infectious Diseases, University Children's Hospital Basel,</w:t>
      </w:r>
    </w:p>
    <w:p w:rsidR="009B3B8F" w:rsidRPr="001126E4" w:rsidRDefault="009B3B8F" w:rsidP="009B3B8F">
      <w:r w:rsidRPr="001126E4">
        <w:t>Spitalstrasse 33, 4056 Basel, Switzerland</w:t>
      </w:r>
    </w:p>
    <w:p w:rsidR="009B3B8F" w:rsidRPr="001126E4" w:rsidRDefault="009B3B8F" w:rsidP="009B3B8F">
      <w:pPr>
        <w:rPr>
          <w:b/>
        </w:rPr>
      </w:pPr>
    </w:p>
    <w:p w:rsidR="009B3B8F" w:rsidRPr="001126E4" w:rsidRDefault="009B3B8F" w:rsidP="009B3B8F">
      <w:r w:rsidRPr="001126E4">
        <w:rPr>
          <w:vertAlign w:val="superscript"/>
        </w:rPr>
        <w:t>3</w:t>
      </w:r>
      <w:r w:rsidRPr="001126E4">
        <w:t xml:space="preserve"> </w:t>
      </w:r>
      <w:r>
        <w:rPr>
          <w:rFonts w:eastAsia="Times New Roman"/>
        </w:rPr>
        <w:t>Global Antibiotic Research and Development Partnership</w:t>
      </w:r>
      <w:r w:rsidRPr="001126E4">
        <w:t>, 15 Chemin Louis-Dunant, 1202 Geneva, Switzerland</w:t>
      </w:r>
    </w:p>
    <w:p w:rsidR="009B3B8F" w:rsidRPr="001126E4" w:rsidRDefault="009B3B8F" w:rsidP="009B3B8F"/>
    <w:p w:rsidR="009B3B8F" w:rsidRPr="001126E4" w:rsidRDefault="009B3B8F" w:rsidP="009B3B8F">
      <w:pPr>
        <w:pStyle w:val="PlainText"/>
        <w:spacing w:line="360" w:lineRule="auto"/>
        <w:rPr>
          <w:rFonts w:ascii="Arial" w:hAnsi="Arial" w:cs="Arial"/>
          <w:sz w:val="20"/>
          <w:szCs w:val="20"/>
        </w:rPr>
      </w:pPr>
      <w:r w:rsidRPr="001A431E">
        <w:rPr>
          <w:rFonts w:ascii="Arial" w:hAnsi="Arial" w:cs="Arial"/>
          <w:sz w:val="20"/>
          <w:szCs w:val="20"/>
          <w:vertAlign w:val="superscript"/>
        </w:rPr>
        <w:t>4</w:t>
      </w:r>
      <w:r w:rsidRPr="001A431E">
        <w:rPr>
          <w:rFonts w:ascii="Arial" w:hAnsi="Arial" w:cs="Arial"/>
          <w:sz w:val="20"/>
          <w:szCs w:val="20"/>
        </w:rPr>
        <w:t xml:space="preserve"> IQVIA, 210 Pentonville Road</w:t>
      </w:r>
      <w:r>
        <w:rPr>
          <w:rFonts w:ascii="Arial" w:hAnsi="Arial" w:cs="Arial"/>
          <w:sz w:val="20"/>
          <w:szCs w:val="20"/>
        </w:rPr>
        <w:t xml:space="preserve">, </w:t>
      </w:r>
      <w:r w:rsidRPr="001A431E">
        <w:rPr>
          <w:rFonts w:ascii="Arial" w:hAnsi="Arial" w:cs="Arial"/>
          <w:sz w:val="20"/>
          <w:szCs w:val="20"/>
        </w:rPr>
        <w:t>London</w:t>
      </w:r>
      <w:r>
        <w:rPr>
          <w:rFonts w:ascii="Arial" w:hAnsi="Arial" w:cs="Arial"/>
          <w:sz w:val="20"/>
          <w:szCs w:val="20"/>
        </w:rPr>
        <w:t xml:space="preserve"> </w:t>
      </w:r>
      <w:r w:rsidRPr="001A431E">
        <w:rPr>
          <w:rFonts w:ascii="Arial" w:hAnsi="Arial" w:cs="Arial"/>
          <w:sz w:val="20"/>
          <w:szCs w:val="20"/>
        </w:rPr>
        <w:t>N1 9JY</w:t>
      </w:r>
      <w:r>
        <w:rPr>
          <w:rFonts w:ascii="Arial" w:hAnsi="Arial" w:cs="Arial"/>
          <w:sz w:val="20"/>
          <w:szCs w:val="20"/>
        </w:rPr>
        <w:t>, United Kingdom</w:t>
      </w:r>
    </w:p>
    <w:p w:rsidR="009B3B8F" w:rsidRPr="001126E4" w:rsidRDefault="009B3B8F" w:rsidP="009B3B8F"/>
    <w:p w:rsidR="009B3B8F" w:rsidRDefault="009B3B8F" w:rsidP="009B3B8F">
      <w:r w:rsidRPr="001126E4">
        <w:rPr>
          <w:vertAlign w:val="superscript"/>
        </w:rPr>
        <w:t>5</w:t>
      </w:r>
      <w:r w:rsidRPr="001126E4">
        <w:t xml:space="preserve"> UCL School of Pharmacy, 29-39 Brunswick Square, London WC1N 1AX</w:t>
      </w:r>
    </w:p>
    <w:p w:rsidR="009B3B8F" w:rsidRDefault="009B3B8F" w:rsidP="009B3B8F"/>
    <w:p w:rsidR="009B3B8F" w:rsidRDefault="009B3B8F" w:rsidP="009B3B8F">
      <w:pPr>
        <w:rPr>
          <w:i/>
        </w:rPr>
      </w:pPr>
      <w:r w:rsidRPr="00E61A6A">
        <w:rPr>
          <w:vertAlign w:val="superscript"/>
        </w:rPr>
        <w:t>6</w:t>
      </w:r>
      <w:r>
        <w:rPr>
          <w:vertAlign w:val="superscript"/>
        </w:rPr>
        <w:t xml:space="preserve"> </w:t>
      </w:r>
      <w:r>
        <w:t>Department of Pharmacology &amp; Pharmacy, University of Hong Kong</w:t>
      </w:r>
    </w:p>
    <w:p w:rsidR="009B3B8F" w:rsidRDefault="009B3B8F">
      <w:pPr>
        <w:rPr>
          <w:i/>
        </w:rPr>
      </w:pPr>
      <w:r>
        <w:rPr>
          <w:i/>
        </w:rPr>
        <w:br w:type="page"/>
      </w:r>
    </w:p>
    <w:p w:rsidR="001D4811" w:rsidRDefault="001D4811" w:rsidP="00CA3AAC">
      <w:r>
        <w:rPr>
          <w:i/>
        </w:rPr>
        <w:lastRenderedPageBreak/>
        <w:t>Appendix Table 1: Sectors covered by the IQVIA data in each participating country</w:t>
      </w:r>
      <w:r w:rsidR="00450B65">
        <w:rPr>
          <w:i/>
        </w:rPr>
        <w:t>.</w:t>
      </w:r>
    </w:p>
    <w:tbl>
      <w:tblPr>
        <w:tblW w:w="4544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45"/>
        <w:gridCol w:w="1005"/>
      </w:tblGrid>
      <w:tr w:rsidR="00E320C6" w:rsidRPr="00E320C6" w:rsidTr="00795BB9">
        <w:trPr>
          <w:trHeight w:val="315"/>
          <w:tblHeader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b/>
                <w:color w:val="000000"/>
                <w:lang w:eastAsia="en-GB"/>
              </w:rPr>
            </w:pPr>
            <w:r w:rsidRPr="00E320C6">
              <w:rPr>
                <w:rFonts w:eastAsia="Times New Roman"/>
                <w:b/>
                <w:color w:val="000000"/>
                <w:lang w:eastAsia="en-GB"/>
              </w:rPr>
              <w:t>Country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b/>
                <w:color w:val="000000"/>
                <w:lang w:eastAsia="en-GB"/>
              </w:rPr>
            </w:pPr>
            <w:r w:rsidRPr="00E320C6">
              <w:rPr>
                <w:rFonts w:eastAsia="Times New Roman"/>
                <w:b/>
                <w:color w:val="000000"/>
                <w:lang w:eastAsia="en-GB"/>
              </w:rPr>
              <w:t>Retail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b/>
                <w:color w:val="000000"/>
                <w:lang w:eastAsia="en-GB"/>
              </w:rPr>
            </w:pPr>
            <w:r w:rsidRPr="00E320C6">
              <w:rPr>
                <w:rFonts w:eastAsia="Times New Roman"/>
                <w:b/>
                <w:color w:val="000000"/>
                <w:lang w:eastAsia="en-GB"/>
              </w:rPr>
              <w:t>Hospital</w:t>
            </w:r>
          </w:p>
        </w:tc>
      </w:tr>
      <w:tr w:rsidR="00893F82" w:rsidRPr="00E320C6" w:rsidTr="00D148C6">
        <w:trPr>
          <w:trHeight w:val="315"/>
        </w:trPr>
        <w:tc>
          <w:tcPr>
            <w:tcW w:w="4544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893F82" w:rsidRPr="00893F82" w:rsidRDefault="00893F82" w:rsidP="00893F82">
            <w:pPr>
              <w:spacing w:line="240" w:lineRule="auto"/>
              <w:rPr>
                <w:rFonts w:eastAsia="Times New Roman"/>
                <w:i/>
                <w:color w:val="000000"/>
                <w:lang w:eastAsia="en-GB"/>
              </w:rPr>
            </w:pPr>
            <w:r w:rsidRPr="00893F82">
              <w:rPr>
                <w:rFonts w:eastAsia="Times New Roman"/>
                <w:i/>
                <w:color w:val="000000"/>
                <w:lang w:eastAsia="en-GB"/>
              </w:rPr>
              <w:t>Low / middle income countries</w:t>
            </w: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Algeria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Argentina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Bangladesh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Bosnia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tcBorders>
              <w:top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Brazil</w:t>
            </w:r>
          </w:p>
        </w:tc>
        <w:tc>
          <w:tcPr>
            <w:tcW w:w="845" w:type="dxa"/>
            <w:tcBorders>
              <w:top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Bulgaria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Central America*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China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Colombia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Croatia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Dominican Republic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Ecuador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320C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320C6" w:rsidRPr="00E320C6" w:rsidRDefault="00E320C6" w:rsidP="00E320C6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Egypt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320C6" w:rsidRPr="00E320C6" w:rsidRDefault="00E320C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Fr</w:t>
            </w:r>
            <w:r w:rsidR="00795BB9">
              <w:rPr>
                <w:rFonts w:eastAsia="Times New Roman"/>
                <w:color w:val="000000"/>
                <w:lang w:eastAsia="en-GB"/>
              </w:rPr>
              <w:t>ancophone</w:t>
            </w:r>
            <w:r w:rsidRPr="00E320C6">
              <w:rPr>
                <w:rFonts w:eastAsia="Times New Roman"/>
                <w:color w:val="000000"/>
                <w:lang w:eastAsia="en-GB"/>
              </w:rPr>
              <w:t xml:space="preserve"> W</w:t>
            </w:r>
            <w:r w:rsidR="00795BB9">
              <w:rPr>
                <w:rFonts w:eastAsia="Times New Roman"/>
                <w:color w:val="000000"/>
                <w:lang w:eastAsia="en-GB"/>
              </w:rPr>
              <w:t>est</w:t>
            </w:r>
            <w:r w:rsidRPr="00E320C6">
              <w:rPr>
                <w:rFonts w:eastAsia="Times New Roman"/>
                <w:color w:val="000000"/>
                <w:lang w:eastAsia="en-GB"/>
              </w:rPr>
              <w:t xml:space="preserve"> Africa</w:t>
            </w:r>
            <w:r w:rsidR="00795BB9" w:rsidRPr="005A3B98">
              <w:rPr>
                <w:rFonts w:eastAsia="Times New Roman"/>
                <w:color w:val="000000"/>
                <w:vertAlign w:val="superscript"/>
                <w:lang w:eastAsia="en-GB"/>
              </w:rPr>
              <w:t>†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India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Indonesia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Jordan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Kazakhstan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Lebanon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Malaysia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Mexico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Morocco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Pakistan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Peru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Philippines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Romania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Russia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Serbia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South Africa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Sri Lanka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Thailand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Tunisia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Turkey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2D78B6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2D78B6" w:rsidRPr="00E320C6" w:rsidRDefault="002D78B6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Ukraine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2D78B6" w:rsidRPr="00E320C6" w:rsidRDefault="002D78B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2D78B6" w:rsidRPr="00E320C6" w:rsidRDefault="002D78B6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Venezuela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Vietnam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D20FA" w:rsidRPr="00E320C6" w:rsidRDefault="00FD20FA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893F82" w:rsidRPr="00E320C6" w:rsidTr="005A5BCC">
        <w:trPr>
          <w:trHeight w:val="315"/>
        </w:trPr>
        <w:tc>
          <w:tcPr>
            <w:tcW w:w="4544" w:type="dxa"/>
            <w:gridSpan w:val="3"/>
            <w:shd w:val="clear" w:color="auto" w:fill="auto"/>
            <w:noWrap/>
            <w:vAlign w:val="center"/>
          </w:tcPr>
          <w:p w:rsidR="00893F82" w:rsidRPr="00893F82" w:rsidRDefault="00893F82" w:rsidP="005A5BCC">
            <w:pPr>
              <w:spacing w:line="240" w:lineRule="auto"/>
              <w:rPr>
                <w:rFonts w:eastAsia="Times New Roman"/>
                <w:i/>
                <w:color w:val="000000"/>
                <w:lang w:eastAsia="en-GB"/>
              </w:rPr>
            </w:pPr>
            <w:r w:rsidRPr="00893F82">
              <w:rPr>
                <w:rFonts w:eastAsia="Times New Roman"/>
                <w:i/>
                <w:color w:val="000000"/>
                <w:lang w:eastAsia="en-GB"/>
              </w:rPr>
              <w:t>High income countries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Australia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Austria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Belgium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lastRenderedPageBreak/>
              <w:t>Canada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Chile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Czech Republic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Estonia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Finland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France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FE2D98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FE2D98" w:rsidRPr="00E320C6" w:rsidRDefault="00FE2D98" w:rsidP="00FE2D98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Germany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E2D98" w:rsidRPr="00E320C6" w:rsidRDefault="00FE2D98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Greece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Hong Kong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Hungary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Ireland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Italy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Japan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Korea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Kuwait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Latvia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Lithuania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Luxembourg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Netherlands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New Zealand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E534AC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E534AC" w:rsidRPr="00E320C6" w:rsidRDefault="00E534AC" w:rsidP="00E534AC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Norway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534AC" w:rsidRPr="00E320C6" w:rsidRDefault="00E534A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Poland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Portugal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Puerto Rico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Saudi Arabia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Singapore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Slovakia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Slovenia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Spain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Sweden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Switzerland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Taiwan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U</w:t>
            </w:r>
            <w:r>
              <w:rPr>
                <w:rFonts w:eastAsia="Times New Roman"/>
                <w:color w:val="000000"/>
                <w:lang w:eastAsia="en-GB"/>
              </w:rPr>
              <w:t xml:space="preserve">nited </w:t>
            </w:r>
            <w:r w:rsidRPr="00E320C6">
              <w:rPr>
                <w:rFonts w:eastAsia="Times New Roman"/>
                <w:color w:val="000000"/>
                <w:lang w:eastAsia="en-GB"/>
              </w:rPr>
              <w:t>A</w:t>
            </w:r>
            <w:r>
              <w:rPr>
                <w:rFonts w:eastAsia="Times New Roman"/>
                <w:color w:val="000000"/>
                <w:lang w:eastAsia="en-GB"/>
              </w:rPr>
              <w:t xml:space="preserve">rab </w:t>
            </w:r>
            <w:r w:rsidRPr="00E320C6">
              <w:rPr>
                <w:rFonts w:eastAsia="Times New Roman"/>
                <w:color w:val="000000"/>
                <w:lang w:eastAsia="en-GB"/>
              </w:rPr>
              <w:t>E</w:t>
            </w:r>
            <w:r>
              <w:rPr>
                <w:rFonts w:eastAsia="Times New Roman"/>
                <w:color w:val="000000"/>
                <w:lang w:eastAsia="en-GB"/>
              </w:rPr>
              <w:t>mirates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United Kingdom</w:t>
            </w:r>
          </w:p>
        </w:tc>
        <w:tc>
          <w:tcPr>
            <w:tcW w:w="84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U</w:t>
            </w:r>
            <w:r>
              <w:rPr>
                <w:rFonts w:eastAsia="Times New Roman"/>
                <w:color w:val="000000"/>
                <w:lang w:eastAsia="en-GB"/>
              </w:rPr>
              <w:t>nited States of America</w:t>
            </w:r>
          </w:p>
        </w:tc>
        <w:tc>
          <w:tcPr>
            <w:tcW w:w="845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  <w:tr w:rsidR="00893F82" w:rsidRPr="00E320C6" w:rsidTr="00795BB9">
        <w:trPr>
          <w:trHeight w:val="315"/>
        </w:trPr>
        <w:tc>
          <w:tcPr>
            <w:tcW w:w="26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F82" w:rsidRPr="00E320C6" w:rsidRDefault="00893F82" w:rsidP="00893F82">
            <w:pPr>
              <w:spacing w:line="240" w:lineRule="auto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Uruguay</w:t>
            </w:r>
          </w:p>
        </w:tc>
        <w:tc>
          <w:tcPr>
            <w:tcW w:w="8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F82" w:rsidRPr="00E320C6" w:rsidRDefault="00893F82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E320C6">
              <w:rPr>
                <w:rFonts w:eastAsia="Times New Roman"/>
                <w:color w:val="000000"/>
                <w:lang w:eastAsia="en-GB"/>
              </w:rPr>
              <w:t>X</w:t>
            </w:r>
          </w:p>
        </w:tc>
        <w:tc>
          <w:tcPr>
            <w:tcW w:w="10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F82" w:rsidRPr="00E320C6" w:rsidRDefault="008F6BEC" w:rsidP="00D148C6">
            <w:pPr>
              <w:spacing w:line="240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X</w:t>
            </w:r>
          </w:p>
        </w:tc>
      </w:tr>
    </w:tbl>
    <w:p w:rsidR="0036271C" w:rsidRDefault="0036271C" w:rsidP="00CA3AAC"/>
    <w:p w:rsidR="001D4811" w:rsidRPr="005A3B98" w:rsidRDefault="005A3B98" w:rsidP="00CA3AAC">
      <w:r w:rsidRPr="005A3B98">
        <w:t xml:space="preserve">* Aggregated data for </w:t>
      </w:r>
      <w:r w:rsidR="00F52B90" w:rsidRPr="002A6F3B">
        <w:t>Costa Rica</w:t>
      </w:r>
      <w:r w:rsidR="00F52B90">
        <w:t xml:space="preserve">, </w:t>
      </w:r>
      <w:r w:rsidR="00F52B90" w:rsidRPr="002A6F3B">
        <w:t>El Salvador</w:t>
      </w:r>
      <w:r w:rsidR="00F52B90">
        <w:t xml:space="preserve">, </w:t>
      </w:r>
      <w:r w:rsidR="00F52B90" w:rsidRPr="002A6F3B">
        <w:t>Guatemala</w:t>
      </w:r>
      <w:r w:rsidR="00F52B90">
        <w:t xml:space="preserve">, </w:t>
      </w:r>
      <w:r w:rsidR="00F52B90" w:rsidRPr="002A6F3B">
        <w:t>Honduras</w:t>
      </w:r>
      <w:r w:rsidR="00F52B90">
        <w:t xml:space="preserve">, </w:t>
      </w:r>
      <w:r w:rsidR="00F52B90" w:rsidRPr="002A6F3B">
        <w:t>Nicaragua</w:t>
      </w:r>
      <w:r w:rsidR="00F52B90">
        <w:t xml:space="preserve">, </w:t>
      </w:r>
      <w:r w:rsidR="00F52B90" w:rsidRPr="002A6F3B">
        <w:t>Panama</w:t>
      </w:r>
    </w:p>
    <w:p w:rsidR="0036271C" w:rsidRDefault="0036271C" w:rsidP="00CA3AAC">
      <w:pPr>
        <w:rPr>
          <w:rFonts w:eastAsia="Times New Roman"/>
          <w:color w:val="000000"/>
          <w:vertAlign w:val="superscript"/>
          <w:lang w:eastAsia="en-GB"/>
        </w:rPr>
      </w:pPr>
    </w:p>
    <w:p w:rsidR="00CA3AAC" w:rsidRDefault="005A3B98" w:rsidP="00CA3AAC">
      <w:r w:rsidRPr="005A3B98">
        <w:rPr>
          <w:rFonts w:eastAsia="Times New Roman"/>
          <w:color w:val="000000"/>
          <w:vertAlign w:val="superscript"/>
          <w:lang w:eastAsia="en-GB"/>
        </w:rPr>
        <w:t>†</w:t>
      </w:r>
      <w:r>
        <w:rPr>
          <w:rFonts w:eastAsia="Times New Roman"/>
          <w:color w:val="000000"/>
          <w:lang w:eastAsia="en-GB"/>
        </w:rPr>
        <w:t xml:space="preserve"> Aggregated data for </w:t>
      </w:r>
      <w:r w:rsidRPr="002A6F3B">
        <w:t>Benin</w:t>
      </w:r>
      <w:r>
        <w:t xml:space="preserve">, </w:t>
      </w:r>
      <w:r w:rsidRPr="002A6F3B">
        <w:t>Burkina Faso</w:t>
      </w:r>
      <w:r>
        <w:t xml:space="preserve">, </w:t>
      </w:r>
      <w:r w:rsidRPr="002A6F3B">
        <w:t>Cameroon</w:t>
      </w:r>
      <w:r>
        <w:t xml:space="preserve">, </w:t>
      </w:r>
      <w:r w:rsidRPr="002A6F3B">
        <w:t>Côte d'Ivoire</w:t>
      </w:r>
      <w:r>
        <w:t xml:space="preserve">, </w:t>
      </w:r>
      <w:r w:rsidRPr="002A6F3B">
        <w:t>Democratic Republic of the Congo</w:t>
      </w:r>
      <w:r>
        <w:t xml:space="preserve">, </w:t>
      </w:r>
      <w:r w:rsidRPr="002A6F3B">
        <w:t>Gabon</w:t>
      </w:r>
      <w:r>
        <w:t xml:space="preserve">, </w:t>
      </w:r>
      <w:r w:rsidRPr="002A6F3B">
        <w:t>Guinea</w:t>
      </w:r>
      <w:r>
        <w:t xml:space="preserve">, </w:t>
      </w:r>
      <w:r w:rsidRPr="002A6F3B">
        <w:t>Mali</w:t>
      </w:r>
      <w:r>
        <w:t xml:space="preserve">, </w:t>
      </w:r>
      <w:r w:rsidRPr="002A6F3B">
        <w:t>Senegal</w:t>
      </w:r>
      <w:r>
        <w:t xml:space="preserve">, </w:t>
      </w:r>
      <w:r w:rsidRPr="002A6F3B">
        <w:t>Togo</w:t>
      </w:r>
    </w:p>
    <w:p w:rsidR="00CA3AAC" w:rsidRPr="00BF34A0" w:rsidRDefault="00CA3AAC" w:rsidP="00CA3AAC">
      <w:pPr>
        <w:rPr>
          <w:i/>
        </w:rPr>
      </w:pPr>
      <w:r>
        <w:rPr>
          <w:i/>
        </w:rPr>
        <w:br w:type="page"/>
      </w:r>
      <w:r w:rsidRPr="00BF34A0">
        <w:rPr>
          <w:i/>
        </w:rPr>
        <w:lastRenderedPageBreak/>
        <w:t>List of child-</w:t>
      </w:r>
      <w:r>
        <w:rPr>
          <w:i/>
        </w:rPr>
        <w:t>appropriate</w:t>
      </w:r>
      <w:r w:rsidRPr="00BF34A0">
        <w:rPr>
          <w:i/>
        </w:rPr>
        <w:t xml:space="preserve"> formulations</w:t>
      </w:r>
    </w:p>
    <w:p w:rsidR="00CA3AAC" w:rsidRPr="00BF34A0" w:rsidRDefault="00CA3AAC" w:rsidP="00CA3AAC">
      <w:r w:rsidRPr="00BF34A0">
        <w:rPr>
          <w:rFonts w:eastAsia="Times New Roman"/>
          <w:color w:val="000000"/>
          <w:lang w:eastAsia="en-GB"/>
        </w:rPr>
        <w:t>Oral Solid Ordinary Orally Disintegrating Tablets</w:t>
      </w:r>
    </w:p>
    <w:p w:rsidR="00CA3AAC" w:rsidRPr="00BF34A0" w:rsidRDefault="00CA3AAC" w:rsidP="00CA3AAC">
      <w:r w:rsidRPr="00BF34A0">
        <w:rPr>
          <w:rFonts w:eastAsia="Times New Roman"/>
          <w:color w:val="000000"/>
          <w:lang w:eastAsia="en-GB"/>
        </w:rPr>
        <w:t>Oral Solid Ordinary Buccal Tablets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Ordinary Chewable Tablets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Ordinary Effervescent Tablets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Ordinary Soluble Tablets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Ordinary Powders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Ordinary Granules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Ordinary Unit Dose Powders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Retard Unit Dose Powders</w:t>
      </w:r>
    </w:p>
    <w:p w:rsidR="00CA3AAC" w:rsidRPr="00BF34A0" w:rsidRDefault="00CA3AAC" w:rsidP="00CA3AAC">
      <w:pPr>
        <w:rPr>
          <w:rFonts w:eastAsia="Times New Roman"/>
          <w:color w:val="000000"/>
          <w:lang w:eastAsia="en-GB"/>
        </w:rPr>
      </w:pPr>
      <w:r w:rsidRPr="00BF34A0">
        <w:rPr>
          <w:rFonts w:eastAsia="Times New Roman"/>
          <w:color w:val="000000"/>
          <w:lang w:eastAsia="en-GB"/>
        </w:rPr>
        <w:t>Oral Solid Retard Other Powders/Granules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Unit Dose Pressurised Aerosols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Soluble Powders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Unit Dose Powders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Other Powders/Granules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Liquids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Drops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Dry Suspensions/Syrups/Drops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Suspensions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Syrups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Ordinary Unit Dose Liquids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Retard Soluble Powders</w:t>
      </w:r>
    </w:p>
    <w:p w:rsidR="00CA3AAC" w:rsidRPr="00BF34A0" w:rsidRDefault="00CA3AAC" w:rsidP="00CA3AAC">
      <w:pPr>
        <w:rPr>
          <w:rFonts w:eastAsia="Times New Roman"/>
          <w:lang w:eastAsia="en-GB"/>
        </w:rPr>
      </w:pPr>
      <w:r w:rsidRPr="00BF34A0">
        <w:rPr>
          <w:rFonts w:eastAsia="Times New Roman"/>
          <w:lang w:eastAsia="en-GB"/>
        </w:rPr>
        <w:t>Oral Liquid Retard Unit Dose Powders</w:t>
      </w:r>
    </w:p>
    <w:p w:rsidR="00CA3AAC" w:rsidRDefault="00CA3AAC" w:rsidP="00CA3AAC">
      <w:pPr>
        <w:rPr>
          <w:rFonts w:ascii="Calibri" w:eastAsia="Times New Roman" w:hAnsi="Calibri" w:cs="Times New Roman"/>
          <w:color w:val="000000"/>
          <w:sz w:val="22"/>
          <w:szCs w:val="22"/>
          <w:lang w:eastAsia="en-GB"/>
        </w:rPr>
      </w:pPr>
    </w:p>
    <w:p w:rsidR="00CA3AAC" w:rsidRDefault="00CA3AAC" w:rsidP="00CA3AAC">
      <w:r>
        <w:br w:type="page"/>
      </w:r>
    </w:p>
    <w:p w:rsidR="00CA3AAC" w:rsidRPr="00C86C77" w:rsidRDefault="00CA3AAC" w:rsidP="00CA3AAC">
      <w:pPr>
        <w:rPr>
          <w:i/>
        </w:rPr>
      </w:pPr>
      <w:r w:rsidRPr="00C86C77">
        <w:rPr>
          <w:i/>
        </w:rPr>
        <w:lastRenderedPageBreak/>
        <w:t>Appendix Figure 1:</w:t>
      </w:r>
      <w:r w:rsidRPr="00C86C77">
        <w:rPr>
          <w:i/>
          <w:color w:val="000000" w:themeColor="text1"/>
        </w:rPr>
        <w:t xml:space="preserve"> Compound annual growth rates in consumption per person (all formulations) or per child aged 0-4 years (child-appropriate formulations) of Access and Watch antibiotics for individual countries, 2011-2015. Source: IQVIA.</w:t>
      </w:r>
    </w:p>
    <w:p w:rsidR="00CA3AAC" w:rsidRDefault="00DE0EC2" w:rsidP="00CA3AAC">
      <w:pPr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5607374" cy="4029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gr by country by awr combined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3198" r="2116" b="2924"/>
                    <a:stretch/>
                  </pic:blipFill>
                  <pic:spPr bwMode="auto">
                    <a:xfrm>
                      <a:off x="0" y="0"/>
                      <a:ext cx="5609027" cy="403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AC" w:rsidRDefault="00CA3AAC" w:rsidP="00CA3AAC">
      <w:pPr>
        <w:rPr>
          <w:i/>
        </w:rPr>
      </w:pPr>
    </w:p>
    <w:p w:rsidR="00CA3AAC" w:rsidRPr="0088386B" w:rsidRDefault="00CA3AAC" w:rsidP="00CA3AAC">
      <w:pPr>
        <w:pStyle w:val="Caption"/>
        <w:keepNext/>
        <w:spacing w:after="0"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 xml:space="preserve">Appendix Figure 2: </w:t>
      </w:r>
      <w:r w:rsidRPr="0088386B">
        <w:rPr>
          <w:color w:val="000000" w:themeColor="text1"/>
          <w:sz w:val="20"/>
          <w:szCs w:val="20"/>
        </w:rPr>
        <w:t>Compound annual growth rates in consumption per child of amoxicillin and amoxicillin with clavulanic acid for individual countries, 2011-2015. Source: IQVIA.</w:t>
      </w:r>
    </w:p>
    <w:p w:rsidR="00CA3AAC" w:rsidRDefault="00CA3AAC" w:rsidP="00CA3AAC">
      <w:pPr>
        <w:keepNext/>
      </w:pPr>
      <w:r>
        <w:rPr>
          <w:noProof/>
          <w:lang w:eastAsia="en-GB"/>
        </w:rPr>
        <w:drawing>
          <wp:inline distT="0" distB="0" distL="0" distR="0" wp14:anchorId="413E3D00" wp14:editId="0BB7089D">
            <wp:extent cx="3614922" cy="4571182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gr by country amox and co-amox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9" t="2807" r="22617" b="1988"/>
                    <a:stretch/>
                  </pic:blipFill>
                  <pic:spPr bwMode="auto">
                    <a:xfrm>
                      <a:off x="0" y="0"/>
                      <a:ext cx="3619390" cy="457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AC" w:rsidRPr="00C86C77" w:rsidRDefault="00CA3AAC" w:rsidP="00CA3AAC">
      <w:pPr>
        <w:rPr>
          <w:i/>
        </w:rPr>
      </w:pPr>
    </w:p>
    <w:p w:rsidR="00262FB5" w:rsidRDefault="00262FB5"/>
    <w:sectPr w:rsidR="00262FB5" w:rsidSect="00B4111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47C" w:rsidRDefault="0059647C">
      <w:pPr>
        <w:spacing w:line="240" w:lineRule="auto"/>
      </w:pPr>
      <w:r>
        <w:separator/>
      </w:r>
    </w:p>
  </w:endnote>
  <w:endnote w:type="continuationSeparator" w:id="0">
    <w:p w:rsidR="0059647C" w:rsidRDefault="005964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3011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43B2" w:rsidRDefault="009B3B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6FD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043B2" w:rsidRDefault="005964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47C" w:rsidRDefault="0059647C">
      <w:pPr>
        <w:spacing w:line="240" w:lineRule="auto"/>
      </w:pPr>
      <w:r>
        <w:separator/>
      </w:r>
    </w:p>
  </w:footnote>
  <w:footnote w:type="continuationSeparator" w:id="0">
    <w:p w:rsidR="0059647C" w:rsidRDefault="005964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B2" w:rsidRDefault="005964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B2" w:rsidRDefault="005964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B2" w:rsidRDefault="005964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AAC"/>
    <w:rsid w:val="00156FDE"/>
    <w:rsid w:val="001D4811"/>
    <w:rsid w:val="00262FB5"/>
    <w:rsid w:val="002D78B6"/>
    <w:rsid w:val="0036271C"/>
    <w:rsid w:val="00450B65"/>
    <w:rsid w:val="0059647C"/>
    <w:rsid w:val="005A3B98"/>
    <w:rsid w:val="005A5BCC"/>
    <w:rsid w:val="0076155A"/>
    <w:rsid w:val="00795BB9"/>
    <w:rsid w:val="00893F82"/>
    <w:rsid w:val="008F6BEC"/>
    <w:rsid w:val="009677DE"/>
    <w:rsid w:val="009B3B8F"/>
    <w:rsid w:val="00A11C0A"/>
    <w:rsid w:val="00B0751E"/>
    <w:rsid w:val="00BE77F2"/>
    <w:rsid w:val="00CA3AAC"/>
    <w:rsid w:val="00D148C6"/>
    <w:rsid w:val="00DE0EC2"/>
    <w:rsid w:val="00E320C6"/>
    <w:rsid w:val="00E419AB"/>
    <w:rsid w:val="00E534AC"/>
    <w:rsid w:val="00F52B90"/>
    <w:rsid w:val="00FD20FA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5220B-FE42-4856-A5EB-3DEF144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AA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AAC"/>
  </w:style>
  <w:style w:type="paragraph" w:styleId="Footer">
    <w:name w:val="footer"/>
    <w:basedOn w:val="Normal"/>
    <w:link w:val="FooterChar"/>
    <w:uiPriority w:val="99"/>
    <w:unhideWhenUsed/>
    <w:rsid w:val="00CA3AA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AAC"/>
  </w:style>
  <w:style w:type="paragraph" w:styleId="Caption">
    <w:name w:val="caption"/>
    <w:basedOn w:val="Normal"/>
    <w:next w:val="Normal"/>
    <w:uiPriority w:val="35"/>
    <w:unhideWhenUsed/>
    <w:qFormat/>
    <w:rsid w:val="00CA3A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B3B8F"/>
    <w:pPr>
      <w:spacing w:line="240" w:lineRule="auto"/>
    </w:pPr>
    <w:rPr>
      <w:rFonts w:ascii="Calibr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9B3B8F"/>
    <w:rPr>
      <w:rFonts w:ascii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5A3B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Georges, University of London</Company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Jackson</dc:creator>
  <cp:keywords/>
  <dc:description/>
  <cp:lastModifiedBy>Yingfen Hsia</cp:lastModifiedBy>
  <cp:revision>2</cp:revision>
  <dcterms:created xsi:type="dcterms:W3CDTF">2019-01-02T10:24:00Z</dcterms:created>
  <dcterms:modified xsi:type="dcterms:W3CDTF">2019-01-02T10:24:00Z</dcterms:modified>
</cp:coreProperties>
</file>