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31874" w14:textId="01E8AC8E" w:rsidR="0080490D" w:rsidRPr="00844FC2" w:rsidRDefault="00D01B29">
      <w:pPr>
        <w:rPr>
          <w:b/>
        </w:rPr>
      </w:pPr>
      <w:r>
        <w:rPr>
          <w:b/>
        </w:rPr>
        <w:t>Appendix 7</w:t>
      </w:r>
      <w:r w:rsidR="00B80514">
        <w:rPr>
          <w:b/>
        </w:rPr>
        <w:t>:</w:t>
      </w:r>
      <w:r w:rsidR="00844FC2" w:rsidRPr="00844FC2">
        <w:rPr>
          <w:b/>
        </w:rPr>
        <w:t xml:space="preserve"> External adjustment for ethnicity in the association between diabetes and tuberculosis </w:t>
      </w:r>
      <w:bookmarkStart w:id="0" w:name="_GoBack"/>
      <w:bookmarkEnd w:id="0"/>
    </w:p>
    <w:p w14:paraId="123DE55F" w14:textId="77777777" w:rsidR="005607A5" w:rsidRDefault="005607A5" w:rsidP="00B112E7">
      <w:pPr>
        <w:rPr>
          <w:i/>
        </w:rPr>
      </w:pPr>
    </w:p>
    <w:p w14:paraId="6B952F12" w14:textId="468E9324" w:rsidR="005607A5" w:rsidRPr="00F02DF6" w:rsidRDefault="005607A5" w:rsidP="00B112E7">
      <w:r w:rsidRPr="00F02DF6">
        <w:t>Following methods set out by McNamee et al (20</w:t>
      </w:r>
      <w:r w:rsidR="00F02DF6">
        <w:t>03</w:t>
      </w:r>
      <w:r w:rsidRPr="00F02DF6">
        <w:t>)</w:t>
      </w:r>
      <w:r w:rsidR="00F02DF6">
        <w:fldChar w:fldCharType="begin"/>
      </w:r>
      <w:r w:rsidR="00F02DF6">
        <w:instrText xml:space="preserve"> ADDIN EN.CITE &lt;EndNote&gt;&lt;Cite&gt;&lt;Author&gt;McNamee&lt;/Author&gt;&lt;Year&gt;2003&lt;/Year&gt;&lt;RecNum&gt;31&lt;/RecNum&gt;&lt;DisplayText&gt;[1]&lt;/DisplayText&gt;&lt;record&gt;&lt;rec-number&gt;31&lt;/rec-number&gt;&lt;foreign-keys&gt;&lt;key app="EN" db-id="atarfpe9bs990aee2s9x90f2pf99sw0r5ds2" timestamp="1500986726"&gt;31&lt;/key&gt;&lt;/foreign-keys&gt;&lt;ref-type name="Journal Article"&gt;17&lt;/ref-type&gt;&lt;contributors&gt;&lt;authors&gt;&lt;author&gt;McNamee, R&lt;/author&gt;&lt;/authors&gt;&lt;/contributors&gt;&lt;titles&gt;&lt;title&gt;Confounding and confounders&lt;/title&gt;&lt;secondary-title&gt;Occupational and Environmental Medicine&lt;/secondary-title&gt;&lt;/titles&gt;&lt;periodical&gt;&lt;full-title&gt;Occupational and Environmental Medicine&lt;/full-title&gt;&lt;/periodical&gt;&lt;pages&gt;227-234&lt;/pages&gt;&lt;volume&gt;60&lt;/volume&gt;&lt;number&gt;3&lt;/number&gt;&lt;dates&gt;&lt;year&gt;2003&lt;/year&gt;&lt;pub-dates&gt;&lt;date&gt;March 1, 2003&lt;/date&gt;&lt;/pub-dates&gt;&lt;/dates&gt;&lt;urls&gt;&lt;related-urls&gt;&lt;url&gt;http://oem.bmj.com/content/60/3/227.short&lt;/url&gt;&lt;/related-urls&gt;&lt;/urls&gt;&lt;electronic-resource-num&gt;10.1136/oem.60.3.227&lt;/electronic-resource-num&gt;&lt;/record&gt;&lt;/Cite&gt;&lt;/EndNote&gt;</w:instrText>
      </w:r>
      <w:r w:rsidR="00F02DF6">
        <w:fldChar w:fldCharType="separate"/>
      </w:r>
      <w:r w:rsidR="00F02DF6">
        <w:rPr>
          <w:noProof/>
        </w:rPr>
        <w:t>[1]</w:t>
      </w:r>
      <w:r w:rsidR="00F02DF6">
        <w:fldChar w:fldCharType="end"/>
      </w:r>
      <w:r w:rsidRPr="00F02DF6">
        <w:t xml:space="preserve">, we used the following equation to estimate the potential degree of confounding that could be </w:t>
      </w:r>
      <w:r>
        <w:t>due to</w:t>
      </w:r>
      <w:r w:rsidRPr="00F02DF6">
        <w:t xml:space="preserve"> an unmeasured confounder (in this case ethnicity). </w:t>
      </w:r>
    </w:p>
    <w:p w14:paraId="553BC345" w14:textId="77777777" w:rsidR="00B112E7" w:rsidRPr="006E2D01" w:rsidRDefault="00B112E7" w:rsidP="00B112E7">
      <w:pPr>
        <w:rPr>
          <w:i/>
        </w:rPr>
      </w:pPr>
      <w:r w:rsidRPr="006E2D01">
        <w:rPr>
          <w:i/>
        </w:rPr>
        <w:t>Degree of confounding=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cs="Cambria Math"/>
              </w:rPr>
              <m:t>confoundedRR</m:t>
            </m:r>
          </m:num>
          <m:den>
            <m:r>
              <w:rPr>
                <w:rFonts w:ascii="Cambria Math" w:hAnsi="Cambria Math" w:cs="Cambria Math"/>
              </w:rPr>
              <m:t>trueRR</m:t>
            </m:r>
          </m:den>
        </m:f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100-p1</m:t>
                </m:r>
              </m:e>
            </m:d>
            <m:r>
              <w:rPr>
                <w:rFonts w:ascii="Cambria Math" w:hAnsi="Cambria Math" w:cs="Cambria Math"/>
              </w:rPr>
              <m:t>+RRsp1</m:t>
            </m:r>
          </m:num>
          <m:den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100-p0</m:t>
                </m:r>
              </m:e>
            </m:d>
            <m:r>
              <w:rPr>
                <w:rFonts w:ascii="Cambria Math" w:hAnsi="Cambria Math" w:cs="Cambria Math"/>
              </w:rPr>
              <m:t>+RRsp0</m:t>
            </m:r>
          </m:den>
        </m:f>
      </m:oMath>
    </w:p>
    <w:p w14:paraId="70BF001C" w14:textId="77777777" w:rsidR="00B112E7" w:rsidRDefault="00B112E7" w:rsidP="00B112E7">
      <w:r>
        <w:t>Note: p1—percentage of subjects with S in the exposed group; p0—percentage of subjects with S in the unexposed group</w:t>
      </w:r>
      <w:r w:rsidR="00D04CDA">
        <w:t>.</w:t>
      </w:r>
    </w:p>
    <w:p w14:paraId="6A742E67" w14:textId="77777777" w:rsidR="00844FC2" w:rsidRDefault="00844FC2" w:rsidP="00844FC2">
      <w:pPr>
        <w:pStyle w:val="ListParagraph"/>
        <w:numPr>
          <w:ilvl w:val="0"/>
          <w:numId w:val="1"/>
        </w:numPr>
      </w:pPr>
      <w:r>
        <w:t>TB</w:t>
      </w:r>
      <w:r>
        <w:sym w:font="Wingdings" w:char="F0E0"/>
      </w:r>
      <w:r>
        <w:t xml:space="preserve">DM </w:t>
      </w:r>
      <w:r w:rsidR="00D04CDA">
        <w:t>(i.e., does TB increase the risk of DM)</w:t>
      </w:r>
    </w:p>
    <w:p w14:paraId="0625058E" w14:textId="77777777" w:rsidR="00D04CDA" w:rsidRDefault="00D04CDA" w:rsidP="00D04CDA">
      <w:pPr>
        <w:pStyle w:val="ListParagraph"/>
      </w:pPr>
      <w:r>
        <w:t xml:space="preserve">Here p1 </w:t>
      </w:r>
      <w:r w:rsidR="0068519F">
        <w:t>re</w:t>
      </w:r>
      <w:r>
        <w:t xml:space="preserve">presents the percentage of subjects who are south Asian/black in the TB group, while p0 represents the percentage of subjects who are south Asian/black in the non-TB group. </w:t>
      </w:r>
    </w:p>
    <w:p w14:paraId="5552CDC9" w14:textId="77777777" w:rsidR="00D04CDA" w:rsidRDefault="00D04CDA" w:rsidP="00D04CDA">
      <w:pPr>
        <w:pStyle w:val="ListParagraph"/>
      </w:pPr>
    </w:p>
    <w:p w14:paraId="64AD7082" w14:textId="77777777" w:rsidR="00D04CDA" w:rsidRPr="006E2D01" w:rsidRDefault="00D04CDA" w:rsidP="00D04CDA">
      <w:pPr>
        <w:pStyle w:val="ListParagraph"/>
        <w:rPr>
          <w:b/>
        </w:rPr>
      </w:pPr>
      <w:r w:rsidRPr="006E2D01">
        <w:rPr>
          <w:b/>
        </w:rPr>
        <w:t xml:space="preserve">Table </w:t>
      </w:r>
      <w:r w:rsidR="00056191" w:rsidRPr="006E2D01">
        <w:rPr>
          <w:b/>
        </w:rPr>
        <w:t>A1</w:t>
      </w:r>
      <w:r w:rsidR="00BB0CFF" w:rsidRPr="006E2D01">
        <w:rPr>
          <w:b/>
        </w:rPr>
        <w:t>:</w:t>
      </w:r>
      <w:r w:rsidR="00056191" w:rsidRPr="006E2D01">
        <w:rPr>
          <w:b/>
        </w:rPr>
        <w:t xml:space="preserve"> TB cases</w:t>
      </w:r>
      <w:r w:rsidR="006E2D01" w:rsidRPr="006E2D01">
        <w:rPr>
          <w:b/>
        </w:rPr>
        <w:t xml:space="preserve"> in the UK*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056191" w14:paraId="6CF1829C" w14:textId="77777777" w:rsidTr="002976F7">
        <w:tc>
          <w:tcPr>
            <w:tcW w:w="2074" w:type="dxa"/>
            <w:vAlign w:val="bottom"/>
          </w:tcPr>
          <w:p w14:paraId="6CC218EB" w14:textId="77777777" w:rsidR="00056191" w:rsidRPr="006E2D01" w:rsidRDefault="00056191" w:rsidP="00D04CDA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Ethnicity </w:t>
            </w:r>
          </w:p>
        </w:tc>
        <w:tc>
          <w:tcPr>
            <w:tcW w:w="2074" w:type="dxa"/>
            <w:vAlign w:val="bottom"/>
          </w:tcPr>
          <w:p w14:paraId="6D42EC93" w14:textId="77777777" w:rsidR="00056191" w:rsidRPr="006E2D01" w:rsidRDefault="00056191" w:rsidP="00D04CD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Number of cases </w:t>
            </w:r>
          </w:p>
        </w:tc>
        <w:tc>
          <w:tcPr>
            <w:tcW w:w="2074" w:type="dxa"/>
            <w:vAlign w:val="bottom"/>
          </w:tcPr>
          <w:p w14:paraId="3B7AB153" w14:textId="77777777" w:rsidR="00056191" w:rsidRPr="006E2D01" w:rsidRDefault="00A358B1" w:rsidP="00D04CD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Proportion</w:t>
            </w:r>
            <w:r w:rsidR="00056191" w:rsidRPr="006E2D01">
              <w:rPr>
                <w:rFonts w:ascii="Calibri" w:hAnsi="Calibri"/>
                <w:b/>
                <w:color w:val="000000"/>
              </w:rPr>
              <w:t xml:space="preserve"> (%)</w:t>
            </w:r>
          </w:p>
        </w:tc>
      </w:tr>
      <w:tr w:rsidR="007901FD" w14:paraId="45B8C57B" w14:textId="77777777" w:rsidTr="002976F7">
        <w:tc>
          <w:tcPr>
            <w:tcW w:w="2074" w:type="dxa"/>
            <w:vAlign w:val="bottom"/>
          </w:tcPr>
          <w:p w14:paraId="082C8320" w14:textId="77777777" w:rsidR="007901FD" w:rsidRPr="006E2D01" w:rsidRDefault="007901FD" w:rsidP="007901FD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white</w:t>
            </w:r>
          </w:p>
        </w:tc>
        <w:tc>
          <w:tcPr>
            <w:tcW w:w="2074" w:type="dxa"/>
            <w:vAlign w:val="bottom"/>
          </w:tcPr>
          <w:p w14:paraId="2EAF1E32" w14:textId="77777777" w:rsidR="007901FD" w:rsidRDefault="007901FD" w:rsidP="00790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1118</w:t>
            </w:r>
          </w:p>
        </w:tc>
        <w:tc>
          <w:tcPr>
            <w:tcW w:w="2074" w:type="dxa"/>
            <w:vAlign w:val="bottom"/>
          </w:tcPr>
          <w:p w14:paraId="0F262727" w14:textId="77777777" w:rsidR="007901FD" w:rsidRDefault="007901FD" w:rsidP="00790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20.4</w:t>
            </w:r>
          </w:p>
        </w:tc>
      </w:tr>
      <w:tr w:rsidR="007901FD" w14:paraId="1D246178" w14:textId="77777777" w:rsidTr="002976F7">
        <w:tc>
          <w:tcPr>
            <w:tcW w:w="2074" w:type="dxa"/>
            <w:vAlign w:val="bottom"/>
          </w:tcPr>
          <w:p w14:paraId="5C7CD001" w14:textId="77777777" w:rsidR="007901FD" w:rsidRPr="006E2D01" w:rsidRDefault="007901FD" w:rsidP="007901FD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black</w:t>
            </w:r>
          </w:p>
        </w:tc>
        <w:tc>
          <w:tcPr>
            <w:tcW w:w="2074" w:type="dxa"/>
            <w:vAlign w:val="bottom"/>
          </w:tcPr>
          <w:p w14:paraId="3B44ABC7" w14:textId="77777777" w:rsidR="007901FD" w:rsidRDefault="007901FD" w:rsidP="00790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823</w:t>
            </w:r>
          </w:p>
        </w:tc>
        <w:tc>
          <w:tcPr>
            <w:tcW w:w="2074" w:type="dxa"/>
            <w:vAlign w:val="bottom"/>
          </w:tcPr>
          <w:p w14:paraId="547EBCF8" w14:textId="77777777" w:rsidR="007901FD" w:rsidRDefault="007901FD" w:rsidP="00790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</w:t>
            </w:r>
          </w:p>
        </w:tc>
      </w:tr>
      <w:tr w:rsidR="007901FD" w14:paraId="73879629" w14:textId="77777777" w:rsidTr="002976F7">
        <w:tc>
          <w:tcPr>
            <w:tcW w:w="2074" w:type="dxa"/>
            <w:vAlign w:val="bottom"/>
          </w:tcPr>
          <w:p w14:paraId="17BBF73D" w14:textId="77777777" w:rsidR="007901FD" w:rsidRPr="006E2D01" w:rsidRDefault="007901FD" w:rsidP="007901FD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South Asian</w:t>
            </w:r>
          </w:p>
        </w:tc>
        <w:tc>
          <w:tcPr>
            <w:tcW w:w="2074" w:type="dxa"/>
            <w:vAlign w:val="bottom"/>
          </w:tcPr>
          <w:p w14:paraId="21088CF2" w14:textId="77777777" w:rsidR="007901FD" w:rsidRDefault="007901FD" w:rsidP="00790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2524</w:t>
            </w:r>
          </w:p>
        </w:tc>
        <w:tc>
          <w:tcPr>
            <w:tcW w:w="2074" w:type="dxa"/>
            <w:vAlign w:val="bottom"/>
          </w:tcPr>
          <w:p w14:paraId="6013D2B7" w14:textId="77777777" w:rsidR="007901FD" w:rsidRDefault="007901FD" w:rsidP="00790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46.0</w:t>
            </w:r>
          </w:p>
        </w:tc>
      </w:tr>
      <w:tr w:rsidR="007901FD" w14:paraId="6553BE6D" w14:textId="77777777" w:rsidTr="002976F7">
        <w:tc>
          <w:tcPr>
            <w:tcW w:w="2074" w:type="dxa"/>
            <w:vAlign w:val="bottom"/>
          </w:tcPr>
          <w:p w14:paraId="3398A160" w14:textId="77777777" w:rsidR="007901FD" w:rsidRPr="006E2D01" w:rsidRDefault="007901FD" w:rsidP="007901FD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Other</w:t>
            </w:r>
          </w:p>
        </w:tc>
        <w:tc>
          <w:tcPr>
            <w:tcW w:w="2074" w:type="dxa"/>
            <w:vAlign w:val="bottom"/>
          </w:tcPr>
          <w:p w14:paraId="0173AABC" w14:textId="77777777" w:rsidR="007901FD" w:rsidRDefault="007901FD" w:rsidP="00790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1023</w:t>
            </w:r>
          </w:p>
        </w:tc>
        <w:tc>
          <w:tcPr>
            <w:tcW w:w="2074" w:type="dxa"/>
            <w:vAlign w:val="bottom"/>
          </w:tcPr>
          <w:p w14:paraId="4D698D04" w14:textId="77777777" w:rsidR="007901FD" w:rsidRDefault="007901FD" w:rsidP="00790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18.6</w:t>
            </w:r>
          </w:p>
        </w:tc>
      </w:tr>
      <w:tr w:rsidR="007901FD" w14:paraId="777DAB52" w14:textId="77777777" w:rsidTr="002976F7">
        <w:tc>
          <w:tcPr>
            <w:tcW w:w="2074" w:type="dxa"/>
            <w:vAlign w:val="bottom"/>
          </w:tcPr>
          <w:p w14:paraId="58BD3715" w14:textId="77777777" w:rsidR="007901FD" w:rsidRPr="006E2D01" w:rsidRDefault="007901FD" w:rsidP="007901FD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Total </w:t>
            </w:r>
          </w:p>
        </w:tc>
        <w:tc>
          <w:tcPr>
            <w:tcW w:w="2074" w:type="dxa"/>
            <w:vAlign w:val="bottom"/>
          </w:tcPr>
          <w:p w14:paraId="6DF71883" w14:textId="77777777" w:rsidR="007901FD" w:rsidRDefault="007901FD" w:rsidP="00790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5488</w:t>
            </w:r>
          </w:p>
        </w:tc>
        <w:tc>
          <w:tcPr>
            <w:tcW w:w="2074" w:type="dxa"/>
            <w:vAlign w:val="bottom"/>
          </w:tcPr>
          <w:p w14:paraId="3B744B68" w14:textId="77777777" w:rsidR="007901FD" w:rsidRDefault="007901FD" w:rsidP="007901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</w:tr>
    </w:tbl>
    <w:p w14:paraId="2B226120" w14:textId="0FF0818B" w:rsidR="00D04CDA" w:rsidRPr="006E2D01" w:rsidRDefault="006E2D01" w:rsidP="00D04CDA">
      <w:pPr>
        <w:pStyle w:val="ListParagraph"/>
        <w:rPr>
          <w:sz w:val="20"/>
          <w:szCs w:val="20"/>
        </w:rPr>
      </w:pPr>
      <w:r w:rsidRPr="006E2D01">
        <w:rPr>
          <w:sz w:val="20"/>
          <w:szCs w:val="20"/>
        </w:rPr>
        <w:t>*data wa</w:t>
      </w:r>
      <w:r w:rsidR="007F39A0">
        <w:rPr>
          <w:sz w:val="20"/>
          <w:szCs w:val="20"/>
        </w:rPr>
        <w:t>s derived from UK TB report 2016</w:t>
      </w:r>
      <w:r w:rsidR="009C437D">
        <w:rPr>
          <w:sz w:val="20"/>
          <w:szCs w:val="20"/>
        </w:rPr>
        <w:fldChar w:fldCharType="begin"/>
      </w:r>
      <w:r w:rsidR="009C437D">
        <w:rPr>
          <w:sz w:val="20"/>
          <w:szCs w:val="20"/>
        </w:rPr>
        <w:instrText xml:space="preserve"> ADDIN EN.CITE &lt;EndNote&gt;&lt;Cite&gt;&lt;Author&gt;Public Health England&lt;/Author&gt;&lt;Year&gt;2016&lt;/Year&gt;&lt;RecNum&gt;30&lt;/RecNum&gt;&lt;DisplayText&gt;[2]&lt;/DisplayText&gt;&lt;record&gt;&lt;rec-number&gt;30&lt;/rec-number&gt;&lt;foreign-keys&gt;&lt;key app="EN" db-id="atarfpe9bs990aee2s9x90f2pf99sw0r5ds2" timestamp="1500986726"&gt;30&lt;/key&gt;&lt;/foreign-keys&gt;&lt;ref-type name="Report"&gt;27&lt;/ref-type&gt;&lt;contributors&gt;&lt;authors&gt;&lt;author&gt;Public Health England, &lt;/author&gt;&lt;/authors&gt;&lt;/contributors&gt;&lt;titles&gt;&lt;title&gt;Tuberculosis in England: 2016&lt;/title&gt;&lt;secondary-title&gt;Public Health England, London.&lt;/secondary-title&gt;&lt;/titles&gt;&lt;dates&gt;&lt;year&gt;2016&lt;/year&gt;&lt;/dates&gt;&lt;urls&gt;&lt;/urls&gt;&lt;/record&gt;&lt;/Cite&gt;&lt;/EndNote&gt;</w:instrText>
      </w:r>
      <w:r w:rsidR="009C437D">
        <w:rPr>
          <w:sz w:val="20"/>
          <w:szCs w:val="20"/>
        </w:rPr>
        <w:fldChar w:fldCharType="separate"/>
      </w:r>
      <w:r w:rsidR="009C437D">
        <w:rPr>
          <w:noProof/>
          <w:sz w:val="20"/>
          <w:szCs w:val="20"/>
        </w:rPr>
        <w:t>[2]</w:t>
      </w:r>
      <w:r w:rsidR="009C437D">
        <w:rPr>
          <w:sz w:val="20"/>
          <w:szCs w:val="20"/>
        </w:rPr>
        <w:fldChar w:fldCharType="end"/>
      </w:r>
      <w:r w:rsidRPr="006E2D01">
        <w:rPr>
          <w:sz w:val="20"/>
          <w:szCs w:val="20"/>
        </w:rPr>
        <w:t xml:space="preserve"> and UK census 2011</w:t>
      </w:r>
      <w:r w:rsidR="009C437D">
        <w:rPr>
          <w:sz w:val="20"/>
          <w:szCs w:val="20"/>
        </w:rPr>
        <w:fldChar w:fldCharType="begin"/>
      </w:r>
      <w:r w:rsidR="009C437D">
        <w:rPr>
          <w:sz w:val="20"/>
          <w:szCs w:val="20"/>
        </w:rPr>
        <w:instrText xml:space="preserve"> ADDIN EN.CITE &lt;EndNote&gt;&lt;Cite&gt;&lt;Author&gt;ONS&lt;/Author&gt;&lt;Year&gt;2012&lt;/Year&gt;&lt;RecNum&gt;68&lt;/RecNum&gt;&lt;DisplayText&gt;[3]&lt;/DisplayText&gt;&lt;record&gt;&lt;rec-number&gt;68&lt;/rec-number&gt;&lt;foreign-keys&gt;&lt;key app="EN" db-id="atarfpe9bs990aee2s9x90f2pf99sw0r5ds2" timestamp="1502792793"&gt;68&lt;/key&gt;&lt;/foreign-keys&gt;&lt;ref-type name="Report"&gt;27&lt;/ref-type&gt;&lt;contributors&gt;&lt;authors&gt;&lt;author&gt;ONS&lt;/author&gt;&lt;/authors&gt;&lt;/contributors&gt;&lt;titles&gt;&lt;title&gt;2011 Census: Population Estimates for the United Kingdom, 27 March 2011&lt;/title&gt;&lt;/titles&gt;&lt;dates&gt;&lt;year&gt;2012&lt;/year&gt;&lt;/dates&gt;&lt;urls&gt;&lt;/urls&gt;&lt;/record&gt;&lt;/Cite&gt;&lt;/EndNote&gt;</w:instrText>
      </w:r>
      <w:r w:rsidR="009C437D">
        <w:rPr>
          <w:sz w:val="20"/>
          <w:szCs w:val="20"/>
        </w:rPr>
        <w:fldChar w:fldCharType="separate"/>
      </w:r>
      <w:r w:rsidR="009C437D">
        <w:rPr>
          <w:noProof/>
          <w:sz w:val="20"/>
          <w:szCs w:val="20"/>
        </w:rPr>
        <w:t>[3]</w:t>
      </w:r>
      <w:r w:rsidR="009C437D">
        <w:rPr>
          <w:sz w:val="20"/>
          <w:szCs w:val="20"/>
        </w:rPr>
        <w:fldChar w:fldCharType="end"/>
      </w:r>
    </w:p>
    <w:p w14:paraId="60F4D7AC" w14:textId="77777777" w:rsidR="00881AB7" w:rsidRDefault="00881AB7" w:rsidP="00661166">
      <w:pPr>
        <w:ind w:left="720"/>
      </w:pPr>
      <w:r>
        <w:t>Therefore,</w:t>
      </w:r>
      <w:r w:rsidR="00056191">
        <w:t xml:space="preserve"> </w:t>
      </w:r>
      <w:r>
        <w:t xml:space="preserve">the percentage of both south Asian and black TB cases among all </w:t>
      </w:r>
      <w:r w:rsidR="00661166">
        <w:t>TB cases in the UK is 61% (</w:t>
      </w:r>
      <w:r w:rsidR="00661166" w:rsidRPr="00661166">
        <w:t>p1);</w:t>
      </w:r>
      <w:r w:rsidRPr="00661166">
        <w:t xml:space="preserve"> the percentage of both south Asian and black non-TB cases among all non-TB cases in the UK is 11% (p0)</w:t>
      </w:r>
    </w:p>
    <w:p w14:paraId="2C02D387" w14:textId="6BC7D02B" w:rsidR="004D1079" w:rsidRDefault="004D1079" w:rsidP="00056191">
      <w:pPr>
        <w:ind w:left="720"/>
      </w:pPr>
      <w:r>
        <w:t>From the literature, the RR for DM among south Asian is 6.2, and 5.3 for black</w:t>
      </w:r>
      <w:r w:rsidR="00232D44">
        <w:t xml:space="preserve"> in the UK population</w:t>
      </w:r>
      <w:r w:rsidR="00DB02D8">
        <w:fldChar w:fldCharType="begin"/>
      </w:r>
      <w:r w:rsidR="00DB02D8">
        <w:instrText xml:space="preserve"> ADDIN EN.CITE &lt;EndNote&gt;&lt;Cite&gt;&lt;Author&gt;Oldroyd&lt;/Author&gt;&lt;Year&gt;2005&lt;/Year&gt;&lt;RecNum&gt;32&lt;/RecNum&gt;&lt;DisplayText&gt;[4]&lt;/DisplayText&gt;&lt;record&gt;&lt;rec-number&gt;32&lt;/rec-number&gt;&lt;foreign-keys&gt;&lt;key app="EN" db-id="atarfpe9bs990aee2s9x90f2pf99sw0r5ds2" timestamp="1500986726"&gt;32&lt;/key&gt;&lt;/foreign-keys&gt;&lt;ref-type name="Journal Article"&gt;17&lt;/ref-type&gt;&lt;contributors&gt;&lt;authors&gt;&lt;author&gt;Oldroyd, J&lt;/author&gt;&lt;author&gt;Banerjee, M&lt;/author&gt;&lt;author&gt;Heald, A&lt;/author&gt;&lt;author&gt;Cruickshank, K&lt;/author&gt;&lt;/authors&gt;&lt;/contributors&gt;&lt;titles&gt;&lt;title&gt;Diabetes and ethnic minorities&lt;/title&gt;&lt;secondary-title&gt;Postgraduate Medical Journal&lt;/secondary-title&gt;&lt;/titles&gt;&lt;periodical&gt;&lt;full-title&gt;Postgraduate Medical Journal&lt;/full-title&gt;&lt;/periodical&gt;&lt;pages&gt;486-490&lt;/pages&gt;&lt;volume&gt;81&lt;/volume&gt;&lt;number&gt;958&lt;/number&gt;&lt;dates&gt;&lt;year&gt;2005&lt;/year&gt;&lt;pub-dates&gt;&lt;date&gt;August 1, 2005&lt;/date&gt;&lt;/pub-dates&gt;&lt;/dates&gt;&lt;urls&gt;&lt;related-urls&gt;&lt;url&gt;http://pmj.bmj.com/content/81/958/486.abstract&lt;/url&gt;&lt;/related-urls&gt;&lt;/urls&gt;&lt;electronic-resource-num&gt;10.1136/pgmj.2004.029124&lt;/electronic-resource-num&gt;&lt;/record&gt;&lt;/Cite&gt;&lt;/EndNote&gt;</w:instrText>
      </w:r>
      <w:r w:rsidR="00DB02D8">
        <w:fldChar w:fldCharType="separate"/>
      </w:r>
      <w:r w:rsidR="00DB02D8">
        <w:rPr>
          <w:noProof/>
        </w:rPr>
        <w:t>[4]</w:t>
      </w:r>
      <w:r w:rsidR="00DB02D8">
        <w:fldChar w:fldCharType="end"/>
      </w:r>
      <w:r>
        <w:t>.</w:t>
      </w:r>
      <w:r w:rsidR="004E5394">
        <w:t xml:space="preserve"> In order to add</w:t>
      </w:r>
      <w:r w:rsidR="006B302E">
        <w:t xml:space="preserve"> weight RRs for UK population structure, some simple calculation</w:t>
      </w:r>
      <w:r w:rsidR="005607A5">
        <w:t>s were performed</w:t>
      </w:r>
      <w:r w:rsidR="006B302E">
        <w:t>:</w:t>
      </w:r>
    </w:p>
    <w:p w14:paraId="0379A70E" w14:textId="539FA7C2" w:rsidR="00881AB7" w:rsidRPr="002E77A5" w:rsidRDefault="006B302E" w:rsidP="00056191">
      <w:pPr>
        <w:ind w:left="720"/>
      </w:pPr>
      <m:oMathPara>
        <m:oMath>
          <m:r>
            <m:rPr>
              <m:sty m:val="p"/>
            </m:rPr>
            <w:rPr>
              <w:rFonts w:ascii="Cambria Math" w:hAnsi="Cambria Math" w:cs="Cambria Math"/>
            </w:rPr>
            <m:t>proportion of south Asian TB cases among both south asian and black african TB cases=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south asian TB cases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UK total TB cases</m:t>
              </m:r>
            </m:den>
          </m:f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south asian TB cases+black african TB cases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UK total TB cases</m:t>
              </m:r>
            </m:den>
          </m:f>
          <m:r>
            <w:rPr>
              <w:rFonts w:ascii="Cambria Math" w:hAnsi="Cambria Math"/>
            </w:rPr>
            <m:t>=46%÷61%=75%</m:t>
          </m:r>
        </m:oMath>
      </m:oMathPara>
    </w:p>
    <w:p w14:paraId="6D0A82B9" w14:textId="77777777" w:rsidR="002E77A5" w:rsidRDefault="002E77A5" w:rsidP="002E77A5">
      <w:pPr>
        <w:ind w:left="720"/>
      </w:pPr>
      <m:oMathPara>
        <m:oMath>
          <m:r>
            <m:rPr>
              <m:sty m:val="p"/>
            </m:rPr>
            <w:rPr>
              <w:rFonts w:ascii="Cambria Math" w:hAnsi="Cambria Math" w:cs="Cambria Math"/>
            </w:rPr>
            <m:t>proportion of black African TB cases among both south asian and black african Tb cases=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black African TB cases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UK total TB cases</m:t>
              </m:r>
            </m:den>
          </m:f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south asian TB cases+black african TB cases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UK total TB cases</m:t>
              </m:r>
            </m:den>
          </m:f>
          <m:r>
            <w:rPr>
              <w:rFonts w:ascii="Cambria Math" w:hAnsi="Cambria Math"/>
            </w:rPr>
            <m:t>=15%÷61%=25%</m:t>
          </m:r>
        </m:oMath>
      </m:oMathPara>
    </w:p>
    <w:p w14:paraId="4745EDB7" w14:textId="77777777" w:rsidR="002E77A5" w:rsidRDefault="002E77A5" w:rsidP="00056191">
      <w:pPr>
        <w:ind w:left="720"/>
      </w:pPr>
      <w:r>
        <w:t xml:space="preserve">So: </w:t>
      </w:r>
      <m:oMath>
        <m:r>
          <w:rPr>
            <w:rFonts w:ascii="Cambria Math" w:hAnsi="Cambria Math" w:cs="Cambria Math"/>
          </w:rPr>
          <m:t>combined RR (RRs in equation) for diabetes among both south Asian and black African</m:t>
        </m:r>
        <m:r>
          <m:rPr>
            <m:sty m:val="p"/>
          </m:rPr>
          <w:rPr>
            <w:rFonts w:ascii="Cambria Math" w:hAnsi="Cambria Math" w:cs="Cambria Math"/>
          </w:rPr>
          <m:t xml:space="preserve">=6.2×75%+5.3×25%=6.0 </m:t>
        </m:r>
      </m:oMath>
    </w:p>
    <w:p w14:paraId="60BD5EB8" w14:textId="77777777" w:rsidR="00844FC2" w:rsidRDefault="00056191" w:rsidP="00056191">
      <w:pPr>
        <w:ind w:left="720"/>
      </w:pPr>
      <w:r>
        <w:t xml:space="preserve"> </w:t>
      </w:r>
      <w:r w:rsidR="00232D44">
        <w:t xml:space="preserve">Therefore </w:t>
      </w:r>
      <m:oMath>
        <m:r>
          <w:rPr>
            <w:rFonts w:ascii="Cambria Math" w:hAnsi="Cambria Math" w:cs="Cambria Math"/>
          </w:rPr>
          <m:t>degree of confounding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100-61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</w:rPr>
              <m:t>+6.0×61</m:t>
            </m:r>
          </m:num>
          <m:den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100-11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</w:rPr>
              <m:t>+6.0×11</m:t>
            </m:r>
          </m:den>
        </m:f>
        <m:r>
          <w:rPr>
            <w:rFonts w:ascii="Cambria Math" w:hAnsi="Cambria Math"/>
          </w:rPr>
          <m:t>=2.43</m:t>
        </m:r>
      </m:oMath>
      <w:r w:rsidR="00A610E2">
        <w:t>= confounded RR/true RR</w:t>
      </w:r>
    </w:p>
    <w:p w14:paraId="5BE79F7E" w14:textId="452FEA72" w:rsidR="00A610E2" w:rsidRDefault="00A610E2" w:rsidP="00056191">
      <w:pPr>
        <w:ind w:left="720"/>
      </w:pPr>
      <w:r>
        <w:lastRenderedPageBreak/>
        <w:t>So the</w:t>
      </w:r>
      <w:r w:rsidR="004E5394">
        <w:t xml:space="preserve"> true</w:t>
      </w:r>
      <w:r>
        <w:t xml:space="preserve"> RR after adj</w:t>
      </w:r>
      <w:r w:rsidR="00521E7D">
        <w:t>usting for ethnicity would be 5.65</w:t>
      </w:r>
      <w:r w:rsidR="005607A5">
        <w:t xml:space="preserve"> (95% CI 5.19 to 6.16) </w:t>
      </w:r>
      <w:r>
        <w:t>/2.43=</w:t>
      </w:r>
      <w:r w:rsidR="00521E7D" w:rsidRPr="006E2D01">
        <w:rPr>
          <w:b/>
        </w:rPr>
        <w:t>2.33</w:t>
      </w:r>
      <w:r w:rsidR="00F07624">
        <w:rPr>
          <w:b/>
        </w:rPr>
        <w:t xml:space="preserve"> (95%</w:t>
      </w:r>
      <w:r w:rsidR="00783E24">
        <w:rPr>
          <w:b/>
        </w:rPr>
        <w:t>CI 2.14-</w:t>
      </w:r>
      <w:r w:rsidR="005607A5">
        <w:rPr>
          <w:b/>
        </w:rPr>
        <w:t>2.53).</w:t>
      </w:r>
    </w:p>
    <w:p w14:paraId="5FDE9F21" w14:textId="618A6742" w:rsidR="00830E4F" w:rsidRDefault="005607A5" w:rsidP="00056191">
      <w:pPr>
        <w:ind w:left="720"/>
      </w:pPr>
      <w:r>
        <w:t>As a sensitivity analysis, another source was used to obtain estimates of the RR of diabetes among ethnic minority groups. This source was a large systematic review based on migrants</w:t>
      </w:r>
      <w:r w:rsidR="00F07624">
        <w:t xml:space="preserve"> in European countries</w:t>
      </w:r>
      <w:r w:rsidR="00F07624">
        <w:fldChar w:fldCharType="begin"/>
      </w:r>
      <w:r w:rsidR="00F07624">
        <w:instrText xml:space="preserve"> ADDIN EN.CITE &lt;EndNote&gt;&lt;Cite&gt;&lt;Author&gt;Meeks&lt;/Author&gt;&lt;Year&gt;2016&lt;/Year&gt;&lt;RecNum&gt;33&lt;/RecNum&gt;&lt;DisplayText&gt;[5]&lt;/DisplayText&gt;&lt;record&gt;&lt;rec-number&gt;33&lt;/rec-number&gt;&lt;foreign-keys&gt;&lt;key app="EN" db-id="atarfpe9bs990aee2s9x90f2pf99sw0r5ds2" timestamp="1500986726"&gt;33&lt;/key&gt;&lt;/foreign-keys&gt;&lt;ref-type name="Journal Article"&gt;17&lt;/ref-type&gt;&lt;contributors&gt;&lt;authors&gt;&lt;author&gt;Meeks, K. A. C.&lt;/author&gt;&lt;author&gt;Freitas-Da-Silva, D.&lt;/author&gt;&lt;author&gt;Adeyemo, A.&lt;/author&gt;&lt;author&gt;Beune, Ejaj&lt;/author&gt;&lt;author&gt;Modesti, P. A.&lt;/author&gt;&lt;author&gt;Stronks, K.&lt;/author&gt;&lt;author&gt;Zafarmand, M. H.&lt;/author&gt;&lt;author&gt;Agyemang, C.&lt;/author&gt;&lt;/authors&gt;&lt;/contributors&gt;&lt;titles&gt;&lt;title&gt;Disparities in type 2 diabetes prevalence among ethnic minority groups resident in Europe: a systematic review and meta-analysis&lt;/title&gt;&lt;secondary-title&gt;Internal and Emergency Medicine&lt;/secondary-title&gt;&lt;/titles&gt;&lt;periodical&gt;&lt;full-title&gt;Internal and Emergency Medicine&lt;/full-title&gt;&lt;/periodical&gt;&lt;pages&gt;327-340&lt;/pages&gt;&lt;volume&gt;11&lt;/volume&gt;&lt;number&gt;3&lt;/number&gt;&lt;dates&gt;&lt;year&gt;2016&lt;/year&gt;&lt;pub-dates&gt;&lt;date&gt;Apr&lt;/date&gt;&lt;/pub-dates&gt;&lt;/dates&gt;&lt;isbn&gt;1828-0447&lt;/isbn&gt;&lt;accession-num&gt;WOS:000373634500006&lt;/accession-num&gt;&lt;urls&gt;&lt;related-urls&gt;&lt;url&gt;&amp;lt;Go to ISI&amp;gt;://WOS:000373634500006&lt;/url&gt;&lt;/related-urls&gt;&lt;/urls&gt;&lt;electronic-resource-num&gt;10.1007/s11739-015-1302-9&lt;/electronic-resource-num&gt;&lt;/record&gt;&lt;/Cite&gt;&lt;/EndNote&gt;</w:instrText>
      </w:r>
      <w:r w:rsidR="00F07624">
        <w:fldChar w:fldCharType="separate"/>
      </w:r>
      <w:r w:rsidR="00F07624">
        <w:rPr>
          <w:noProof/>
        </w:rPr>
        <w:t>[5]</w:t>
      </w:r>
      <w:r w:rsidR="00F07624">
        <w:fldChar w:fldCharType="end"/>
      </w:r>
      <w:r>
        <w:t xml:space="preserve">. </w:t>
      </w:r>
      <w:r w:rsidR="00830E4F">
        <w:t xml:space="preserve">The same calculation was performed using the RRs </w:t>
      </w:r>
      <w:r>
        <w:t xml:space="preserve">from this review </w:t>
      </w:r>
      <w:r w:rsidR="00830E4F">
        <w:t>(</w:t>
      </w:r>
      <w:r w:rsidR="00BB0CFF">
        <w:t>3.7</w:t>
      </w:r>
      <w:r w:rsidR="00783E24">
        <w:t xml:space="preserve"> (95%CI 2.7-</w:t>
      </w:r>
      <w:r w:rsidR="00F07624">
        <w:t>5.1)</w:t>
      </w:r>
      <w:r w:rsidR="00BB0CFF">
        <w:t xml:space="preserve"> for south Asian, 2.6</w:t>
      </w:r>
      <w:r w:rsidR="00783E24">
        <w:t xml:space="preserve"> (95%CI 2.0-</w:t>
      </w:r>
      <w:r w:rsidR="00F07624">
        <w:t>3.5)</w:t>
      </w:r>
      <w:r w:rsidR="00BB0CFF">
        <w:t xml:space="preserve"> from black African</w:t>
      </w:r>
      <w:r w:rsidR="00830E4F">
        <w:t>) from a systematic review including studies from different regions</w:t>
      </w:r>
      <w:r w:rsidR="00DC439C">
        <w:t xml:space="preserve">, </w:t>
      </w:r>
      <w:r w:rsidR="00830E4F">
        <w:t>and th</w:t>
      </w:r>
      <w:r w:rsidR="00661166">
        <w:t xml:space="preserve">e degree of confounding was 1.95, so the adjusted RR was </w:t>
      </w:r>
      <w:r w:rsidR="00661166" w:rsidRPr="006E2D01">
        <w:rPr>
          <w:b/>
        </w:rPr>
        <w:t>2.90</w:t>
      </w:r>
      <w:r w:rsidR="00F07624">
        <w:rPr>
          <w:b/>
        </w:rPr>
        <w:t xml:space="preserve"> (95%CI </w:t>
      </w:r>
      <w:r w:rsidR="00783E24">
        <w:rPr>
          <w:b/>
        </w:rPr>
        <w:t>2.66-</w:t>
      </w:r>
      <w:r w:rsidR="00E13B0F">
        <w:rPr>
          <w:b/>
        </w:rPr>
        <w:t>3.16</w:t>
      </w:r>
      <w:r w:rsidR="00F07624">
        <w:rPr>
          <w:b/>
        </w:rPr>
        <w:t>)</w:t>
      </w:r>
      <w:r w:rsidR="00BB0CFF">
        <w:t>.</w:t>
      </w:r>
      <w:r w:rsidR="00830E4F">
        <w:t xml:space="preserve">  </w:t>
      </w:r>
    </w:p>
    <w:p w14:paraId="7A8BA694" w14:textId="77777777" w:rsidR="00EC0B47" w:rsidRDefault="00EC0B47" w:rsidP="00EC0B47">
      <w:pPr>
        <w:pStyle w:val="ListParagraph"/>
        <w:numPr>
          <w:ilvl w:val="0"/>
          <w:numId w:val="1"/>
        </w:numPr>
      </w:pPr>
      <w:r>
        <w:t>DM</w:t>
      </w:r>
      <w:r>
        <w:sym w:font="Wingdings" w:char="F0E0"/>
      </w:r>
      <w:r>
        <w:t>TB (i.e., does DM increase the risk of TB)</w:t>
      </w:r>
    </w:p>
    <w:p w14:paraId="5A8263B1" w14:textId="77777777" w:rsidR="00EC0B47" w:rsidRDefault="00EC0B47" w:rsidP="00EC0B47">
      <w:pPr>
        <w:pStyle w:val="ListParagraph"/>
      </w:pPr>
      <w:r>
        <w:t xml:space="preserve">Here p1 </w:t>
      </w:r>
      <w:r w:rsidR="0068519F">
        <w:t>re</w:t>
      </w:r>
      <w:r>
        <w:t xml:space="preserve">presents the percentage of subjects who are south Asian/black in the DM group, while p0 represents the percentage of subjects who are south Asian/black in the non-DM group. </w:t>
      </w:r>
    </w:p>
    <w:p w14:paraId="573754BE" w14:textId="77777777" w:rsidR="00EC0B47" w:rsidRDefault="00EC0B47" w:rsidP="00EC0B47">
      <w:pPr>
        <w:pStyle w:val="ListParagraph"/>
      </w:pPr>
    </w:p>
    <w:p w14:paraId="00BAD5E5" w14:textId="77777777" w:rsidR="00EC0B47" w:rsidRPr="006E2D01" w:rsidRDefault="00650A11" w:rsidP="00EC0B47">
      <w:pPr>
        <w:pStyle w:val="ListParagraph"/>
        <w:rPr>
          <w:b/>
        </w:rPr>
      </w:pPr>
      <w:r w:rsidRPr="006E2D01">
        <w:rPr>
          <w:b/>
        </w:rPr>
        <w:t>Table A2: DM</w:t>
      </w:r>
      <w:r w:rsidR="00661166" w:rsidRPr="006E2D01">
        <w:rPr>
          <w:b/>
        </w:rPr>
        <w:t xml:space="preserve"> cases in England by ethnic groups*</w:t>
      </w:r>
      <w:r w:rsidR="00EC0B47" w:rsidRPr="006E2D01">
        <w:rPr>
          <w:b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EC0B47" w14:paraId="12FEF084" w14:textId="77777777" w:rsidTr="004F36F0">
        <w:tc>
          <w:tcPr>
            <w:tcW w:w="2074" w:type="dxa"/>
            <w:vAlign w:val="bottom"/>
          </w:tcPr>
          <w:p w14:paraId="1AAC4FA4" w14:textId="77777777" w:rsidR="00EC0B47" w:rsidRPr="006E2D01" w:rsidRDefault="00EC0B47" w:rsidP="004F36F0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Ethnicity </w:t>
            </w:r>
          </w:p>
        </w:tc>
        <w:tc>
          <w:tcPr>
            <w:tcW w:w="2074" w:type="dxa"/>
            <w:vAlign w:val="bottom"/>
          </w:tcPr>
          <w:p w14:paraId="5F7808D0" w14:textId="77777777" w:rsidR="00EC0B47" w:rsidRPr="006E2D01" w:rsidRDefault="00EC0B47" w:rsidP="004F36F0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Number of cases </w:t>
            </w:r>
          </w:p>
        </w:tc>
        <w:tc>
          <w:tcPr>
            <w:tcW w:w="2074" w:type="dxa"/>
            <w:vAlign w:val="bottom"/>
          </w:tcPr>
          <w:p w14:paraId="1AF70EC9" w14:textId="77777777" w:rsidR="00EC0B47" w:rsidRPr="006E2D01" w:rsidRDefault="00EC0B47" w:rsidP="004F36F0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Proportion (%)</w:t>
            </w:r>
          </w:p>
        </w:tc>
      </w:tr>
      <w:tr w:rsidR="000163E9" w14:paraId="2E953BF1" w14:textId="77777777" w:rsidTr="004F36F0">
        <w:tc>
          <w:tcPr>
            <w:tcW w:w="2074" w:type="dxa"/>
            <w:vAlign w:val="bottom"/>
          </w:tcPr>
          <w:p w14:paraId="595DB3F8" w14:textId="77777777" w:rsidR="000163E9" w:rsidRPr="006E2D01" w:rsidRDefault="000163E9" w:rsidP="000163E9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white</w:t>
            </w:r>
          </w:p>
        </w:tc>
        <w:tc>
          <w:tcPr>
            <w:tcW w:w="2074" w:type="dxa"/>
            <w:vAlign w:val="bottom"/>
          </w:tcPr>
          <w:p w14:paraId="7ACE1DE3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1048312</w:t>
            </w:r>
          </w:p>
        </w:tc>
        <w:tc>
          <w:tcPr>
            <w:tcW w:w="2074" w:type="dxa"/>
            <w:vAlign w:val="bottom"/>
          </w:tcPr>
          <w:p w14:paraId="505D83C7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50.5</w:t>
            </w:r>
          </w:p>
        </w:tc>
      </w:tr>
      <w:tr w:rsidR="000163E9" w14:paraId="5F220808" w14:textId="77777777" w:rsidTr="004F36F0">
        <w:tc>
          <w:tcPr>
            <w:tcW w:w="2074" w:type="dxa"/>
            <w:vAlign w:val="bottom"/>
          </w:tcPr>
          <w:p w14:paraId="2E294D71" w14:textId="77777777" w:rsidR="000163E9" w:rsidRPr="006E2D01" w:rsidRDefault="000163E9" w:rsidP="000163E9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black</w:t>
            </w:r>
          </w:p>
        </w:tc>
        <w:tc>
          <w:tcPr>
            <w:tcW w:w="2074" w:type="dxa"/>
            <w:vAlign w:val="bottom"/>
          </w:tcPr>
          <w:p w14:paraId="018CA712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81567</w:t>
            </w:r>
          </w:p>
        </w:tc>
        <w:tc>
          <w:tcPr>
            <w:tcW w:w="2074" w:type="dxa"/>
            <w:vAlign w:val="bottom"/>
          </w:tcPr>
          <w:p w14:paraId="0BF207CD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</w:tr>
      <w:tr w:rsidR="000163E9" w14:paraId="7FA96264" w14:textId="77777777" w:rsidTr="004F36F0">
        <w:tc>
          <w:tcPr>
            <w:tcW w:w="2074" w:type="dxa"/>
            <w:vAlign w:val="bottom"/>
          </w:tcPr>
          <w:p w14:paraId="379B07F7" w14:textId="77777777" w:rsidR="000163E9" w:rsidRPr="006E2D01" w:rsidRDefault="000163E9" w:rsidP="000163E9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South Asian</w:t>
            </w:r>
          </w:p>
        </w:tc>
        <w:tc>
          <w:tcPr>
            <w:tcW w:w="2074" w:type="dxa"/>
            <w:vAlign w:val="bottom"/>
          </w:tcPr>
          <w:p w14:paraId="518D63D9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203587</w:t>
            </w:r>
          </w:p>
        </w:tc>
        <w:tc>
          <w:tcPr>
            <w:tcW w:w="2074" w:type="dxa"/>
            <w:vAlign w:val="bottom"/>
          </w:tcPr>
          <w:p w14:paraId="383C62DC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</w:tr>
      <w:tr w:rsidR="000163E9" w14:paraId="579DFEAA" w14:textId="77777777" w:rsidTr="004F36F0">
        <w:tc>
          <w:tcPr>
            <w:tcW w:w="2074" w:type="dxa"/>
            <w:vAlign w:val="bottom"/>
          </w:tcPr>
          <w:p w14:paraId="203099AE" w14:textId="77777777" w:rsidR="000163E9" w:rsidRPr="006E2D01" w:rsidRDefault="000163E9" w:rsidP="000163E9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Other</w:t>
            </w:r>
          </w:p>
        </w:tc>
        <w:tc>
          <w:tcPr>
            <w:tcW w:w="2074" w:type="dxa"/>
            <w:vAlign w:val="bottom"/>
          </w:tcPr>
          <w:p w14:paraId="03846BBA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744098</w:t>
            </w:r>
          </w:p>
        </w:tc>
        <w:tc>
          <w:tcPr>
            <w:tcW w:w="2074" w:type="dxa"/>
            <w:vAlign w:val="bottom"/>
          </w:tcPr>
          <w:p w14:paraId="0A2564F0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35.8</w:t>
            </w:r>
          </w:p>
        </w:tc>
      </w:tr>
      <w:tr w:rsidR="000163E9" w14:paraId="54079D7C" w14:textId="77777777" w:rsidTr="004F36F0">
        <w:tc>
          <w:tcPr>
            <w:tcW w:w="2074" w:type="dxa"/>
            <w:vAlign w:val="bottom"/>
          </w:tcPr>
          <w:p w14:paraId="633F916E" w14:textId="77777777" w:rsidR="000163E9" w:rsidRPr="006E2D01" w:rsidRDefault="000163E9" w:rsidP="000163E9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Total </w:t>
            </w:r>
          </w:p>
        </w:tc>
        <w:tc>
          <w:tcPr>
            <w:tcW w:w="2074" w:type="dxa"/>
            <w:vAlign w:val="bottom"/>
          </w:tcPr>
          <w:p w14:paraId="18BB025A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2077565</w:t>
            </w:r>
          </w:p>
        </w:tc>
        <w:tc>
          <w:tcPr>
            <w:tcW w:w="2074" w:type="dxa"/>
            <w:vAlign w:val="bottom"/>
          </w:tcPr>
          <w:p w14:paraId="595604EB" w14:textId="77777777" w:rsidR="000163E9" w:rsidRDefault="000163E9" w:rsidP="000163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</w:t>
            </w:r>
          </w:p>
        </w:tc>
      </w:tr>
    </w:tbl>
    <w:p w14:paraId="43319063" w14:textId="7A28D0B5" w:rsidR="00661166" w:rsidRPr="006E2D01" w:rsidRDefault="006E2D01" w:rsidP="00EC0B47">
      <w:pPr>
        <w:pStyle w:val="ListParagraph"/>
        <w:rPr>
          <w:sz w:val="20"/>
          <w:szCs w:val="20"/>
        </w:rPr>
      </w:pPr>
      <w:r w:rsidRPr="006E2D01">
        <w:rPr>
          <w:sz w:val="20"/>
          <w:szCs w:val="20"/>
        </w:rPr>
        <w:t xml:space="preserve">* data </w:t>
      </w:r>
      <w:r w:rsidR="004E5394">
        <w:rPr>
          <w:sz w:val="20"/>
          <w:szCs w:val="20"/>
        </w:rPr>
        <w:t xml:space="preserve">was </w:t>
      </w:r>
      <w:r w:rsidRPr="006E2D01">
        <w:rPr>
          <w:sz w:val="20"/>
          <w:szCs w:val="20"/>
        </w:rPr>
        <w:t>derived from Health</w:t>
      </w:r>
      <w:r w:rsidR="0080603E">
        <w:rPr>
          <w:sz w:val="20"/>
          <w:szCs w:val="20"/>
        </w:rPr>
        <w:t xml:space="preserve"> Survey for England 2003 &amp; 2004</w:t>
      </w:r>
      <w:r w:rsidR="00A953A6">
        <w:rPr>
          <w:sz w:val="20"/>
          <w:szCs w:val="20"/>
        </w:rPr>
        <w:fldChar w:fldCharType="begin"/>
      </w:r>
      <w:r w:rsidR="00F07624">
        <w:rPr>
          <w:sz w:val="20"/>
          <w:szCs w:val="20"/>
        </w:rPr>
        <w:instrText xml:space="preserve"> ADDIN EN.CITE &lt;EndNote&gt;&lt;Cite&gt;&lt;Author&gt;National Centre for Social Research&lt;/Author&gt;&lt;Year&gt;2004&lt;/Year&gt;&lt;RecNum&gt;71&lt;/RecNum&gt;&lt;DisplayText&gt;[6, 7]&lt;/DisplayText&gt;&lt;record&gt;&lt;rec-number&gt;71&lt;/rec-number&gt;&lt;foreign-keys&gt;&lt;key app="EN" db-id="atarfpe9bs990aee2s9x90f2pf99sw0r5ds2" timestamp="1502801292"&gt;71&lt;/key&gt;&lt;/foreign-keys&gt;&lt;ref-type name="Report"&gt;27&lt;/ref-type&gt;&lt;contributors&gt;&lt;authors&gt;&lt;author&gt;National Centre for Social Research, Department of Epidemiology and Public Health at the Royal Free and University College Medical School&lt;/author&gt;&lt;/authors&gt;&lt;/contributors&gt;&lt;titles&gt;&lt;title&gt;Health Survey for England 2003&lt;/title&gt;&lt;/titles&gt;&lt;dates&gt;&lt;year&gt;2004&lt;/year&gt;&lt;/dates&gt;&lt;urls&gt;&lt;/urls&gt;&lt;/record&gt;&lt;/Cite&gt;&lt;Cite&gt;&lt;Author&gt;NHS Health and Social Care Information Centre&lt;/Author&gt;&lt;Year&gt;2005&lt;/Year&gt;&lt;RecNum&gt;70&lt;/RecNum&gt;&lt;record&gt;&lt;rec-number&gt;70&lt;/rec-number&gt;&lt;foreign-keys&gt;&lt;key app="EN" db-id="atarfpe9bs990aee2s9x90f2pf99sw0r5ds2" timestamp="1502800944"&gt;70&lt;/key&gt;&lt;/foreign-keys&gt;&lt;ref-type name="Report"&gt;27&lt;/ref-type&gt;&lt;contributors&gt;&lt;authors&gt;&lt;author&gt;NHS Health and Social Care Information Centre, Public Health Statistics&lt;/author&gt;&lt;/authors&gt;&lt;/contributors&gt;&lt;titles&gt;&lt;title&gt;Health Survey for England 2004: The Health of Minority Ethnic Groups- headline tables&lt;/title&gt;&lt;/titles&gt;&lt;dates&gt;&lt;year&gt;2005&lt;/year&gt;&lt;/dates&gt;&lt;urls&gt;&lt;/urls&gt;&lt;/record&gt;&lt;/Cite&gt;&lt;/EndNote&gt;</w:instrText>
      </w:r>
      <w:r w:rsidR="00A953A6">
        <w:rPr>
          <w:sz w:val="20"/>
          <w:szCs w:val="20"/>
        </w:rPr>
        <w:fldChar w:fldCharType="separate"/>
      </w:r>
      <w:r w:rsidR="00F07624">
        <w:rPr>
          <w:noProof/>
          <w:sz w:val="20"/>
          <w:szCs w:val="20"/>
        </w:rPr>
        <w:t>[6, 7]</w:t>
      </w:r>
      <w:r w:rsidR="00A953A6">
        <w:rPr>
          <w:sz w:val="20"/>
          <w:szCs w:val="20"/>
        </w:rPr>
        <w:fldChar w:fldCharType="end"/>
      </w:r>
      <w:r w:rsidR="0080603E">
        <w:rPr>
          <w:sz w:val="20"/>
          <w:szCs w:val="20"/>
        </w:rPr>
        <w:t>,</w:t>
      </w:r>
      <w:r w:rsidRPr="006E2D01">
        <w:rPr>
          <w:sz w:val="20"/>
          <w:szCs w:val="20"/>
        </w:rPr>
        <w:t xml:space="preserve"> ONS research report</w:t>
      </w:r>
      <w:r w:rsidR="005D12B4">
        <w:rPr>
          <w:sz w:val="20"/>
          <w:szCs w:val="20"/>
        </w:rPr>
        <w:fldChar w:fldCharType="begin">
          <w:fldData xml:space="preserve">PEVuZE5vdGU+PENpdGU+PEF1dGhvcj5IYXJ2ZXk8L0F1dGhvcj48WWVhcj4yMDAyPC9ZZWFyPjxS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</w:fldData>
        </w:fldChar>
      </w:r>
      <w:r w:rsidR="00F07624">
        <w:rPr>
          <w:sz w:val="20"/>
          <w:szCs w:val="20"/>
        </w:rPr>
        <w:instrText xml:space="preserve"> ADDIN EN.CITE </w:instrText>
      </w:r>
      <w:r w:rsidR="00F07624">
        <w:rPr>
          <w:sz w:val="20"/>
          <w:szCs w:val="20"/>
        </w:rPr>
        <w:fldChar w:fldCharType="begin">
          <w:fldData xml:space="preserve">PEVuZE5vdGU+PENpdGU+PEF1dGhvcj5IYXJ2ZXk8L0F1dGhvcj48WWVhcj4yMDAyPC9ZZWFyPjxS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</w:fldData>
        </w:fldChar>
      </w:r>
      <w:r w:rsidR="00F07624">
        <w:rPr>
          <w:sz w:val="20"/>
          <w:szCs w:val="20"/>
        </w:rPr>
        <w:instrText xml:space="preserve"> ADDIN EN.CITE.DATA </w:instrText>
      </w:r>
      <w:r w:rsidR="00F07624">
        <w:rPr>
          <w:sz w:val="20"/>
          <w:szCs w:val="20"/>
        </w:rPr>
      </w:r>
      <w:r w:rsidR="00F07624">
        <w:rPr>
          <w:sz w:val="20"/>
          <w:szCs w:val="20"/>
        </w:rPr>
        <w:fldChar w:fldCharType="end"/>
      </w:r>
      <w:r w:rsidR="005D12B4">
        <w:rPr>
          <w:sz w:val="20"/>
          <w:szCs w:val="20"/>
        </w:rPr>
      </w:r>
      <w:r w:rsidR="005D12B4">
        <w:rPr>
          <w:sz w:val="20"/>
          <w:szCs w:val="20"/>
        </w:rPr>
        <w:fldChar w:fldCharType="separate"/>
      </w:r>
      <w:r w:rsidR="00F07624">
        <w:rPr>
          <w:noProof/>
          <w:sz w:val="20"/>
          <w:szCs w:val="20"/>
        </w:rPr>
        <w:t>[8]</w:t>
      </w:r>
      <w:r w:rsidR="005D12B4">
        <w:rPr>
          <w:sz w:val="20"/>
          <w:szCs w:val="20"/>
        </w:rPr>
        <w:fldChar w:fldCharType="end"/>
      </w:r>
      <w:r w:rsidRPr="006E2D01">
        <w:rPr>
          <w:sz w:val="20"/>
          <w:szCs w:val="20"/>
        </w:rPr>
        <w:t>, ONS 2007 ethnicity specific data from census</w:t>
      </w:r>
      <w:r w:rsidR="00E769EE">
        <w:rPr>
          <w:sz w:val="20"/>
          <w:szCs w:val="20"/>
        </w:rPr>
        <w:fldChar w:fldCharType="begin"/>
      </w:r>
      <w:r w:rsidR="00F07624">
        <w:rPr>
          <w:sz w:val="20"/>
          <w:szCs w:val="20"/>
        </w:rPr>
        <w:instrText xml:space="preserve"> ADDIN EN.CITE &lt;EndNote&gt;&lt;Cite&gt;&lt;Year&gt;2007&lt;/Year&gt;&lt;RecNum&gt;72&lt;/RecNum&gt;&lt;DisplayText&gt;[9]&lt;/DisplayText&gt;&lt;record&gt;&lt;rec-number&gt;72&lt;/rec-number&gt;&lt;foreign-keys&gt;&lt;key app="EN" db-id="atarfpe9bs990aee2s9x90f2pf99sw0r5ds2" timestamp="1502802401"&gt;72&lt;/key&gt;&lt;/foreign-keys&gt;&lt;ref-type name="Dataset"&gt;59&lt;/ref-type&gt;&lt;contributors&gt;&lt;authors&gt;&lt;author&gt;ONS&lt;/author&gt;&lt;/authors&gt;&lt;/contributors&gt;&lt;titles&gt;&lt;title&gt;England and Wales population by race and sex&lt;/title&gt;&lt;/titles&gt;&lt;dates&gt;&lt;year&gt;2007&lt;/year&gt;&lt;/dates&gt;&lt;urls&gt;&lt;/urls&gt;&lt;access-date&gt;18 June 2017&lt;/access-date&gt;&lt;/record&gt;&lt;/Cite&gt;&lt;/EndNote&gt;</w:instrText>
      </w:r>
      <w:r w:rsidR="00E769EE">
        <w:rPr>
          <w:sz w:val="20"/>
          <w:szCs w:val="20"/>
        </w:rPr>
        <w:fldChar w:fldCharType="separate"/>
      </w:r>
      <w:r w:rsidR="00F07624">
        <w:rPr>
          <w:noProof/>
          <w:sz w:val="20"/>
          <w:szCs w:val="20"/>
        </w:rPr>
        <w:t>[9]</w:t>
      </w:r>
      <w:r w:rsidR="00E769EE">
        <w:rPr>
          <w:sz w:val="20"/>
          <w:szCs w:val="20"/>
        </w:rPr>
        <w:fldChar w:fldCharType="end"/>
      </w:r>
      <w:r w:rsidRPr="006E2D01">
        <w:rPr>
          <w:sz w:val="20"/>
          <w:szCs w:val="20"/>
        </w:rPr>
        <w:t>.</w:t>
      </w:r>
    </w:p>
    <w:p w14:paraId="5F7D06D8" w14:textId="77777777" w:rsidR="00661166" w:rsidRDefault="00661166" w:rsidP="00EC0B47">
      <w:pPr>
        <w:pStyle w:val="ListParagraph"/>
      </w:pPr>
    </w:p>
    <w:p w14:paraId="5A7C875A" w14:textId="77777777" w:rsidR="008154FA" w:rsidRPr="006E2D01" w:rsidRDefault="00095C09" w:rsidP="00EC0B47">
      <w:pPr>
        <w:pStyle w:val="ListParagraph"/>
        <w:rPr>
          <w:b/>
        </w:rPr>
      </w:pPr>
      <w:r w:rsidRPr="006E2D01">
        <w:rPr>
          <w:b/>
        </w:rPr>
        <w:t>Table A3</w:t>
      </w:r>
      <w:r w:rsidR="008154FA" w:rsidRPr="006E2D01">
        <w:rPr>
          <w:b/>
        </w:rPr>
        <w:t>: DM cases</w:t>
      </w:r>
      <w:r w:rsidR="00D42DCF" w:rsidRPr="006E2D01">
        <w:rPr>
          <w:b/>
        </w:rPr>
        <w:t xml:space="preserve"> </w:t>
      </w:r>
      <w:r w:rsidR="006E2D01" w:rsidRPr="006E2D01">
        <w:rPr>
          <w:b/>
        </w:rPr>
        <w:t>in Scotland*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8154FA" w:rsidRPr="006E2D01" w14:paraId="51865FA9" w14:textId="77777777" w:rsidTr="00DE0EA4">
        <w:tc>
          <w:tcPr>
            <w:tcW w:w="2074" w:type="dxa"/>
            <w:vAlign w:val="bottom"/>
          </w:tcPr>
          <w:p w14:paraId="76615D56" w14:textId="77777777" w:rsidR="008154FA" w:rsidRPr="006E2D01" w:rsidRDefault="008154FA" w:rsidP="006F1046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Ethnicity </w:t>
            </w:r>
          </w:p>
        </w:tc>
        <w:tc>
          <w:tcPr>
            <w:tcW w:w="2074" w:type="dxa"/>
            <w:vAlign w:val="center"/>
          </w:tcPr>
          <w:p w14:paraId="10469DB0" w14:textId="77777777" w:rsidR="008154FA" w:rsidRPr="006E2D01" w:rsidRDefault="008154FA" w:rsidP="00DE0EA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Number of cases </w:t>
            </w:r>
          </w:p>
        </w:tc>
        <w:tc>
          <w:tcPr>
            <w:tcW w:w="2074" w:type="dxa"/>
            <w:vAlign w:val="center"/>
          </w:tcPr>
          <w:p w14:paraId="001C1CB8" w14:textId="77777777" w:rsidR="008154FA" w:rsidRPr="006E2D01" w:rsidRDefault="008154FA" w:rsidP="00DE0EA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Proportion (%)</w:t>
            </w:r>
          </w:p>
        </w:tc>
      </w:tr>
      <w:tr w:rsidR="00D47632" w14:paraId="2CB491C6" w14:textId="77777777" w:rsidTr="00DE0EA4">
        <w:tc>
          <w:tcPr>
            <w:tcW w:w="2074" w:type="dxa"/>
            <w:vAlign w:val="bottom"/>
          </w:tcPr>
          <w:p w14:paraId="2B10C5AB" w14:textId="77777777" w:rsidR="00D47632" w:rsidRPr="006E2D01" w:rsidRDefault="00D47632" w:rsidP="00D47632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white</w:t>
            </w:r>
          </w:p>
        </w:tc>
        <w:tc>
          <w:tcPr>
            <w:tcW w:w="2074" w:type="dxa"/>
            <w:vAlign w:val="center"/>
          </w:tcPr>
          <w:p w14:paraId="3D7BE8DE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211246</w:t>
            </w:r>
          </w:p>
        </w:tc>
        <w:tc>
          <w:tcPr>
            <w:tcW w:w="2074" w:type="dxa"/>
            <w:vAlign w:val="center"/>
          </w:tcPr>
          <w:p w14:paraId="55A16BE2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93.1</w:t>
            </w:r>
          </w:p>
        </w:tc>
      </w:tr>
      <w:tr w:rsidR="00D47632" w14:paraId="6DC473FD" w14:textId="77777777" w:rsidTr="00DE0EA4">
        <w:tc>
          <w:tcPr>
            <w:tcW w:w="2074" w:type="dxa"/>
            <w:vAlign w:val="bottom"/>
          </w:tcPr>
          <w:p w14:paraId="26491626" w14:textId="77777777" w:rsidR="00D47632" w:rsidRPr="006E2D01" w:rsidRDefault="00D47632" w:rsidP="00D47632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black</w:t>
            </w:r>
          </w:p>
        </w:tc>
        <w:tc>
          <w:tcPr>
            <w:tcW w:w="2074" w:type="dxa"/>
            <w:vAlign w:val="center"/>
          </w:tcPr>
          <w:p w14:paraId="5CE372A4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6494</w:t>
            </w:r>
          </w:p>
        </w:tc>
        <w:tc>
          <w:tcPr>
            <w:tcW w:w="2074" w:type="dxa"/>
            <w:vAlign w:val="center"/>
          </w:tcPr>
          <w:p w14:paraId="1CB1D852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</w:t>
            </w:r>
          </w:p>
        </w:tc>
      </w:tr>
      <w:tr w:rsidR="00D47632" w14:paraId="70FE83D4" w14:textId="77777777" w:rsidTr="00DE0EA4">
        <w:tc>
          <w:tcPr>
            <w:tcW w:w="2074" w:type="dxa"/>
            <w:vAlign w:val="bottom"/>
          </w:tcPr>
          <w:p w14:paraId="24A2A593" w14:textId="77777777" w:rsidR="00D47632" w:rsidRPr="006E2D01" w:rsidRDefault="00D47632" w:rsidP="00D47632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South Asian</w:t>
            </w:r>
          </w:p>
        </w:tc>
        <w:tc>
          <w:tcPr>
            <w:tcW w:w="2074" w:type="dxa"/>
            <w:vAlign w:val="center"/>
          </w:tcPr>
          <w:p w14:paraId="0EB6CB34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1018</w:t>
            </w:r>
          </w:p>
        </w:tc>
        <w:tc>
          <w:tcPr>
            <w:tcW w:w="2074" w:type="dxa"/>
            <w:vAlign w:val="center"/>
          </w:tcPr>
          <w:p w14:paraId="159E325B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</w:tr>
      <w:tr w:rsidR="00D47632" w14:paraId="73A71581" w14:textId="77777777" w:rsidTr="00DE0EA4">
        <w:tc>
          <w:tcPr>
            <w:tcW w:w="2074" w:type="dxa"/>
            <w:vAlign w:val="bottom"/>
          </w:tcPr>
          <w:p w14:paraId="6F1453C0" w14:textId="77777777" w:rsidR="00D47632" w:rsidRPr="006E2D01" w:rsidRDefault="00D47632" w:rsidP="00D47632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Other</w:t>
            </w:r>
          </w:p>
        </w:tc>
        <w:tc>
          <w:tcPr>
            <w:tcW w:w="2074" w:type="dxa"/>
            <w:vAlign w:val="center"/>
          </w:tcPr>
          <w:p w14:paraId="79DDD0C7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8178</w:t>
            </w:r>
          </w:p>
        </w:tc>
        <w:tc>
          <w:tcPr>
            <w:tcW w:w="2074" w:type="dxa"/>
            <w:vAlign w:val="center"/>
          </w:tcPr>
          <w:p w14:paraId="4D9F4F03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</w:tr>
      <w:tr w:rsidR="00D47632" w14:paraId="52E5FFED" w14:textId="77777777" w:rsidTr="00DE0EA4">
        <w:tc>
          <w:tcPr>
            <w:tcW w:w="2074" w:type="dxa"/>
            <w:vAlign w:val="bottom"/>
          </w:tcPr>
          <w:p w14:paraId="6BF0F9E2" w14:textId="77777777" w:rsidR="00D47632" w:rsidRPr="006E2D01" w:rsidRDefault="00D47632" w:rsidP="00D47632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Total </w:t>
            </w:r>
          </w:p>
        </w:tc>
        <w:tc>
          <w:tcPr>
            <w:tcW w:w="2074" w:type="dxa"/>
            <w:vAlign w:val="center"/>
          </w:tcPr>
          <w:p w14:paraId="16AF5568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226936</w:t>
            </w:r>
          </w:p>
        </w:tc>
        <w:tc>
          <w:tcPr>
            <w:tcW w:w="2074" w:type="dxa"/>
            <w:vAlign w:val="center"/>
          </w:tcPr>
          <w:p w14:paraId="5F6C2576" w14:textId="77777777" w:rsidR="00D47632" w:rsidRDefault="00D47632" w:rsidP="00DE0E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100.0</w:t>
            </w:r>
          </w:p>
        </w:tc>
      </w:tr>
    </w:tbl>
    <w:p w14:paraId="5C97FBB1" w14:textId="57FFC7E0" w:rsidR="00C04322" w:rsidRPr="006E2D01" w:rsidRDefault="006E2D01" w:rsidP="00EC0B47">
      <w:pPr>
        <w:pStyle w:val="ListParagraph"/>
        <w:rPr>
          <w:sz w:val="20"/>
          <w:szCs w:val="20"/>
        </w:rPr>
      </w:pPr>
      <w:r w:rsidRPr="006E2D01">
        <w:rPr>
          <w:sz w:val="20"/>
          <w:szCs w:val="20"/>
        </w:rPr>
        <w:t xml:space="preserve">* data </w:t>
      </w:r>
      <w:r w:rsidR="004E5394">
        <w:rPr>
          <w:sz w:val="20"/>
          <w:szCs w:val="20"/>
        </w:rPr>
        <w:t xml:space="preserve">was </w:t>
      </w:r>
      <w:r w:rsidRPr="006E2D01">
        <w:rPr>
          <w:sz w:val="20"/>
          <w:szCs w:val="20"/>
        </w:rPr>
        <w:t>derived from Scottish Diabetes Survey 2015</w:t>
      </w:r>
      <w:r w:rsidR="00A86626">
        <w:rPr>
          <w:sz w:val="20"/>
          <w:szCs w:val="20"/>
        </w:rPr>
        <w:fldChar w:fldCharType="begin"/>
      </w:r>
      <w:r w:rsidR="00F07624">
        <w:rPr>
          <w:sz w:val="20"/>
          <w:szCs w:val="20"/>
        </w:rPr>
        <w:instrText xml:space="preserve"> ADDIN EN.CITE &lt;EndNote&gt;&lt;Cite&gt;&lt;Author&gt;Scottish Diabetes Survey Monitoring Group&lt;/Author&gt;&lt;Year&gt;2015&lt;/Year&gt;&lt;RecNum&gt;73&lt;/RecNum&gt;&lt;DisplayText&gt;[10]&lt;/DisplayText&gt;&lt;record&gt;&lt;rec-number&gt;73&lt;/rec-number&gt;&lt;foreign-keys&gt;&lt;key app="EN" db-id="atarfpe9bs990aee2s9x90f2pf99sw0r5ds2" timestamp="1502803806"&gt;73&lt;/key&gt;&lt;/foreign-keys&gt;&lt;ref-type name="Report"&gt;27&lt;/ref-type&gt;&lt;contributors&gt;&lt;authors&gt;&lt;author&gt;Scottish Diabetes Survey Monitoring Group,&lt;/author&gt;&lt;/authors&gt;&lt;/contributors&gt;&lt;titles&gt;&lt;title&gt;Scottish Diabetes Survey 2015&lt;/title&gt;&lt;/titles&gt;&lt;dates&gt;&lt;year&gt;2015&lt;/year&gt;&lt;/dates&gt;&lt;urls&gt;&lt;/urls&gt;&lt;/record&gt;&lt;/Cite&gt;&lt;/EndNote&gt;</w:instrText>
      </w:r>
      <w:r w:rsidR="00A86626">
        <w:rPr>
          <w:sz w:val="20"/>
          <w:szCs w:val="20"/>
        </w:rPr>
        <w:fldChar w:fldCharType="separate"/>
      </w:r>
      <w:r w:rsidR="00F07624">
        <w:rPr>
          <w:noProof/>
          <w:sz w:val="20"/>
          <w:szCs w:val="20"/>
        </w:rPr>
        <w:t>[10]</w:t>
      </w:r>
      <w:r w:rsidR="00A86626">
        <w:rPr>
          <w:sz w:val="20"/>
          <w:szCs w:val="20"/>
        </w:rPr>
        <w:fldChar w:fldCharType="end"/>
      </w:r>
      <w:r w:rsidRPr="006E2D01">
        <w:rPr>
          <w:sz w:val="20"/>
          <w:szCs w:val="20"/>
        </w:rPr>
        <w:t>, Scottish Health Survey (2008-2011)</w:t>
      </w:r>
      <w:r w:rsidR="003E7947">
        <w:rPr>
          <w:sz w:val="20"/>
          <w:szCs w:val="20"/>
        </w:rPr>
        <w:fldChar w:fldCharType="begin"/>
      </w:r>
      <w:r w:rsidR="00F07624">
        <w:rPr>
          <w:sz w:val="20"/>
          <w:szCs w:val="20"/>
        </w:rPr>
        <w:instrText xml:space="preserve"> ADDIN EN.CITE &lt;EndNote&gt;&lt;Cite&gt;&lt;Author&gt;Whybrow P&lt;/Author&gt;&lt;Year&gt;2012&lt;/Year&gt;&lt;RecNum&gt;74&lt;/RecNum&gt;&lt;DisplayText&gt;[11]&lt;/DisplayText&gt;&lt;record&gt;&lt;rec-number&gt;74&lt;/rec-number&gt;&lt;foreign-keys&gt;&lt;key app="EN" db-id="atarfpe9bs990aee2s9x90f2pf99sw0r5ds2" timestamp="1502804835"&gt;74&lt;/key&gt;&lt;/foreign-keys&gt;&lt;ref-type name="Report"&gt;27&lt;/ref-type&gt;&lt;contributors&gt;&lt;authors&gt;&lt;author&gt;Whybrow P, Ramsay J, MacNee K&lt;/author&gt;&lt;/authors&gt;&lt;tertiary-authors&gt;&lt;author&gt;The Scottish Government&lt;/author&gt;&lt;/tertiary-authors&gt;&lt;/contributors&gt;&lt;titles&gt;&lt;title&gt;The Scottish Health Survey- Equality Groups&lt;/title&gt;&lt;/titles&gt;&lt;dates&gt;&lt;year&gt;2012&lt;/year&gt;&lt;pub-dates&gt;&lt;date&gt;October 2012&lt;/date&gt;&lt;/pub-dates&gt;&lt;/dates&gt;&lt;urls&gt;&lt;/urls&gt;&lt;/record&gt;&lt;/Cite&gt;&lt;/EndNote&gt;</w:instrText>
      </w:r>
      <w:r w:rsidR="003E7947">
        <w:rPr>
          <w:sz w:val="20"/>
          <w:szCs w:val="20"/>
        </w:rPr>
        <w:fldChar w:fldCharType="separate"/>
      </w:r>
      <w:r w:rsidR="00F07624">
        <w:rPr>
          <w:noProof/>
          <w:sz w:val="20"/>
          <w:szCs w:val="20"/>
        </w:rPr>
        <w:t>[11]</w:t>
      </w:r>
      <w:r w:rsidR="003E7947">
        <w:rPr>
          <w:sz w:val="20"/>
          <w:szCs w:val="20"/>
        </w:rPr>
        <w:fldChar w:fldCharType="end"/>
      </w:r>
      <w:r w:rsidRPr="006E2D01">
        <w:rPr>
          <w:sz w:val="20"/>
          <w:szCs w:val="20"/>
        </w:rPr>
        <w:t>, Scottish census 2011</w:t>
      </w:r>
      <w:r w:rsidR="003E7947">
        <w:rPr>
          <w:sz w:val="20"/>
          <w:szCs w:val="20"/>
        </w:rPr>
        <w:fldChar w:fldCharType="begin"/>
      </w:r>
      <w:r w:rsidR="00F07624">
        <w:rPr>
          <w:sz w:val="20"/>
          <w:szCs w:val="20"/>
        </w:rPr>
        <w:instrText xml:space="preserve"> ADDIN EN.CITE &lt;EndNote&gt;&lt;Cite&gt;&lt;Year&gt;2011&lt;/Year&gt;&lt;RecNum&gt;75&lt;/RecNum&gt;&lt;DisplayText&gt;[12]&lt;/DisplayText&gt;&lt;record&gt;&lt;rec-number&gt;75&lt;/rec-number&gt;&lt;foreign-keys&gt;&lt;key app="EN" db-id="atarfpe9bs990aee2s9x90f2pf99sw0r5ds2" timestamp="1502805735"&gt;75&lt;/key&gt;&lt;/foreign-keys&gt;&lt;ref-type name="Online Database"&gt;45&lt;/ref-type&gt;&lt;contributors&gt;&lt;/contributors&gt;&lt;titles&gt;&lt;title&gt;Scottland&amp;apos;s Census 2011- standard output&lt;/title&gt;&lt;/titles&gt;&lt;dates&gt;&lt;year&gt;2011&lt;/year&gt;&lt;pub-dates&gt;&lt;date&gt;18th June 2017&lt;/date&gt;&lt;/pub-dates&gt;&lt;/dates&gt;&lt;urls&gt;&lt;/urls&gt;&lt;remote-database-provider&gt;National Records of Scotland&lt;/remote-database-provider&gt;&lt;/record&gt;&lt;/Cite&gt;&lt;/EndNote&gt;</w:instrText>
      </w:r>
      <w:r w:rsidR="003E7947">
        <w:rPr>
          <w:sz w:val="20"/>
          <w:szCs w:val="20"/>
        </w:rPr>
        <w:fldChar w:fldCharType="separate"/>
      </w:r>
      <w:r w:rsidR="00F07624">
        <w:rPr>
          <w:noProof/>
          <w:sz w:val="20"/>
          <w:szCs w:val="20"/>
        </w:rPr>
        <w:t>[12]</w:t>
      </w:r>
      <w:r w:rsidR="003E7947">
        <w:rPr>
          <w:sz w:val="20"/>
          <w:szCs w:val="20"/>
        </w:rPr>
        <w:fldChar w:fldCharType="end"/>
      </w:r>
      <w:r w:rsidR="00D44432">
        <w:rPr>
          <w:sz w:val="20"/>
          <w:szCs w:val="20"/>
        </w:rPr>
        <w:t>.</w:t>
      </w:r>
    </w:p>
    <w:p w14:paraId="4D9F91E9" w14:textId="77777777" w:rsidR="000E6B84" w:rsidRDefault="000E6B84" w:rsidP="00EC0B47">
      <w:pPr>
        <w:pStyle w:val="ListParagraph"/>
      </w:pPr>
    </w:p>
    <w:p w14:paraId="7DAD84F6" w14:textId="77777777" w:rsidR="006E2D01" w:rsidRDefault="006E2D01" w:rsidP="00EC0B47">
      <w:pPr>
        <w:pStyle w:val="ListParagraph"/>
      </w:pPr>
    </w:p>
    <w:p w14:paraId="04D2D219" w14:textId="0D979B68" w:rsidR="000E6B84" w:rsidRPr="006E2D01" w:rsidRDefault="000E6B84" w:rsidP="00EC0B47">
      <w:pPr>
        <w:pStyle w:val="ListParagraph"/>
        <w:rPr>
          <w:b/>
        </w:rPr>
      </w:pPr>
      <w:r w:rsidRPr="006E2D01">
        <w:rPr>
          <w:b/>
        </w:rPr>
        <w:t>Table A3: DM cases</w:t>
      </w:r>
      <w:r w:rsidR="007C6A9E" w:rsidRPr="006E2D01">
        <w:rPr>
          <w:b/>
        </w:rPr>
        <w:t xml:space="preserve"> in different ethnic groups (England and Scotland combined)</w:t>
      </w:r>
      <w:r w:rsidR="00DE0EA4">
        <w:rPr>
          <w:b/>
        </w:rPr>
        <w:t>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7C6A9E" w:rsidRPr="006E2D01" w14:paraId="4301A8F5" w14:textId="77777777" w:rsidTr="007E159B">
        <w:tc>
          <w:tcPr>
            <w:tcW w:w="2074" w:type="dxa"/>
            <w:vAlign w:val="bottom"/>
          </w:tcPr>
          <w:p w14:paraId="26D2BEF5" w14:textId="77777777" w:rsidR="007C6A9E" w:rsidRPr="006E2D01" w:rsidRDefault="007C6A9E" w:rsidP="007E159B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Ethnicity </w:t>
            </w:r>
          </w:p>
        </w:tc>
        <w:tc>
          <w:tcPr>
            <w:tcW w:w="2074" w:type="dxa"/>
            <w:vAlign w:val="bottom"/>
          </w:tcPr>
          <w:p w14:paraId="7DF4877B" w14:textId="77777777" w:rsidR="007C6A9E" w:rsidRPr="006E2D01" w:rsidRDefault="007C6A9E" w:rsidP="007E159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Number of cases </w:t>
            </w:r>
          </w:p>
        </w:tc>
        <w:tc>
          <w:tcPr>
            <w:tcW w:w="2074" w:type="dxa"/>
            <w:vAlign w:val="bottom"/>
          </w:tcPr>
          <w:p w14:paraId="28FE68A7" w14:textId="77777777" w:rsidR="007C6A9E" w:rsidRPr="006E2D01" w:rsidRDefault="007C6A9E" w:rsidP="007E159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Proportion (%)</w:t>
            </w:r>
          </w:p>
        </w:tc>
      </w:tr>
      <w:tr w:rsidR="0068519F" w14:paraId="28803B0C" w14:textId="77777777" w:rsidTr="007E159B">
        <w:tc>
          <w:tcPr>
            <w:tcW w:w="2074" w:type="dxa"/>
            <w:vAlign w:val="bottom"/>
          </w:tcPr>
          <w:p w14:paraId="31BB9420" w14:textId="77777777" w:rsidR="0068519F" w:rsidRPr="006E2D01" w:rsidRDefault="0068519F" w:rsidP="0068519F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white</w:t>
            </w:r>
          </w:p>
        </w:tc>
        <w:tc>
          <w:tcPr>
            <w:tcW w:w="2074" w:type="dxa"/>
            <w:vAlign w:val="bottom"/>
          </w:tcPr>
          <w:p w14:paraId="042E504B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1259558</w:t>
            </w:r>
          </w:p>
        </w:tc>
        <w:tc>
          <w:tcPr>
            <w:tcW w:w="2074" w:type="dxa"/>
            <w:vAlign w:val="bottom"/>
          </w:tcPr>
          <w:p w14:paraId="7FCAF75A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54.7</w:t>
            </w:r>
          </w:p>
        </w:tc>
      </w:tr>
      <w:tr w:rsidR="0068519F" w14:paraId="60EF212C" w14:textId="77777777" w:rsidTr="007E159B">
        <w:tc>
          <w:tcPr>
            <w:tcW w:w="2074" w:type="dxa"/>
            <w:vAlign w:val="bottom"/>
          </w:tcPr>
          <w:p w14:paraId="5A65FEDE" w14:textId="77777777" w:rsidR="0068519F" w:rsidRPr="006E2D01" w:rsidRDefault="0068519F" w:rsidP="0068519F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black</w:t>
            </w:r>
          </w:p>
        </w:tc>
        <w:tc>
          <w:tcPr>
            <w:tcW w:w="2074" w:type="dxa"/>
            <w:vAlign w:val="bottom"/>
          </w:tcPr>
          <w:p w14:paraId="15EF7DBE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82585</w:t>
            </w:r>
          </w:p>
        </w:tc>
        <w:tc>
          <w:tcPr>
            <w:tcW w:w="2074" w:type="dxa"/>
            <w:vAlign w:val="bottom"/>
          </w:tcPr>
          <w:p w14:paraId="1FB79580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</w:tr>
      <w:tr w:rsidR="0068519F" w14:paraId="291B5C82" w14:textId="77777777" w:rsidTr="007E159B">
        <w:tc>
          <w:tcPr>
            <w:tcW w:w="2074" w:type="dxa"/>
            <w:vAlign w:val="bottom"/>
          </w:tcPr>
          <w:p w14:paraId="50D86E60" w14:textId="77777777" w:rsidR="0068519F" w:rsidRPr="006E2D01" w:rsidRDefault="0068519F" w:rsidP="0068519F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Total South Asian</w:t>
            </w:r>
          </w:p>
        </w:tc>
        <w:tc>
          <w:tcPr>
            <w:tcW w:w="2074" w:type="dxa"/>
            <w:vAlign w:val="bottom"/>
          </w:tcPr>
          <w:p w14:paraId="1A0F271A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210081</w:t>
            </w:r>
          </w:p>
        </w:tc>
        <w:tc>
          <w:tcPr>
            <w:tcW w:w="2074" w:type="dxa"/>
            <w:vAlign w:val="bottom"/>
          </w:tcPr>
          <w:p w14:paraId="525BDC32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</w:t>
            </w:r>
          </w:p>
        </w:tc>
      </w:tr>
      <w:tr w:rsidR="0068519F" w14:paraId="3806542D" w14:textId="77777777" w:rsidTr="007E159B">
        <w:tc>
          <w:tcPr>
            <w:tcW w:w="2074" w:type="dxa"/>
            <w:vAlign w:val="bottom"/>
          </w:tcPr>
          <w:p w14:paraId="19B8A1C0" w14:textId="77777777" w:rsidR="0068519F" w:rsidRPr="006E2D01" w:rsidRDefault="0068519F" w:rsidP="0068519F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>Other</w:t>
            </w:r>
          </w:p>
        </w:tc>
        <w:tc>
          <w:tcPr>
            <w:tcW w:w="2074" w:type="dxa"/>
            <w:vAlign w:val="bottom"/>
          </w:tcPr>
          <w:p w14:paraId="5B21F0E8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752276</w:t>
            </w:r>
          </w:p>
        </w:tc>
        <w:tc>
          <w:tcPr>
            <w:tcW w:w="2074" w:type="dxa"/>
            <w:vAlign w:val="bottom"/>
          </w:tcPr>
          <w:p w14:paraId="4023C9ED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32.6</w:t>
            </w:r>
          </w:p>
        </w:tc>
      </w:tr>
      <w:tr w:rsidR="0068519F" w14:paraId="2B93E8F2" w14:textId="77777777" w:rsidTr="007E159B">
        <w:tc>
          <w:tcPr>
            <w:tcW w:w="2074" w:type="dxa"/>
            <w:vAlign w:val="bottom"/>
          </w:tcPr>
          <w:p w14:paraId="65D81C56" w14:textId="77777777" w:rsidR="0068519F" w:rsidRPr="006E2D01" w:rsidRDefault="0068519F" w:rsidP="0068519F">
            <w:pPr>
              <w:rPr>
                <w:rFonts w:ascii="Calibri" w:hAnsi="Calibri"/>
                <w:b/>
                <w:color w:val="000000"/>
              </w:rPr>
            </w:pPr>
            <w:r w:rsidRPr="006E2D01">
              <w:rPr>
                <w:rFonts w:ascii="Calibri" w:hAnsi="Calibri"/>
                <w:b/>
                <w:color w:val="000000"/>
              </w:rPr>
              <w:t xml:space="preserve">Total </w:t>
            </w:r>
          </w:p>
        </w:tc>
        <w:tc>
          <w:tcPr>
            <w:tcW w:w="2074" w:type="dxa"/>
            <w:vAlign w:val="bottom"/>
          </w:tcPr>
          <w:p w14:paraId="2EC3EEDA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2304500</w:t>
            </w:r>
          </w:p>
        </w:tc>
        <w:tc>
          <w:tcPr>
            <w:tcW w:w="2074" w:type="dxa"/>
            <w:vAlign w:val="bottom"/>
          </w:tcPr>
          <w:p w14:paraId="2DAEF258" w14:textId="77777777" w:rsidR="0068519F" w:rsidRDefault="0068519F" w:rsidP="00685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100.0</w:t>
            </w:r>
          </w:p>
        </w:tc>
      </w:tr>
    </w:tbl>
    <w:p w14:paraId="645C509F" w14:textId="7D69A42F" w:rsidR="007C6A9E" w:rsidRPr="00DE0EA4" w:rsidRDefault="00DE0EA4" w:rsidP="00EC0B4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</w:t>
      </w:r>
      <w:r w:rsidR="005607A5" w:rsidRPr="00DE0EA4">
        <w:rPr>
          <w:sz w:val="20"/>
          <w:szCs w:val="20"/>
        </w:rPr>
        <w:t xml:space="preserve">Note: DM cases by ethnicity could not easily be obtained from Wales and Northern Ireland. However, </w:t>
      </w:r>
      <w:r w:rsidRPr="00DE0EA4">
        <w:rPr>
          <w:sz w:val="20"/>
          <w:szCs w:val="20"/>
        </w:rPr>
        <w:t xml:space="preserve">UK Census 2011 showed that </w:t>
      </w:r>
      <w:r w:rsidR="005607A5" w:rsidRPr="00DE0EA4">
        <w:rPr>
          <w:sz w:val="20"/>
          <w:szCs w:val="20"/>
        </w:rPr>
        <w:t>England and Wales represent over 92% of the UK population</w:t>
      </w:r>
      <w:r w:rsidRPr="00DE0EA4">
        <w:rPr>
          <w:sz w:val="20"/>
          <w:szCs w:val="20"/>
        </w:rPr>
        <w:fldChar w:fldCharType="begin"/>
      </w:r>
      <w:r w:rsidRPr="00DE0EA4">
        <w:rPr>
          <w:sz w:val="20"/>
          <w:szCs w:val="20"/>
        </w:rPr>
        <w:instrText xml:space="preserve"> ADDIN EN.CITE &lt;EndNote&gt;&lt;Cite&gt;&lt;Author&gt;ONS&lt;/Author&gt;&lt;Year&gt;2012&lt;/Year&gt;&lt;RecNum&gt;68&lt;/RecNum&gt;&lt;DisplayText&gt;[3]&lt;/DisplayText&gt;&lt;record&gt;&lt;rec-number&gt;68&lt;/rec-number&gt;&lt;foreign-keys&gt;&lt;key app="EN" db-id="atarfpe9bs990aee2s9x90f2pf99sw0r5ds2" timestamp="1502792793"&gt;68&lt;/key&gt;&lt;/foreign-keys&gt;&lt;ref-type name="Report"&gt;27&lt;/ref-type&gt;&lt;contributors&gt;&lt;authors&gt;&lt;author&gt;ONS&lt;/author&gt;&lt;/authors&gt;&lt;/contributors&gt;&lt;titles&gt;&lt;title&gt;2011 Census: Population Estimates for the United Kingdom, 27 March 2011&lt;/title&gt;&lt;/titles&gt;&lt;dates&gt;&lt;year&gt;2012&lt;/year&gt;&lt;/dates&gt;&lt;urls&gt;&lt;/urls&gt;&lt;/record&gt;&lt;/Cite&gt;&lt;/EndNote&gt;</w:instrText>
      </w:r>
      <w:r w:rsidRPr="00DE0EA4">
        <w:rPr>
          <w:sz w:val="20"/>
          <w:szCs w:val="20"/>
        </w:rPr>
        <w:fldChar w:fldCharType="separate"/>
      </w:r>
      <w:r w:rsidRPr="00DE0EA4">
        <w:rPr>
          <w:noProof/>
          <w:sz w:val="20"/>
          <w:szCs w:val="20"/>
        </w:rPr>
        <w:t>[3]</w:t>
      </w:r>
      <w:r w:rsidRPr="00DE0EA4">
        <w:rPr>
          <w:sz w:val="20"/>
          <w:szCs w:val="20"/>
        </w:rPr>
        <w:fldChar w:fldCharType="end"/>
      </w:r>
      <w:r w:rsidR="005607A5" w:rsidRPr="00DE0EA4">
        <w:rPr>
          <w:sz w:val="20"/>
          <w:szCs w:val="20"/>
        </w:rPr>
        <w:t xml:space="preserve">. </w:t>
      </w:r>
    </w:p>
    <w:p w14:paraId="448DD341" w14:textId="77777777" w:rsidR="00EC0B47" w:rsidRDefault="00EC0B47" w:rsidP="0036429A">
      <w:pPr>
        <w:ind w:left="720"/>
      </w:pPr>
      <w:r>
        <w:lastRenderedPageBreak/>
        <w:t xml:space="preserve">Therefore, the percentage </w:t>
      </w:r>
      <w:r w:rsidR="007C6A9E">
        <w:t>of both south Asian and black DM</w:t>
      </w:r>
      <w:r>
        <w:t xml:space="preserve"> cases am</w:t>
      </w:r>
      <w:r w:rsidR="007C6A9E">
        <w:t>ong all DM</w:t>
      </w:r>
      <w:r w:rsidR="00315198">
        <w:t xml:space="preserve"> cases in the UK is </w:t>
      </w:r>
      <w:r w:rsidR="0068519F">
        <w:t>12.7</w:t>
      </w:r>
      <w:r w:rsidR="0036429A" w:rsidRPr="00661166">
        <w:t xml:space="preserve">% (p1); </w:t>
      </w:r>
      <w:r w:rsidRPr="00661166">
        <w:t xml:space="preserve">the percentage of both south Asian and black non-TB cases among </w:t>
      </w:r>
      <w:r w:rsidR="004E5394">
        <w:t>all non-DM</w:t>
      </w:r>
      <w:r w:rsidRPr="00661166">
        <w:t xml:space="preserve"> cases in the UK is</w:t>
      </w:r>
      <w:r w:rsidR="00315198" w:rsidRPr="00661166">
        <w:t xml:space="preserve"> </w:t>
      </w:r>
      <w:r w:rsidR="0036429A" w:rsidRPr="00661166">
        <w:t>6.9</w:t>
      </w:r>
      <w:r w:rsidRPr="00661166">
        <w:t>% (p0</w:t>
      </w:r>
      <w:r w:rsidR="0036429A" w:rsidRPr="00661166">
        <w:t>).</w:t>
      </w:r>
    </w:p>
    <w:p w14:paraId="0FEE493F" w14:textId="18D977D3" w:rsidR="00EC0B47" w:rsidRDefault="00C02957" w:rsidP="00EC0B47">
      <w:pPr>
        <w:ind w:left="720"/>
      </w:pPr>
      <w:r>
        <w:t>According to TB Annual Report 2016</w:t>
      </w:r>
      <w:r w:rsidR="00DE0EA4">
        <w:fldChar w:fldCharType="begin"/>
      </w:r>
      <w:r w:rsidR="00DE0EA4">
        <w:instrText xml:space="preserve"> ADDIN EN.CITE &lt;EndNote&gt;&lt;Cite&gt;&lt;Author&gt;Public Health England&lt;/Author&gt;&lt;Year&gt;2016&lt;/Year&gt;&lt;RecNum&gt;30&lt;/RecNum&gt;&lt;DisplayText&gt;[2]&lt;/DisplayText&gt;&lt;record&gt;&lt;rec-number&gt;30&lt;/rec-number&gt;&lt;foreign-keys&gt;&lt;key app="EN" db-id="atarfpe9bs990aee2s9x90f2pf99sw0r5ds2" timestamp="1500986726"&gt;30&lt;/key&gt;&lt;/foreign-keys&gt;&lt;ref-type name="Report"&gt;27&lt;/ref-type&gt;&lt;contributors&gt;&lt;authors&gt;&lt;author&gt;Public Health England, &lt;/author&gt;&lt;/authors&gt;&lt;/contributors&gt;&lt;titles&gt;&lt;title&gt;Tuberculosis in England: 2016&lt;/title&gt;&lt;secondary-title&gt;Public Health England, London.&lt;/secondary-title&gt;&lt;/titles&gt;&lt;dates&gt;&lt;year&gt;2016&lt;/year&gt;&lt;/dates&gt;&lt;urls&gt;&lt;/urls&gt;&lt;/record&gt;&lt;/Cite&gt;&lt;/EndNote&gt;</w:instrText>
      </w:r>
      <w:r w:rsidR="00DE0EA4">
        <w:fldChar w:fldCharType="separate"/>
      </w:r>
      <w:r w:rsidR="00DE0EA4">
        <w:rPr>
          <w:noProof/>
        </w:rPr>
        <w:t>[2]</w:t>
      </w:r>
      <w:r w:rsidR="00DE0EA4">
        <w:fldChar w:fldCharType="end"/>
      </w:r>
      <w:r w:rsidR="002F105F">
        <w:t>,</w:t>
      </w:r>
      <w:r w:rsidR="00592B28">
        <w:t xml:space="preserve"> the RR for TB</w:t>
      </w:r>
      <w:r>
        <w:t xml:space="preserve"> among south Asian</w:t>
      </w:r>
      <w:r w:rsidR="00B7522C">
        <w:t xml:space="preserve"> ranges from 6.5 to 12.4, and 2.2-19.1 for </w:t>
      </w:r>
      <w:r>
        <w:t>blac</w:t>
      </w:r>
      <w:r w:rsidR="00B7522C">
        <w:t>k</w:t>
      </w:r>
      <w:r>
        <w:t xml:space="preserve"> </w:t>
      </w:r>
      <w:r w:rsidR="004E5394">
        <w:t>in the UK population</w:t>
      </w:r>
      <w:r w:rsidR="002F105F">
        <w:t>.</w:t>
      </w:r>
      <w:r w:rsidR="004E5394">
        <w:t xml:space="preserve"> In order </w:t>
      </w:r>
      <w:r w:rsidR="00EC0B47">
        <w:t xml:space="preserve">weight RRs for UK population structure, some simple calculation was </w:t>
      </w:r>
      <w:r w:rsidR="005607A5">
        <w:t xml:space="preserve">carried out </w:t>
      </w:r>
      <w:r w:rsidR="00EC0B47">
        <w:t>below:</w:t>
      </w:r>
    </w:p>
    <w:p w14:paraId="437CA731" w14:textId="77777777" w:rsidR="00EC0B47" w:rsidRPr="00C92EF5" w:rsidRDefault="00C92EF5" w:rsidP="00EC0B47">
      <w:pPr>
        <w:ind w:left="720"/>
        <w:rPr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0"/>
              <w:szCs w:val="20"/>
            </w:rPr>
            <m:t>proportion of south Asian DM cases among both south asian and black african DM cases=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south asian DM cases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UK total DM cases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÷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south asian DM cases+black african DM cases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UK total DM cases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=9.1%÷12.7%=72%</m:t>
          </m:r>
        </m:oMath>
      </m:oMathPara>
    </w:p>
    <w:p w14:paraId="2026CA36" w14:textId="77777777" w:rsidR="00EC0B47" w:rsidRPr="00C92EF5" w:rsidRDefault="00EC0B47" w:rsidP="00EC0B47">
      <w:pPr>
        <w:ind w:left="720"/>
        <w:rPr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0"/>
              <w:szCs w:val="20"/>
            </w:rPr>
            <m:t>proportion of black African TB cases among both south asian and black african DM cases=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black African DM cases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UK total DM cases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÷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south asian DM cases+black african DM cases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UK total DM cases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=3.6%÷12.7%=28%</m:t>
          </m:r>
        </m:oMath>
      </m:oMathPara>
    </w:p>
    <w:p w14:paraId="0B283111" w14:textId="77777777" w:rsidR="00B7522C" w:rsidRDefault="00EC0B47" w:rsidP="00EC0B47">
      <w:pPr>
        <w:ind w:left="720"/>
      </w:pPr>
      <w:r>
        <w:t xml:space="preserve">So: </w:t>
      </w:r>
      <m:oMath>
        <m:r>
          <w:rPr>
            <w:rFonts w:ascii="Cambria Math" w:hAnsi="Cambria Math" w:cs="Cambria Math"/>
          </w:rPr>
          <m:t>combined RR (RRs in equation) for diabetes among both south Asian and black African</m:t>
        </m:r>
        <m:r>
          <m:rPr>
            <m:sty m:val="p"/>
          </m:rPr>
          <w:rPr>
            <w:rFonts w:ascii="Cambria Math" w:hAnsi="Cambria Math" w:cs="Cambria Math"/>
          </w:rPr>
          <m:t>=6.5×72%+2.2×28%=5.3</m:t>
        </m:r>
      </m:oMath>
      <w:r>
        <w:t xml:space="preserve"> </w:t>
      </w:r>
    </w:p>
    <w:p w14:paraId="1FEF1C8A" w14:textId="77777777" w:rsidR="00EC0B47" w:rsidRDefault="00EC0B47" w:rsidP="00EC0B47">
      <w:pPr>
        <w:ind w:left="720"/>
      </w:pPr>
      <w:r>
        <w:t xml:space="preserve">Therefore </w:t>
      </w:r>
      <m:oMath>
        <m:r>
          <w:rPr>
            <w:rFonts w:ascii="Cambria Math" w:hAnsi="Cambria Math" w:cs="Cambria Math"/>
          </w:rPr>
          <m:t>degree of confounding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100-12.7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</w:rPr>
              <m:t>+5.3×12.7</m:t>
            </m:r>
          </m:num>
          <m:den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100-6.9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</w:rPr>
              <m:t>+5.3×6.9</m:t>
            </m:r>
          </m:den>
        </m:f>
        <m:r>
          <w:rPr>
            <w:rFonts w:ascii="Cambria Math" w:hAnsi="Cambria Math"/>
          </w:rPr>
          <m:t>=1.19</m:t>
        </m:r>
      </m:oMath>
      <w:r>
        <w:t>= confounded RR/true RR</w:t>
      </w:r>
    </w:p>
    <w:p w14:paraId="332698ED" w14:textId="5B7CB0E2" w:rsidR="00EC0B47" w:rsidRDefault="00EC0B47" w:rsidP="00EC0B47">
      <w:pPr>
        <w:ind w:left="720"/>
      </w:pPr>
      <w:r>
        <w:t xml:space="preserve">So the </w:t>
      </w:r>
      <w:r w:rsidR="004E5394">
        <w:t xml:space="preserve">true </w:t>
      </w:r>
      <w:r>
        <w:t>RR after adj</w:t>
      </w:r>
      <w:r w:rsidR="00521E7D">
        <w:t>usting</w:t>
      </w:r>
      <w:r w:rsidR="007B716D">
        <w:t xml:space="preserve"> for ethnicity would be 1.5</w:t>
      </w:r>
      <w:r w:rsidR="00A1605F">
        <w:t>0 (95%CI 1.27 to 1.76)</w:t>
      </w:r>
      <w:r w:rsidR="007B716D">
        <w:t>/1.19</w:t>
      </w:r>
      <w:r>
        <w:t>=</w:t>
      </w:r>
      <w:r w:rsidR="007B716D" w:rsidRPr="007B716D">
        <w:rPr>
          <w:b/>
        </w:rPr>
        <w:t>1.26</w:t>
      </w:r>
      <w:r w:rsidR="00A1605F">
        <w:rPr>
          <w:b/>
        </w:rPr>
        <w:t xml:space="preserve"> (95%CI 1.07 to 1.48)</w:t>
      </w:r>
    </w:p>
    <w:p w14:paraId="6AC577D0" w14:textId="6D5AEED7" w:rsidR="007B716D" w:rsidRDefault="007B716D" w:rsidP="00EC0B47">
      <w:pPr>
        <w:ind w:left="720"/>
      </w:pPr>
      <w:r>
        <w:t xml:space="preserve">The same calculation was performed using the upper range of RRs for both ethnic groups (i.e. 12.4 for south Asian, and 19.1 for black). </w:t>
      </w:r>
      <w:r w:rsidR="004443EC">
        <w:t xml:space="preserve">In this sensitivity analysis, </w:t>
      </w:r>
      <w:r>
        <w:t>the degree of confounding was 1.40, and the true RR=1.5</w:t>
      </w:r>
      <w:r w:rsidR="007C3E19">
        <w:t>0 (95%CI 1.27 to 1.76</w:t>
      </w:r>
      <w:r w:rsidR="00130392">
        <w:t>)</w:t>
      </w:r>
      <w:r>
        <w:t>/1.4</w:t>
      </w:r>
      <w:r w:rsidR="007C3E19">
        <w:t>0</w:t>
      </w:r>
      <w:r>
        <w:t>=</w:t>
      </w:r>
      <w:r w:rsidRPr="007B716D">
        <w:rPr>
          <w:b/>
        </w:rPr>
        <w:t>1.07</w:t>
      </w:r>
      <w:r w:rsidR="004443EC">
        <w:rPr>
          <w:b/>
        </w:rPr>
        <w:t xml:space="preserve"> </w:t>
      </w:r>
      <w:r w:rsidR="007C3E19">
        <w:rPr>
          <w:b/>
        </w:rPr>
        <w:t>(95%CI 0.91 to 1.2</w:t>
      </w:r>
      <w:r w:rsidR="00130392">
        <w:rPr>
          <w:b/>
        </w:rPr>
        <w:t>6)</w:t>
      </w:r>
    </w:p>
    <w:p w14:paraId="7AA5BB6C" w14:textId="77777777" w:rsidR="00F02DF6" w:rsidRDefault="00F02DF6" w:rsidP="00056191">
      <w:pPr>
        <w:ind w:left="720"/>
      </w:pPr>
    </w:p>
    <w:p w14:paraId="7567C5DD" w14:textId="77777777" w:rsidR="00F02DF6" w:rsidRDefault="00F02DF6" w:rsidP="00056191">
      <w:pPr>
        <w:ind w:left="720"/>
      </w:pPr>
    </w:p>
    <w:p w14:paraId="6F227416" w14:textId="77777777" w:rsidR="00DE0EA4" w:rsidRPr="00DE0EA4" w:rsidRDefault="00F02DF6" w:rsidP="00DE0EA4">
      <w:pPr>
        <w:pStyle w:val="EndNoteBibliographyTitle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DE0EA4" w:rsidRPr="00DE0EA4">
        <w:t>Reference List</w:t>
      </w:r>
    </w:p>
    <w:p w14:paraId="1555A9D1" w14:textId="77777777" w:rsidR="00DE0EA4" w:rsidRPr="00DE0EA4" w:rsidRDefault="00DE0EA4" w:rsidP="00DE0EA4">
      <w:pPr>
        <w:pStyle w:val="EndNoteBibliographyTitle"/>
      </w:pPr>
    </w:p>
    <w:p w14:paraId="7A92B493" w14:textId="77777777" w:rsidR="00DE0EA4" w:rsidRPr="00DE0EA4" w:rsidRDefault="00DE0EA4" w:rsidP="00DE0EA4">
      <w:pPr>
        <w:pStyle w:val="EndNoteBibliography"/>
        <w:spacing w:after="0"/>
      </w:pPr>
      <w:r w:rsidRPr="00DE0EA4">
        <w:t>1.</w:t>
      </w:r>
      <w:r w:rsidRPr="00DE0EA4">
        <w:tab/>
        <w:t>McNamee R. Confounding and confounders. Occupational and Environmental Medicine. 2003;60(3):227-34. doi: 10.1136/oem.60.3.227.</w:t>
      </w:r>
    </w:p>
    <w:p w14:paraId="7F62E8DA" w14:textId="77777777" w:rsidR="00DE0EA4" w:rsidRPr="00DE0EA4" w:rsidRDefault="00DE0EA4" w:rsidP="00DE0EA4">
      <w:pPr>
        <w:pStyle w:val="EndNoteBibliography"/>
        <w:spacing w:after="0"/>
      </w:pPr>
      <w:r w:rsidRPr="00DE0EA4">
        <w:t>2.</w:t>
      </w:r>
      <w:r w:rsidRPr="00DE0EA4">
        <w:tab/>
        <w:t>Public Health England. Tuberculosis in England: 2016. 2016.</w:t>
      </w:r>
    </w:p>
    <w:p w14:paraId="3BC0EEBF" w14:textId="77777777" w:rsidR="00DE0EA4" w:rsidRPr="00DE0EA4" w:rsidRDefault="00DE0EA4" w:rsidP="00DE0EA4">
      <w:pPr>
        <w:pStyle w:val="EndNoteBibliography"/>
        <w:spacing w:after="0"/>
      </w:pPr>
      <w:r w:rsidRPr="00DE0EA4">
        <w:t>3.</w:t>
      </w:r>
      <w:r w:rsidRPr="00DE0EA4">
        <w:tab/>
        <w:t>ONS. 2011 Census: Population Estimates for the United Kingdom, 27 March 2011. 2012.</w:t>
      </w:r>
    </w:p>
    <w:p w14:paraId="0A67B71D" w14:textId="77777777" w:rsidR="00DE0EA4" w:rsidRPr="00DE0EA4" w:rsidRDefault="00DE0EA4" w:rsidP="00DE0EA4">
      <w:pPr>
        <w:pStyle w:val="EndNoteBibliography"/>
        <w:spacing w:after="0"/>
      </w:pPr>
      <w:r w:rsidRPr="00DE0EA4">
        <w:t>4.</w:t>
      </w:r>
      <w:r w:rsidRPr="00DE0EA4">
        <w:tab/>
        <w:t>Oldroyd J, Banerjee M, Heald A, Cruickshank K. Diabetes and ethnic minorities. Postgraduate Medical Journal. 2005;81(958):486-90. doi: 10.1136/pgmj.2004.029124.</w:t>
      </w:r>
    </w:p>
    <w:p w14:paraId="5D5B97D6" w14:textId="77777777" w:rsidR="00DE0EA4" w:rsidRPr="00DE0EA4" w:rsidRDefault="00DE0EA4" w:rsidP="00DE0EA4">
      <w:pPr>
        <w:pStyle w:val="EndNoteBibliography"/>
        <w:spacing w:after="0"/>
      </w:pPr>
      <w:r w:rsidRPr="00DE0EA4">
        <w:t>5.</w:t>
      </w:r>
      <w:r w:rsidRPr="00DE0EA4">
        <w:tab/>
        <w:t>Meeks KAC, Freitas-Da-Silva D, Adeyemo A, Beune E, Modesti PA, Stronks K, et al. Disparities in type 2 diabetes prevalence among ethnic minority groups resident in Europe: a systematic review and meta-analysis. Internal and Emergency Medicine. 2016;11(3):327-40. doi: 10.1007/s11739-015-1302-9. PubMed PMID: WOS:000373634500006.</w:t>
      </w:r>
    </w:p>
    <w:p w14:paraId="3D196D01" w14:textId="77777777" w:rsidR="00DE0EA4" w:rsidRPr="00DE0EA4" w:rsidRDefault="00DE0EA4" w:rsidP="00DE0EA4">
      <w:pPr>
        <w:pStyle w:val="EndNoteBibliography"/>
        <w:spacing w:after="0"/>
      </w:pPr>
      <w:r w:rsidRPr="00DE0EA4">
        <w:t>6.</w:t>
      </w:r>
      <w:r w:rsidRPr="00DE0EA4">
        <w:tab/>
        <w:t>National Centre for Social Research DoEaPHatRFaUCMS. Health Survey for England 2003. 2004.</w:t>
      </w:r>
    </w:p>
    <w:p w14:paraId="6CDE8156" w14:textId="77777777" w:rsidR="00DE0EA4" w:rsidRPr="00DE0EA4" w:rsidRDefault="00DE0EA4" w:rsidP="00DE0EA4">
      <w:pPr>
        <w:pStyle w:val="EndNoteBibliography"/>
        <w:spacing w:after="0"/>
      </w:pPr>
      <w:r w:rsidRPr="00DE0EA4">
        <w:t>7.</w:t>
      </w:r>
      <w:r w:rsidRPr="00DE0EA4">
        <w:tab/>
        <w:t>NHS Health and Social Care Information Centre PHS. Health Survey for England 2004: The Health of Minority Ethnic Groups- headline tables. 2005.</w:t>
      </w:r>
    </w:p>
    <w:p w14:paraId="7A798172" w14:textId="77777777" w:rsidR="00DE0EA4" w:rsidRPr="00DE0EA4" w:rsidRDefault="00DE0EA4" w:rsidP="00DE0EA4">
      <w:pPr>
        <w:pStyle w:val="EndNoteBibliography"/>
        <w:spacing w:after="0"/>
      </w:pPr>
      <w:r w:rsidRPr="00DE0EA4">
        <w:t>8.</w:t>
      </w:r>
      <w:r w:rsidRPr="00DE0EA4">
        <w:tab/>
        <w:t xml:space="preserve">Harvey JN, Craney L, Kelly D. Estimation of the prevalence of diagnosed diabetes from primary care and secondary care source data: comparison of record linkage with capture-recapture </w:t>
      </w:r>
      <w:r w:rsidRPr="00DE0EA4">
        <w:lastRenderedPageBreak/>
        <w:t>analysis. Journal of epidemiology and community health. 2002;56(1):18-23. PubMed PMID: 11801615; PubMed Central PMCID: PMCPMC1731996.</w:t>
      </w:r>
    </w:p>
    <w:p w14:paraId="0A2F396D" w14:textId="77777777" w:rsidR="00DE0EA4" w:rsidRPr="00DE0EA4" w:rsidRDefault="00DE0EA4" w:rsidP="00DE0EA4">
      <w:pPr>
        <w:pStyle w:val="EndNoteBibliography"/>
        <w:spacing w:after="0"/>
      </w:pPr>
      <w:r w:rsidRPr="00DE0EA4">
        <w:t>9.</w:t>
      </w:r>
      <w:r w:rsidRPr="00DE0EA4">
        <w:tab/>
        <w:t>ONS. England and Wales population by race and sex. 2007.</w:t>
      </w:r>
    </w:p>
    <w:p w14:paraId="270C5139" w14:textId="77777777" w:rsidR="00DE0EA4" w:rsidRPr="00DE0EA4" w:rsidRDefault="00DE0EA4" w:rsidP="00DE0EA4">
      <w:pPr>
        <w:pStyle w:val="EndNoteBibliography"/>
        <w:spacing w:after="0"/>
      </w:pPr>
      <w:r w:rsidRPr="00DE0EA4">
        <w:t>10.</w:t>
      </w:r>
      <w:r w:rsidRPr="00DE0EA4">
        <w:tab/>
        <w:t>Scottish Diabetes Survey Monitoring Group. Scottish Diabetes Survey 2015. 2015.</w:t>
      </w:r>
    </w:p>
    <w:p w14:paraId="1DFEEC5E" w14:textId="77777777" w:rsidR="00DE0EA4" w:rsidRPr="00DE0EA4" w:rsidRDefault="00DE0EA4" w:rsidP="00DE0EA4">
      <w:pPr>
        <w:pStyle w:val="EndNoteBibliography"/>
        <w:spacing w:after="0"/>
      </w:pPr>
      <w:r w:rsidRPr="00DE0EA4">
        <w:t>11.</w:t>
      </w:r>
      <w:r w:rsidRPr="00DE0EA4">
        <w:tab/>
        <w:t>Whybrow P RJ, MacNee K. The Scottish Health Survey- Equality Groups. 2012 October 2012. Report No.</w:t>
      </w:r>
    </w:p>
    <w:p w14:paraId="44F64754" w14:textId="77777777" w:rsidR="00DE0EA4" w:rsidRPr="00DE0EA4" w:rsidRDefault="00DE0EA4" w:rsidP="00DE0EA4">
      <w:pPr>
        <w:pStyle w:val="EndNoteBibliography"/>
      </w:pPr>
      <w:r w:rsidRPr="00DE0EA4">
        <w:t>12.</w:t>
      </w:r>
      <w:r w:rsidRPr="00DE0EA4">
        <w:tab/>
        <w:t>Scottland's Census 2011- standard output [Internet]. 2011 [cited 18th June 2017].</w:t>
      </w:r>
    </w:p>
    <w:p w14:paraId="34925DD9" w14:textId="5DD631EF" w:rsidR="00EC0B47" w:rsidRDefault="00F02DF6" w:rsidP="00056191">
      <w:pPr>
        <w:ind w:left="720"/>
      </w:pPr>
      <w:r>
        <w:fldChar w:fldCharType="end"/>
      </w:r>
    </w:p>
    <w:sectPr w:rsidR="00EC0B4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D91DF" w14:textId="77777777" w:rsidR="00E356AF" w:rsidRDefault="00E356AF" w:rsidP="006E2D01">
      <w:pPr>
        <w:spacing w:after="0" w:line="240" w:lineRule="auto"/>
      </w:pPr>
      <w:r>
        <w:separator/>
      </w:r>
    </w:p>
  </w:endnote>
  <w:endnote w:type="continuationSeparator" w:id="0">
    <w:p w14:paraId="3CB32A20" w14:textId="77777777" w:rsidR="00E356AF" w:rsidRDefault="00E356AF" w:rsidP="006E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166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47E85" w14:textId="6EAAA930" w:rsidR="006E2D01" w:rsidRDefault="006E2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9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B6A335" w14:textId="77777777" w:rsidR="006E2D01" w:rsidRDefault="006E2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C84A" w14:textId="77777777" w:rsidR="00E356AF" w:rsidRDefault="00E356AF" w:rsidP="006E2D01">
      <w:pPr>
        <w:spacing w:after="0" w:line="240" w:lineRule="auto"/>
      </w:pPr>
      <w:r>
        <w:separator/>
      </w:r>
    </w:p>
  </w:footnote>
  <w:footnote w:type="continuationSeparator" w:id="0">
    <w:p w14:paraId="6F03DFD8" w14:textId="77777777" w:rsidR="00E356AF" w:rsidRDefault="00E356AF" w:rsidP="006E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63635"/>
    <w:multiLevelType w:val="hybridMultilevel"/>
    <w:tmpl w:val="415E3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arfpe9bs990aee2s9x90f2pf99sw0r5ds2&quot;&gt;THIN paper PH&lt;record-ids&gt;&lt;item&gt;30&lt;/item&gt;&lt;item&gt;31&lt;/item&gt;&lt;item&gt;32&lt;/item&gt;&lt;item&gt;33&lt;/item&gt;&lt;item&gt;68&lt;/item&gt;&lt;item&gt;69&lt;/item&gt;&lt;item&gt;70&lt;/item&gt;&lt;item&gt;71&lt;/item&gt;&lt;item&gt;72&lt;/item&gt;&lt;item&gt;73&lt;/item&gt;&lt;item&gt;74&lt;/item&gt;&lt;item&gt;75&lt;/item&gt;&lt;/record-ids&gt;&lt;/item&gt;&lt;/Libraries&gt;"/>
  </w:docVars>
  <w:rsids>
    <w:rsidRoot w:val="00B3361B"/>
    <w:rsid w:val="000163E9"/>
    <w:rsid w:val="00056191"/>
    <w:rsid w:val="00095C09"/>
    <w:rsid w:val="000A064F"/>
    <w:rsid w:val="000A46B0"/>
    <w:rsid w:val="000E6B84"/>
    <w:rsid w:val="00130392"/>
    <w:rsid w:val="0016495D"/>
    <w:rsid w:val="00202B33"/>
    <w:rsid w:val="00217AA9"/>
    <w:rsid w:val="00232D44"/>
    <w:rsid w:val="002E77A5"/>
    <w:rsid w:val="002F105F"/>
    <w:rsid w:val="00315198"/>
    <w:rsid w:val="0036429A"/>
    <w:rsid w:val="003E7947"/>
    <w:rsid w:val="00425E02"/>
    <w:rsid w:val="004443EC"/>
    <w:rsid w:val="004D1079"/>
    <w:rsid w:val="004E5394"/>
    <w:rsid w:val="0051230C"/>
    <w:rsid w:val="00521E7D"/>
    <w:rsid w:val="00527D6A"/>
    <w:rsid w:val="005607A5"/>
    <w:rsid w:val="00567A3E"/>
    <w:rsid w:val="00592B28"/>
    <w:rsid w:val="005D12B4"/>
    <w:rsid w:val="005E64F7"/>
    <w:rsid w:val="00650A11"/>
    <w:rsid w:val="00661166"/>
    <w:rsid w:val="0068519F"/>
    <w:rsid w:val="006B302E"/>
    <w:rsid w:val="006B5F8F"/>
    <w:rsid w:val="006E2D01"/>
    <w:rsid w:val="00783E24"/>
    <w:rsid w:val="007901FD"/>
    <w:rsid w:val="007B716D"/>
    <w:rsid w:val="007C3E19"/>
    <w:rsid w:val="007C6A9E"/>
    <w:rsid w:val="007F39A0"/>
    <w:rsid w:val="0080490D"/>
    <w:rsid w:val="0080603E"/>
    <w:rsid w:val="008154FA"/>
    <w:rsid w:val="00830E4F"/>
    <w:rsid w:val="00842D1C"/>
    <w:rsid w:val="00844FC2"/>
    <w:rsid w:val="00881AB7"/>
    <w:rsid w:val="00892934"/>
    <w:rsid w:val="00925095"/>
    <w:rsid w:val="00930C67"/>
    <w:rsid w:val="009531ED"/>
    <w:rsid w:val="009C437D"/>
    <w:rsid w:val="00A1605F"/>
    <w:rsid w:val="00A358B1"/>
    <w:rsid w:val="00A610E2"/>
    <w:rsid w:val="00A815FD"/>
    <w:rsid w:val="00A86626"/>
    <w:rsid w:val="00A953A6"/>
    <w:rsid w:val="00AE4347"/>
    <w:rsid w:val="00B112E7"/>
    <w:rsid w:val="00B3361B"/>
    <w:rsid w:val="00B7522C"/>
    <w:rsid w:val="00B80514"/>
    <w:rsid w:val="00B833A1"/>
    <w:rsid w:val="00BB0CFF"/>
    <w:rsid w:val="00BC3D17"/>
    <w:rsid w:val="00C02957"/>
    <w:rsid w:val="00C04322"/>
    <w:rsid w:val="00C7097B"/>
    <w:rsid w:val="00C92EF5"/>
    <w:rsid w:val="00D01B29"/>
    <w:rsid w:val="00D04CDA"/>
    <w:rsid w:val="00D42DCF"/>
    <w:rsid w:val="00D44432"/>
    <w:rsid w:val="00D47632"/>
    <w:rsid w:val="00D53D17"/>
    <w:rsid w:val="00DB02D8"/>
    <w:rsid w:val="00DC439C"/>
    <w:rsid w:val="00DC528E"/>
    <w:rsid w:val="00DE0EA4"/>
    <w:rsid w:val="00E13B0F"/>
    <w:rsid w:val="00E356AF"/>
    <w:rsid w:val="00E769EE"/>
    <w:rsid w:val="00E86E8F"/>
    <w:rsid w:val="00EC0B47"/>
    <w:rsid w:val="00F02DF6"/>
    <w:rsid w:val="00F07624"/>
    <w:rsid w:val="00F34994"/>
    <w:rsid w:val="00F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45EF"/>
  <w15:chartTrackingRefBased/>
  <w15:docId w15:val="{31569370-6BDB-4329-91E9-79A28B58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12E7"/>
    <w:rPr>
      <w:color w:val="808080"/>
    </w:rPr>
  </w:style>
  <w:style w:type="table" w:styleId="TableGrid">
    <w:name w:val="Table Grid"/>
    <w:basedOn w:val="TableNormal"/>
    <w:uiPriority w:val="39"/>
    <w:rsid w:val="00D0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01"/>
  </w:style>
  <w:style w:type="paragraph" w:styleId="Footer">
    <w:name w:val="footer"/>
    <w:basedOn w:val="Normal"/>
    <w:link w:val="FooterChar"/>
    <w:uiPriority w:val="99"/>
    <w:unhideWhenUsed/>
    <w:rsid w:val="006E2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01"/>
  </w:style>
  <w:style w:type="paragraph" w:styleId="BalloonText">
    <w:name w:val="Balloon Text"/>
    <w:basedOn w:val="Normal"/>
    <w:link w:val="BalloonTextChar"/>
    <w:uiPriority w:val="99"/>
    <w:semiHidden/>
    <w:unhideWhenUsed/>
    <w:rsid w:val="004E5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0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7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07A5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F02D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2D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02DF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2DF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018C-FFA2-4826-AEAA-B2C9BC4E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Peijue Huangfu</dc:creator>
  <cp:keywords/>
  <dc:description/>
  <cp:lastModifiedBy>Peggie Huangfu</cp:lastModifiedBy>
  <cp:revision>2</cp:revision>
  <cp:lastPrinted>2017-06-21T13:36:00Z</cp:lastPrinted>
  <dcterms:created xsi:type="dcterms:W3CDTF">2017-10-01T14:54:00Z</dcterms:created>
  <dcterms:modified xsi:type="dcterms:W3CDTF">2017-10-01T14:54:00Z</dcterms:modified>
</cp:coreProperties>
</file>