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269" w:rsidRPr="00982E4B" w:rsidRDefault="00312046" w:rsidP="00304057">
      <w:pPr>
        <w:pStyle w:val="Title"/>
        <w:spacing w:line="480" w:lineRule="auto"/>
        <w:jc w:val="both"/>
        <w:rPr>
          <w:rFonts w:asciiTheme="minorHAnsi" w:hAnsiTheme="minorHAnsi"/>
          <w:b/>
          <w:sz w:val="32"/>
          <w:szCs w:val="32"/>
        </w:rPr>
      </w:pPr>
      <w:r w:rsidRPr="00312046">
        <w:rPr>
          <w:rFonts w:asciiTheme="minorHAnsi" w:hAnsiTheme="minorHAnsi"/>
          <w:b/>
          <w:bCs/>
          <w:sz w:val="32"/>
          <w:szCs w:val="32"/>
        </w:rPr>
        <w:t>Smoking status at diagnosis and subseque</w:t>
      </w:r>
      <w:r w:rsidR="00C21F64">
        <w:rPr>
          <w:rFonts w:asciiTheme="minorHAnsi" w:hAnsiTheme="minorHAnsi"/>
          <w:b/>
          <w:bCs/>
          <w:sz w:val="32"/>
          <w:szCs w:val="32"/>
        </w:rPr>
        <w:t>nt smoking</w:t>
      </w:r>
      <w:r>
        <w:rPr>
          <w:rFonts w:asciiTheme="minorHAnsi" w:hAnsiTheme="minorHAnsi"/>
          <w:b/>
          <w:bCs/>
          <w:sz w:val="32"/>
          <w:szCs w:val="32"/>
        </w:rPr>
        <w:t xml:space="preserve"> cessation: </w:t>
      </w:r>
      <w:r w:rsidRPr="00312046">
        <w:rPr>
          <w:rFonts w:asciiTheme="minorHAnsi" w:hAnsiTheme="minorHAnsi"/>
          <w:b/>
          <w:bCs/>
          <w:sz w:val="32"/>
          <w:szCs w:val="32"/>
        </w:rPr>
        <w:t>association</w:t>
      </w:r>
      <w:r>
        <w:rPr>
          <w:rFonts w:asciiTheme="minorHAnsi" w:hAnsiTheme="minorHAnsi"/>
          <w:b/>
          <w:bCs/>
          <w:sz w:val="32"/>
          <w:szCs w:val="32"/>
        </w:rPr>
        <w:t>s</w:t>
      </w:r>
      <w:r w:rsidRPr="00312046">
        <w:rPr>
          <w:rFonts w:asciiTheme="minorHAnsi" w:hAnsiTheme="minorHAnsi"/>
          <w:b/>
          <w:bCs/>
          <w:sz w:val="32"/>
          <w:szCs w:val="32"/>
        </w:rPr>
        <w:t xml:space="preserve"> with corticosteroid use and intestinal resection in </w:t>
      </w:r>
      <w:proofErr w:type="spellStart"/>
      <w:r w:rsidRPr="00312046">
        <w:rPr>
          <w:rFonts w:asciiTheme="minorHAnsi" w:hAnsiTheme="minorHAnsi"/>
          <w:b/>
          <w:bCs/>
          <w:sz w:val="32"/>
          <w:szCs w:val="32"/>
        </w:rPr>
        <w:t>Crohn's</w:t>
      </w:r>
      <w:proofErr w:type="spellEnd"/>
      <w:r w:rsidRPr="00312046">
        <w:rPr>
          <w:rFonts w:asciiTheme="minorHAnsi" w:hAnsiTheme="minorHAnsi"/>
          <w:b/>
          <w:bCs/>
          <w:sz w:val="32"/>
          <w:szCs w:val="32"/>
        </w:rPr>
        <w:t xml:space="preserve"> disease</w:t>
      </w:r>
    </w:p>
    <w:p w:rsidR="00FD4518" w:rsidRPr="00264484" w:rsidRDefault="00C40552" w:rsidP="00304057">
      <w:pPr>
        <w:spacing w:line="480" w:lineRule="auto"/>
        <w:jc w:val="both"/>
      </w:pPr>
      <w:r>
        <w:t xml:space="preserve">Dr </w:t>
      </w:r>
      <w:r w:rsidR="00FD4518" w:rsidRPr="00264484">
        <w:t xml:space="preserve">Christopher </w:t>
      </w:r>
      <w:proofErr w:type="spellStart"/>
      <w:r w:rsidR="00FD4518" w:rsidRPr="00264484">
        <w:t>Alexakis</w:t>
      </w:r>
      <w:proofErr w:type="spellEnd"/>
      <w:r>
        <w:t xml:space="preserve"> MBBS BSc MRCP</w:t>
      </w:r>
      <w:r w:rsidR="00FF6C70" w:rsidRPr="00264484">
        <w:t>*</w:t>
      </w:r>
    </w:p>
    <w:p w:rsidR="00FD4518" w:rsidRPr="00264484" w:rsidRDefault="00263AC8" w:rsidP="00304057">
      <w:pPr>
        <w:spacing w:line="480" w:lineRule="auto"/>
        <w:jc w:val="both"/>
      </w:pPr>
      <w:r>
        <w:t>Prof.</w:t>
      </w:r>
      <w:r w:rsidR="00C40552">
        <w:t xml:space="preserve"> </w:t>
      </w:r>
      <w:r w:rsidR="00FD4518" w:rsidRPr="00264484">
        <w:t xml:space="preserve">Sonia </w:t>
      </w:r>
      <w:proofErr w:type="spellStart"/>
      <w:r w:rsidR="00FD4518" w:rsidRPr="00264484">
        <w:t>Saxena</w:t>
      </w:r>
      <w:proofErr w:type="spellEnd"/>
      <w:r w:rsidR="00A561F1">
        <w:t xml:space="preserve"> </w:t>
      </w:r>
      <w:r w:rsidR="00A561F1" w:rsidRPr="00A561F1">
        <w:t>MBBS MSc MD FRCGP</w:t>
      </w:r>
      <w:r w:rsidR="00A561F1">
        <w:t>**</w:t>
      </w:r>
    </w:p>
    <w:p w:rsidR="00FD4518" w:rsidRPr="00264484" w:rsidRDefault="00C40552" w:rsidP="00304057">
      <w:pPr>
        <w:spacing w:line="480" w:lineRule="auto"/>
        <w:jc w:val="both"/>
      </w:pPr>
      <w:r>
        <w:t xml:space="preserve">Dr </w:t>
      </w:r>
      <w:proofErr w:type="spellStart"/>
      <w:r w:rsidR="00FD4518" w:rsidRPr="00264484">
        <w:t>Vivek</w:t>
      </w:r>
      <w:proofErr w:type="spellEnd"/>
      <w:r w:rsidR="00FD4518" w:rsidRPr="00264484">
        <w:t xml:space="preserve"> </w:t>
      </w:r>
      <w:proofErr w:type="spellStart"/>
      <w:r w:rsidR="00FD4518" w:rsidRPr="00264484">
        <w:t>Chhaya</w:t>
      </w:r>
      <w:proofErr w:type="spellEnd"/>
      <w:r w:rsidR="002E6627">
        <w:t xml:space="preserve"> MBBS BSc MRCP MD</w:t>
      </w:r>
      <w:r w:rsidR="00FF6C70" w:rsidRPr="00264484">
        <w:t>*</w:t>
      </w:r>
    </w:p>
    <w:p w:rsidR="00FD4518" w:rsidRDefault="00C40552" w:rsidP="00304057">
      <w:pPr>
        <w:spacing w:line="480" w:lineRule="auto"/>
        <w:jc w:val="both"/>
      </w:pPr>
      <w:r>
        <w:t xml:space="preserve">Dr </w:t>
      </w:r>
      <w:r w:rsidR="00FD4518" w:rsidRPr="00264484">
        <w:t>Elizabeth Cecil</w:t>
      </w:r>
      <w:r w:rsidR="008E0887">
        <w:t xml:space="preserve"> MSc PhD**</w:t>
      </w:r>
    </w:p>
    <w:p w:rsidR="006B743F" w:rsidRPr="00264484" w:rsidRDefault="00C40552" w:rsidP="00304057">
      <w:pPr>
        <w:spacing w:line="480" w:lineRule="auto"/>
        <w:jc w:val="both"/>
      </w:pPr>
      <w:r>
        <w:t xml:space="preserve">Prof. </w:t>
      </w:r>
      <w:proofErr w:type="spellStart"/>
      <w:r w:rsidR="00AE474C">
        <w:t>Azeem</w:t>
      </w:r>
      <w:proofErr w:type="spellEnd"/>
      <w:r w:rsidR="00AE474C">
        <w:t xml:space="preserve"> </w:t>
      </w:r>
      <w:proofErr w:type="spellStart"/>
      <w:r w:rsidR="00AE474C">
        <w:t>Majeed</w:t>
      </w:r>
      <w:proofErr w:type="spellEnd"/>
      <w:r w:rsidR="00AE474C">
        <w:t xml:space="preserve"> </w:t>
      </w:r>
      <w:r w:rsidR="00AE474C" w:rsidRPr="00AE474C">
        <w:t>MD FRCP FRCGP FFPH</w:t>
      </w:r>
      <w:r w:rsidR="00AE474C">
        <w:t>**</w:t>
      </w:r>
    </w:p>
    <w:p w:rsidR="00FD4518" w:rsidRPr="00264484" w:rsidRDefault="00C40552" w:rsidP="00304057">
      <w:pPr>
        <w:spacing w:line="480" w:lineRule="auto"/>
        <w:jc w:val="both"/>
      </w:pPr>
      <w:r>
        <w:t xml:space="preserve">Dr </w:t>
      </w:r>
      <w:r w:rsidR="00FD4518" w:rsidRPr="00264484">
        <w:t>Richard Pollok</w:t>
      </w:r>
      <w:r w:rsidR="002E6627">
        <w:t xml:space="preserve"> </w:t>
      </w:r>
      <w:r w:rsidR="002E6627" w:rsidRPr="002E6627">
        <w:t>FRCP PhD BSc DTM&amp;H</w:t>
      </w:r>
      <w:r w:rsidR="002E6627">
        <w:t>*</w:t>
      </w:r>
    </w:p>
    <w:p w:rsidR="00FF6C70" w:rsidRPr="00264484" w:rsidRDefault="00FF6C70" w:rsidP="00304057">
      <w:pPr>
        <w:spacing w:line="480" w:lineRule="auto"/>
        <w:jc w:val="both"/>
        <w:rPr>
          <w:b/>
        </w:rPr>
      </w:pPr>
      <w:r w:rsidRPr="00264484">
        <w:rPr>
          <w:b/>
          <w:bCs/>
        </w:rPr>
        <w:t>Affiliations:</w:t>
      </w:r>
    </w:p>
    <w:p w:rsidR="00FF6C70" w:rsidRPr="00264484" w:rsidRDefault="006F10D7" w:rsidP="00304057">
      <w:pPr>
        <w:spacing w:line="480" w:lineRule="auto"/>
        <w:jc w:val="both"/>
      </w:pPr>
      <w:r>
        <w:t>*Department of Gastroenterology</w:t>
      </w:r>
      <w:r w:rsidR="00FE7A8E">
        <w:t>,</w:t>
      </w:r>
      <w:r w:rsidRPr="006F10D7">
        <w:t xml:space="preserve"> </w:t>
      </w:r>
      <w:r w:rsidR="00FF6C70" w:rsidRPr="00264484">
        <w:t>St George's</w:t>
      </w:r>
      <w:r w:rsidR="00C40552">
        <w:t xml:space="preserve"> University</w:t>
      </w:r>
      <w:r w:rsidR="00FF6C70" w:rsidRPr="00264484">
        <w:t xml:space="preserve"> Hospital</w:t>
      </w:r>
      <w:r w:rsidR="00C40552">
        <w:t>s</w:t>
      </w:r>
      <w:r w:rsidR="00FF6C70" w:rsidRPr="00264484">
        <w:t xml:space="preserve"> NHS </w:t>
      </w:r>
      <w:r w:rsidR="00C40552">
        <w:t xml:space="preserve">Foundation </w:t>
      </w:r>
      <w:r w:rsidR="00FF6C70" w:rsidRPr="00264484">
        <w:t>Trust, London, SW17 0QT</w:t>
      </w:r>
      <w:r w:rsidR="00FE7A8E">
        <w:t xml:space="preserve">, UK </w:t>
      </w:r>
      <w:r w:rsidR="00FE7A8E" w:rsidRPr="00FE7A8E">
        <w:rPr>
          <w:i/>
        </w:rPr>
        <w:t>and</w:t>
      </w:r>
      <w:r w:rsidR="00FE7A8E" w:rsidRPr="00FE7A8E">
        <w:t xml:space="preserve"> </w:t>
      </w:r>
      <w:r w:rsidR="00FE7A8E">
        <w:t>Institute of Infection &amp; Immunity, St George’s University of London, Cranmer Terrace, London SW17, UK</w:t>
      </w:r>
    </w:p>
    <w:p w:rsidR="00FF6C70" w:rsidRPr="00264484" w:rsidRDefault="00FF6C70" w:rsidP="00304057">
      <w:pPr>
        <w:spacing w:line="480" w:lineRule="auto"/>
        <w:jc w:val="both"/>
      </w:pPr>
      <w:r w:rsidRPr="00264484">
        <w:t xml:space="preserve">**Department of </w:t>
      </w:r>
      <w:r w:rsidR="00263AC8">
        <w:t>Primary Care and Public Health</w:t>
      </w:r>
      <w:r w:rsidRPr="00264484">
        <w:t>, Imperial College London, London W6 8RF</w:t>
      </w:r>
      <w:r w:rsidR="00FE7A8E">
        <w:t>, UK</w:t>
      </w:r>
    </w:p>
    <w:p w:rsidR="00FF6C70" w:rsidRPr="00264484" w:rsidRDefault="00FF6C70" w:rsidP="00304057">
      <w:pPr>
        <w:spacing w:line="480" w:lineRule="auto"/>
        <w:jc w:val="both"/>
        <w:rPr>
          <w:b/>
        </w:rPr>
      </w:pPr>
      <w:r w:rsidRPr="00264484">
        <w:rPr>
          <w:b/>
        </w:rPr>
        <w:t xml:space="preserve">Corresponding author: </w:t>
      </w:r>
    </w:p>
    <w:p w:rsidR="00FF6C70" w:rsidRPr="00264484" w:rsidRDefault="00646665" w:rsidP="00304057">
      <w:pPr>
        <w:spacing w:line="480" w:lineRule="auto"/>
        <w:jc w:val="both"/>
      </w:pPr>
      <w:r>
        <w:t xml:space="preserve">Dr Richard Pollok </w:t>
      </w:r>
      <w:r w:rsidR="00B85420">
        <w:t>- Reader and Consultant Gastroenterologist</w:t>
      </w:r>
    </w:p>
    <w:p w:rsidR="00FF6C70" w:rsidRPr="00264484" w:rsidRDefault="00FF6C70" w:rsidP="00304057">
      <w:pPr>
        <w:spacing w:line="480" w:lineRule="auto"/>
        <w:jc w:val="both"/>
      </w:pPr>
      <w:r w:rsidRPr="00264484">
        <w:t>Department of Gastroenterology, St George's</w:t>
      </w:r>
      <w:r w:rsidR="00646665">
        <w:t xml:space="preserve"> University</w:t>
      </w:r>
      <w:r w:rsidRPr="00264484">
        <w:t xml:space="preserve"> Hospital</w:t>
      </w:r>
      <w:r w:rsidR="00646665">
        <w:t>s</w:t>
      </w:r>
      <w:r w:rsidRPr="00264484">
        <w:t xml:space="preserve"> NHS </w:t>
      </w:r>
      <w:r w:rsidR="00646665">
        <w:t xml:space="preserve">Foundation </w:t>
      </w:r>
      <w:r w:rsidRPr="00264484">
        <w:t xml:space="preserve">Trust, London, SW17 0QT. </w:t>
      </w:r>
    </w:p>
    <w:p w:rsidR="00FF6C70" w:rsidRDefault="00FF6C70" w:rsidP="00304057">
      <w:pPr>
        <w:spacing w:line="480" w:lineRule="auto"/>
        <w:jc w:val="both"/>
      </w:pPr>
      <w:r w:rsidRPr="00264484">
        <w:t>Te</w:t>
      </w:r>
      <w:r w:rsidR="00FE7A8E">
        <w:t>lephone: 0208 7251206, e-</w:t>
      </w:r>
      <w:r w:rsidR="00646665">
        <w:t>mail: richard.pollok@nhs.net</w:t>
      </w:r>
    </w:p>
    <w:p w:rsidR="00662DEA" w:rsidRPr="00662DEA" w:rsidRDefault="00662DEA" w:rsidP="00304057">
      <w:pPr>
        <w:spacing w:line="480" w:lineRule="auto"/>
        <w:jc w:val="both"/>
        <w:rPr>
          <w:b/>
        </w:rPr>
      </w:pPr>
      <w:r w:rsidRPr="00662DEA">
        <w:rPr>
          <w:b/>
        </w:rPr>
        <w:lastRenderedPageBreak/>
        <w:t>Running title:</w:t>
      </w:r>
    </w:p>
    <w:p w:rsidR="00662DEA" w:rsidRDefault="00662DEA" w:rsidP="00304057">
      <w:pPr>
        <w:spacing w:line="480" w:lineRule="auto"/>
        <w:jc w:val="both"/>
      </w:pPr>
      <w:r>
        <w:t xml:space="preserve">Smoking and outcomes in </w:t>
      </w:r>
      <w:proofErr w:type="spellStart"/>
      <w:r>
        <w:t>Crohn's</w:t>
      </w:r>
      <w:proofErr w:type="spellEnd"/>
      <w:r>
        <w:t xml:space="preserve"> disease</w:t>
      </w:r>
    </w:p>
    <w:p w:rsidR="000B21E9" w:rsidRDefault="000B21E9" w:rsidP="00304057">
      <w:pPr>
        <w:spacing w:line="480" w:lineRule="auto"/>
        <w:jc w:val="both"/>
      </w:pPr>
      <w:r w:rsidRPr="000B21E9">
        <w:rPr>
          <w:b/>
        </w:rPr>
        <w:t>Word count</w:t>
      </w:r>
      <w:r>
        <w:t>: 4373</w:t>
      </w:r>
    </w:p>
    <w:p w:rsidR="00662DEA" w:rsidRDefault="00662DEA" w:rsidP="00304057">
      <w:pPr>
        <w:spacing w:line="480" w:lineRule="auto"/>
        <w:jc w:val="both"/>
        <w:rPr>
          <w:b/>
        </w:rPr>
      </w:pPr>
      <w:r w:rsidRPr="00662DEA">
        <w:rPr>
          <w:b/>
        </w:rPr>
        <w:t>Conflicts of interests/author declarations:</w:t>
      </w:r>
    </w:p>
    <w:p w:rsidR="00D225C6" w:rsidRDefault="00F34BBB" w:rsidP="005536F6">
      <w:pPr>
        <w:spacing w:line="480" w:lineRule="auto"/>
        <w:jc w:val="both"/>
      </w:pPr>
      <w:r>
        <w:t>RP</w:t>
      </w:r>
      <w:r w:rsidRPr="00093C1D">
        <w:t xml:space="preserve"> </w:t>
      </w:r>
      <w:r>
        <w:t xml:space="preserve">is supported by a </w:t>
      </w:r>
      <w:proofErr w:type="spellStart"/>
      <w:r>
        <w:t>Wellcome</w:t>
      </w:r>
      <w:proofErr w:type="spellEnd"/>
      <w:r>
        <w:t xml:space="preserve"> Trust </w:t>
      </w:r>
      <w:r w:rsidRPr="00093C1D">
        <w:t>I</w:t>
      </w:r>
      <w:r>
        <w:t xml:space="preserve">nstitute </w:t>
      </w:r>
      <w:r w:rsidRPr="00093C1D">
        <w:t>S</w:t>
      </w:r>
      <w:r>
        <w:t>trategic Support Fund (ISSF)</w:t>
      </w:r>
      <w:r w:rsidRPr="00093C1D">
        <w:t xml:space="preserve"> 2017</w:t>
      </w:r>
      <w:r>
        <w:t xml:space="preserve"> grant. </w:t>
      </w:r>
      <w:r w:rsidR="00C8614E" w:rsidRPr="00C8614E">
        <w:rPr>
          <w:bCs/>
        </w:rPr>
        <w:t>Imperial College London is grateful for support from the NW London NIHR Collaboration for Leadership in Applied Health Research &amp; Care</w:t>
      </w:r>
      <w:r w:rsidRPr="00F34BBB">
        <w:rPr>
          <w:rFonts w:ascii="interfaceregular" w:eastAsiaTheme="minorEastAsia" w:hAnsi="interfaceregular" w:cs="Arial"/>
          <w:color w:val="333333"/>
          <w:sz w:val="23"/>
          <w:szCs w:val="23"/>
          <w:lang w:eastAsia="en-GB"/>
        </w:rPr>
        <w:t xml:space="preserve"> </w:t>
      </w:r>
      <w:r w:rsidRPr="00F34BBB">
        <w:rPr>
          <w:bCs/>
        </w:rPr>
        <w:t>and the Imperial NIHR Biomedical Research Centre</w:t>
      </w:r>
      <w:r w:rsidR="00C8614E" w:rsidRPr="00C8614E">
        <w:rPr>
          <w:bCs/>
        </w:rPr>
        <w:t>.</w:t>
      </w:r>
      <w:r w:rsidR="00C8614E">
        <w:rPr>
          <w:b/>
          <w:bCs/>
        </w:rPr>
        <w:t xml:space="preserve"> </w:t>
      </w:r>
      <w:r w:rsidR="00622089" w:rsidRPr="00BA11AA">
        <w:t>This article presents independent research commissioned</w:t>
      </w:r>
      <w:r w:rsidR="00622089">
        <w:t xml:space="preserve"> </w:t>
      </w:r>
      <w:r w:rsidR="00622089" w:rsidRPr="00BA11AA">
        <w:t>by the National Institute for Health</w:t>
      </w:r>
      <w:r w:rsidR="00622089">
        <w:t xml:space="preserve"> </w:t>
      </w:r>
      <w:r w:rsidR="00622089" w:rsidRPr="00BA11AA">
        <w:t>Research (NIHR). The views expressed in this publication</w:t>
      </w:r>
      <w:r w:rsidR="00622089">
        <w:t xml:space="preserve"> </w:t>
      </w:r>
      <w:r w:rsidR="00622089" w:rsidRPr="00BA11AA">
        <w:t>are those of the authors and not necessarily</w:t>
      </w:r>
      <w:r w:rsidR="00622089">
        <w:t xml:space="preserve"> </w:t>
      </w:r>
      <w:r w:rsidR="00622089" w:rsidRPr="00BA11AA">
        <w:t>those of the NHS, the NIHR or the Department of</w:t>
      </w:r>
      <w:r w:rsidR="00622089">
        <w:t xml:space="preserve"> </w:t>
      </w:r>
      <w:r w:rsidR="00622089" w:rsidRPr="00BA11AA">
        <w:t>Health. Access to the CPRD database was funded</w:t>
      </w:r>
      <w:r w:rsidR="00622089">
        <w:t xml:space="preserve"> </w:t>
      </w:r>
      <w:r w:rsidR="00622089" w:rsidRPr="00BA11AA">
        <w:t>through the Medical Research Council’s license agreement</w:t>
      </w:r>
      <w:r w:rsidR="00622089">
        <w:t xml:space="preserve"> </w:t>
      </w:r>
      <w:r w:rsidR="00622089" w:rsidRPr="00BA11AA">
        <w:t>with the Medicines and Healthcare products</w:t>
      </w:r>
      <w:r w:rsidR="00622089">
        <w:t xml:space="preserve"> </w:t>
      </w:r>
      <w:r w:rsidR="00622089" w:rsidRPr="00BA11AA">
        <w:t>Regulatory Agency (MHRA). However, the interpretation</w:t>
      </w:r>
      <w:r w:rsidR="00622089">
        <w:t xml:space="preserve"> </w:t>
      </w:r>
      <w:r w:rsidR="00622089" w:rsidRPr="00BA11AA">
        <w:t>and conclusions contained in this study are those</w:t>
      </w:r>
      <w:r w:rsidR="00622089">
        <w:t xml:space="preserve"> </w:t>
      </w:r>
      <w:r w:rsidR="00622089" w:rsidRPr="00BA11AA">
        <w:t>of the authors alone.</w:t>
      </w:r>
      <w:r w:rsidR="0023239F" w:rsidRPr="0023239F">
        <w:t xml:space="preserve"> </w:t>
      </w:r>
      <w:r w:rsidR="00622089">
        <w:t>No conflicts of interest declared by other authors.</w:t>
      </w:r>
      <w:r w:rsidR="00FD4518" w:rsidRPr="00264484">
        <w:br w:type="page"/>
      </w:r>
      <w:r w:rsidR="00D225C6" w:rsidRPr="005536F6">
        <w:rPr>
          <w:rStyle w:val="Heading1Char"/>
          <w:rFonts w:asciiTheme="minorHAnsi" w:hAnsiTheme="minorHAnsi"/>
        </w:rPr>
        <w:lastRenderedPageBreak/>
        <w:t>Abstract</w:t>
      </w:r>
    </w:p>
    <w:p w:rsidR="001969A0" w:rsidRPr="00CE5AFF" w:rsidRDefault="001969A0" w:rsidP="003E37C8">
      <w:pPr>
        <w:spacing w:line="480" w:lineRule="auto"/>
        <w:jc w:val="both"/>
      </w:pPr>
      <w:r w:rsidRPr="001969A0">
        <w:rPr>
          <w:b/>
        </w:rPr>
        <w:t>Back</w:t>
      </w:r>
      <w:r w:rsidR="00EA3F6E">
        <w:rPr>
          <w:b/>
        </w:rPr>
        <w:t>g</w:t>
      </w:r>
      <w:r w:rsidRPr="001969A0">
        <w:rPr>
          <w:b/>
        </w:rPr>
        <w:t>round</w:t>
      </w:r>
      <w:r w:rsidRPr="00CE5AFF">
        <w:rPr>
          <w:b/>
        </w:rPr>
        <w:t xml:space="preserve">: </w:t>
      </w:r>
      <w:r w:rsidR="00CE5AFF" w:rsidRPr="00CE5AFF">
        <w:t xml:space="preserve">The impact of smoking at diagnosis and subsequent smoking cessation on clinical outcomes in </w:t>
      </w:r>
      <w:proofErr w:type="spellStart"/>
      <w:r w:rsidR="00CE5AFF" w:rsidRPr="00CE5AFF">
        <w:t>Crohn's</w:t>
      </w:r>
      <w:proofErr w:type="spellEnd"/>
      <w:r w:rsidR="00CE5AFF" w:rsidRPr="00CE5AFF">
        <w:t xml:space="preserve"> disease (CD)has not been evaluated in a population based cohort.</w:t>
      </w:r>
    </w:p>
    <w:p w:rsidR="001969A0" w:rsidRDefault="001969A0" w:rsidP="003E37C8">
      <w:pPr>
        <w:spacing w:line="480" w:lineRule="auto"/>
        <w:jc w:val="both"/>
      </w:pPr>
      <w:r w:rsidRPr="000A127F">
        <w:rPr>
          <w:b/>
        </w:rPr>
        <w:t>Methods</w:t>
      </w:r>
      <w:r>
        <w:t xml:space="preserve">: </w:t>
      </w:r>
      <w:r w:rsidR="00CE5AFF">
        <w:t>Using a nationally representative clinical research database, we identified incident cases of CD between 2005 and 2014. We compared th</w:t>
      </w:r>
      <w:r w:rsidR="002C23EC">
        <w:t>e following outcomes: overall corticosteroid (CS)</w:t>
      </w:r>
      <w:r w:rsidR="00CE5AFF">
        <w:t xml:space="preserve"> use; flares requiring CS;  CS-dependency and intestinal surgery between smokers and non-smokers at time of CD diagnosis</w:t>
      </w:r>
      <w:r w:rsidR="00CE5AFF" w:rsidRPr="00CE5AFF">
        <w:t>. Differences in these outcomes were also compared between persistent smokers and smokers who quit within 2 years of  diagnosis.</w:t>
      </w:r>
    </w:p>
    <w:p w:rsidR="003E37C8" w:rsidRPr="00E14E58" w:rsidRDefault="000A127F" w:rsidP="003E37C8">
      <w:pPr>
        <w:spacing w:line="480" w:lineRule="auto"/>
        <w:jc w:val="both"/>
        <w:rPr>
          <w:u w:val="single"/>
        </w:rPr>
      </w:pPr>
      <w:r w:rsidRPr="003E37C8">
        <w:rPr>
          <w:b/>
        </w:rPr>
        <w:t>Results:</w:t>
      </w:r>
      <w:r>
        <w:t xml:space="preserve"> We </w:t>
      </w:r>
      <w:r w:rsidR="003E37C8">
        <w:t>identified 3553 patients with a</w:t>
      </w:r>
      <w:r>
        <w:t xml:space="preserve"> new </w:t>
      </w:r>
      <w:r w:rsidR="00AD3827">
        <w:t xml:space="preserve">CD diagnosis </w:t>
      </w:r>
      <w:r>
        <w:t>over the study peri</w:t>
      </w:r>
      <w:r w:rsidR="002D0B5D">
        <w:t>od of whom</w:t>
      </w:r>
      <w:r>
        <w:t xml:space="preserve"> 1121</w:t>
      </w:r>
      <w:r w:rsidR="00AD3827">
        <w:t xml:space="preserve"> (32%) were smokers</w:t>
      </w:r>
      <w:r>
        <w:t>. Smokers</w:t>
      </w:r>
      <w:r w:rsidR="00A723D7">
        <w:t xml:space="preserve"> at </w:t>
      </w:r>
      <w:r w:rsidR="0068725A">
        <w:t xml:space="preserve">CD </w:t>
      </w:r>
      <w:r w:rsidR="00A723D7">
        <w:t>diagnosis</w:t>
      </w:r>
      <w:r>
        <w:t xml:space="preserve"> had significantly </w:t>
      </w:r>
      <w:r w:rsidR="00AF631B">
        <w:t>higher CS-</w:t>
      </w:r>
      <w:r w:rsidR="003E37C8">
        <w:t>use</w:t>
      </w:r>
      <w:r>
        <w:t xml:space="preserve"> (56% vs</w:t>
      </w:r>
      <w:r w:rsidR="00AF631B">
        <w:t>.</w:t>
      </w:r>
      <w:r>
        <w:t xml:space="preserve"> 47%</w:t>
      </w:r>
      <w:r w:rsidR="00AD3827">
        <w:t>, p&lt;0.0001</w:t>
      </w:r>
      <w:r>
        <w:t>),</w:t>
      </w:r>
      <w:r w:rsidR="003E37C8">
        <w:t xml:space="preserve"> proportionally</w:t>
      </w:r>
      <w:r>
        <w:t xml:space="preserve"> </w:t>
      </w:r>
      <w:r w:rsidR="003E37C8">
        <w:t>more CS-flares</w:t>
      </w:r>
      <w:r w:rsidR="00AD3827">
        <w:t xml:space="preserve"> (&gt;1 CS flare/yr</w:t>
      </w:r>
      <w:r w:rsidR="00AF631B">
        <w:t xml:space="preserve">: </w:t>
      </w:r>
      <w:r w:rsidR="00AD3827">
        <w:t xml:space="preserve"> 9% </w:t>
      </w:r>
      <w:proofErr w:type="spellStart"/>
      <w:r w:rsidR="00AD3827">
        <w:t>vs</w:t>
      </w:r>
      <w:proofErr w:type="spellEnd"/>
      <w:r w:rsidR="00AD3827">
        <w:t xml:space="preserve"> 6%, p&lt;0.0001)</w:t>
      </w:r>
      <w:r w:rsidR="00AF631B">
        <w:t>, and higher CS-</w:t>
      </w:r>
      <w:r w:rsidR="003E37C8">
        <w:t>dependency (27% vs</w:t>
      </w:r>
      <w:r w:rsidR="00AF631B">
        <w:t>.</w:t>
      </w:r>
      <w:r w:rsidR="003E37C8">
        <w:t xml:space="preserve"> 21%</w:t>
      </w:r>
      <w:r w:rsidR="00AD3827">
        <w:t>, p&lt;0.0001)</w:t>
      </w:r>
      <w:r w:rsidR="0068725A">
        <w:t xml:space="preserve"> than non-smokers</w:t>
      </w:r>
      <w:r w:rsidR="00AF631B">
        <w:t xml:space="preserve">. </w:t>
      </w:r>
      <w:r w:rsidR="003E37C8">
        <w:t>Reg</w:t>
      </w:r>
      <w:r w:rsidR="00C5576C">
        <w:t>ression analysis identified</w:t>
      </w:r>
      <w:r w:rsidR="00213D12">
        <w:t xml:space="preserve"> smoking</w:t>
      </w:r>
      <w:r w:rsidR="00E14E58">
        <w:t xml:space="preserve"> at diagnosis</w:t>
      </w:r>
      <w:r w:rsidR="00AF631B">
        <w:t xml:space="preserve"> to be</w:t>
      </w:r>
      <w:r w:rsidR="003E37C8">
        <w:t xml:space="preserve"> asso</w:t>
      </w:r>
      <w:r w:rsidR="00AF631B">
        <w:t xml:space="preserve">ciated with a higher risk of </w:t>
      </w:r>
      <w:r w:rsidR="00A723D7">
        <w:t xml:space="preserve">intestinal </w:t>
      </w:r>
      <w:r w:rsidR="003E37C8">
        <w:t>surgery (HR 1.64, 95%CI 1.16-2.52).</w:t>
      </w:r>
      <w:r w:rsidR="00E14E58" w:rsidRPr="00AB2AA5">
        <w:t xml:space="preserve"> </w:t>
      </w:r>
      <w:r w:rsidR="00E02197" w:rsidRPr="00AB2AA5">
        <w:t>There was a significantly higher proportion of 'quitters' who remained</w:t>
      </w:r>
      <w:r w:rsidR="00E02197" w:rsidRPr="00AB2AA5">
        <w:rPr>
          <w:bCs/>
        </w:rPr>
        <w:t xml:space="preserve"> steroid-free through follow-up in comparison to 'persistent smokers' (45.4% vs. 37.5% respectively, p=0.02). 'Quitters'</w:t>
      </w:r>
      <w:r w:rsidR="00E14E58" w:rsidRPr="00AB2AA5">
        <w:t xml:space="preserve"> </w:t>
      </w:r>
      <w:r w:rsidR="00E02197" w:rsidRPr="00AB2AA5">
        <w:t>also</w:t>
      </w:r>
      <w:r w:rsidR="00E14E58" w:rsidRPr="00AB2AA5">
        <w:t xml:space="preserve"> </w:t>
      </w:r>
      <w:r w:rsidR="00E02197" w:rsidRPr="00AB2AA5">
        <w:t xml:space="preserve">had </w:t>
      </w:r>
      <w:r w:rsidR="00E14E58" w:rsidRPr="00AB2AA5">
        <w:t>lower</w:t>
      </w:r>
      <w:r w:rsidR="00E02197" w:rsidRPr="00AB2AA5">
        <w:t xml:space="preserve"> rates of</w:t>
      </w:r>
      <w:r w:rsidR="00E14E58" w:rsidRPr="00AB2AA5">
        <w:t xml:space="preserve"> CS-d</w:t>
      </w:r>
      <w:r w:rsidR="00E02197" w:rsidRPr="00AB2AA5">
        <w:t xml:space="preserve">ependency </w:t>
      </w:r>
      <w:r w:rsidR="00E14E58" w:rsidRPr="00AB2AA5">
        <w:t>compared to 'persistent smokers'</w:t>
      </w:r>
      <w:r w:rsidR="00E02197" w:rsidRPr="00AB2AA5">
        <w:t xml:space="preserve"> (24% </w:t>
      </w:r>
      <w:proofErr w:type="spellStart"/>
      <w:r w:rsidR="00E02197" w:rsidRPr="00AB2AA5">
        <w:t>vs</w:t>
      </w:r>
      <w:proofErr w:type="spellEnd"/>
      <w:r w:rsidR="00E02197" w:rsidRPr="00AB2AA5">
        <w:t xml:space="preserve"> 33%, p=0.008)</w:t>
      </w:r>
      <w:r w:rsidR="00E14E58" w:rsidRPr="00AB2AA5">
        <w:t>.</w:t>
      </w:r>
    </w:p>
    <w:p w:rsidR="005536F6" w:rsidRDefault="003E37C8" w:rsidP="003E37C8">
      <w:pPr>
        <w:spacing w:line="480" w:lineRule="auto"/>
        <w:jc w:val="both"/>
      </w:pPr>
      <w:r w:rsidRPr="003E37C8">
        <w:rPr>
          <w:b/>
        </w:rPr>
        <w:t>Conclusions:</w:t>
      </w:r>
      <w:r>
        <w:t xml:space="preserve"> </w:t>
      </w:r>
      <w:r w:rsidR="0068725A" w:rsidRPr="0068725A">
        <w:t xml:space="preserve">Smokers at CD diagnosis have higher CS-use, CS-dependency and higher risk of intestinal surgery. </w:t>
      </w:r>
      <w:r w:rsidR="00E02197">
        <w:t>Quitting smoking</w:t>
      </w:r>
      <w:r w:rsidR="0068725A" w:rsidRPr="0068725A">
        <w:t xml:space="preserve"> appears to have beneficial effects on disease related outcomes including reducing CS-dependency highlighting the importance of offering early  smoking cessation support.</w:t>
      </w:r>
    </w:p>
    <w:p w:rsidR="005536F6" w:rsidRDefault="005536F6">
      <w:r>
        <w:br w:type="page"/>
      </w:r>
    </w:p>
    <w:p w:rsidR="000A127F" w:rsidRDefault="005536F6" w:rsidP="005536F6">
      <w:pPr>
        <w:pStyle w:val="Heading1"/>
        <w:spacing w:line="480" w:lineRule="auto"/>
        <w:rPr>
          <w:rFonts w:asciiTheme="minorHAnsi" w:hAnsiTheme="minorHAnsi"/>
        </w:rPr>
      </w:pPr>
      <w:r w:rsidRPr="005536F6">
        <w:rPr>
          <w:rFonts w:asciiTheme="minorHAnsi" w:hAnsiTheme="minorHAnsi"/>
        </w:rPr>
        <w:lastRenderedPageBreak/>
        <w:t>Study highlights</w:t>
      </w:r>
    </w:p>
    <w:p w:rsidR="005536F6" w:rsidRDefault="005536F6" w:rsidP="005536F6">
      <w:pPr>
        <w:spacing w:line="480" w:lineRule="auto"/>
      </w:pPr>
      <w:r>
        <w:t>1) What is current knowledge:</w:t>
      </w:r>
    </w:p>
    <w:p w:rsidR="00E251F1" w:rsidRDefault="005536F6" w:rsidP="005536F6">
      <w:pPr>
        <w:pStyle w:val="ListParagraph"/>
        <w:numPr>
          <w:ilvl w:val="0"/>
          <w:numId w:val="1"/>
        </w:numPr>
        <w:spacing w:line="480" w:lineRule="auto"/>
      </w:pPr>
      <w:r>
        <w:t>smoking is common amongst patients with</w:t>
      </w:r>
      <w:r w:rsidR="00E251F1">
        <w:t xml:space="preserve"> </w:t>
      </w:r>
      <w:proofErr w:type="spellStart"/>
      <w:r w:rsidR="00E251F1">
        <w:t>Crohn's</w:t>
      </w:r>
      <w:proofErr w:type="spellEnd"/>
      <w:r w:rsidR="00E251F1">
        <w:t xml:space="preserve"> disease</w:t>
      </w:r>
      <w:r w:rsidR="00C35839">
        <w:t xml:space="preserve"> (CD)</w:t>
      </w:r>
    </w:p>
    <w:p w:rsidR="00E251F1" w:rsidRDefault="00E251F1" w:rsidP="005536F6">
      <w:pPr>
        <w:pStyle w:val="ListParagraph"/>
        <w:numPr>
          <w:ilvl w:val="0"/>
          <w:numId w:val="1"/>
        </w:numPr>
        <w:spacing w:line="480" w:lineRule="auto"/>
      </w:pPr>
      <w:r>
        <w:t xml:space="preserve">smoking may worsen outcomes in </w:t>
      </w:r>
      <w:r w:rsidR="00C35839">
        <w:t>CD</w:t>
      </w:r>
      <w:r>
        <w:t xml:space="preserve"> but the exact association remains unclear, and much of the available data comes from secondary and tertiary care centres</w:t>
      </w:r>
    </w:p>
    <w:p w:rsidR="00C35839" w:rsidRPr="000079A0" w:rsidRDefault="00C35839" w:rsidP="005536F6">
      <w:pPr>
        <w:pStyle w:val="ListParagraph"/>
        <w:numPr>
          <w:ilvl w:val="0"/>
          <w:numId w:val="1"/>
        </w:numPr>
        <w:spacing w:line="480" w:lineRule="auto"/>
      </w:pPr>
      <w:r w:rsidRPr="000079A0">
        <w:t>there is only limited data on the impact of smoking cessation in outcomes in CD</w:t>
      </w:r>
    </w:p>
    <w:p w:rsidR="00E251F1" w:rsidRDefault="00E251F1" w:rsidP="00E251F1">
      <w:pPr>
        <w:pStyle w:val="ListParagraph"/>
        <w:spacing w:line="480" w:lineRule="auto"/>
        <w:ind w:left="0"/>
      </w:pPr>
      <w:r>
        <w:t>2) What is new here:</w:t>
      </w:r>
    </w:p>
    <w:p w:rsidR="00E251F1" w:rsidRDefault="00E251F1" w:rsidP="00E251F1">
      <w:pPr>
        <w:pStyle w:val="ListParagraph"/>
        <w:numPr>
          <w:ilvl w:val="0"/>
          <w:numId w:val="2"/>
        </w:numPr>
        <w:spacing w:line="480" w:lineRule="auto"/>
      </w:pPr>
      <w:r>
        <w:t xml:space="preserve">patients with </w:t>
      </w:r>
      <w:r w:rsidR="00C35839">
        <w:t>CD</w:t>
      </w:r>
      <w:r>
        <w:t xml:space="preserve"> who are smokers at the time of diagnosis have higher overall </w:t>
      </w:r>
      <w:r w:rsidR="00982E4B">
        <w:t>cortico</w:t>
      </w:r>
      <w:r>
        <w:t>steroid</w:t>
      </w:r>
      <w:r w:rsidR="00982E4B">
        <w:t xml:space="preserve"> (CS)</w:t>
      </w:r>
      <w:r>
        <w:t xml:space="preserve"> use compared to non-smokers</w:t>
      </w:r>
    </w:p>
    <w:p w:rsidR="005536F6" w:rsidRDefault="00982E4B" w:rsidP="00E251F1">
      <w:pPr>
        <w:pStyle w:val="ListParagraph"/>
        <w:numPr>
          <w:ilvl w:val="0"/>
          <w:numId w:val="2"/>
        </w:numPr>
        <w:spacing w:line="480" w:lineRule="auto"/>
      </w:pPr>
      <w:r>
        <w:t>CS</w:t>
      </w:r>
      <w:r w:rsidR="00E251F1">
        <w:t xml:space="preserve"> dependency, as defined by international guidelines, is more frequent  amongst </w:t>
      </w:r>
      <w:r w:rsidR="00C35839">
        <w:t>CD</w:t>
      </w:r>
      <w:r w:rsidR="00E251F1">
        <w:t xml:space="preserve"> patients  who smoke</w:t>
      </w:r>
      <w:r w:rsidR="00301910">
        <w:t xml:space="preserve"> at diagnosis</w:t>
      </w:r>
    </w:p>
    <w:p w:rsidR="00E251F1" w:rsidRDefault="00E251F1" w:rsidP="00E251F1">
      <w:pPr>
        <w:pStyle w:val="ListParagraph"/>
        <w:numPr>
          <w:ilvl w:val="0"/>
          <w:numId w:val="2"/>
        </w:numPr>
        <w:spacing w:line="480" w:lineRule="auto"/>
      </w:pPr>
      <w:r>
        <w:t xml:space="preserve">patients with </w:t>
      </w:r>
      <w:r w:rsidR="00C35839">
        <w:t>CD</w:t>
      </w:r>
      <w:r>
        <w:t xml:space="preserve"> who smoke at diagnosis are two thirds more likely to undergo intestinal surgery</w:t>
      </w:r>
    </w:p>
    <w:p w:rsidR="00C35839" w:rsidRPr="000079A0" w:rsidRDefault="00C35839" w:rsidP="00E251F1">
      <w:pPr>
        <w:pStyle w:val="ListParagraph"/>
        <w:numPr>
          <w:ilvl w:val="0"/>
          <w:numId w:val="2"/>
        </w:numPr>
        <w:spacing w:line="480" w:lineRule="auto"/>
      </w:pPr>
      <w:r w:rsidRPr="000079A0">
        <w:t xml:space="preserve">patients with CD who stop smoking within the first two years of diagnosis have lower rates of </w:t>
      </w:r>
      <w:r w:rsidR="00982E4B" w:rsidRPr="000079A0">
        <w:t>CS dependency</w:t>
      </w:r>
      <w:r w:rsidR="00DD1F7B">
        <w:t xml:space="preserve"> and are more likely to be steroid-free</w:t>
      </w:r>
    </w:p>
    <w:p w:rsidR="00D225C6" w:rsidRPr="00D225C6" w:rsidRDefault="00D225C6" w:rsidP="00304057">
      <w:pPr>
        <w:spacing w:line="480" w:lineRule="auto"/>
        <w:jc w:val="both"/>
      </w:pPr>
      <w:r>
        <w:br w:type="page"/>
      </w:r>
    </w:p>
    <w:p w:rsidR="00FD4518" w:rsidRPr="00264484" w:rsidRDefault="00A14DE4" w:rsidP="00304057">
      <w:pPr>
        <w:pStyle w:val="Heading1"/>
        <w:spacing w:line="480" w:lineRule="auto"/>
        <w:jc w:val="both"/>
        <w:rPr>
          <w:rFonts w:asciiTheme="minorHAnsi" w:hAnsiTheme="minorHAnsi"/>
        </w:rPr>
      </w:pPr>
      <w:r w:rsidRPr="00264484">
        <w:rPr>
          <w:rFonts w:asciiTheme="minorHAnsi" w:hAnsiTheme="minorHAnsi"/>
        </w:rPr>
        <w:lastRenderedPageBreak/>
        <w:t>Introduction</w:t>
      </w:r>
    </w:p>
    <w:p w:rsidR="00F1005B" w:rsidRDefault="009F5C13" w:rsidP="00304057">
      <w:pPr>
        <w:spacing w:line="480" w:lineRule="auto"/>
        <w:jc w:val="both"/>
      </w:pPr>
      <w:r>
        <w:t>Smoking is a key modifiable environmental risk factor implicated in the</w:t>
      </w:r>
      <w:r w:rsidRPr="00264484">
        <w:t xml:space="preserve"> onset of </w:t>
      </w:r>
      <w:proofErr w:type="spellStart"/>
      <w:r>
        <w:t>Crohn's</w:t>
      </w:r>
      <w:proofErr w:type="spellEnd"/>
      <w:r>
        <w:t xml:space="preserve"> disease (</w:t>
      </w:r>
      <w:r w:rsidRPr="00264484">
        <w:t>CD</w:t>
      </w:r>
      <w:r>
        <w:t>)</w:t>
      </w:r>
      <w:r w:rsidRPr="00264484">
        <w:t>.</w:t>
      </w:r>
      <w:r w:rsidR="00AE13D9" w:rsidRPr="00264484">
        <w:fldChar w:fldCharType="begin" w:fldLock="1"/>
      </w:r>
      <w:r>
        <w:instrText>ADDIN CSL_CITATION { "citationItems" : [ { "id" : "ITEM-1", "itemData" : { "DOI" : "10.1016/j.crohns.2014.02.002", "ISBN" : "1876-4479 (Electronic)\\r1873-9946 (Linking)", "ISSN" : "18764479", "PMID" : "24636140", "abstract" : "The chronic intestinal inflammation that characterises Crohn's disease and ulcerative colitis arises from a complex interplay between host genotype, the immune system, and the intestinal microbiota. In addition, environmental factors such as smoking impact on disease onset and progression. Individuals who smoke are more likely to develop Crohn's disease, and smoking is associated with recurrence after surgery and a poor response to medical therapy. Conversely, smoking appears protective against ulcerative colitis and smokers are less likely to require colectomy. The mechanism by which smoking exerts its impact on disease and the rational for the dichotomous effect in patients with Crohn's disease and ulcerative colitis is not clear. Recent evidence suggests that smoking induces alterations to both the innate and acquired immune system. In addition, smoking is associated with a distinct alteration in the intestinal microbiota both in patients with active Crohn's disease and healthy subjects. ?? 2014.", "author" : [ { "dropping-particle" : "", "family" : "Parkes", "given" : "Gareth C.", "non-dropping-particle" : "", "parse-names" : false, "suffix" : "" }, { "dropping-particle" : "", "family" : "Whelan", "given" : "Kevin", "non-dropping-particle" : "", "parse-names" : false, "suffix" : "" }, { "dropping-particle" : "", "family" : "Lindsay", "given" : "James O.", "non-dropping-particle" : "", "parse-names" : false, "suffix" : "" } ], "container-title" : "Journal of Crohn's and Colitis", "id" : "ITEM-1", "issue" : "8", "issued" : { "date-parts" : [ [ "2014" ] ] }, "page" : "717-725", "publisher" : "Elsevier B.V.", "title" : "Smoking in inflammatory bowel disease: Impact on disease course and insights into the aetiology of its effect", "type" : "article-journal", "volume" : "8" }, "uris" : [ "http://www.mendeley.com/documents/?uuid=42baf266-a6f8-4da9-a12d-45688cd79c11" ] } ], "mendeley" : { "formattedCitation" : "&lt;sup&gt;1&lt;/sup&gt;", "plainTextFormattedCitation" : "1", "previouslyFormattedCitation" : "&lt;sup&gt;1&lt;/sup&gt;" }, "properties" : { "noteIndex" : 0 }, "schema" : "https://github.com/citation-style-language/schema/raw/master/csl-citation.json" }</w:instrText>
      </w:r>
      <w:r w:rsidR="00AE13D9" w:rsidRPr="00264484">
        <w:fldChar w:fldCharType="separate"/>
      </w:r>
      <w:r w:rsidRPr="009F5C13">
        <w:rPr>
          <w:noProof/>
          <w:vertAlign w:val="superscript"/>
        </w:rPr>
        <w:t>1</w:t>
      </w:r>
      <w:r w:rsidR="00AE13D9" w:rsidRPr="00264484">
        <w:fldChar w:fldCharType="end"/>
      </w:r>
      <w:r w:rsidR="00996A90">
        <w:t xml:space="preserve"> </w:t>
      </w:r>
      <w:r>
        <w:t>Despite recent global reductions, approximately</w:t>
      </w:r>
      <w:r w:rsidR="00C5576C">
        <w:t xml:space="preserve"> one in five</w:t>
      </w:r>
      <w:r w:rsidR="00FF3DAF">
        <w:t xml:space="preserve"> British adults smoke currently</w:t>
      </w:r>
      <w:r w:rsidR="00963FF6">
        <w:t>.</w:t>
      </w:r>
      <w:r w:rsidR="00AE13D9">
        <w:fldChar w:fldCharType="begin" w:fldLock="1"/>
      </w:r>
      <w:r w:rsidR="00926146">
        <w:instrText>ADDIN CSL_CITATION { "citationItems" : [ { "id" : "ITEM-1", "itemData" : { "DOI" : "10.1016/S0140-6736(17)30819-X", "ISSN" : "1474547X", "PMID" : "28390697", "abstract" : "Background: The scale-up of tobacco control, especially after the adoption of the Framework Convention for Tobacco Control, is a major public health success story. Nonetheless, smoking remains a leading risk for early death and disability worldwide, and therefore continues to require sustained political commitment. The Global Burden of Diseases, Injuries, and Risk Factors Study (GBD) offers a robust platform through which global, regional, and national progress toward achieving smoking-related targets can be assessed. Methods: We synthesised 2818 data sources with spatiotemporal Gaussian process regression and produced estimates of daily smoking prevalence by sex, age group, and year for 195 countries and territories from 1990 to 2015. We analysed 38 risk-outcome pairs to generate estimates of smoking-attributable mortality and disease burden, as measured by disability-adjusted life-years (DALYs). We then performed a cohort analysis of smoking prevalence by birth-year cohort to better understand temporal age patterns in smoking. We also did a decomposition analysis, in which we parsed out changes in all-cause smoking-attributable DALYs due to changes in population growth, population ageing, smoking prevalence, and risk-deleted DALY rates. Finally, we explored results by level of development using the Socio-demographic Index (SDI). Findings: Worldwide, the age-standardised prevalence of daily smoking was 25??0% (95% uncertainty interval [UI] 24??2-25??7) for men and 5??4% (5??1-5??7) for women, representing 28??4% (25??8-31??1) and 34??4% (29??4-38??6) reductions, respectively, since 1990. A greater percentage of countries and territories achieved significant annualised rates of decline in smoking prevalence from 1990 to 2005 than in between 2005 and 2015; however, only four countries had significant annualised increases in smoking prevalence between 2005 and 2015 (Congo [Brazzaville] and Azerbaijan for men and Kuwait and Timor-Leste for women). In 2015, 11??5% of global deaths (6??4 million [95% UI 5??7-7??0 million]) were attributable to smoking worldwide, of which 52??2% took place in four countries (China, India, the USA, and Russia). Smoking was ranked among the five leading risk factors by DALYs in 109 countries and territories in 2015, rising from 88 geographies in 1990. In terms of birth cohorts, male smoking prevalence followed similar age patterns across levels of SDI, whereas much more heterogeneity was found in age patterns for female smokers\u2026", "author" : [ { "dropping-particle" : "", "family" : "Collaborators", "given" : "Global Burden of Disease 2015 Tobacco", "non-dropping-particle" : "", "parse-names" : false, "suffix" : "" } ], "container-title" : "The Lancet", "id" : "ITEM-1", "issued" : { "date-parts" : [ [ "2017" ] ] }, "page" : "1885-1906", "title" : "Smoking prevalence and attributable disease burden in 195 countries and territories, 1990-2015: A systematic analysis from the Global Burden of Disease Study 2015", "type" : "article-journal", "volume" : "13;389(100" }, "uris" : [ "http://www.mendeley.com/documents/?uuid=97e75d28-23bc-430f-b149-7cea819d82e0" ] } ], "mendeley" : { "formattedCitation" : "&lt;sup&gt;2&lt;/sup&gt;", "plainTextFormattedCitation" : "2", "previouslyFormattedCitation" : "&lt;sup&gt;2&lt;/sup&gt;" }, "properties" : { "noteIndex" : 0 }, "schema" : "https://github.com/citation-style-language/schema/raw/master/csl-citation.json" }</w:instrText>
      </w:r>
      <w:r w:rsidR="00AE13D9">
        <w:fldChar w:fldCharType="separate"/>
      </w:r>
      <w:r w:rsidRPr="009F5C13">
        <w:rPr>
          <w:noProof/>
          <w:vertAlign w:val="superscript"/>
        </w:rPr>
        <w:t>2</w:t>
      </w:r>
      <w:r w:rsidR="00AE13D9">
        <w:fldChar w:fldCharType="end"/>
      </w:r>
      <w:r w:rsidR="00963FF6">
        <w:t xml:space="preserve">  Recent </w:t>
      </w:r>
      <w:r w:rsidR="0079506D">
        <w:t>data</w:t>
      </w:r>
      <w:r w:rsidR="004C1E7F">
        <w:t xml:space="preserve"> from the UK</w:t>
      </w:r>
      <w:r w:rsidR="00963FF6">
        <w:t xml:space="preserve"> indicates</w:t>
      </w:r>
      <w:r w:rsidR="0079506D">
        <w:t xml:space="preserve"> </w:t>
      </w:r>
      <w:r w:rsidR="00963FF6">
        <w:t>there may be a</w:t>
      </w:r>
      <w:r w:rsidR="00A8410F">
        <w:t xml:space="preserve"> similar prevalence amongst patients with CD</w:t>
      </w:r>
      <w:r w:rsidR="00963FF6">
        <w:t>,</w:t>
      </w:r>
      <w:r w:rsidR="00AE13D9">
        <w:fldChar w:fldCharType="begin" w:fldLock="1"/>
      </w:r>
      <w:r w:rsidR="00F62348">
        <w:instrText>ADDIN CSL_CITATION { "citationItems" : [ { "id" : "ITEM-1", "itemData" : { "DOI" : "10.1038/ctg.2016.21", "ISSN" : "2155-384X", "PMID" : "27101004", "author" : [ { "dropping-particle" : "", "family" : "Frolkis", "given" : "Alexandra D", "non-dropping-particle" : "", "parse-names" : false, "suffix" : "" }, { "dropping-particle" : "", "family" : "Bruyn", "given" : "Jennifer", "non-dropping-particle" : "de", "parse-names" : false, "suffix" : "" }, { "dropping-particle" : "", "family" : "Jette", "given" : "Nathalie", "non-dropping-particle" : "", "parse-names" : false, "suffix" : "" }, { "dropping-particle" : "", "family" : "Lowerison", "given" : "Mark", "non-dropping-particle" : "", "parse-names" : false, "suffix" : "" }, { "dropping-particle" : "", "family" : "Engbers", "given" : "Jordan", "non-dropping-particle" : "", "parse-names" : false, "suffix" : "" }, { "dropping-particle" : "", "family" : "Ghali", "given" : "William", "non-dropping-particle" : "", "parse-names" : false, "suffix" : "" }, { "dropping-particle" : "", "family" : "Lewis", "given" : "James D", "non-dropping-particle" : "", "parse-names" : false, "suffix" : "" }, { "dropping-particle" : "", "family" : "Vallerand", "given" : "Isabelle", "non-dropping-particle" : "", "parse-names" : false, "suffix" : "" }, { "dropping-particle" : "", "family" : "Patten", "given" : "Scott", "non-dropping-particle" : "", "parse-names" : false, "suffix" : "" }, { "dropping-particle" : "", "family" : "Eksteen", "given" : "Bertus", "non-dropping-particle" : "", "parse-names" : false, "suffix" : "" }, { "dropping-particle" : "", "family" : "Barnabe", "given" : "Cheryl", "non-dropping-particle" : "", "parse-names" : false, "suffix" : "" }, { "dropping-particle" : "", "family" : "Panaccione", "given" : "Remo", "non-dropping-particle" : "", "parse-names" : false, "suffix" : "" }, { "dropping-particle" : "", "family" : "Ghosh", "given" : "Subrata", "non-dropping-particle" : "", "parse-names" : false, "suffix" : "" }, { "dropping-particle" : "", "family" : "Wiebe", "given" : "Samuel", "non-dropping-particle" : "", "parse-names" : false, "suffix" : "" }, { "dropping-particle" : "", "family" : "Kaplan", "given" : "Gilaad G", "non-dropping-particle" : "", "parse-names" : false, "suffix" : "" } ], "container-title" : "Clinical and Translational Gastroenterology", "id" : "ITEM-1", "issue" : "4", "issued" : { "date-parts" : [ [ "2016" ] ] }, "page" : "e165", "publisher" : "Nature Publishing Group", "title" : "The Association of Smoking and Surgery in Inflammatory Bowel Disease is Modified by Age at Diagnosis", "type" : "article-journal", "volume" : "7" }, "uris" : [ "http://www.mendeley.com/documents/?uuid=88a8652c-6981-4d85-a683-c9510fa0f93c" ] } ], "mendeley" : { "formattedCitation" : "&lt;sup&gt;3&lt;/sup&gt;", "plainTextFormattedCitation" : "3", "previouslyFormattedCitation" : "&lt;sup&gt;3&lt;/sup&gt;" }, "properties" : { "noteIndex" : 0 }, "schema" : "https://github.com/citation-style-language/schema/raw/master/csl-citation.json" }</w:instrText>
      </w:r>
      <w:r w:rsidR="00AE13D9">
        <w:fldChar w:fldCharType="separate"/>
      </w:r>
      <w:r w:rsidRPr="009F5C13">
        <w:rPr>
          <w:noProof/>
          <w:vertAlign w:val="superscript"/>
        </w:rPr>
        <w:t>3</w:t>
      </w:r>
      <w:r w:rsidR="00AE13D9">
        <w:fldChar w:fldCharType="end"/>
      </w:r>
      <w:r w:rsidR="00963FF6">
        <w:t xml:space="preserve"> although in some CD populations smoking is much more frequent.</w:t>
      </w:r>
      <w:r w:rsidR="00AE13D9">
        <w:fldChar w:fldCharType="begin" w:fldLock="1"/>
      </w:r>
      <w:r w:rsidR="004C1E7F">
        <w:instrText>ADDIN CSL_CITATION { "citationItems" : [ { "id" : "ITEM-1", "itemData" : { "author" : [ { "dropping-particle" : "", "family" : "Hwang", "given" : "Sung Wook", "non-dropping-particle" : "", "parse-names" : false, "suffix" : "" }, { "dropping-particle" : "", "family" : "Seo", "given" : "Hyungil", "non-dropping-particle" : "", "parse-names" : false, "suffix" : "" }, { "dropping-particle" : "", "family" : "Kim", "given" : "Gwang-un", "non-dropping-particle" : "", "parse-names" : false, "suffix" : "" }, { "dropping-particle" : "", "family" : "Song", "given" : "Eun Mi", "non-dropping-particle" : "", "parse-names" : false, "suffix" : "" }, { "dropping-particle" : "", "family" : "Seo", "given" : "Myeongsook", "non-dropping-particle" : "", "parse-names" : false, "suffix" : "" }, { "dropping-particle" : "", "family" : "Park", "given" : "Sang Hyoung", "non-dropping-particle" : "", "parse-names" : false, "suffix" : "" }, { "dropping-particle" : "", "family" : "Kwon", "given" : "Eunja", "non-dropping-particle" : "", "parse-names" : false, "suffix" : "" }, { "dropping-particle" : "", "family" : "Lee", "given" : "Ho-su", "non-dropping-particle" : "", "parse-names" : false, "suffix" : "" }, { "dropping-particle" : "", "family" : "Yang", "given" : "Dong-hoon", "non-dropping-particle" : "", "parse-names" : false, "suffix" : "" }, { "dropping-particle" : "", "family" : "Kim", "given" : "Kyung-jo", "non-dropping-particle" : "", "parse-names" : false, "suffix" : "" }, { "dropping-particle" : "", "family" : "Ye", "given" : "Byong Duk", "non-dropping-particle" : "", "parse-names" : false, "suffix" : "" }, { "dropping-particle" : "", "family" : "Byeon", "given" : "Jeong-sik", "non-dropping-particle" : "", "parse-names" : false, "suffix" : "" }, { "dropping-particle" : "", "family" : "Myung", "given" : "Seung-jae", "non-dropping-particle" : "", "parse-names" : false, "suffix" : "" }, { "dropping-particle" : "", "family" : "Kim", "given" : "Jin-ho", "non-dropping-particle" : "", "parse-names" : false, "suffix" : "" }, { "dropping-particle" : "", "family" : "Yang", "given" : "Suk-kyun", "non-dropping-particle" : "", "parse-names" : false, "suffix" : "" } ], "id" : "ITEM-1", "issued" : { "date-parts" : [ [ "2016" ] ] }, "page" : "1-6", "title" : "Underestimation of Smoking Rates in an East Asian Population with Crohn \u2019 s Disease", "type" : "article-journal" }, "uris" : [ "http://www.mendeley.com/documents/?uuid=d841db07-293f-4838-8080-4a9650d5af3e" ] } ], "mendeley" : { "formattedCitation" : "&lt;sup&gt;4&lt;/sup&gt;", "plainTextFormattedCitation" : "4", "previouslyFormattedCitation" : "&lt;sup&gt;4&lt;/sup&gt;" }, "properties" : { "noteIndex" : 0 }, "schema" : "https://github.com/citation-style-language/schema/raw/master/csl-citation.json" }</w:instrText>
      </w:r>
      <w:r w:rsidR="00AE13D9">
        <w:fldChar w:fldCharType="separate"/>
      </w:r>
      <w:r w:rsidR="00963FF6" w:rsidRPr="00963FF6">
        <w:rPr>
          <w:noProof/>
          <w:vertAlign w:val="superscript"/>
        </w:rPr>
        <w:t>4</w:t>
      </w:r>
      <w:r w:rsidR="00AE13D9">
        <w:fldChar w:fldCharType="end"/>
      </w:r>
      <w:r w:rsidR="004C1E7F">
        <w:rPr>
          <w:vertAlign w:val="superscript"/>
        </w:rPr>
        <w:t>,</w:t>
      </w:r>
      <w:r w:rsidR="00AE13D9">
        <w:fldChar w:fldCharType="begin" w:fldLock="1"/>
      </w:r>
      <w:r w:rsidR="00996A90">
        <w:instrText>ADDIN CSL_CITATION { "citationItems" : [ { "id" : "ITEM-1", "itemData" : { "DOI" : "10.1093/ecco-jcc/jjv113", "ISBN" : "1876-4479 (Electronic)\\r1873-9946 (Linking)", "ISSN" : "18764479", "PMID" : "26116554", "abstract" : "BACKGROUND AND AIMS: Smoking is a crucial environmental factor in inflammatory bowel disease [IBD]. However, knowledge on patient characteristics associated with smoking, time trends of smoking rates, gender differences and supportive measures to cease smoking provided by physicians is scarce. We aimed to address these questions in Swiss IBD patients., METHODS: Prospectively obtained data from patients participating in the Swiss IBD Cohort Study was analysed and compared with the general Swiss population [GSP] matched by age, sex and year., RESULTS: Among a total of 1770 IBD patients analysed [49.1% male], 29% are current smokers. More than twice as many patients with Crohn's disease [CD] are active smokers compared with ulcerative colitis [UC] [UC, 39.6% vs CD 15.3%, p &lt; 0.001]. In striking contrast to the GSP, significantly more women than men with CD smoke [42.8% vs 35.8%, p = 0.025], with also an overall significantly increased smoking rate compared with the GSP in women but not men. The vast majority of smoking IBD patients [90.5%] claim to never have received any support to achieve smoking cessation, significantly more in UC compared with CD. We identify a significantly negative association of smoking and primary sclerosing cholangitis, indicative of a protective effect. Psychological distress in CD is significantly higher in smokers compared with non-smokers, but does not differ in UC., CONCLUSIONS: Despite well-established detrimental effects, smoking rates in CD are alarmingly high with persistent and stagnating elevations compared with the GSP, especially in female patients. Importantly, there appears to be an unacceptable underuse of supportive measures to achieve smoking cessation.Copyright \u00a9 2015 European Crohn's and Colitis Organisation (ECCO). Published by Oxford University Press. All rights reserved. For permissions, please email: journals.permissions@oup.com.", "author" : [ { "dropping-particle" : "", "family" : "Biedermann", "given" : "Luc", "non-dropping-particle" : "", "parse-names" : false, "suffix" : "" }, { "dropping-particle" : "", "family" : "Fournier", "given" : "Nicolas", "non-dropping-particle" : "", "parse-names" : false, "suffix" : "" }, { "dropping-particle" : "", "family" : "Misselwitz", "given" : "Benjamin", "non-dropping-particle" : "", "parse-names" : false, "suffix" : "" }, { "dropping-particle" : "", "family" : "Frei", "given" : "Pascal", "non-dropping-particle" : "", "parse-names" : false, "suffix" : "" }, { "dropping-particle" : "", "family" : "Zeitz", "given" : "Jonas", "non-dropping-particle" : "", "parse-names" : false, "suffix" : "" }, { "dropping-particle" : "", "family" : "Manser", "given" : "Christine N.", "non-dropping-particle" : "", "parse-names" : false, "suffix" : "" }, { "dropping-particle" : "", "family" : "Pittet", "given" : "Valerie", "non-dropping-particle" : "", "parse-names" : false, "suffix" : "" }, { "dropping-particle" : "", "family" : "Juillerat", "given" : "Pascal", "non-dropping-particle" : "", "parse-names" : false, "suffix" : "" }, { "dropping-particle" : "", "family" : "K\u00e4nel", "given" : "Roland", "non-dropping-particle" : "von", "parse-names" : false, "suffix" : "" }, { "dropping-particle" : "", "family" : "Fried", "given" : "Michael", "non-dropping-particle" : "", "parse-names" : false, "suffix" : "" }, { "dropping-particle" : "", "family" : "Vavricka", "given" : "Stephan R.", "non-dropping-particle" : "", "parse-names" : false, "suffix" : "" }, { "dropping-particle" : "", "family" : "Rogler", "given" : "Gerhard", "non-dropping-particle" : "", "parse-names" : false, "suffix" : "" } ], "container-title" : "Journal of Crohn's &amp; colitis", "id" : "ITEM-1", "issue" : "10", "issued" : { "date-parts" : [ [ "2015" ] ] }, "page" : "819-829", "title" : "High Rates of Smoking Especially in Female Crohn's Disease Patients and Low Use of Supportive Measures to Achieve Smoking Cessation--Data from the Swiss IBD Cohort Study", "type" : "article-journal", "volume" : "9" }, "uris" : [ "http://www.mendeley.com/documents/?uuid=147c5bf9-46ea-4bc2-a9c0-cb0fa04e7cbe" ] } ], "mendeley" : { "formattedCitation" : "&lt;sup&gt;5&lt;/sup&gt;", "plainTextFormattedCitation" : "5", "previouslyFormattedCitation" : "&lt;sup&gt;5&lt;/sup&gt;" }, "properties" : { "noteIndex" : 0 }, "schema" : "https://github.com/citation-style-language/schema/raw/master/csl-citation.json" }</w:instrText>
      </w:r>
      <w:r w:rsidR="00AE13D9">
        <w:fldChar w:fldCharType="separate"/>
      </w:r>
      <w:r w:rsidR="004C1E7F" w:rsidRPr="004C1E7F">
        <w:rPr>
          <w:noProof/>
          <w:vertAlign w:val="superscript"/>
        </w:rPr>
        <w:t>5</w:t>
      </w:r>
      <w:r w:rsidR="00AE13D9">
        <w:fldChar w:fldCharType="end"/>
      </w:r>
      <w:r w:rsidR="00F1005B" w:rsidRPr="00F1005B">
        <w:t xml:space="preserve"> </w:t>
      </w:r>
    </w:p>
    <w:p w:rsidR="000C51E9" w:rsidRDefault="004F6608" w:rsidP="00304057">
      <w:pPr>
        <w:spacing w:line="480" w:lineRule="auto"/>
        <w:jc w:val="both"/>
      </w:pPr>
      <w:r w:rsidRPr="004F6608">
        <w:t>Tobacco exposure</w:t>
      </w:r>
      <w:r w:rsidR="00E5163C" w:rsidRPr="004F6608">
        <w:t xml:space="preserve"> </w:t>
      </w:r>
      <w:r w:rsidR="00AD463E" w:rsidRPr="004F6608">
        <w:t>impact</w:t>
      </w:r>
      <w:r w:rsidR="00996A90" w:rsidRPr="004F6608">
        <w:t>s</w:t>
      </w:r>
      <w:r w:rsidRPr="004F6608">
        <w:t xml:space="preserve"> adversely</w:t>
      </w:r>
      <w:r w:rsidR="00AD463E" w:rsidRPr="004F6608">
        <w:t xml:space="preserve"> on</w:t>
      </w:r>
      <w:r w:rsidR="00582C50" w:rsidRPr="004F6608">
        <w:t xml:space="preserve"> disease outcomes</w:t>
      </w:r>
      <w:r w:rsidR="00E5163C" w:rsidRPr="004F6608">
        <w:t xml:space="preserve"> in CD</w:t>
      </w:r>
      <w:r w:rsidR="0095300D" w:rsidRPr="004F6608">
        <w:t>.</w:t>
      </w:r>
      <w:r w:rsidR="00221726">
        <w:t xml:space="preserve"> </w:t>
      </w:r>
      <w:r w:rsidR="00A71DEA">
        <w:t xml:space="preserve">Several studies </w:t>
      </w:r>
      <w:r w:rsidR="00216220">
        <w:t xml:space="preserve">have </w:t>
      </w:r>
      <w:r w:rsidR="00A71DEA">
        <w:t>report</w:t>
      </w:r>
      <w:r w:rsidR="00216220">
        <w:t>ed</w:t>
      </w:r>
      <w:r w:rsidR="00A71DEA">
        <w:t xml:space="preserve"> increased </w:t>
      </w:r>
      <w:r w:rsidR="00216220">
        <w:t>rates</w:t>
      </w:r>
      <w:r w:rsidR="00E5163C">
        <w:t xml:space="preserve"> of intestinal surgery</w:t>
      </w:r>
      <w:r w:rsidR="00216220">
        <w:t xml:space="preserve"> amongst smokers.</w:t>
      </w:r>
      <w:r w:rsidR="00AE13D9">
        <w:fldChar w:fldCharType="begin" w:fldLock="1"/>
      </w:r>
      <w:r w:rsidR="00391BF7">
        <w:instrText>ADDIN CSL_CITATION { "citationItems" : [ { "id" : "ITEM-1", "itemData" : { "DOI" : "10.1002/ibd.20828", "ISBN" : "1536-4844 (Electronic)\\r1078-0998 (Linking)", "ISSN" : "10780998", "PMID" : "19067428", "abstract" : "Cigarette smoking is associated with a more severe Crohn's disease (CD) course. However, the effect of light consumption is not known. Our aim was to characterize the effect of a light tobacco consumption on the course of CD.", "author" : [ { "dropping-particle" : "", "family" : "Seksik", "given" : "Philippe", "non-dropping-particle" : "", "parse-names" : false, "suffix" : "" }, { "dropping-particle" : "", "family" : "Nion-Larmurier", "given" : "Isabelle", "non-dropping-particle" : "", "parse-names" : false, "suffix" : "" }, { "dropping-particle" : "", "family" : "Sokol", "given" : "Harry", "non-dropping-particle" : "", "parse-names" : false, "suffix" : "" }, { "dropping-particle" : "", "family" : "Beaugerie", "given" : "Laurent", "non-dropping-particle" : "", "parse-names" : false, "suffix" : "" }, { "dropping-particle" : "", "family" : "Cosnes", "given" : "Jacques", "non-dropping-particle" : "", "parse-names" : false, "suffix" : "" } ], "container-title" : "Inflammatory Bowel Diseases", "id" : "ITEM-1", "issue" : "5", "issued" : { "date-parts" : [ [ "2009" ] ] }, "page" : "734-741", "title" : "Effects of light smoking consumption on the clinical course of Crohn's disease", "type" : "article-journal", "volume" : "15" }, "uris" : [ "http://www.mendeley.com/documents/?uuid=83f29962-61af-4889-a580-a8c2329fcb22" ] } ], "mendeley" : { "formattedCitation" : "&lt;sup&gt;6&lt;/sup&gt;", "plainTextFormattedCitation" : "6", "previouslyFormattedCitation" : "&lt;sup&gt;6&lt;/sup&gt;" }, "properties" : { "noteIndex" : 0 }, "schema" : "https://github.com/citation-style-language/schema/raw/master/csl-citation.json" }</w:instrText>
      </w:r>
      <w:r w:rsidR="00AE13D9">
        <w:fldChar w:fldCharType="separate"/>
      </w:r>
      <w:r w:rsidR="00391BF7" w:rsidRPr="00391BF7">
        <w:rPr>
          <w:noProof/>
          <w:vertAlign w:val="superscript"/>
        </w:rPr>
        <w:t>6</w:t>
      </w:r>
      <w:r w:rsidR="00AE13D9">
        <w:fldChar w:fldCharType="end"/>
      </w:r>
      <w:r w:rsidR="00BB731B">
        <w:rPr>
          <w:vertAlign w:val="superscript"/>
        </w:rPr>
        <w:t>,</w:t>
      </w:r>
      <w:r w:rsidR="00AE13D9">
        <w:fldChar w:fldCharType="begin" w:fldLock="1"/>
      </w:r>
      <w:r w:rsidR="00391BF7">
        <w:instrText>ADDIN CSL_CITATION { "citationItems" : [ { "id" : "ITEM-1", "itemData" : { "DOI" : "10.1111/j.1572-0241.2003.08674.x", "ISBN" : "0002-9270 (Print)\\n0002-9270 (Linking)", "ISSN" : "0002-9270", "PMID" : "14687822", "abstract" : "OBJECTIVES In this study we aimed to define the rate of early surgery for Crohn's disease and to identify risk factors associated with early surgery as a basis for subsequent studies of early intervention in Crohn's disease. METHODS We assembled a retrospective cohort of patients with Crohn's disease diagnosed between 1991 and 1997 and followed for at least 3 yr, who were identified in 16 community and referral-based practices in New England. Chart review was performed for each patient. Details of baseline demographic and disease features were recorded. Surgical history including date of surgery, indication, and procedure were also noted. Risk factors for early surgery (defined as major surgery for Crohn's disease within 3 yr of diagnosis, exclusive of major surgery at time of diagnosis) were identified by univariate analysis. Multiple logistic regression was used to identify independent risk factors. RESULTS Of 345 eligible patients, 69 (20.1%) required surgery within 3 yr of diagnosis, excluding the 14 patients (4.1%) who had major surgery at the time of diagnosis. Overall, the interval between diagnosis and surgery was short; one half of all patients who required surgery underwent operation within 6 months of diagnosis. Risk factors identified by univariate analysis as significantly associated with early surgery included the following: smoking; disease of small bowel without colonic involvement; nausea and vomiting or abdominal pain on presentation; neutrophil count; and steroid use in the first 6 months. Disease localized to the colon only, blood in the stool, use of 5-aminosalicylate, and lymphocyte count were inversely associated with risk of early surgery. Logistic regression confirmed independent associations with smoking as a positive risk factor and involvement of colon without small bowel as a negative risk factor for early surgery. CONCLUSIONS The rate of surgery is high in the first 3 yr after diagnosis of Crohn's disease, particularly in the first 6 months. These results suggest that improved risk stratification and potent therapies with rapid onset of action are needed to modify the natural history of Crohn's disease.", "author" : [ { "dropping-particle" : "", "family" : "Sands", "given" : "Bruce E", "non-dropping-particle" : "", "parse-names" : false, "suffix" : "" }, { "dropping-particle" : "", "family" : "Arsenault", "given" : "Joanne E", "non-dropping-particle" : "", "parse-names" : false, "suffix" : "" }, { "dropping-particle" : "", "family" : "Rosen", "given" : "Michael J", "non-dropping-particle" : "", "parse-names" : false, "suffix" : "" }, { "dropping-particle" : "", "family" : "Alsahli", "given" : "Mazen", "non-dropping-particle" : "", "parse-names" : false, "suffix" : "" }, { "dropping-particle" : "", "family" : "Bailen", "given" : "Laurence", "non-dropping-particle" : "", "parse-names" : false, "suffix" : "" }, { "dropping-particle" : "", "family" : "Banks", "given" : "Peter", "non-dropping-particle" : "", "parse-names" : false, "suffix" : "" }, { "dropping-particle" : "", "family" : "Bensen", "given" : "Steven", "non-dropping-particle" : "", "parse-names" : false, "suffix" : "" }, { "dropping-particle" : "", "family" : "Bousvaros", "given" : "Athos", "non-dropping-particle" : "", "parse-names" : false, "suffix" : "" }, { "dropping-particle" : "", "family" : "Cave", "given" : "David", "non-dropping-particle" : "", "parse-names" : false, "suffix" : "" }, { "dropping-particle" : "", "family" : "Cooley", "given" : "Jeffrey S", "non-dropping-particle" : "", "parse-names" : false, "suffix" : "" }, { "dropping-particle" : "", "family" : "Cooper", "given" : "Herbert L", "non-dropping-particle" : "", "parse-names" : false, "suffix" : "" }, { "dropping-particle" : "", "family" : "Edwards", "given" : "Susan T", "non-dropping-particle" : "", "parse-names" : false, "suffix" : "" }, { "dropping-particle" : "", "family" : "Farrell", "given" : "Richard J", "non-dropping-particle" : "", "parse-names" : false, "suffix" : "" }, { "dropping-particle" : "", "family" : "Griffin", "given" : "Michael J", "non-dropping-particle" : "", "parse-names" : false, "suffix" : "" }, { "dropping-particle" : "", "family" : "Hay", "given" : "David W", "non-dropping-particle" : "", "parse-names" : false, "suffix" : "" }, { "dropping-particle" : "", "family" : "John", "given" : "Alex", "non-dropping-particle" : "", "parse-names" : false, "suffix" : "" }, { "dropping-particle" : "", "family" : "Lidofsky", "given" : "Sheldon", "non-dropping-particle" : "", "parse-names" : false, "suffix" : "" }, { "dropping-particle" : "", "family" : "Olans", "given" : "Lori B", "non-dropping-particle" : "", "parse-names" : false, "suffix" : "" }, { "dropping-particle" : "", "family" : "Peppercorn", "given" : "Mark a", "non-dropping-particle" : "", "parse-names" : false, "suffix" : "" }, { "dropping-particle" : "", "family" : "Rothstein", "given" : "Richard I", "non-dropping-particle" : "", "parse-names" : false, "suffix" : "" }, { "dropping-particle" : "", "family" : "Roy", "given" : "Michael a", "non-dropping-particle" : "", "parse-names" : false, "suffix" : "" }, { "dropping-particle" : "", "family" : "Saletta", "given" : "Michael J", "non-dropping-particle" : "", "parse-names" : false, "suffix" : "" }, { "dropping-particle" : "", "family" : "Shah", "given" : "Samir a", "non-dropping-particle" : "", "parse-names" : false, "suffix" : "" }, { "dropping-particle" : "", "family" : "Warner", "given" : "Andrew S", "non-dropping-particle" : "", "parse-names" : false, "suffix" : "" }, { "dropping-particle" : "", "family" : "Wolf", "given" : "Jacqueline L", "non-dropping-particle" : "", "parse-names" : false, "suffix" : "" }, { "dropping-particle" : "", "family" : "Vecchio", "given" : "James", "non-dropping-particle" : "", "parse-names" : false, "suffix" : "" }, { "dropping-particle" : "", "family" : "Winter", "given" : "Harland S", "non-dropping-particle" : "", "parse-names" : false, "suffix" : "" }, { "dropping-particle" : "", "family" : "Zawacki", "given" : "John K", "non-dropping-particle" : "", "parse-names" : false, "suffix" : "" } ], "container-title" : "The American journal of gastroenterology", "id" : "ITEM-1", "issue" : "12", "issued" : { "date-parts" : [ [ "2003" ] ] }, "page" : "2712-8", "title" : "Risk of early surgery for Crohn's disease: implications for early treatment strategies.", "type" : "article-journal", "volume" : "98" }, "uris" : [ "http://www.mendeley.com/documents/?uuid=49769dba-6a66-49d2-9acb-2e754b208932" ] } ], "mendeley" : { "formattedCitation" : "&lt;sup&gt;7&lt;/sup&gt;", "plainTextFormattedCitation" : "7", "previouslyFormattedCitation" : "&lt;sup&gt;7&lt;/sup&gt;" }, "properties" : { "noteIndex" : 0 }, "schema" : "https://github.com/citation-style-language/schema/raw/master/csl-citation.json" }</w:instrText>
      </w:r>
      <w:r w:rsidR="00AE13D9">
        <w:fldChar w:fldCharType="separate"/>
      </w:r>
      <w:r w:rsidR="00391BF7" w:rsidRPr="00391BF7">
        <w:rPr>
          <w:noProof/>
          <w:vertAlign w:val="superscript"/>
        </w:rPr>
        <w:t>7</w:t>
      </w:r>
      <w:r w:rsidR="00AE13D9">
        <w:fldChar w:fldCharType="end"/>
      </w:r>
      <w:r w:rsidR="00BB731B">
        <w:rPr>
          <w:vertAlign w:val="superscript"/>
        </w:rPr>
        <w:t>,</w:t>
      </w:r>
      <w:r w:rsidR="00AE13D9">
        <w:fldChar w:fldCharType="begin" w:fldLock="1"/>
      </w:r>
      <w:r w:rsidR="00391BF7">
        <w:instrText>ADDIN CSL_CITATION { "citationItems" : [ { "id" : "ITEM-1", "itemData" : { "DOI" : "10.1097/DCR.0b013e318222ddc3", "ISBN" : "0012-3706 1530-0358", "ISSN" : "1530-0358", "PMID" : "21825896", "abstract" : "BACKGROUND The frequency of Crohn's disease in China is increasing, but few reports are available on clinical features, phenotypes according to the Montreal classification, or risk factors for surgery in mainland China. OBJECTIVE This study aimed to assess clinical presentation, phenotypes according to the Montreal classification, and potential risk factors for initial surgery in patients with Crohn's disease in southern China. DESIGN This was an observational study designed as a retrospective analysis of a historical cohort. SETTINGS The study was conducted at a tertiary referral hospital, Guangzhou, China. PATIENTS Medical records of 212 consecutive patients with Crohn's disease were reviewed; data from 205 patients who met inclusion criteria were analyzed. MAIN OUTCOME MEASURES The value of age, location, and behavior of disease according to the Montreal system, smoking behavior, and other clinical variables as potential risk factors in predicting the requirement for initial surgery was assessed by use of Cox regression analysis. RESULTS A total of 205 patients were studied. Abdominal pain (181 patients, 88.3%) was the most common clinical presentation. At the time of diagnosis, age was between 17 and 40 years in 145 patients (70.7%). The Montreal classification of disease location was L3 (ileocolonic) in 114 patients (55.6%), disease behavior was classified as inflammatory in 133 patients (64.9%). During the course of their disease (median, 4 years; range, 1-21 years), 79 patients (38.5%) required bowel resection. Kaplan-Meier analysis showed that the overall cumulative rate of primary bowel surgery was 17.6% at 1 year after onset of symptoms, 20.3% at 2 years, 35.2% at 5 years, and 58.3% at 10 years. In our final Cox model, stricturing (HR, 3.67; 95% CI, 2.14-6.29; P &lt; .001), penetrating behavior (HR, 4.60; 95% CI, 2.58-8.22; P &lt; .001), and smoking habit (HR, 2.02; 95% CI, 1.15-3.53; P = .014) were significantly associated with an increased risk for bowel resection. LIMITATIONS The study was limited by its retrospective nature. CONCLUSIONS In Chinese patients with Crohn's disease, abdominal pain is the most common clinical presentation, and the most common phenotypes are age 17 to 40 years at diagnosis, ileocolonic disease location, and inflammatory disease behavior. More than one-third of patients require surgery at a median of 4 years after onset of symptoms. Stricturing, penetrating disease, and smoking are associated with an increased risk of r\u2026", "author" : [ { "dropping-particle" : "", "family" : "Song", "given" : "Xin-ming", "non-dropping-particle" : "", "parse-names" : false, "suffix" : "" }, { "dropping-particle" : "", "family" : "Gao", "given" : "Xiang", "non-dropping-particle" : "", "parse-names" : false, "suffix" : "" }, { "dropping-particle" : "", "family" : "Li", "given" : "Ming-zhe", "non-dropping-particle" : "", "parse-names" : false, "suffix" : "" }, { "dropping-particle" : "", "family" : "Chen", "given" : "Zhi-hui", "non-dropping-particle" : "", "parse-names" : false, "suffix" : "" }, { "dropping-particle" : "", "family" : "Chen", "given" : "Shi-cai", "non-dropping-particle" : "", "parse-names" : false, "suffix" : "" }, { "dropping-particle" : "", "family" : "Hu", "given" : "Pin-Jin", "non-dropping-particle" : "", "parse-names" : false, "suffix" : "" }, { "dropping-particle" : "", "family" : "He", "given" : "Yu-long", "non-dropping-particle" : "", "parse-names" : false, "suffix" : "" }, { "dropping-particle" : "", "family" : "Zhan", "given" : "Wen-hua", "non-dropping-particle" : "", "parse-names" : false, "suffix" : "" }, { "dropping-particle" : "", "family" : "Chen", "given" : "Min-hu", "non-dropping-particle" : "", "parse-names" : false, "suffix" : "" } ], "container-title" : "Diseases of the colon and rectum", "id" : "ITEM-1", "issue" : "9", "issued" : { "date-parts" : [ [ "2011" ] ] }, "page" : "1147-54", "title" : "Clinical features and risk factors for primary surgery in 205 patients with Crohn's disease: analysis of a South China cohort.", "type" : "article-journal", "volume" : "54" }, "uris" : [ "http://www.mendeley.com/documents/?uuid=f5d6bcb5-d0a2-4bd1-9695-6863b28f2987" ] } ], "mendeley" : { "formattedCitation" : "&lt;sup&gt;8&lt;/sup&gt;", "plainTextFormattedCitation" : "8", "previouslyFormattedCitation" : "&lt;sup&gt;8&lt;/sup&gt;" }, "properties" : { "noteIndex" : 0 }, "schema" : "https://github.com/citation-style-language/schema/raw/master/csl-citation.json" }</w:instrText>
      </w:r>
      <w:r w:rsidR="00AE13D9">
        <w:fldChar w:fldCharType="separate"/>
      </w:r>
      <w:r w:rsidR="00391BF7" w:rsidRPr="00391BF7">
        <w:rPr>
          <w:noProof/>
          <w:vertAlign w:val="superscript"/>
        </w:rPr>
        <w:t>8</w:t>
      </w:r>
      <w:r w:rsidR="00AE13D9">
        <w:fldChar w:fldCharType="end"/>
      </w:r>
      <w:r w:rsidR="00BB731B">
        <w:rPr>
          <w:vertAlign w:val="superscript"/>
        </w:rPr>
        <w:t>,</w:t>
      </w:r>
      <w:r w:rsidR="00AE13D9">
        <w:fldChar w:fldCharType="begin" w:fldLock="1"/>
      </w:r>
      <w:r w:rsidR="00391BF7">
        <w:instrText>ADDIN CSL_CITATION { "citationItems" : [ { "id" : "ITEM-1", "itemData" : { "DOI" : "10.1111/apt.13239", "ISSN" : "13652036", "PMID" : "2015037528", "abstract" : "Background Smoking demonstrates divergent effects in Crohn's disease (CD) and ulcerative colitis (UC). Smoking frequency is greater in CD and deleterious to its disease course. Conversely, UC is primarily a disease of nonsmokers and ex-smokers, with reports of disease amelioration in active smoking. Aim To determine the prevalence of smoking and its effects on disease progression and surgery in a well-characterised cohort of inflammatory bowel diseases (IBD) patients. Methods Patients with smoking data of the Sydney IBD Cohort were included. Demographic, phenotypic, medical, surgical and hospitalisation data were analysed and reported on the basis of patient smoking status. Results 1203 IBD patients were identified comprising 626 CD and 557 UC with 6725 and 6672 patient-years of follow-up, respectively. CD patients were more likely to smoke than UC patients (19.2% vs. 10.2%, P &lt; 0.001). A history of smoking in CD was associated with an increased proportional surgery rate (45.8% vs. 37.8%, P = 0.045), requirement for IBD-related hospitalisation (P = 0.009) and incidence of peripheral arthritis (29.8% vs. 22.0%, P = 0.027). Current smokers with UC demonstrated reduced corticosteroid utilisation (24.1% vs. 37.5%, P = 0.045), yet no reduction in the rates of colectomy (3.4% vs. 6.6%, P = 0.34) or hospital admission (P = 0.25) relative to nonsmokers. Ex-smokers with UC required proportionately greater immunosuppressive (36.2% vs. 26.3%, P = 0.041) and corticosteroid (43.7% vs. 34.5%, P = 0.078) therapies compared with current and never smokers. Conclusions This study confirms the detrimental effects of smoking in CD, yet failed to demonstrate substantial benefit from smoking in UC. These data should encourage all patients with IBD to quit smoking.", "author" : [ { "dropping-particle" : "", "family" : "Lunney", "given" : "P. C.", "non-dropping-particle" : "", "parse-names" : false, "suffix" : "" }, { "dropping-particle" : "", "family" : "Kariyawasam", "given" : "V. C.", "non-dropping-particle" : "", "parse-names" : false, "suffix" : "" }, { "dropping-particle" : "", "family" : "Wang", "given" : "R. R.", "non-dropping-particle" : "", "parse-names" : false, "suffix" : "" }, { "dropping-particle" : "", "family" : "Middleton", "given" : "K. L.", "non-dropping-particle" : "", "parse-names" : false, "suffix" : "" }, { "dropping-particle" : "", "family" : "Huang", "given" : "T.", "non-dropping-particle" : "", "parse-names" : false, "suffix" : "" }, { "dropping-particle" : "", "family" : "Selinger", "given" : "C. P.", "non-dropping-particle" : "", "parse-names" : false, "suffix" : "" }, { "dropping-particle" : "", "family" : "Andrews", "given" : "J. M.", "non-dropping-particle" : "", "parse-names" : false, "suffix" : "" }, { "dropping-particle" : "", "family" : "Katelaris", "given" : "P. H.", "non-dropping-particle" : "", "parse-names" : false, "suffix" : "" }, { "dropping-particle" : "", "family" : "Leong", "given" : "R. W L", "non-dropping-particle" : "", "parse-names" : false, "suffix" : "" } ], "container-title" : "Alimentary Pharmacology and Therapeutics", "id" : "ITEM-1", "issue" : "1", "issued" : { "date-parts" : [ [ "2015" ] ] }, "page" : "61-70", "title" : "Smoking prevalence and its influence on disease course and surgery in Crohn's disease and ulcerative colitis", "type" : "article-journal", "volume" : "42" }, "uris" : [ "http://www.mendeley.com/documents/?uuid=0ac992fa-9fa4-4dce-8efa-5ae406390dc1" ] } ], "mendeley" : { "formattedCitation" : "&lt;sup&gt;9&lt;/sup&gt;", "plainTextFormattedCitation" : "9", "previouslyFormattedCitation" : "&lt;sup&gt;9&lt;/sup&gt;" }, "properties" : { "noteIndex" : 0 }, "schema" : "https://github.com/citation-style-language/schema/raw/master/csl-citation.json" }</w:instrText>
      </w:r>
      <w:r w:rsidR="00AE13D9">
        <w:fldChar w:fldCharType="separate"/>
      </w:r>
      <w:r w:rsidR="00391BF7" w:rsidRPr="00391BF7">
        <w:rPr>
          <w:noProof/>
          <w:vertAlign w:val="superscript"/>
        </w:rPr>
        <w:t>9</w:t>
      </w:r>
      <w:r w:rsidR="00AE13D9">
        <w:fldChar w:fldCharType="end"/>
      </w:r>
      <w:r w:rsidR="00E5163C">
        <w:t xml:space="preserve"> Smoking</w:t>
      </w:r>
      <w:r w:rsidR="0048792A">
        <w:t xml:space="preserve"> may</w:t>
      </w:r>
      <w:r w:rsidR="004D5973">
        <w:t xml:space="preserve"> also impact upon other</w:t>
      </w:r>
      <w:r w:rsidR="0048792A">
        <w:t xml:space="preserve"> clinical</w:t>
      </w:r>
      <w:r w:rsidR="004D5973">
        <w:t>ly important indices including</w:t>
      </w:r>
      <w:r w:rsidR="0048792A">
        <w:t xml:space="preserve"> </w:t>
      </w:r>
      <w:r w:rsidR="005255D1">
        <w:t>disease flares, cortico</w:t>
      </w:r>
      <w:r w:rsidR="0048792A">
        <w:t>steroid</w:t>
      </w:r>
      <w:r w:rsidR="004E2F83">
        <w:t xml:space="preserve"> requirement and</w:t>
      </w:r>
      <w:r w:rsidR="0048792A">
        <w:t xml:space="preserve"> </w:t>
      </w:r>
      <w:proofErr w:type="spellStart"/>
      <w:r w:rsidR="0048792A">
        <w:t>immuno</w:t>
      </w:r>
      <w:proofErr w:type="spellEnd"/>
      <w:r w:rsidR="0048792A">
        <w:t>-modulator</w:t>
      </w:r>
      <w:r w:rsidR="005255D1">
        <w:t xml:space="preserve"> use</w:t>
      </w:r>
      <w:r w:rsidR="00996A90">
        <w:t>,</w:t>
      </w:r>
      <w:r w:rsidR="00AE13D9">
        <w:fldChar w:fldCharType="begin" w:fldLock="1"/>
      </w:r>
      <w:r w:rsidR="00391BF7">
        <w:instrText>ADDIN CSL_CITATION { "citationItems" : [ { "id" : "ITEM-1", "itemData" : { "DOI" : "10.1053/gast.1996.v110.pm8566589", "ISBN" : "0016-5085 (Print)\\r0016-5085 (Linking)", "ISSN" : "00165085", "PMID" : "8566589", "abstract" : "BACKGROUND &amp; AIMS: In Crohn's disease, smoking increases the risk for surgical procedures. The influence of smoking on the overall severity of the disease remains controversial. The purpose of the study was to examine the effects of smoking on the long-term course of Crohn's disease and the relationship between smoking and therapy. METHODS: The medical charts of 400 consecutive patients whose smoking habits were specified by direct interview were reviewed. RESULTS: Frequency and extent of excisional surgery were not significantly different in smokers and nonsmokers, but smokers required more glucocorticoids and immunosuppressive drugs. The effect of smoking on the need for immunosuppressive drugs was dose-dependent and was significant in women but not in men. For female smokers, the 10-year risk of immunosuppressive therapy was 52% +/- 11% compared with 24% +/- 10% for nonsmokers (P &lt; 0.001). The risk of surgery increased only in patients who smoked and did not take immunosuppressive drugs. The surgical rate increased significantly during smoking in 19 patients who started smoking after diagnosis and decreased significantly in 34 patients who stopped compared with matched controls. CONCLUSIONS: Patients who smoke, particularly women and heavy smokers, run a high risk of developing severe disease. Immunosuppressive therapy neutralizes the influence of smoking on surgical rates. (Gastroenterology 1996 Feb;110(2):424-31)", "author" : [ { "dropping-particle" : "", "family" : "Cosnes", "given" : "J", "non-dropping-particle" : "", "parse-names" : false, "suffix" : "" }, { "dropping-particle" : "", "family" : "Carbonnel", "given" : "F", "non-dropping-particle" : "", "parse-names" : false, "suffix" : "" }, { "dropping-particle" : "", "family" : "Beaugerie", "given" : "L", "non-dropping-particle" : "", "parse-names" : false, "suffix" : "" }, { "dropping-particle" : "", "family" : "Quintrec", "given" : "Y", "non-dropping-particle" : "Le", "parse-names" : false, "suffix" : "" }, { "dropping-particle" : "", "family" : "Gendre", "given" : "Jp", "non-dropping-particle" : "", "parse-names" : false, "suffix" : "" } ], "container-title" : "Gastroenterology", "id" : "ITEM-1", "issue" : "2", "issued" : { "date-parts" : [ [ "1996" ] ] }, "page" : "424-431", "title" : "Effects of cigarette smoking on the long-term course of Crohn's disease", "type" : "article-journal", "volume" : "110" }, "uris" : [ "http://www.mendeley.com/documents/?uuid=b64f14d5-5aed-4bd9-9bbb-7ba7f13e2ebf" ] } ], "mendeley" : { "formattedCitation" : "&lt;sup&gt;10&lt;/sup&gt;", "plainTextFormattedCitation" : "10", "previouslyFormattedCitation" : "&lt;sup&gt;10&lt;/sup&gt;" }, "properties" : { "noteIndex" : 0 }, "schema" : "https://github.com/citation-style-language/schema/raw/master/csl-citation.json" }</w:instrText>
      </w:r>
      <w:r w:rsidR="00AE13D9">
        <w:fldChar w:fldCharType="separate"/>
      </w:r>
      <w:r w:rsidR="00391BF7" w:rsidRPr="00391BF7">
        <w:rPr>
          <w:noProof/>
          <w:vertAlign w:val="superscript"/>
        </w:rPr>
        <w:t>10</w:t>
      </w:r>
      <w:r w:rsidR="00AE13D9">
        <w:fldChar w:fldCharType="end"/>
      </w:r>
      <w:r w:rsidR="00D03D6A">
        <w:rPr>
          <w:vertAlign w:val="superscript"/>
        </w:rPr>
        <w:t>,</w:t>
      </w:r>
      <w:r w:rsidR="00AE13D9">
        <w:fldChar w:fldCharType="begin" w:fldLock="1"/>
      </w:r>
      <w:r w:rsidR="00391BF7">
        <w:instrText>ADDIN CSL_CITATION { "citationItems" : [ { "id" : "ITEM-1", "itemData" : { "DOI" : "10.1111/apt.12440", "ISBN" : "1365-2036 (Electronic)\\r0269-2813 (Linking)", "ISSN" : "02692813", "PMID" : "23980933", "abstract" : "BACKGROUND: Recently, the notion that smoking may adversely affect Crohn's disease (CD) outcomes has been challenged by the suggestion that the widespread use of immunosuppressants and anti-TNF drugs might offset the adverse effects of tobacco. AIM: To reassess the influence of tobacco smoking on disease phenotype and complications on a time-dependent analysis, taking into account the different therapeutic interventions. METHODS: We designed a retrospective cohort study of 3224 patients with Crohn's disease. The data were collected from the Spanish national inflammatory bowel disease registry (ENEIDA), including information regarding demographics, clinical characteristics, disease complications, therapeutic interventions and smoking status. Patients were classified as nonsmokers, smokers and former smokers, according to their present and past smoking habits. RESULTS: In the univariate analysis, smokers had more strictures (22.6% vs. 19.3%, P &lt; 0.05) and less colonic involvement (7.2% vs. 10.9%, P &lt; 0.05), and were more frequently under treatment with steroids (91.6% vs. 85.8%, P &lt; 0.05), immunosuppressants (73.5% vs. 63.6% P &lt; 0.05) or anti-TNF drugs (31.4% vs. 25.1%, P &lt; 0.05) than nonsmokers. In the time-dependent multivariate analysis, smokers were found to have a significantly decreased survival free of stricturing disease (HR: 1.5, CI 95% 1.18-1.90) or perianal complications (HR: 1.50, CI 95% 1.01-1.46), and had a higher risk for requiring thiopurine therapy (HR: 1.20, CI 95% 1.05-1.30). CONCLUSION: These results suggest that, despite the widespread use of immunosuppressants and anti-TNF drugs, smokers with Crohn's disease still have a more severe disease course, with increased therapeutic requirements when compared with nonsmokers.", "author" : [ { "dropping-particle" : "", "family" : "Nunes", "given" : "T.", "non-dropping-particle" : "", "parse-names" : false, "suffix" : "" }, { "dropping-particle" : "", "family" : "Etchevers", "given" : "M. J.", "non-dropping-particle" : "", "parse-names" : false, "suffix" : "" }, { "dropping-particle" : "", "family" : "Dom\u00e8nech", "given" : "E.", "non-dropping-particle" : "", "parse-names" : false, "suffix" : "" }, { "dropping-particle" : "", "family" : "Garc\u00eda-S\u00e1nchez", "given" : "V.", "non-dropping-particle" : "", "parse-names" : false, "suffix" : "" }, { "dropping-particle" : "", "family" : "Ber", "given" : "Y.", "non-dropping-particle" : "", "parse-names" : false, "suffix" : "" }, { "dropping-particle" : "", "family" : "Pe\u00f1alva", "given" : "M.", "non-dropping-particle" : "", "parse-names" : false, "suffix" : "" }, { "dropping-particle" : "", "family" : "Merino", "given" : "O.", "non-dropping-particle" : "", "parse-names" : false, "suffix" : "" }, { "dropping-particle" : "", "family" : "Nos", "given" : "P.", "non-dropping-particle" : "", "parse-names" : false, "suffix" : "" }, { "dropping-particle" : "", "family" : "Garcia-Planella", "given" : "E.", "non-dropping-particle" : "", "parse-names" : false, "suffix" : "" }, { "dropping-particle" : "", "family" : "Casbas", "given" : "a. G.", "non-dropping-particle" : "", "parse-names" : false, "suffix" : "" }, { "dropping-particle" : "", "family" : "Esteve", "given" : "M.", "non-dropping-particle" : "", "parse-names" : false, "suffix" : "" }, { "dropping-particle" : "", "family" : "Taxonera Sams\u00f5", "given" : "C.", "non-dropping-particle" : "", "parse-names" : false, "suffix" : "" }, { "dropping-particle" : "", "family" : "Montoro Huguet", "given" : "M.", "non-dropping-particle" : "", "parse-names" : false, "suffix" : "" }, { "dropping-particle" : "", "family" : "Gisbert", "given" : "J. P.", "non-dropping-particle" : "", "parse-names" : false, "suffix" : "" }, { "dropping-particle" : "", "family" : "Mart\u00edn Arranz", "given" : "M. D.", "non-dropping-particle" : "", "parse-names" : false, "suffix" : "" }, { "dropping-particle" : "", "family" : "Garc\u00eda-Sepulcre", "given" : "M. F.", "non-dropping-particle" : "", "parse-names" : false, "suffix" : "" }, { "dropping-particle" : "", "family" : "Barreiro-De Acosta", "given" : "M.", "non-dropping-particle" : "", "parse-names" : false, "suffix" : "" }, { "dropping-particle" : "", "family" : "Beltr\u00e1n", "given" : "B.", "non-dropping-particle" : "", "parse-names" : false, "suffix" : "" }, { "dropping-particle" : "", "family" : "Alcaide Su\u00e1rez", "given" : "N.", "non-dropping-particle" : "", "parse-names" : false, "suffix" : "" }, { "dropping-particle" : "", "family" : "Saro Gismera", "given" : "C.", "non-dropping-particle" : "", "parse-names" : false, "suffix" : "" }, { "dropping-particle" : "", "family" : "Cabriada", "given" : "J. L.", "non-dropping-particle" : "", "parse-names" : false, "suffix" : "" }, { "dropping-particle" : "", "family" : "Ca\u00f1as-Ventura", "given" : "a.", "non-dropping-particle" : "", "parse-names" : false, "suffix" : "" }, { "dropping-particle" : "", "family" : "Gomoll\u00f5n", "given" : "F.", "non-dropping-particle" : "", "parse-names" : false, "suffix" : "" }, { "dropping-particle" : "", "family" : "Pan\u00e9s", "given" : "J.", "non-dropping-particle" : "", "parse-names" : false, "suffix" : "" } ], "container-title" : "Alimentary Pharmacology and Therapeutics", "id" : "ITEM-1", "issue" : "7", "issued" : { "date-parts" : [ [ "2013" ] ] }, "page" : "752-760", "title" : "Smoking does influence disease behaviour and impacts the need for therapy in Crohn\u2032s disease in the biologic era", "type" : "article-journal", "volume" : "38" }, "uris" : [ "http://www.mendeley.com/documents/?uuid=f02f0324-de1e-4d72-8957-4e4bf840e451" ] } ], "mendeley" : { "formattedCitation" : "&lt;sup&gt;11&lt;/sup&gt;", "plainTextFormattedCitation" : "11", "previouslyFormattedCitation" : "&lt;sup&gt;11&lt;/sup&gt;" }, "properties" : { "noteIndex" : 0 }, "schema" : "https://github.com/citation-style-language/schema/raw/master/csl-citation.json" }</w:instrText>
      </w:r>
      <w:r w:rsidR="00AE13D9">
        <w:fldChar w:fldCharType="separate"/>
      </w:r>
      <w:r w:rsidR="00391BF7" w:rsidRPr="00391BF7">
        <w:rPr>
          <w:noProof/>
          <w:vertAlign w:val="superscript"/>
        </w:rPr>
        <w:t>11</w:t>
      </w:r>
      <w:r w:rsidR="00AE13D9">
        <w:fldChar w:fldCharType="end"/>
      </w:r>
      <w:r w:rsidR="00D03D6A">
        <w:rPr>
          <w:vertAlign w:val="superscript"/>
        </w:rPr>
        <w:t>,</w:t>
      </w:r>
      <w:r w:rsidR="00AE13D9">
        <w:fldChar w:fldCharType="begin" w:fldLock="1"/>
      </w:r>
      <w:r w:rsidR="00391BF7">
        <w:instrText>ADDIN CSL_CITATION { "citationItems" : [ { "id" : "ITEM-1", "itemData" : { "DOI" : "10.1097/MIB.0b013e3182802b3e", "ISBN" : "1536-4844 (Electronic)\\r1078-0998 (Linking)", "ISSN" : "1536-4844", "PMID" : "23399739", "abstract" : "BACKGROUND: Previous studies suggest that smoking is an important environmental factor in inflammatory bowel diseases (IBDs), with dichotomous effects in ulcerative colitis (UC) and Crohn's disease (CD). The aim of this study was to analyze the relationship between smoking and IBD risk in a population-based database from Veszprem Province, which included incident cases diagnosed between January 1, 1977, and December 31, 2008. METHODS: Data from 1420 incident patients were analyzed (UC: 914, age at diagnosis: 38.9 years; CD: 506, age at diagnosis: 31.5 years). Both inpatient and outpatient records were collected and comprehensively reviewed. Overall, smoking frequency in the adult general population was 36.1%. RESULTS: Of patients with CD, 47.2% were current smokers at diagnosis. Smoking was more frequent in male patients (P = 0.002) and was associated with an increased risk of CD (odds ratio, 1.96; 95% confidence interval, 1.63-2.37; P &lt; 0.001). In contrast, current smoking was protective against UC (odds ratio, 0.33; 95% confidence interval, 0.27-0.41). The effect of smoking was linked to gender (in CD, more deleterious in male patients) and age at diagnosis and was most prominent in young adults, with a difference already being seen in 18- to 19-year-olds. In CD, a change in disease behavior (P = 0.02), location from ileal or colonic to ileocolonic (P = 0.003), arthritis/arthropathy (P = 0.002), need for steroids (P = 0.06), or AZA (P = 0.038) was more common in current smokers. Smoking in UC was associated with more extensive disease (P = 0.01) and a tendency for decreased need for colectomy (P = 0.06). CONCLUSIONS: Current smoking was associated with the risk of IBD. This effect was linked to gender and age at diagnosis and was most prominent in young adults. No association was observed in pediatric or elderly patients. The deleterious and protective effects of smoking on the course in CD and UC were partially confirmed.", "author" : [ { "dropping-particle" : "", "family" : "Lakatos", "given" : "P L", "non-dropping-particle" : "", "parse-names" : false, "suffix" : "" }, { "dropping-particle" : "", "family" : "Vegh", "given" : "Z", "non-dropping-particle" : "", "parse-names" : false, "suffix" : "" }, { "dropping-particle" : "", "family" : "Lovasz", "given" : "B D", "non-dropping-particle" : "", "parse-names" : false, "suffix" : "" }, { "dropping-particle" : "", "family" : "David", "given" : "G", "non-dropping-particle" : "", "parse-names" : false, "suffix" : "" }, { "dropping-particle" : "", "family" : "Pandur", "given" : "T", "non-dropping-particle" : "", "parse-names" : false, "suffix" : "" }, { "dropping-particle" : "", "family" : "Erdelyi", "given" : "Z", "non-dropping-particle" : "", "parse-names" : false, "suffix" : "" }, { "dropping-particle" : "", "family" : "Szita", "given" : "I", "non-dropping-particle" : "", "parse-names" : false, "suffix" : "" }, { "dropping-particle" : "", "family" : "Mester", "given" : "G", "non-dropping-particle" : "", "parse-names" : false, "suffix" : "" }, { "dropping-particle" : "", "family" : "Balogh", "given" : "M", "non-dropping-particle" : "", "parse-names" : false, "suffix" : "" }, { "dropping-particle" : "", "family" : "Szipocs", "given" : "I", "non-dropping-particle" : "", "parse-names" : false, "suffix" : "" }, { "dropping-particle" : "", "family" : "Molnar", "given" : "C", "non-dropping-particle" : "", "parse-names" : false, "suffix" : "" }, { "dropping-particle" : "", "family" : "Komaromi", "given" : "E", "non-dropping-particle" : "", "parse-names" : false, "suffix" : "" }, { "dropping-particle" : "", "family" : "Golovics", "given" : "P a", "non-dropping-particle" : "", "parse-names" : false, "suffix" : "" }, { "dropping-particle" : "", "family" : "Mandel", "given" : "M", "non-dropping-particle" : "", "parse-names" : false, "suffix" : "" }, { "dropping-particle" : "", "family" : "Horvath", "given" : "a", "non-dropping-particle" : "", "parse-names" : false, "suffix" : "" }, { "dropping-particle" : "", "family" : "Szathmari", "given" : "M", "non-dropping-particle" : "", "parse-names" : false, "suffix" : "" }, { "dropping-particle" : "", "family" : "Kiss", "given" : "L S", "non-dropping-particle" : "", "parse-names" : false, "suffix" : "" }, { "dropping-particle" : "", "family" : "Lakatos", "given" : "L", "non-dropping-particle" : "", "parse-names" : false, "suffix" : "" } ], "container-title" : "Inflamm Bowel Dis", "id" : "ITEM-1", "issue" : "5", "issued" : { "date-parts" : [ [ "2013" ] ] }, "page" : "1010-1017", "title" : "Is current smoking still an important environmental factor in inflammatory bowel diseases? Results from a population-based incident cohort", "type" : "article-journal", "volume" : "19" }, "uris" : [ "http://www.mendeley.com/documents/?uuid=45ab6659-c538-435a-b9a1-8523bf9a92c5" ] } ], "mendeley" : { "formattedCitation" : "&lt;sup&gt;12&lt;/sup&gt;", "plainTextFormattedCitation" : "12", "previouslyFormattedCitation" : "&lt;sup&gt;12&lt;/sup&gt;" }, "properties" : { "noteIndex" : 0 }, "schema" : "https://github.com/citation-style-language/schema/raw/master/csl-citation.json" }</w:instrText>
      </w:r>
      <w:r w:rsidR="00AE13D9">
        <w:fldChar w:fldCharType="separate"/>
      </w:r>
      <w:r w:rsidR="00391BF7" w:rsidRPr="00391BF7">
        <w:rPr>
          <w:noProof/>
          <w:vertAlign w:val="superscript"/>
        </w:rPr>
        <w:t>12</w:t>
      </w:r>
      <w:r w:rsidR="00AE13D9">
        <w:fldChar w:fldCharType="end"/>
      </w:r>
      <w:r w:rsidR="00C679D6">
        <w:t xml:space="preserve"> </w:t>
      </w:r>
      <w:r w:rsidR="00996A90">
        <w:t>although a few</w:t>
      </w:r>
      <w:r w:rsidR="007909C8">
        <w:t xml:space="preserve"> </w:t>
      </w:r>
      <w:r w:rsidR="00996A90">
        <w:t xml:space="preserve">small </w:t>
      </w:r>
      <w:r w:rsidR="007909C8">
        <w:t xml:space="preserve">studies have </w:t>
      </w:r>
      <w:r w:rsidR="004D5973">
        <w:t>found</w:t>
      </w:r>
      <w:r w:rsidR="00C679D6">
        <w:t xml:space="preserve"> </w:t>
      </w:r>
      <w:r w:rsidR="007909C8">
        <w:t>no</w:t>
      </w:r>
      <w:r w:rsidR="00550853">
        <w:t xml:space="preserve"> </w:t>
      </w:r>
      <w:r w:rsidR="00C679D6">
        <w:t>association betwee</w:t>
      </w:r>
      <w:r w:rsidR="00996A90">
        <w:t>n tobacco exposure and poorer</w:t>
      </w:r>
      <w:r w:rsidR="00C679D6">
        <w:t xml:space="preserve"> outcomes</w:t>
      </w:r>
      <w:r w:rsidR="00A8410F">
        <w:t>.</w:t>
      </w:r>
      <w:r w:rsidR="00AE13D9">
        <w:fldChar w:fldCharType="begin" w:fldLock="1"/>
      </w:r>
      <w:r w:rsidR="00391BF7">
        <w:instrText>ADDIN CSL_CITATION { "citationItems" : [ { "id" : "ITEM-1", "itemData" : { "DOI" : "10.1038/ajg.2010.140", "ISBN" : "1572-0241; 0002-9270", "ISSN" : "1572-0241", "PMID" : "20372115", "abstract" : "OBJECTIVES: We aimed to determine whether any of the nonsteroidal anti-inflammatory drugs (NSAIDs), antibiotics, infections, and stress trigger symptomatic flares of inflammatory bowel diseases (IBDs). METHODS: Participants drawn from a population-based IBD research registry were surveyed every 3 months for 1 year. They simultaneously tracked the use of NSAIDs, antibiotics, infections, major life events, mood, and perceived stress. Social networks, childhood socioeconomic status, and smoking were assessed at baseline. Disease flare was identified using the Manitoba Inflammatory Bowel Disease Index, a validated disease activity index. Across any two consecutive survey periods, participants were categorized as having a flare (inactive/active), having no flare (inactive/inactive), or remaining active (active/active). Potential triggers were evaluated for the first 3-month period to determine predictive rather than concurrent relationships. Data from only one pair of 3-month periods from an individual were analyzed. RESULTS: A total of 704 participants completed the baseline survey; 552 (78.3%) returned all 5 surveys. In all, 174 participants who had a flare were compared with 209 who had no flare. Perceived stress, negative affect (mood), and major life events were the only trigger variables significantly associated with flares. There were no differences between those who flared and those who did not, in the use of NSAIDs, antibiotics, or in the presence of infections. Multivariate logistic regression analyses indicated that only high-perceived stress (adjusted odds ratio=2.40 (1.35, 4.26)) was associated with an increased risk of flare. CONCLUSIONS: This study adds to the growing evidence that psychological factors contribute to IBD symptom flares. There was no support for differential rates of use of NSAIDS, antibiotics, or for the occurrence of (non-enteric) infections related to IBD flares.", "author" : [ { "dropping-particle" : "", "family" : "Bernstein", "given" : "Charles N", "non-dropping-particle" : "", "parse-names" : false, "suffix" : "" }, { "dropping-particle" : "", "family" : "Singh", "given" : "Sunny", "non-dropping-particle" : "", "parse-names" : false, "suffix" : "" }, { "dropping-particle" : "", "family" : "Graff", "given" : "Lesley a", "non-dropping-particle" : "", "parse-names" : false, "suffix" : "" }, { "dropping-particle" : "", "family" : "Walker", "given" : "John R", "non-dropping-particle" : "", "parse-names" : false, "suffix" : "" }, { "dropping-particle" : "", "family" : "Miller", "given" : "Norine", "non-dropping-particle" : "", "parse-names" : false, "suffix" : "" }, { "dropping-particle" : "", "family" : "Cheang", "given" : "Mary", "non-dropping-particle" : "", "parse-names" : false, "suffix" : "" } ], "container-title" : "The American journal of gastroenterology", "id" : "ITEM-1", "issue" : "9", "issued" : { "date-parts" : [ [ "2010" ] ] }, "page" : "1994-2002", "publisher" : "Nature Publishing Group", "title" : "A prospective population-based study of triggers of symptomatic flares in IBD.", "type" : "article-journal", "volume" : "105" }, "uris" : [ "http://www.mendeley.com/documents/?uuid=e9baa97a-e244-4725-9ac7-a122e70cadd9" ] } ], "mendeley" : { "formattedCitation" : "&lt;sup&gt;13&lt;/sup&gt;", "plainTextFormattedCitation" : "13", "previouslyFormattedCitation" : "&lt;sup&gt;13&lt;/sup&gt;" }, "properties" : { "noteIndex" : 0 }, "schema" : "https://github.com/citation-style-language/schema/raw/master/csl-citation.json" }</w:instrText>
      </w:r>
      <w:r w:rsidR="00AE13D9">
        <w:fldChar w:fldCharType="separate"/>
      </w:r>
      <w:r w:rsidR="00391BF7" w:rsidRPr="00391BF7">
        <w:rPr>
          <w:noProof/>
          <w:vertAlign w:val="superscript"/>
        </w:rPr>
        <w:t>13</w:t>
      </w:r>
      <w:r w:rsidR="00AE13D9">
        <w:fldChar w:fldCharType="end"/>
      </w:r>
      <w:r w:rsidR="00550853">
        <w:rPr>
          <w:vertAlign w:val="superscript"/>
        </w:rPr>
        <w:t>,</w:t>
      </w:r>
      <w:r w:rsidR="00AE13D9">
        <w:fldChar w:fldCharType="begin" w:fldLock="1"/>
      </w:r>
      <w:r w:rsidR="00391BF7">
        <w:instrText>ADDIN CSL_CITATION { "citationItems" : [ { "id" : "ITEM-1", "itemData" : { "DOI" : "10.1016/j.cgh.2007.09.002", "ISBN" : "1542-7714 (Electronic)\\r1542-7714 (Linking)", "ISSN" : "15423565", "PMID" : "18054751", "abstract" : "Background &amp; Aims: Most studies concerning the clinical course in CD are retrospective or based on selected patient groups. Our aim was to assess the course of CD in a prospective population-based follow-up study and to identify possible prognostic risk factors for complications on the basis of information obtained at initial diagnosis. Methods: From 1990-1994, a population-based cohort of 843 new cases of inflammatory bowel disease was recruited in South-Eastern Norway. The cohort was systematically followed up at 1, 5, and 10 years after diagnosis. Results: Of 237 patients classified as CD, 197 completed the 10 years of follow-up, 18 died, and 22 were lost to follow-up. The cumulative relapse rate during the first 10 years was 90% (95% confidence interval, 86%-94%), and the cumulative probability of surgery was 37.9% (95% confidence interval, 31.4%-44.4%). Terminal ileal location (P &lt; .001), stricturing (P = .004), penetrating behavior (P &lt; .001), and age younger than 40 years (P = .03) at diagnosis were independent risk factors for subsequent surgery. A total of 53% (n = 105) of the patients had developed stricturing or penetrating disease at 10 years. A large proportion of patients (44%) were in clinical remission during the last 5 years of follow-up. Conclusions: The prognosis for CD seems better than previously reported. The probability of surgery was low, and fewer than expected developed complicated disease behavior. Nevertheless, the cumulative relapse rate of 90% and the finding of prognostic risk factors for subsequent surgery might call for attention to early effective medical treatment strategies. ?? 2007 AGA Institute.", "author" : [ { "dropping-particle" : "", "family" : "Solberg", "given" : "Inger Camilla", "non-dropping-particle" : "", "parse-names" : false, "suffix" : "" }, { "dropping-particle" : "", "family" : "Vatn", "given" : "Morten H.", "non-dropping-particle" : "", "parse-names" : false, "suffix" : "" }, { "dropping-particle" : "", "family" : "H\u00f8ie", "given" : "Ole", "non-dropping-particle" : "", "parse-names" : false, "suffix" : "" }, { "dropping-particle" : "", "family" : "Stray", "given" : "Njaal", "non-dropping-particle" : "", "parse-names" : false, "suffix" : "" }, { "dropping-particle" : "", "family" : "Sauar", "given" : "Jostein", "non-dropping-particle" : "", "parse-names" : false, "suffix" : "" }, { "dropping-particle" : "", "family" : "Jahnsen", "given" : "J\u00f8rgen", "non-dropping-particle" : "", "parse-names" : false, "suffix" : "" }, { "dropping-particle" : "", "family" : "Moum", "given" : "Bj\u00f8rn", "non-dropping-particle" : "", "parse-names" : false, "suffix" : "" }, { "dropping-particle" : "", "family" : "Lygren", "given" : "Idar", "non-dropping-particle" : "", "parse-names" : false, "suffix" : "" } ], "container-title" : "Clinical Gastroenterology and Hepatology", "id" : "ITEM-1", "issue" : "12", "issued" : { "date-parts" : [ [ "2007" ] ] }, "page" : "1430-1438", "title" : "Clinical Course in Crohn's Disease: Results of a Norwegian Population-Based Ten-Year Follow-Up Study", "type" : "article-journal", "volume" : "5" }, "uris" : [ "http://www.mendeley.com/documents/?uuid=f22af510-8bf5-4b66-a210-8ca1935f9c8a" ] } ], "mendeley" : { "formattedCitation" : "&lt;sup&gt;14&lt;/sup&gt;", "plainTextFormattedCitation" : "14", "previouslyFormattedCitation" : "&lt;sup&gt;14&lt;/sup&gt;" }, "properties" : { "noteIndex" : 0 }, "schema" : "https://github.com/citation-style-language/schema/raw/master/csl-citation.json" }</w:instrText>
      </w:r>
      <w:r w:rsidR="00AE13D9">
        <w:fldChar w:fldCharType="separate"/>
      </w:r>
      <w:r w:rsidR="00391BF7" w:rsidRPr="00391BF7">
        <w:rPr>
          <w:noProof/>
          <w:vertAlign w:val="superscript"/>
        </w:rPr>
        <w:t>14</w:t>
      </w:r>
      <w:r w:rsidR="00AE13D9">
        <w:fldChar w:fldCharType="end"/>
      </w:r>
      <w:r w:rsidR="00550853">
        <w:rPr>
          <w:vertAlign w:val="superscript"/>
        </w:rPr>
        <w:t>,</w:t>
      </w:r>
      <w:r w:rsidR="00AE13D9">
        <w:fldChar w:fldCharType="begin" w:fldLock="1"/>
      </w:r>
      <w:r w:rsidR="00391BF7">
        <w:instrText>ADDIN CSL_CITATION { "citationItems" : [ { "id" : "ITEM-1", "itemData" : { "DOI" : "10.1016/j.crohns.2012.03.020", "ISBN" : "1876-4479 (Electronic)\\r1873-9946 (Linking)", "ISSN" : "18739946", "PMID" : "22537639", "abstract" : "Background: Active smoking has been associated with a higher risk of developing Crohn's disease (CD). However, its impact on clinical outcomes has been controversial among studies. Aims: To evaluate the influence of active smoking on initial manifestations of CD, the development of disease-related complications, and therapeutic requirements. Methods: Patients diagnosed with CD within a ten-year period (1994-2003) were identified. Clinical and therapeutic features until October 2008 or loss of follow-up were recorded. Smoking status was assessed at each major disease-related event (e.g. penetrating and stricturing complications, perianal disease, intestinal resection, introduction of immunomodulators or biological agents). Results: A total of 259 patients were included in the study with a median follow-up period of 91. months. At diagnosis, 50.5% were active smokers and only 12% of them quit smoking during follow-up, mostly after a major disease-related event occurred. Smoking at diagnosis was not associated with a particular CD presentation. Active smoking did not influence the development of strictures, intraabdominal and perianal penetrating complications, or increased resectional surgery, biological therapy or immunomodulators requirements. Conclusions: Patients who develop CD while smoking seem to have a similar disease course to those who never smoked. \u00a9 2012 European Crohn's and Colitis Organisation.", "author" : [ { "dropping-particle" : "", "family" : "Zabana", "given" : "Yamile", "non-dropping-particle" : "", "parse-names" : false, "suffix" : "" }, { "dropping-particle" : "", "family" : "Garcia-Planella", "given" : "Esther", "non-dropping-particle" : "", "parse-names" : false, "suffix" : "" }, { "dropping-particle" : "", "family" : "Domselaar", "given" : "Manuel", "non-dropping-particle" : "Van", "parse-names" : false, "suffix" : "" }, { "dropping-particle" : "", "family" : "Ma\u00f1osa", "given" : "M\u00edriam", "non-dropping-particle" : "", "parse-names" : false, "suffix" : "" }, { "dropping-particle" : "", "family" : "Gordillo", "given" : "Jordi", "non-dropping-particle" : "", "parse-names" : false, "suffix" : "" }, { "dropping-particle" : "", "family" : "L\u00f3pez San Rom\u00e1n", "given" : "Antonio", "non-dropping-particle" : "", "parse-names" : false, "suffix" : "" }, { "dropping-particle" : "", "family" : "Cabr\u00e9", "given" : "Eduard", "non-dropping-particle" : "", "parse-names" : false, "suffix" : "" }, { "dropping-particle" : "", "family" : "Dom\u00e8nech", "given" : "Eugeni", "non-dropping-particle" : "", "parse-names" : false, "suffix" : "" } ], "container-title" : "Journal of Crohn's and Colitis", "id" : "ITEM-1", "issue" : "4", "issued" : { "date-parts" : [ [ "2013" ] ] }, "page" : "280-285", "publisher" : "European Crohn's and Colitis Organisation", "title" : "Does active smoking really influence the course of Crohn's disease? A retrospective observational study", "type" : "article-journal", "volume" : "7" }, "uris" : [ "http://www.mendeley.com/documents/?uuid=61d502e9-04e0-4a9d-813f-58b5e4fe1305" ] } ], "mendeley" : { "formattedCitation" : "&lt;sup&gt;15&lt;/sup&gt;", "plainTextFormattedCitation" : "15", "previouslyFormattedCitation" : "&lt;sup&gt;15&lt;/sup&gt;" }, "properties" : { "noteIndex" : 0 }, "schema" : "https://github.com/citation-style-language/schema/raw/master/csl-citation.json" }</w:instrText>
      </w:r>
      <w:r w:rsidR="00AE13D9">
        <w:fldChar w:fldCharType="separate"/>
      </w:r>
      <w:r w:rsidR="00391BF7" w:rsidRPr="00391BF7">
        <w:rPr>
          <w:noProof/>
          <w:vertAlign w:val="superscript"/>
        </w:rPr>
        <w:t>15</w:t>
      </w:r>
      <w:r w:rsidR="00AE13D9">
        <w:fldChar w:fldCharType="end"/>
      </w:r>
    </w:p>
    <w:p w:rsidR="00C630DD" w:rsidRDefault="004F6608" w:rsidP="00304057">
      <w:pPr>
        <w:spacing w:line="480" w:lineRule="auto"/>
        <w:jc w:val="both"/>
      </w:pPr>
      <w:r w:rsidRPr="004F6608">
        <w:t xml:space="preserve">The majority of previous studies examining the relationship between smoking and disease outcomes in CD have originated from secondary or tertiary care and are therefore likely to comprise of patients with a more severe phenotype. In a recent meta-analysis on the impact of smoking on disease outcomes in CD thirty-two of the 33 studies </w:t>
      </w:r>
      <w:r w:rsidR="00465E20">
        <w:t xml:space="preserve">were </w:t>
      </w:r>
      <w:r w:rsidRPr="004F6608">
        <w:t>derived from referral centres</w:t>
      </w:r>
      <w:r w:rsidR="00C630DD" w:rsidRPr="004F6608">
        <w:t>.</w:t>
      </w:r>
      <w:r w:rsidR="00AE13D9" w:rsidRPr="00BB796D">
        <w:fldChar w:fldCharType="begin" w:fldLock="1"/>
      </w:r>
      <w:r w:rsidR="00391BF7" w:rsidRPr="00BB796D">
        <w:instrText>ADDIN CSL_CITATION { "citationItems" : [ { "id" : "ITEM-1", "itemData" : { "DOI" : "10.1111/apt.13511", "ISBN" : "0269-2813", "ISSN" : "1365-2036", "PMID" : "26749371", "abstract" : "BACKGROUND: Tobacco smoking is a well-established risk factor for the development of Crohn's disease, and this may lead to a more complicated disease course. However, recent evidence suggests that many patients with Crohn's disease are unaware of this fact.\\n\\nAIM: To perform a systematic review and meta-analysis of the effects of smoking on disease course in Crohn's disease.\\n\\nMETHODS: A search of MEDLINE, EMBASE and EMBASE classic was carried out (up to July 2015) to identify observational studies reporting data on smoking and rates of surgery or flares of disease activity in patients with Crohn's disease. Dichotomous data were pooled to obtain odds ratios (ORs) for flares of disease activity or need for surgery, with 95% confidence intervals (CIs).\\n\\nRESULTS: The search identified 33 eligible studies. Compared with nonsmokers, smokers had increased odds of flare of disease activity (OR, 1.56; 95% CI, 1.21-2.01), flare after surgery (OR, 1.97; 95% CI, 1.36-2.85), need for first surgery (OR, 1.68; 95% CI, 1.33-2.12) and need for second surgery (OR, 2.17; 95% CI, 1.63-2.89). The odds of these outcomes among ex-smokers diminished upon smoking cessation, with ORs comparable to those among nonsmokers and, in the case of flare or second surgery, significantly lower than smokers.\\n\\nCONCLUSIONS: Smokers with Crohn's disease have a more complicated disease course than nonsmokers, and quitting smoking may ameliorate this. Patients should be reminded of the detrimental effects of smoking on the course of their disease, and smoking cessation advice should be provided to reduce disease burden and costs in these patients.", "author" : [ { "dropping-particle" : "", "family" : "To", "given" : "N", "non-dropping-particle" : "", "parse-names" : false, "suffix" : "" }, { "dropping-particle" : "", "family" : "Gracie", "given" : "D J", "non-dropping-particle" : "", "parse-names" : false, "suffix" : "" }, { "dropping-particle" : "", "family" : "Ford", "given" : "a C", "non-dropping-particle" : "", "parse-names" : false, "suffix" : "" } ], "container-title" : "Alimentary pharmacology &amp; therapeutics", "id" : "ITEM-1", "issued" : { "date-parts" : [ [ "2016" ] ] }, "page" : "549-561", "title" : "Systematic review with meta-analysis: the adverse effect of tobacco smoking on the natural history of Crohn's disease.", "type" : "article-journal" }, "uris" : [ "http://www.mendeley.com/documents/?uuid=7fc420f7-f365-420c-bf7d-fe79d5df7254" ] } ], "mendeley" : { "formattedCitation" : "&lt;sup&gt;16&lt;/sup&gt;", "plainTextFormattedCitation" : "16", "previouslyFormattedCitation" : "&lt;sup&gt;16&lt;/sup&gt;" }, "properties" : { "noteIndex" : 0 }, "schema" : "https://github.com/citation-style-language/schema/raw/master/csl-citation.json" }</w:instrText>
      </w:r>
      <w:r w:rsidR="00AE13D9" w:rsidRPr="00BB796D">
        <w:fldChar w:fldCharType="separate"/>
      </w:r>
      <w:r w:rsidR="00391BF7" w:rsidRPr="00BB796D">
        <w:rPr>
          <w:noProof/>
          <w:vertAlign w:val="superscript"/>
        </w:rPr>
        <w:t>16</w:t>
      </w:r>
      <w:r w:rsidR="00AE13D9" w:rsidRPr="00BB796D">
        <w:fldChar w:fldCharType="end"/>
      </w:r>
      <w:r w:rsidR="009F187D" w:rsidRPr="00BB796D">
        <w:t xml:space="preserve"> </w:t>
      </w:r>
      <w:r w:rsidR="002F7A5D" w:rsidRPr="00BB796D">
        <w:t>Population-based studies reporting on the relationship between smoking and disease course in CD are few</w:t>
      </w:r>
      <w:r w:rsidR="00372D39" w:rsidRPr="00BB796D">
        <w:t>er</w:t>
      </w:r>
      <w:r w:rsidR="002F7A5D" w:rsidRPr="00BB796D">
        <w:t xml:space="preserve"> in number</w:t>
      </w:r>
      <w:r w:rsidR="00BB796D">
        <w:t>,</w:t>
      </w:r>
      <w:r w:rsidR="00AE13D9" w:rsidRPr="00BB796D">
        <w:fldChar w:fldCharType="begin" w:fldLock="1"/>
      </w:r>
      <w:r w:rsidR="00F62348" w:rsidRPr="00BB796D">
        <w:instrText>ADDIN CSL_CITATION { "citationItems" : [ { "id" : "ITEM-1", "itemData" : { "DOI" : "10.1038/ctg.2016.21", "ISSN" : "2155-384X", "PMID" : "27101004", "author" : [ { "dropping-particle" : "", "family" : "Frolkis", "given" : "Alexandra D", "non-dropping-particle" : "", "parse-names" : false, "suffix" : "" }, { "dropping-particle" : "", "family" : "Bruyn", "given" : "Jennifer", "non-dropping-particle" : "de", "parse-names" : false, "suffix" : "" }, { "dropping-particle" : "", "family" : "Jette", "given" : "Nathalie", "non-dropping-particle" : "", "parse-names" : false, "suffix" : "" }, { "dropping-particle" : "", "family" : "Lowerison", "given" : "Mark", "non-dropping-particle" : "", "parse-names" : false, "suffix" : "" }, { "dropping-particle" : "", "family" : "Engbers", "given" : "Jordan", "non-dropping-particle" : "", "parse-names" : false, "suffix" : "" }, { "dropping-particle" : "", "family" : "Ghali", "given" : "William", "non-dropping-particle" : "", "parse-names" : false, "suffix" : "" }, { "dropping-particle" : "", "family" : "Lewis", "given" : "James D", "non-dropping-particle" : "", "parse-names" : false, "suffix" : "" }, { "dropping-particle" : "", "family" : "Vallerand", "given" : "Isabelle", "non-dropping-particle" : "", "parse-names" : false, "suffix" : "" }, { "dropping-particle" : "", "family" : "Patten", "given" : "Scott", "non-dropping-particle" : "", "parse-names" : false, "suffix" : "" }, { "dropping-particle" : "", "family" : "Eksteen", "given" : "Bertus", "non-dropping-particle" : "", "parse-names" : false, "suffix" : "" }, { "dropping-particle" : "", "family" : "Barnabe", "given" : "Cheryl", "non-dropping-particle" : "", "parse-names" : false, "suffix" : "" }, { "dropping-particle" : "", "family" : "Panaccione", "given" : "Remo", "non-dropping-particle" : "", "parse-names" : false, "suffix" : "" }, { "dropping-particle" : "", "family" : "Ghosh", "given" : "Subrata", "non-dropping-particle" : "", "parse-names" : false, "suffix" : "" }, { "dropping-particle" : "", "family" : "Wiebe", "given" : "Samuel", "non-dropping-particle" : "", "parse-names" : false, "suffix" : "" }, { "dropping-particle" : "", "family" : "Kaplan", "given" : "Gilaad G", "non-dropping-particle" : "", "parse-names" : false, "suffix" : "" } ], "container-title" : "Clinical and Translational Gastroenterology", "id" : "ITEM-1", "issue" : "4", "issued" : { "date-parts" : [ [ "2016" ] ] }, "page" : "e165", "publisher" : "Nature Publishing Group", "title" : "The Association of Smoking and Surgery in Inflammatory Bowel Disease is Modified by Age at Diagnosis", "type" : "article-journal", "volume" : "7" }, "uris" : [ "http://www.mendeley.com/documents/?uuid=88a8652c-6981-4d85-a683-c9510fa0f93c" ] } ], "mendeley" : { "formattedCitation" : "&lt;sup&gt;3&lt;/sup&gt;", "plainTextFormattedCitation" : "3", "previouslyFormattedCitation" : "&lt;sup&gt;3&lt;/sup&gt;" }, "properties" : { "noteIndex" : 0 }, "schema" : "https://github.com/citation-style-language/schema/raw/master/csl-citation.json" }</w:instrText>
      </w:r>
      <w:r w:rsidR="00AE13D9" w:rsidRPr="00BB796D">
        <w:fldChar w:fldCharType="separate"/>
      </w:r>
      <w:r w:rsidR="009F5C13" w:rsidRPr="00BB796D">
        <w:rPr>
          <w:noProof/>
          <w:vertAlign w:val="superscript"/>
        </w:rPr>
        <w:t>3</w:t>
      </w:r>
      <w:r w:rsidR="00AE13D9" w:rsidRPr="00BB796D">
        <w:fldChar w:fldCharType="end"/>
      </w:r>
      <w:r w:rsidR="00A8410F" w:rsidRPr="00BB796D">
        <w:rPr>
          <w:vertAlign w:val="superscript"/>
        </w:rPr>
        <w:t>,</w:t>
      </w:r>
      <w:r w:rsidR="00AE13D9" w:rsidRPr="00BB796D">
        <w:fldChar w:fldCharType="begin" w:fldLock="1"/>
      </w:r>
      <w:r w:rsidR="00391BF7" w:rsidRPr="00BB796D">
        <w:instrText>ADDIN CSL_CITATION { "citationItems" : [ { "id" : "ITEM-1", "itemData" : { "DOI" : "10.1038/ajg.2010.140", "ISBN" : "1572-0241; 0002-9270", "ISSN" : "1572-0241", "PMID" : "20372115", "abstract" : "OBJECTIVES: We aimed to determine whether any of the nonsteroidal anti-inflammatory drugs (NSAIDs), antibiotics, infections, and stress trigger symptomatic flares of inflammatory bowel diseases (IBDs). METHODS: Participants drawn from a population-based IBD research registry were surveyed every 3 months for 1 year. They simultaneously tracked the use of NSAIDs, antibiotics, infections, major life events, mood, and perceived stress. Social networks, childhood socioeconomic status, and smoking were assessed at baseline. Disease flare was identified using the Manitoba Inflammatory Bowel Disease Index, a validated disease activity index. Across any two consecutive survey periods, participants were categorized as having a flare (inactive/active), having no flare (inactive/inactive), or remaining active (active/active). Potential triggers were evaluated for the first 3-month period to determine predictive rather than concurrent relationships. Data from only one pair of 3-month periods from an individual were analyzed. RESULTS: A total of 704 participants completed the baseline survey; 552 (78.3%) returned all 5 surveys. In all, 174 participants who had a flare were compared with 209 who had no flare. Perceived stress, negative affect (mood), and major life events were the only trigger variables significantly associated with flares. There were no differences between those who flared and those who did not, in the use of NSAIDs, antibiotics, or in the presence of infections. Multivariate logistic regression analyses indicated that only high-perceived stress (adjusted odds ratio=2.40 (1.35, 4.26)) was associated with an increased risk of flare. CONCLUSIONS: This study adds to the growing evidence that psychological factors contribute to IBD symptom flares. There was no support for differential rates of use of NSAIDS, antibiotics, or for the occurrence of (non-enteric) infections related to IBD flares.", "author" : [ { "dropping-particle" : "", "family" : "Bernstein", "given" : "Charles N", "non-dropping-particle" : "", "parse-names" : false, "suffix" : "" }, { "dropping-particle" : "", "family" : "Singh", "given" : "Sunny", "non-dropping-particle" : "", "parse-names" : false, "suffix" : "" }, { "dropping-particle" : "", "family" : "Graff", "given" : "Lesley a", "non-dropping-particle" : "", "parse-names" : false, "suffix" : "" }, { "dropping-particle" : "", "family" : "Walker", "given" : "John R", "non-dropping-particle" : "", "parse-names" : false, "suffix" : "" }, { "dropping-particle" : "", "family" : "Miller", "given" : "Norine", "non-dropping-particle" : "", "parse-names" : false, "suffix" : "" }, { "dropping-particle" : "", "family" : "Cheang", "given" : "Mary", "non-dropping-particle" : "", "parse-names" : false, "suffix" : "" } ], "container-title" : "The American journal of gastroenterology", "id" : "ITEM-1", "issue" : "9", "issued" : { "date-parts" : [ [ "2010" ] ] }, "page" : "1994-2002", "publisher" : "Nature Publishing Group", "title" : "A prospective population-based study of triggers of symptomatic flares in IBD.", "type" : "article-journal", "volume" : "105" }, "uris" : [ "http://www.mendeley.com/documents/?uuid=e9baa97a-e244-4725-9ac7-a122e70cadd9" ] } ], "mendeley" : { "formattedCitation" : "&lt;sup&gt;13&lt;/sup&gt;", "plainTextFormattedCitation" : "13", "previouslyFormattedCitation" : "&lt;sup&gt;13&lt;/sup&gt;" }, "properties" : { "noteIndex" : 0 }, "schema" : "https://github.com/citation-style-language/schema/raw/master/csl-citation.json" }</w:instrText>
      </w:r>
      <w:r w:rsidR="00AE13D9" w:rsidRPr="00BB796D">
        <w:fldChar w:fldCharType="separate"/>
      </w:r>
      <w:r w:rsidR="00391BF7" w:rsidRPr="00BB796D">
        <w:rPr>
          <w:noProof/>
          <w:vertAlign w:val="superscript"/>
        </w:rPr>
        <w:t>13</w:t>
      </w:r>
      <w:r w:rsidR="00AE13D9" w:rsidRPr="00BB796D">
        <w:fldChar w:fldCharType="end"/>
      </w:r>
      <w:r w:rsidR="00787592" w:rsidRPr="00BB796D">
        <w:t xml:space="preserve"> </w:t>
      </w:r>
      <w:r w:rsidR="00BB796D">
        <w:t>yet</w:t>
      </w:r>
      <w:r w:rsidR="002F7A5D" w:rsidRPr="00BB796D">
        <w:t xml:space="preserve"> </w:t>
      </w:r>
      <w:r w:rsidR="00787592" w:rsidRPr="00BB796D">
        <w:t xml:space="preserve">may be better placed to examine the </w:t>
      </w:r>
      <w:r w:rsidR="00372D39" w:rsidRPr="00BB796D">
        <w:t xml:space="preserve">true </w:t>
      </w:r>
      <w:r w:rsidR="00787592" w:rsidRPr="00BB796D">
        <w:t>impact of smoking o</w:t>
      </w:r>
      <w:r w:rsidR="00D05241" w:rsidRPr="00BB796D">
        <w:t xml:space="preserve">n outcomes in CD as </w:t>
      </w:r>
      <w:r w:rsidR="00372D39" w:rsidRPr="00BB796D">
        <w:t xml:space="preserve">they will </w:t>
      </w:r>
      <w:r w:rsidR="00BB796D">
        <w:t xml:space="preserve">include a more diverse </w:t>
      </w:r>
      <w:r w:rsidR="00372D39" w:rsidRPr="00BB796D">
        <w:t>range of patient ph</w:t>
      </w:r>
      <w:r w:rsidR="00F578B4" w:rsidRPr="00BB796D">
        <w:t>enotypes</w:t>
      </w:r>
      <w:r w:rsidR="00BB796D">
        <w:t>.</w:t>
      </w:r>
      <w:r w:rsidR="00785E34">
        <w:t xml:space="preserve"> </w:t>
      </w:r>
    </w:p>
    <w:p w:rsidR="00F578B4" w:rsidRPr="00465E20" w:rsidRDefault="00465E20" w:rsidP="00304057">
      <w:pPr>
        <w:spacing w:line="480" w:lineRule="auto"/>
        <w:jc w:val="both"/>
      </w:pPr>
      <w:r w:rsidRPr="00465E20">
        <w:t>Despite strong evidence that smoking is detrimental to gut health in CD, there is limited evidence that smoking cessation can improve disease outcomes.</w:t>
      </w:r>
      <w:r w:rsidR="00AE13D9" w:rsidRPr="00465E20">
        <w:fldChar w:fldCharType="begin" w:fldLock="1"/>
      </w:r>
      <w:r w:rsidR="00391BF7" w:rsidRPr="00465E20">
        <w:instrText>ADDIN CSL_CITATION { "citationItems" : [ { "id" : "ITEM-1", "itemData" : { "DOI" : "10.1053/gast.2001.23231", "ISBN" : "0016-5085 (Print)\\r0016-5085 (Linking)", "ISSN" : "0016-5085", "PMID" : "11266373", "abstract" : "BACKGROUND AND AIMS: To evaluate the benefit of smoking cessation in individuals with Crohn's disease, we performed an intervention study in a large cohort of smokers with the disease.\\n\\nMETHODS: Repeated counseling to stop smoking, with easy access to a smoking cessation program, was given to 474 consecutive smokers with Crohn's disease. Patients who stopped smoking for more than 1 year (quitters) were included in a prospective follow-up study, which compared disease course and therapeutic needs with 2 control groups, continuing smokers and nonsmokers, paired for age, gender, disease location, and activity.\\n\\nRESULTS: There were 59 quitters (12%). Predictors of quitting were the physician, previous intestinal surgery, high socioeconomic status, and in women, oral contraceptive use. During a median follow-up of 29 months (1-54 months), the risk of flare-up in quitters did not differ from that in nonsmokers and was less than in continuing smokers (P &lt; 0.001). Need for steroids and for introduction or reinforcement of immunosuppressive therapy, respectively, were similar in quitters and nonsmokers and increased in continuing smokers. The risk of surgery was not significantly different in the 3 groups.\\n\\nCONCLUSIONS: Patients with Crohn's disease who stop smoking for more than 1 year have a more benign disease course than if they had never smoked.", "author" : [ { "dropping-particle" : "", "family" : "Cosnes", "given" : "J", "non-dropping-particle" : "", "parse-names" : false, "suffix" : "" }, { "dropping-particle" : "", "family" : "Beaugerie", "given" : "L", "non-dropping-particle" : "", "parse-names" : false, "suffix" : "" }, { "dropping-particle" : "", "family" : "Carbonnel", "given" : "F", "non-dropping-particle" : "", "parse-names" : false, "suffix" : "" }, { "dropping-particle" : "", "family" : "Gendre", "given" : "J P", "non-dropping-particle" : "", "parse-names" : false, "suffix" : "" } ], "container-title" : "Gastroenterology", "id" : "ITEM-1", "issue" : "5", "issued" : { "date-parts" : [ [ "2001" ] ] }, "page" : "1093-9", "title" : "Smoking cessation and the course of Crohn's disease: an intervention study.", "type" : "article-journal", "volume" : "120" }, "uris" : [ "http://www.mendeley.com/documents/?uuid=2aab8364-b2bb-47f6-b5ad-978ac4a6463d" ] } ], "mendeley" : { "formattedCitation" : "&lt;sup&gt;17&lt;/sup&gt;", "plainTextFormattedCitation" : "17", "previouslyFormattedCitation" : "&lt;sup&gt;17&lt;/sup&gt;" }, "properties" : { "noteIndex" : 0 }, "schema" : "https://github.com/citation-style-language/schema/raw/master/csl-citation.json" }</w:instrText>
      </w:r>
      <w:r w:rsidR="00AE13D9" w:rsidRPr="00465E20">
        <w:fldChar w:fldCharType="separate"/>
      </w:r>
      <w:r w:rsidR="00391BF7" w:rsidRPr="00465E20">
        <w:rPr>
          <w:noProof/>
          <w:vertAlign w:val="superscript"/>
        </w:rPr>
        <w:t>17</w:t>
      </w:r>
      <w:r w:rsidR="00AE13D9" w:rsidRPr="00465E20">
        <w:fldChar w:fldCharType="end"/>
      </w:r>
      <w:r>
        <w:rPr>
          <w:vertAlign w:val="superscript"/>
        </w:rPr>
        <w:t>,</w:t>
      </w:r>
      <w:r w:rsidR="00AE13D9" w:rsidRPr="00465E20">
        <w:fldChar w:fldCharType="begin" w:fldLock="1"/>
      </w:r>
      <w:r w:rsidR="00735E84" w:rsidRPr="00465E20">
        <w:instrText>ADDIN CSL_CITATION { "citationItems" : [ { "id" : "ITEM-1", "itemData" : { "DOI" : "10.1038/ajg.2015.401", "ISSN" : "0002-9270", "PMID" : "26856753", "abstract" : "OBJECTIVES: Given the importance of tobacco smoking (TS) as the only environmental factor repeatedly linked to the development of the Crohn's disease (CD), it is surprising that very few prospective studies have assessed whether TS is associated with an increased frequency of clinical relapse. Our aim was to evaluate the current impact of TS on disease relapse and the clinical benefit of quitting smoking in the present era of widespread use of anti-TNF drugs and immunosuppressants.\\n\\nMETHODS: This was a multicenter prospective cohort study, which included 573 CD patients in clinical remission with various smoking habits. All smokers were advised to quit. Patients not exposed to tobacco before inclusion (non- and former smokers), continuing smokers, and quitters were compared regarding differences in disease outcomes during a follow-up of 4 years.\\n\\nRESULTS: A total of 148 continuing smokers, 190 nonsmokers, 160 former smokers, and 75 quitters were included. In comparison with nonsmokers, continuing smokers relapsed more frequently with an incidence rate ratio of 1.53 (95% confidence interval (CI): 1.10-2.17). Former smokers and quitters had similar relapse incidences compared with nonsmokers. Smoking was an independent predictor for disease relapse in the multivariate analysis (hazard ratio: 1.58 (95% CI 1.20-2.09). In the time-dependent analysis, continuing smokers had earlier relapse, regardless of anti-TNF or immunosuppressant use.\\n\\nCONCLUSIONS: Continuing smokers have more disease relapses, and patients who quit smoking have a similar relapse incidence compared with nonsmokers.Am J Gastroenterol advance online publication, 9 February 2016; doi:10.1038/ajg.2015.401.", "author" : [ { "dropping-particle" : "", "family" : "Nunes", "given" : "Tiago", "non-dropping-particle" : "", "parse-names" : false, "suffix" : "" }, { "dropping-particle" : "", "family" : "Etchevers", "given" : "Maria Josefina", "non-dropping-particle" : "", "parse-names" : false, "suffix" : "" }, { "dropping-particle" : "", "family" : "Garc\u00eda-S\u00e1nchez", "given" : "Valle", "non-dropping-particle" : "", "parse-names" : false, "suffix" : "" }, { "dropping-particle" : "", "family" : "Ginard", "given" : "Daniel", "non-dropping-particle" : "", "parse-names" : false, "suffix" : "" }, { "dropping-particle" : "", "family" : "Mart\u00ed", "given" : "Eva", "non-dropping-particle" : "", "parse-names" : false, "suffix" : "" }, { "dropping-particle" : "", "family" : "Barreiro-de Acosta", "given" : "Manuel", "non-dropping-particle" : "", "parse-names" : false, "suffix" : "" }, { "dropping-particle" : "", "family" : "Gomoll\u00f3n", "given" : "Fernando", "non-dropping-particle" : "", "parse-names" : false, "suffix" : "" }, { "dropping-particle" : "", "family" : "Arroyo", "given" : "Maite", "non-dropping-particle" : "", "parse-names" : false, "suffix" : "" }, { "dropping-particle" : "", "family" : "Bastida", "given" : "Guillermo", "non-dropping-particle" : "", "parse-names" : false, "suffix" : "" }, { "dropping-particle" : "", "family" : "Gonzalez", "given" : "Benito", "non-dropping-particle" : "", "parse-names" : false, "suffix" : "" }, { "dropping-particle" : "", "family" : "Monfort", "given" : "David", "non-dropping-particle" : "", "parse-names" : false, "suffix" : "" }, { "dropping-particle" : "", "family" : "Garc\u00eda-Planella", "given" : "Esther", "non-dropping-particle" : "", "parse-names" : false, "suffix" : "" }, { "dropping-particle" : "", "family" : "Figueroa", "given" : "Carolina", "non-dropping-particle" : "", "parse-names" : false, "suffix" : "" }, { "dropping-particle" : "", "family" : "Pan\u00e9s", "given" : "Juli\u00e1n", "non-dropping-particle" : "", "parse-names" : false, "suffix" : "" }, { "dropping-particle" : "", "family" : "Sans", "given" : "Miquel", "non-dropping-particle" : "", "parse-names" : false, "suffix" : "" } ], "container-title" : "The American Journal of Gastroenterology", "id" : "ITEM-1", "issue" : "November 2015", "issued" : { "date-parts" : [ [ "2016" ] ] }, "page" : "1-9", "title" : "Impact of Smoking Cessation on the Clinical Course of Crohn\u2019s Disease Under Current Therapeutic Algorithms: A Multicenter Prospective Study", "type" : "article-journal" }, "uris" : [ "http://www.mendeley.com/documents/?uuid=8aa81338-d835-41fa-983d-e529ff6af5d4" ] } ], "mendeley" : { "formattedCitation" : "&lt;sup&gt;18&lt;/sup&gt;", "plainTextFormattedCitation" : "18", "previouslyFormattedCitation" : "&lt;sup&gt;18&lt;/sup&gt;" }, "properties" : { "noteIndex" : 0 }, "schema" : "https://github.com/citation-style-language/schema/raw/master/csl-citation.json" }</w:instrText>
      </w:r>
      <w:r w:rsidR="00AE13D9" w:rsidRPr="00465E20">
        <w:fldChar w:fldCharType="separate"/>
      </w:r>
      <w:r w:rsidR="00391BF7" w:rsidRPr="00465E20">
        <w:rPr>
          <w:noProof/>
          <w:vertAlign w:val="superscript"/>
        </w:rPr>
        <w:t>18</w:t>
      </w:r>
      <w:r w:rsidR="00AE13D9" w:rsidRPr="00465E20">
        <w:fldChar w:fldCharType="end"/>
      </w:r>
      <w:r w:rsidR="00391BF7" w:rsidRPr="00465E20">
        <w:t xml:space="preserve"> </w:t>
      </w:r>
      <w:r w:rsidRPr="00465E20">
        <w:t>To our knowledge, the potential benefits of smoking cessation have not previously been evaluated in a population based cohort that is free of referral centre bias.</w:t>
      </w:r>
    </w:p>
    <w:p w:rsidR="00931C60" w:rsidRPr="00931C60" w:rsidRDefault="00931C60" w:rsidP="00931C60">
      <w:pPr>
        <w:spacing w:line="480" w:lineRule="auto"/>
        <w:jc w:val="both"/>
      </w:pPr>
      <w:r w:rsidRPr="00931C60">
        <w:t xml:space="preserve">We therefore aimed  to perform a population based study to investigate both the impact of smoking status at diagnosis </w:t>
      </w:r>
      <w:r w:rsidRPr="00931C60">
        <w:rPr>
          <w:i/>
        </w:rPr>
        <w:t>and</w:t>
      </w:r>
      <w:r w:rsidRPr="00931C60">
        <w:t xml:space="preserve"> the impact of subsequent smoking cessation after diagnosis on clinical outcomes in </w:t>
      </w:r>
      <w:proofErr w:type="spellStart"/>
      <w:r w:rsidRPr="00931C60">
        <w:t>Crohn’s</w:t>
      </w:r>
      <w:proofErr w:type="spellEnd"/>
      <w:r w:rsidRPr="00931C60">
        <w:t xml:space="preserve"> disease. We hypothesised that smoking at the time of CD diagnosis is an </w:t>
      </w:r>
      <w:r w:rsidRPr="00931C60">
        <w:lastRenderedPageBreak/>
        <w:t>independent risk factor associated with adverse outcomes in CD and that smoking cessation would impact favourably.</w:t>
      </w:r>
    </w:p>
    <w:p w:rsidR="00931C60" w:rsidRDefault="00931C60" w:rsidP="00304057">
      <w:pPr>
        <w:spacing w:line="480" w:lineRule="auto"/>
        <w:jc w:val="both"/>
        <w:rPr>
          <w:u w:val="single"/>
        </w:rPr>
      </w:pPr>
    </w:p>
    <w:p w:rsidR="00B90197" w:rsidRDefault="00B90197">
      <w:pPr>
        <w:rPr>
          <w:u w:val="single"/>
        </w:rPr>
      </w:pPr>
      <w:r>
        <w:rPr>
          <w:u w:val="single"/>
        </w:rPr>
        <w:br w:type="page"/>
      </w:r>
    </w:p>
    <w:p w:rsidR="00A14DE4" w:rsidRPr="00264484" w:rsidRDefault="00A14DE4" w:rsidP="00304057">
      <w:pPr>
        <w:pStyle w:val="Heading1"/>
        <w:spacing w:line="480" w:lineRule="auto"/>
        <w:jc w:val="both"/>
        <w:rPr>
          <w:rFonts w:asciiTheme="minorHAnsi" w:hAnsiTheme="minorHAnsi"/>
        </w:rPr>
      </w:pPr>
      <w:r w:rsidRPr="00264484">
        <w:rPr>
          <w:rFonts w:asciiTheme="minorHAnsi" w:hAnsiTheme="minorHAnsi"/>
        </w:rPr>
        <w:lastRenderedPageBreak/>
        <w:t>Methods</w:t>
      </w:r>
    </w:p>
    <w:p w:rsidR="0055752A" w:rsidRDefault="0055752A" w:rsidP="00304057">
      <w:pPr>
        <w:pStyle w:val="Heading2"/>
        <w:spacing w:line="480" w:lineRule="auto"/>
        <w:rPr>
          <w:rFonts w:asciiTheme="minorHAnsi" w:hAnsiTheme="minorHAnsi"/>
        </w:rPr>
      </w:pPr>
      <w:r w:rsidRPr="00264484">
        <w:rPr>
          <w:rFonts w:asciiTheme="minorHAnsi" w:hAnsiTheme="minorHAnsi"/>
        </w:rPr>
        <w:t>Data source</w:t>
      </w:r>
    </w:p>
    <w:p w:rsidR="00BD728D" w:rsidRDefault="00BD728D" w:rsidP="00BD728D">
      <w:pPr>
        <w:spacing w:line="480" w:lineRule="auto"/>
        <w:jc w:val="both"/>
      </w:pPr>
      <w:r>
        <w:t xml:space="preserve">We created </w:t>
      </w:r>
      <w:r w:rsidRPr="00264484">
        <w:t xml:space="preserve">a retrospective population-based </w:t>
      </w:r>
      <w:r>
        <w:t xml:space="preserve">incident </w:t>
      </w:r>
      <w:r w:rsidRPr="00264484">
        <w:t xml:space="preserve">cohort </w:t>
      </w:r>
      <w:r>
        <w:t xml:space="preserve">of all patients diagnosed with </w:t>
      </w:r>
      <w:proofErr w:type="spellStart"/>
      <w:r>
        <w:t>Crohn’s</w:t>
      </w:r>
      <w:proofErr w:type="spellEnd"/>
      <w:r>
        <w:t xml:space="preserve"> disease </w:t>
      </w:r>
      <w:r w:rsidR="003A5B65">
        <w:t>using</w:t>
      </w:r>
      <w:r w:rsidRPr="00264484">
        <w:t xml:space="preserve"> the Clinical Practice Research </w:t>
      </w:r>
      <w:proofErr w:type="spellStart"/>
      <w:r w:rsidRPr="00264484">
        <w:t>Dat</w:t>
      </w:r>
      <w:r w:rsidR="003A5B65">
        <w:t>alink</w:t>
      </w:r>
      <w:proofErr w:type="spellEnd"/>
      <w:r w:rsidR="003A5B65">
        <w:t xml:space="preserve"> (CPRD). </w:t>
      </w:r>
      <w:r w:rsidRPr="00264484">
        <w:t xml:space="preserve">CPRD is </w:t>
      </w:r>
      <w:r w:rsidR="005E00BE">
        <w:t xml:space="preserve">one of </w:t>
      </w:r>
      <w:r w:rsidRPr="00A05736">
        <w:rPr>
          <w:rFonts w:cs="Calibri"/>
        </w:rPr>
        <w:t>the largest and best validated primary c</w:t>
      </w:r>
      <w:r w:rsidR="009961B1">
        <w:rPr>
          <w:rFonts w:cs="Calibri"/>
        </w:rPr>
        <w:t>are research databases in the world</w:t>
      </w:r>
      <w:r w:rsidRPr="00A05736">
        <w:rPr>
          <w:rFonts w:cs="Calibri"/>
        </w:rPr>
        <w:t xml:space="preserve">. </w:t>
      </w:r>
      <w:r w:rsidR="007D757E">
        <w:rPr>
          <w:rFonts w:cs="Calibri"/>
        </w:rPr>
        <w:t xml:space="preserve">Importantly, it is not an administrative dataset and thus is free from the biases inherent of such data sources. </w:t>
      </w:r>
      <w:r w:rsidRPr="00A05736">
        <w:rPr>
          <w:rFonts w:cs="Calibri"/>
        </w:rPr>
        <w:t xml:space="preserve">It contains longitudinal, </w:t>
      </w:r>
      <w:r w:rsidRPr="00A05736">
        <w:t xml:space="preserve">patient-level, </w:t>
      </w:r>
      <w:proofErr w:type="spellStart"/>
      <w:r w:rsidRPr="00A05736">
        <w:t>anonymised</w:t>
      </w:r>
      <w:proofErr w:type="spellEnd"/>
      <w:r w:rsidRPr="00A05736">
        <w:t xml:space="preserve"> electronic health </w:t>
      </w:r>
      <w:r w:rsidRPr="00A05736">
        <w:rPr>
          <w:rFonts w:cs="Calibri"/>
        </w:rPr>
        <w:t>records from 674</w:t>
      </w:r>
      <w:r w:rsidRPr="00A05736" w:rsidDel="00FE7FD4">
        <w:rPr>
          <w:rFonts w:cs="Calibri"/>
        </w:rPr>
        <w:t xml:space="preserve"> </w:t>
      </w:r>
      <w:r w:rsidR="007D757E">
        <w:rPr>
          <w:rFonts w:cs="Calibri"/>
        </w:rPr>
        <w:t>general practices and is</w:t>
      </w:r>
      <w:r w:rsidR="003A5B65">
        <w:rPr>
          <w:rFonts w:cs="Calibri"/>
        </w:rPr>
        <w:t xml:space="preserve"> representative of around 8</w:t>
      </w:r>
      <w:r w:rsidRPr="00A05736">
        <w:rPr>
          <w:rFonts w:cs="Calibri"/>
        </w:rPr>
        <w:t>% of the United Kingdom (UK) population</w:t>
      </w:r>
      <w:r w:rsidRPr="00A05736">
        <w:t>.</w:t>
      </w:r>
      <w:r w:rsidR="00AE13D9">
        <w:fldChar w:fldCharType="begin" w:fldLock="1"/>
      </w:r>
      <w:r w:rsidR="00735E84">
        <w:instrText>ADDIN CSL_CITATION { "citationItems" : [ { "id" : "ITEM-1", "itemData" : { "DOI" : "10.1093/ije/dyv098", "ISBN" : "0300-5771", "ISSN" : "14643685", "PMID" : "26050254", "abstract" : "The Clinical Practice Research Datalink (CPRD) is an ongoing primary care database of anonymised medical records from general practitioners, with coverage of over 11.3 million patients from 674 practices in the UK. With 4.4 million active (alive, currently registered) patients meeting quality criteria, approximately 6.9% of the UK population are included and patients are broadly representative of the UK general population in terms of age, sex and ethnicity. General practitioners are the gatekeepers of primary care and specialist referrals in the UK. The CPRD primary care database is therefore a rich source of health data for research, including data on demographics, symptoms, tests, diagnoses, therapies, health-related behaviours and referrals to secondary care. For over half of patients, linkage with datasets from secondary care, disease-specific cohorts and mortality records enhance the range of data available for research. The CPRD is very widely used internationally for epidemiological research and has been used to produce over 1000 research studies, published in peer-reviewed journals across a broad range of health outcomes. However, researchers must be aware of the complexity of routinely collected electronic health records, including ways to manage variable completeness, misclassification and development of disease definitions for research.", "author" : [ { "dropping-particle" : "", "family" : "Herrett", "given" : "Emily", "non-dropping-particle" : "", "parse-names" : false, "suffix" : "" }, { "dropping-particle" : "", "family" : "Gallagher", "given" : "Arlene M.", "non-dropping-particle" : "", "parse-names" : false, "suffix" : "" }, { "dropping-particle" : "", "family" : "Bhaskaran", "given" : "Krishnan", "non-dropping-particle" : "", "parse-names" : false, "suffix" : "" }, { "dropping-particle" : "", "family" : "Forbes", "given" : "Harriet", "non-dropping-particle" : "", "parse-names" : false, "suffix" : "" }, { "dropping-particle" : "", "family" : "Mathur", "given" : "Rohini", "non-dropping-particle" : "", "parse-names" : false, "suffix" : "" }, { "dropping-particle" : "Van", "family" : "Staa", "given" : "Tjeerd", "non-dropping-particle" : "", "parse-names" : false, "suffix" : "" }, { "dropping-particle" : "", "family" : "Smeeth", "given" : "Liam", "non-dropping-particle" : "", "parse-names" : false, "suffix" : "" } ], "container-title" : "International Journal of Epidemiology", "id" : "ITEM-1", "issue" : "3", "issued" : { "date-parts" : [ [ "2015" ] ] }, "page" : "827-836", "title" : "Data Resource Profile: Clinical Practice Research Datalink (CPRD)", "type" : "article-journal", "volume" : "44" }, "uris" : [ "http://www.mendeley.com/documents/?uuid=d63b0026-9284-4155-8080-960c6b8bb90f" ] } ], "mendeley" : { "formattedCitation" : "&lt;sup&gt;19&lt;/sup&gt;", "plainTextFormattedCitation" : "19", "previouslyFormattedCitation" : "&lt;sup&gt;19&lt;/sup&gt;" }, "properties" : { "noteIndex" : 0 }, "schema" : "https://github.com/citation-style-language/schema/raw/master/csl-citation.json" }</w:instrText>
      </w:r>
      <w:r w:rsidR="00AE13D9">
        <w:fldChar w:fldCharType="separate"/>
      </w:r>
      <w:r w:rsidR="00391BF7" w:rsidRPr="00391BF7">
        <w:rPr>
          <w:noProof/>
          <w:vertAlign w:val="superscript"/>
        </w:rPr>
        <w:t>19</w:t>
      </w:r>
      <w:r w:rsidR="00AE13D9">
        <w:fldChar w:fldCharType="end"/>
      </w:r>
      <w:r w:rsidRPr="00E20E4E">
        <w:t xml:space="preserve"> </w:t>
      </w:r>
      <w:r w:rsidR="006664BE">
        <w:t>Primary care physicians</w:t>
      </w:r>
      <w:r w:rsidRPr="00A05736">
        <w:t xml:space="preserve"> use Read codes to record symptoms, signs</w:t>
      </w:r>
      <w:r>
        <w:t>,</w:t>
      </w:r>
      <w:r w:rsidRPr="00A05736">
        <w:t xml:space="preserve"> diagnoses, </w:t>
      </w:r>
      <w:r w:rsidRPr="00264484">
        <w:t>prescriptions</w:t>
      </w:r>
      <w:r w:rsidR="003A5B65">
        <w:t>,</w:t>
      </w:r>
      <w:r w:rsidRPr="00A05736">
        <w:t xml:space="preserve"> </w:t>
      </w:r>
      <w:r w:rsidRPr="00264484">
        <w:t>referrals</w:t>
      </w:r>
      <w:r w:rsidRPr="00A05736">
        <w:t xml:space="preserve"> and </w:t>
      </w:r>
      <w:r w:rsidR="003A5B65">
        <w:t>procedures including</w:t>
      </w:r>
      <w:r>
        <w:t xml:space="preserve"> </w:t>
      </w:r>
      <w:r w:rsidR="00DD02B5">
        <w:t>surgical operations</w:t>
      </w:r>
      <w:r w:rsidRPr="00264484">
        <w:t xml:space="preserve">. Data </w:t>
      </w:r>
      <w:r>
        <w:t>are</w:t>
      </w:r>
      <w:r w:rsidRPr="00264484">
        <w:t xml:space="preserve"> rigorously audited to ensure a high level of accuracy and completeness. Participating practices need to achieve and maintain 'Up to standard' (UTS) status to continue contributing to the dat</w:t>
      </w:r>
      <w:r w:rsidR="003A5B65">
        <w:t>aset. The database's primary purpose</w:t>
      </w:r>
      <w:r w:rsidRPr="00264484">
        <w:t xml:space="preserve"> is for epidemiological research and the coding system has been</w:t>
      </w:r>
      <w:r w:rsidR="00C6548A">
        <w:t xml:space="preserve"> previously</w:t>
      </w:r>
      <w:r w:rsidRPr="00264484">
        <w:t xml:space="preserve"> validated for use in IBD</w:t>
      </w:r>
      <w:r w:rsidR="00C6548A">
        <w:t>.</w:t>
      </w:r>
      <w:r w:rsidR="00AE13D9" w:rsidRPr="00264484">
        <w:fldChar w:fldCharType="begin" w:fldLock="1"/>
      </w:r>
      <w:r w:rsidR="00735E84">
        <w:instrText>ADDIN CSL_CITATION { "citationItems" : [ { "id" : "ITEM-1", "itemData" : { "DOI" : "10.1002/pds.698", "ISSN" : "1053-8569", "PMID" : "12051120", "abstract" : "PURPOSE: The objective of this study was to evaluate the validity and completeness of the General Practice Research Database (GPRD) as a tool for research into inflammatory bowel disease epidemiology. METHODS: Patients diagnosed with inflammatory bowel disease were identified from GPRD. Mailed surveys were sent to the general practitioner caring for a stratified random sample of 170 of these patients and collected information on the diagnosis of inflammatory bowel disease and the most recent surgery and hospitalization. RESULTS: Usable surveys were returned for 157 patients (92%). The inflammatory bowel disease diagnosis was highly probable or probable in 144 (92%, 95% CI 86 to 96%). Among the 53 patients with a potentially incident inflammatory bowel disease diagnosis, 33 (62%) had the first recorded diagnosis in GPRD within 30 days of the date reported in the survey (median difference -8 days; interquartile range 0 to -81 days). Of 12 surgeries and 25 hospitalizations reported in the survey, 11 (92%) and 19 (76%) were identified in GPRD, respectively. CONCLUSIONS: The diagnosis of inflammatory bowel disease in GPRD appears reliable for most patients. Important medical events such as hospitalizations and surgery are recorded at a high rate, although algorithms to identify these events are complex.", "author" : [ { "dropping-particle" : "", "family" : "Lewis", "given" : "James D", "non-dropping-particle" : "", "parse-names" : false, "suffix" : "" }, { "dropping-particle" : "", "family" : "Brensinger", "given" : "Colleen", "non-dropping-particle" : "", "parse-names" : false, "suffix" : "" }, { "dropping-particle" : "", "family" : "Bilker", "given" : "Warren B", "non-dropping-particle" : "", "parse-names" : false, "suffix" : "" }, { "dropping-particle" : "", "family" : "Strom", "given" : "Brian L", "non-dropping-particle" : "", "parse-names" : false, "suffix" : "" } ], "container-title" : "Pharmacoepidemiology and drug safety", "id" : "ITEM-1", "issue" : "3", "issued" : { "date-parts" : [ [ "2002" ] ] }, "page" : "211-218", "title" : "Validity and completeness of the General Practice Research Database for studies of inflammatory bowel disease.", "type" : "article-journal", "volume" : "11" }, "uris" : [ "http://www.mendeley.com/documents/?uuid=8b3b1512-e55d-42bd-94f7-274d15354abc" ] } ], "mendeley" : { "formattedCitation" : "&lt;sup&gt;20&lt;/sup&gt;", "plainTextFormattedCitation" : "20", "previouslyFormattedCitation" : "&lt;sup&gt;20&lt;/sup&gt;" }, "properties" : { "noteIndex" : 0 }, "schema" : "https://github.com/citation-style-language/schema/raw/master/csl-citation.json" }</w:instrText>
      </w:r>
      <w:r w:rsidR="00AE13D9" w:rsidRPr="00264484">
        <w:fldChar w:fldCharType="separate"/>
      </w:r>
      <w:r w:rsidR="00391BF7" w:rsidRPr="00391BF7">
        <w:rPr>
          <w:noProof/>
          <w:vertAlign w:val="superscript"/>
        </w:rPr>
        <w:t>20</w:t>
      </w:r>
      <w:r w:rsidR="00AE13D9" w:rsidRPr="00264484">
        <w:fldChar w:fldCharType="end"/>
      </w:r>
      <w:r w:rsidR="00C6548A">
        <w:t xml:space="preserve"> N</w:t>
      </w:r>
      <w:r w:rsidR="003A5B65">
        <w:t>umerous IBD related studi</w:t>
      </w:r>
      <w:r w:rsidR="005E00BE">
        <w:t>es have been undertaken using this data source</w:t>
      </w:r>
      <w:r w:rsidR="003A5B65">
        <w:t>.</w:t>
      </w:r>
      <w:r w:rsidR="00AE13D9">
        <w:fldChar w:fldCharType="begin" w:fldLock="1"/>
      </w:r>
      <w:r w:rsidR="00735E84">
        <w:instrText>ADDIN CSL_CITATION { "citationItems" : [ { "id" : "ITEM-1", "itemData" : { "DOI" : "10.1053/gast.2001.28703", "ISBN" : "0016-5085 (Print)\\r0016-5085 (Linking)", "ISSN" : "0016-5085", "PMID" : "11677199", "abstract" : "BACKGROUND &amp; AIMS: Previous studies of the risk of lymphoma in inflammatory bowel disease patients have provided conflicting results. This study examines the risk of Hodgkin's and non-Hodgkin's lymphoma among patients with inflammatory bowel disease. METHODS: The authors performed a retrospective cohort study using the General Practice Research Database. Inflammatory bowel disease patients were matched to randomly selected controls on age, sex, and primary care practice. Lymphoma rates were also compared with published age- and sex-specific rates. RESULTS: The study included 6605 patients with Crohn's disease, 10,391 with ulcerative colitis, and 60,506 controls followed for an average of 3.7, 3.9, and 4.4 years, respectively. The incidence of lymphoma was not increased in patients with inflammatory bowel disease (relative risk = 1.20; 95% CI, 0.67-2.06). In subgroup analyses, an increased risk was not observed among patients with Crohn's disease (relative risk = 1.39; 95% CI, 0.50-3.40) or ulcerative colitis (relative risk = 1.11; 95% CI, 0.51-2.19). Compared with inflammatory bowel disease patients not treated with azathioprine or 6-MP, the relative risk of lymphoma among the 1465 inflammatory bowel disease patients treated with these medications (average, 106 mg/day for 2.0 years) was 1.27 (95% CI 0.03-8.20). CONCLUSIONS: Patients with inflammatory bowel disease do not have an increased risk of lymphoma as compared with the general population. Although we cannot completely rule out a modest increased risk of lymphoma with azathioprine or 6-MP therapy, an increased risk was not observed in this cohort.", "author" : [ { "dropping-particle" : "", "family" : "Lewis", "given" : "J D", "non-dropping-particle" : "", "parse-names" : false, "suffix" : "" }, { "dropping-particle" : "", "family" : "Bilker", "given" : "W B", "non-dropping-particle" : "", "parse-names" : false, "suffix" : "" }, { "dropping-particle" : "", "family" : "Brensinger", "given" : "C", "non-dropping-particle" : "", "parse-names" : false, "suffix" : "" }, { "dropping-particle" : "", "family" : "Deren", "given" : "J J", "non-dropping-particle" : "", "parse-names" : false, "suffix" : "" }, { "dropping-particle" : "", "family" : "Vaughn", "given" : "D J", "non-dropping-particle" : "", "parse-names" : false, "suffix" : "" }, { "dropping-particle" : "", "family" : "Strom", "given" : "B L", "non-dropping-particle" : "", "parse-names" : false, "suffix" : "" } ], "container-title" : "Gastroenterology", "id" : "ITEM-1", "issue" : "5", "issued" : { "date-parts" : [ [ "2001" ] ] }, "page" : "1080-1087", "title" : "Inflammatory bowel disease is not associated with an increased risk of lymphoma.", "type" : "article-journal", "volume" : "121" }, "uris" : [ "http://www.mendeley.com/documents/?uuid=56f54210-7e92-41e8-8897-7c473408c8b9" ] } ], "mendeley" : { "formattedCitation" : "&lt;sup&gt;21&lt;/sup&gt;", "plainTextFormattedCitation" : "21", "previouslyFormattedCitation" : "&lt;sup&gt;21&lt;/sup&gt;" }, "properties" : { "noteIndex" : 0 }, "schema" : "https://github.com/citation-style-language/schema/raw/master/csl-citation.json" }</w:instrText>
      </w:r>
      <w:r w:rsidR="00AE13D9">
        <w:fldChar w:fldCharType="separate"/>
      </w:r>
      <w:r w:rsidR="00391BF7" w:rsidRPr="00391BF7">
        <w:rPr>
          <w:noProof/>
          <w:vertAlign w:val="superscript"/>
        </w:rPr>
        <w:t>21</w:t>
      </w:r>
      <w:r w:rsidR="00AE13D9">
        <w:fldChar w:fldCharType="end"/>
      </w:r>
      <w:r w:rsidR="00C6548A">
        <w:rPr>
          <w:vertAlign w:val="superscript"/>
        </w:rPr>
        <w:t>,</w:t>
      </w:r>
      <w:r w:rsidR="00AE13D9">
        <w:fldChar w:fldCharType="begin" w:fldLock="1"/>
      </w:r>
      <w:r w:rsidR="00735E84">
        <w:instrText>ADDIN CSL_CITATION { "citationItems" : [ { "id" : "ITEM-1", "itemData" : { "DOI" : "10.1053/j.gastro.2003.12.003", "ISBN" : "0016-5085", "ISSN" : "00165085", "PMID" : "14988820", "abstract" : "Background &amp; Aims: Previous research has yielded conflicting data as to whether the natural history of inflammatory bowel disease follows a seasonal pattern. The purpose of this study was to determine whether relapse of inflammatory bowel disease follows a seasonal pattern either across a cohort of patients or within individual patients. Methods: We used 1988 to 1997 data from the General Practice Research Database to conduct a retrospective cohort study of 1587 patients with Crohn's disease (mean age at start of follow-up, 41 ?? 17 years) and 2773 patients with ulcerative colitis (mean age at start of follow-up, 48 ?? 16 years). Flares of disease were identified by receipt of a new prescription for either corticosteroids or 5-ASA medications following an interval of at least 4 months without prescriptions for either class of medication. Logistic regression was used to adjust the association of season of the year and flare of disease for potential confounding variables. Results: There was no association between season of the year and flare of Crohn's disease (P = 0.66). Season of the year was only weakly associated with flares of ulcerative colitis (P = 0.02). Compared with winter, spring had very slightly higher rates of flares (OR = 1.13, 95% CI: 1.05-1.23). We did not observe seasonal patterns within individual patients experiencing multiple flares (P &gt; 0.05 for Crohn's disease and ulcerative colitis). Conclusions: Although we observed a slight increase in exacerbations of ulcerative colitis in the spring, in general, these data do not support an association between season of the year and flares.", "author" : [ { "dropping-particle" : "", "family" : "Lewis", "given" : "James D.", "non-dropping-particle" : "", "parse-names" : false, "suffix" : "" }, { "dropping-particle" : "", "family" : "Aberra", "given" : "Faten N.", "non-dropping-particle" : "", "parse-names" : false, "suffix" : "" }, { "dropping-particle" : "", "family" : "Lichtenstein", "given" : "Gary R.", "non-dropping-particle" : "", "parse-names" : false, "suffix" : "" }, { "dropping-particle" : "", "family" : "Bilker", "given" : "Warren B.", "non-dropping-particle" : "", "parse-names" : false, "suffix" : "" }, { "dropping-particle" : "", "family" : "Brensinger", "given" : "Colleen", "non-dropping-particle" : "", "parse-names" : false, "suffix" : "" }, { "dropping-particle" : "", "family" : "Strom", "given" : "Brian L.", "non-dropping-particle" : "", "parse-names" : false, "suffix" : "" } ], "container-title" : "Gastroenterology", "id" : "ITEM-1", "issue" : "3", "issued" : { "date-parts" : [ [ "2004" ] ] }, "page" : "665-673", "title" : "Seasonal Variation in Flares of Inflammatory Bowel Disease", "type" : "article-journal", "volume" : "126" }, "uris" : [ "http://www.mendeley.com/documents/?uuid=c60c4cf7-e376-469d-ab94-fc4c8503c4a1" ] } ], "mendeley" : { "formattedCitation" : "&lt;sup&gt;22&lt;/sup&gt;", "plainTextFormattedCitation" : "22", "previouslyFormattedCitation" : "&lt;sup&gt;22&lt;/sup&gt;" }, "properties" : { "noteIndex" : 0 }, "schema" : "https://github.com/citation-style-language/schema/raw/master/csl-citation.json" }</w:instrText>
      </w:r>
      <w:r w:rsidR="00AE13D9">
        <w:fldChar w:fldCharType="separate"/>
      </w:r>
      <w:r w:rsidR="00391BF7" w:rsidRPr="00391BF7">
        <w:rPr>
          <w:noProof/>
          <w:vertAlign w:val="superscript"/>
        </w:rPr>
        <w:t>22</w:t>
      </w:r>
      <w:r w:rsidR="00AE13D9">
        <w:fldChar w:fldCharType="end"/>
      </w:r>
      <w:r w:rsidR="00C6548A">
        <w:rPr>
          <w:vertAlign w:val="superscript"/>
        </w:rPr>
        <w:t>,</w:t>
      </w:r>
      <w:r w:rsidR="00AE13D9">
        <w:fldChar w:fldCharType="begin" w:fldLock="1"/>
      </w:r>
      <w:r w:rsidR="00735E84">
        <w:instrText>ADDIN CSL_CITATION { "citationItems" : [ { "id" : "ITEM-1", "itemData" : { "DOI" : "10.1136/gut.2005.070896", "ISBN" : "0017-5749 (Print)\\r0017-5749 (Linking)", "ISSN" : "0017-5749", "PMID" : "15994215", "abstract" : "The objective of this study was to evaluate the risk of colorectal cancer (CRC) in patients taking aminosalicylates (5-ASA) for inflammatory bowel disease (IBD).", "author" : [ { "dropping-particle" : "", "family" : "Staal", "given" : "T P", "non-dropping-particle" : "van", "parse-names" : false, "suffix" : "" }, { "dropping-particle" : "", "family" : "Card", "given" : "T", "non-dropping-particle" : "", "parse-names" : false, "suffix" : "" }, { "dropping-particle" : "", "family" : "Logan", "given" : "R F", "non-dropping-particle" : "", "parse-names" : false, "suffix" : "" }, { "dropping-particle" : "", "family" : "Leufkens", "given" : "H G M", "non-dropping-particle" : "", "parse-names" : false, "suffix" : "" }, { "dropping-particle" : "", "family" : "Staa", "given" : "T P", "non-dropping-particle" : "van", "parse-names" : false, "suffix" : "" }, { "dropping-particle" : "", "family" : "Card", "given" : "T", "non-dropping-particle" : "", "parse-names" : false, "suffix" : "" }, { "dropping-particle" : "", "family" : "Logan", "given" : "R F", "non-dropping-particle" : "", "parse-names" : false, "suffix" : "" }, { "dropping-particle" : "", "family" : "Leufkens", "given" : "H G M", "non-dropping-particle" : "", "parse-names" : false, "suffix" : "" } ], "container-title" : "Gut", "id" : "ITEM-1", "issue" : "11", "issued" : { "date-parts" : [ [ "2005" ] ] }, "page" : "1573-8", "title" : "5-Aminosalicylate use and colorectal cancer risk in inflammatory bowel disease: a large epidemiological study.", "type" : "article-journal", "volume" : "54" }, "uris" : [ "http://www.mendeley.com/documents/?uuid=3bc67080-fb36-4084-a0f3-43a6e22c40b1" ] } ], "mendeley" : { "formattedCitation" : "&lt;sup&gt;23&lt;/sup&gt;", "plainTextFormattedCitation" : "23", "previouslyFormattedCitation" : "&lt;sup&gt;23&lt;/sup&gt;" }, "properties" : { "noteIndex" : 0 }, "schema" : "https://github.com/citation-style-language/schema/raw/master/csl-citation.json" }</w:instrText>
      </w:r>
      <w:r w:rsidR="00AE13D9">
        <w:fldChar w:fldCharType="separate"/>
      </w:r>
      <w:r w:rsidR="00391BF7" w:rsidRPr="00391BF7">
        <w:rPr>
          <w:noProof/>
          <w:vertAlign w:val="superscript"/>
        </w:rPr>
        <w:t>23</w:t>
      </w:r>
      <w:r w:rsidR="00AE13D9">
        <w:fldChar w:fldCharType="end"/>
      </w:r>
      <w:r w:rsidR="00C6548A">
        <w:rPr>
          <w:vertAlign w:val="superscript"/>
        </w:rPr>
        <w:t>,</w:t>
      </w:r>
      <w:r w:rsidR="00AE13D9">
        <w:fldChar w:fldCharType="begin" w:fldLock="1"/>
      </w:r>
      <w:r w:rsidR="00735E84">
        <w:instrText>ADDIN CSL_CITATION { "citationItems" : [ { "id" : "ITEM-1", "itemData" : { "DOI" : "10.1038/ajg.2009.745", "ISBN" : "0002-9270", "ISSN" : "1572-0241", "PMID" : "20104215", "abstract" : "OBJECTIVES: Azathioprine is an accepted treatment of inflammatory bowel disease (IBD), but concerns exist regarding its carcinogenic potential. Studies in renal transplant and rheumatology patients have reported an increased cancer risk. In IBD, studies suggest a small increased risk of lymphoma and protection against colorectal cancer, but the overall risk of malignancy has not been established. METHODS: We conducted a nested case-control study using the General Practice Research Database. Records of IBD patients were examined for azathioprine prescriptions and cancers. Prescriptions per year of follow-up were grouped for analysis. Azathioprine use was compared between IBD cases (with a diagnosed cancer) and IBD controls (without). RESULTS: Overall, 15,471 patients with IBD and over 1 year of appropriate data were identified. Among these, 392 developed cancer, of whom 10.5% received at least one prescription for azathioprine, compared with 1,914 (12.7%) of the controls. Analyzing the occurrence of any cancer against azathioprine prescription showed a nonsignificant protective effect (odds ratio (OR)=0.92, 95% confidence interval (CI)=0.79-1.06). Correction for the effects of age and smoking removed this effect (OR=1.04, 95% CI=0.89-1.21). Diagnosis of lymphoma was associated with ever use of azathioprine with OR of 3.22, CI=1.01-10.18. CONCLUSIONS: We found evidence of an increased risk of lymphoma, which is consistent with previous studies. We found no overall increase in risk of cancer in individuals with IBD who had taken azathioprine. Our study does not show a need for azathioprine cessation in the medium term in IBD because of the risk of malignancy.", "author" : [ { "dropping-particle" : "", "family" : "Armstrong", "given" : "Richard G", "non-dropping-particle" : "", "parse-names" : false, "suffix" : "" }, { "dropping-particle" : "", "family" : "West", "given" : "Joe", "non-dropping-particle" : "", "parse-names" : false, "suffix" : "" }, { "dropping-particle" : "", "family" : "Card", "given" : "Timothy R", "non-dropping-particle" : "", "parse-names" : false, "suffix" : "" } ], "container-title" : "The American journal of gastroenterology", "id" : "ITEM-1", "issue" : "7", "issued" : { "date-parts" : [ [ "2010" ] ] }, "page" : "1604-1609", "publisher" : "Nature Publishing Group", "title" : "Risk of cancer in inflammatory bowel disease treated with azathioprine: a UK population-based case-control study.", "type" : "article-journal", "volume" : "105" }, "uris" : [ "http://www.mendeley.com/documents/?uuid=4d184f6d-204c-4f0d-ba18-17a41fbb98a8" ] } ], "mendeley" : { "formattedCitation" : "&lt;sup&gt;24&lt;/sup&gt;", "plainTextFormattedCitation" : "24", "previouslyFormattedCitation" : "&lt;sup&gt;24&lt;/sup&gt;" }, "properties" : { "noteIndex" : 0 }, "schema" : "https://github.com/citation-style-language/schema/raw/master/csl-citation.json" }</w:instrText>
      </w:r>
      <w:r w:rsidR="00AE13D9">
        <w:fldChar w:fldCharType="separate"/>
      </w:r>
      <w:r w:rsidR="00391BF7" w:rsidRPr="00391BF7">
        <w:rPr>
          <w:noProof/>
          <w:vertAlign w:val="superscript"/>
        </w:rPr>
        <w:t>24</w:t>
      </w:r>
      <w:r w:rsidR="00AE13D9">
        <w:fldChar w:fldCharType="end"/>
      </w:r>
      <w:r w:rsidR="003A5B65">
        <w:t xml:space="preserve"> </w:t>
      </w:r>
      <w:r w:rsidR="00CA3F36">
        <w:t>Furthermore, the CPRD has been used in a number of population based studies investigating both</w:t>
      </w:r>
      <w:r w:rsidR="00593DCE">
        <w:t xml:space="preserve"> smoking habits</w:t>
      </w:r>
      <w:r w:rsidR="00CA3F36">
        <w:t xml:space="preserve"> and the impact of tobacco consumption on out</w:t>
      </w:r>
      <w:r w:rsidR="009961B1">
        <w:t>comes in other patient populations</w:t>
      </w:r>
      <w:r w:rsidR="00593DCE">
        <w:t>.</w:t>
      </w:r>
      <w:r w:rsidR="00AE13D9">
        <w:fldChar w:fldCharType="begin" w:fldLock="1"/>
      </w:r>
      <w:r w:rsidR="00735E84">
        <w:instrText>ADDIN CSL_CITATION { "citationItems" : [ { "id" : "ITEM-1", "itemData" : { "DOI" : "10.1177/2047487312460517.Smoking", "ISBN" : "2047-4873", "abstract" : "Background: It is recommended that general practitioners (GPs) offer cessation advice and pharmacological interventions to smokers with acute coronary syndrome (ACS). The study objective was to describe the extent to which this is done, and to describe outcomes by smoking status. Design: Patients aged 30 hospitalised for troponin-positive ACS from 2002 to 2009, discharged home alive, were identified in the Myocardial Ischaemia National Audit Project registry. Patient data were linked to the General Practice Research Database, Hospital Episode Statistics, and Office of National Statistics mortality data, enabling a unique perspective of longitudinal smoking data. Patients who smoked prior to the hospitalisation had GP interventions and quitting status established in the 3 months following discharge, and were followed up for major clinical outcomes. Methods: The outcomes evaluated included death, repeat ACS, stroke, heart failure, and major adverse cardiac events (MACE). Results: Of the 4834 patients included, 965 (20%) were smokers at the time of their ACS. After the ACS event, only 225 (24%) received any GP smoking intervention within 3 months, with 82 (9%) receiving advice only, and 143 (15%) receiving a pharmacological intervention. Patients who quit (320; 33%) were at a decreased risk of mortality (relative risk (RR) 0.49; 95% confidence interval (CI) 0.350.69) and MACE (RR 0.61; 0.460.80) compared with patients who did not. Conclusions: Whilst a high proportion of patients with ACS are smokers, there is a low level of GP cessation intervention following hospital discharge. This missed opportunity of patient care is important given the decreased risk of mortality and MACE found amongst those who quit. \u00a9 The European Society of Cardiology 2012.", "author" : [ { "dropping-particle" : "", "family" : "Boggon", "given" : "R", "non-dropping-particle" : "", "parse-names" : false, "suffix" : "" }, { "dropping-particle" : "", "family" : "Timmis", "given" : "A", "non-dropping-particle" : "", "parse-names" : false, "suffix" : "" }, { "dropping-particle" : "", "family" : "Hemingway", "given" : "H", "non-dropping-particle" : "", "parse-names" : false, "suffix" : "" }, { "dropping-particle" : "", "family" : "Raju", "given" : "S", "non-dropping-particle" : "", "parse-names" : false, "suffix" : "" }, { "dropping-particle" : "", "family" : "Malvestiti", "given" : "FM", "non-dropping-particle" : "", "parse-names" : false, "suffix" : "" }, { "dropping-particle" : "", "family" : "Staa", "given" : "TP", "non-dropping-particle" : "Van", "parse-names" : false, "suffix" : "" } ], "container-title" : "European Journal of Preventive Cardiology", "id" : "ITEM-1", "issue" : "6", "issued" : { "date-parts" : [ [ "2014" ] ] }, "page" : "767-773", "title" : "Smoking cessation interventions following acute coronary syndrome: A missed opportunity?", "type" : "article-journal", "volume" : "21" }, "uris" : [ "http://www.mendeley.com/documents/?uuid=7be27f1d-b193-4164-bc12-475be99029a8" ] } ], "mendeley" : { "formattedCitation" : "&lt;sup&gt;25&lt;/sup&gt;", "plainTextFormattedCitation" : "25", "previouslyFormattedCitation" : "&lt;sup&gt;25&lt;/sup&gt;" }, "properties" : { "noteIndex" : 0 }, "schema" : "https://github.com/citation-style-language/schema/raw/master/csl-citation.json" }</w:instrText>
      </w:r>
      <w:r w:rsidR="00AE13D9">
        <w:fldChar w:fldCharType="separate"/>
      </w:r>
      <w:r w:rsidR="00391BF7" w:rsidRPr="00391BF7">
        <w:rPr>
          <w:noProof/>
          <w:vertAlign w:val="superscript"/>
        </w:rPr>
        <w:t>25</w:t>
      </w:r>
      <w:r w:rsidR="00AE13D9">
        <w:fldChar w:fldCharType="end"/>
      </w:r>
      <w:r w:rsidR="009961B1">
        <w:rPr>
          <w:vertAlign w:val="superscript"/>
        </w:rPr>
        <w:t>,</w:t>
      </w:r>
      <w:r w:rsidR="00AE13D9">
        <w:fldChar w:fldCharType="begin" w:fldLock="1"/>
      </w:r>
      <w:r w:rsidR="00735E84">
        <w:instrText>ADDIN CSL_CITATION { "citationItems" : [ { "id" : "ITEM-1", "itemData" : { "DOI" : "10.1371/journal.pone.0072218", "ISBN" : "1932-6203", "ISSN" : "19326203", "PMID" : "24069143", "abstract" : "BACKGROUND: Given the health impacts of smoking during pregnancy and the opportunity for primary healthcare teams to encourage pregnant smokers to quit, our primary aim was to assess the completeness of gestational smoking status recording in primary care data and investigate whether completeness varied with women's characteristics. As a secondary aim we assessed whether completeness of recording varied before and after the introduction of the Quality and Outcomes Framework (QOF).\\n\\nMETHODS: In The Health Improvement Network (THIN) database we calculated the proportion of pregnancies ending in live births or stillbirths where there was a recording of maternal smoking status for each year from 2000 to 2009. Logistic regression was used to assess variation in the completeness of maternal smoking recording by maternal characteristics, before and after the introduction of QOF.\\n\\nRESULTS: Women had a record of smoking status during the gestational period in 28% of the 277,552 pregnancies identified. In 2000, smoking status was recorded in 9% of pregnancies, rising to 43% in 2009. Pregnant women from the most deprived group were 17% more likely to have their smoking status recorded than pregnant women from the least deprived group before QOF implementation (OR 1.17, 95% CI 1.10-1.25) and 42% more likely afterwards (OR 1.42, 95% CI 1.37-1.47). A diagnosis of asthma was related to recording of smoking status during pregnancy in both the pre-QOF (OR 1.63, 95% CI 1.53-1.74) and post-QOF periods (OR 2.08, 95% CI 2.02-2.15). There was no association between having a diagnosis of diabetes and recording of smoking status during pregnancy pre-QOF however, post-QOF diagnosis of diabetes was associated with a 12% increase in recording of smoking status (OR 1.12, 95% CI 1.05-1.19).\\n\\nCONCLUSION: Recording of smoking status during pregnancy in primary care data is incomplete though has improved over time, especially after the implementation of the QOF, and varies by maternal characteristics and QOF-incentivised morbidities.", "author" : [ { "dropping-particle" : "", "family" : "Dhalwani", "given" : "Nafeesa N.", "non-dropping-particle" : "", "parse-names" : false, "suffix" : "" }, { "dropping-particle" : "", "family" : "Tata", "given" : "Laila J.", "non-dropping-particle" : "", "parse-names" : false, "suffix" : "" }, { "dropping-particle" : "", "family" : "Coleman", "given" : "Tim", "non-dropping-particle" : "", "parse-names" : false, "suffix" : "" }, { "dropping-particle" : "", "family" : "Fleming", "given" : "Kate M.", "non-dropping-particle" : "", "parse-names" : false, "suffix" : "" }, { "dropping-particle" : "", "family" : "Szatkowski", "given" : "Lisa", "non-dropping-particle" : "", "parse-names" : false, "suffix" : "" } ], "container-title" : "PLoS ONE", "id" : "ITEM-1", "issue" : "9", "issued" : { "date-parts" : [ [ "2013" ] ] }, "title" : "Completeness of Maternal Smoking Status Recording during Pregnancy in United Kingdom Primary Care Data", "type" : "article-journal", "volume" : "8" }, "uris" : [ "http://www.mendeley.com/documents/?uuid=c895a245-f689-4a95-ace9-d1e1342b83e7" ] } ], "mendeley" : { "formattedCitation" : "&lt;sup&gt;26&lt;/sup&gt;", "plainTextFormattedCitation" : "26", "previouslyFormattedCitation" : "&lt;sup&gt;26&lt;/sup&gt;" }, "properties" : { "noteIndex" : 0 }, "schema" : "https://github.com/citation-style-language/schema/raw/master/csl-citation.json" }</w:instrText>
      </w:r>
      <w:r w:rsidR="00AE13D9">
        <w:fldChar w:fldCharType="separate"/>
      </w:r>
      <w:r w:rsidR="00391BF7" w:rsidRPr="00391BF7">
        <w:rPr>
          <w:noProof/>
          <w:vertAlign w:val="superscript"/>
        </w:rPr>
        <w:t>26</w:t>
      </w:r>
      <w:r w:rsidR="00AE13D9">
        <w:fldChar w:fldCharType="end"/>
      </w:r>
      <w:r w:rsidR="009961B1">
        <w:rPr>
          <w:vertAlign w:val="superscript"/>
        </w:rPr>
        <w:t>,</w:t>
      </w:r>
      <w:r w:rsidR="00AE13D9">
        <w:fldChar w:fldCharType="begin" w:fldLock="1"/>
      </w:r>
      <w:r w:rsidR="00735E84">
        <w:instrText>ADDIN CSL_CITATION { "citationItems" : [ { "id" : "ITEM-1", "itemData" : { "DOI" : "10.1186/1471-2377-10-6", "ISBN" : "1471-2377 (Electronic)\\n1471-2377 (Linking)", "ISSN" : "1471-2377", "PMID" : "20074360", "abstract" : "BACKGROUND: Previous epidemiologic studies have examined the association of smoking with amyotrophic lateral sclerosis (ALS) incidence, but their results have been inconsistent. Moreover, limited information exists on the association between smoking and survival in ALS patients. We evaluated the association of smoking with ALS incidence and survival in a population-based cohort.\\n\\nMETHODS: We conducted a case-control study nested in the General Practice Research Database, a computerized clinical database in the United Kingdom. Cases were 1143 individuals with a diagnosis of ALS; 11,371 matched controls were selected among GPRD participants free of ALS. Predictors of survival were determined in the ALS cases. Smoking information was obtained from the computer database.\\n\\nRESULTS: Smoking was not associated with the risk of ALS in this population. The rate ratio (RR) of ALS comparing ever versus never smokers was 1.04, 95% confidence interval (CI) 0.80-1.34. In analysis stratified by gender, however, ever smoking was associated with ALS in women (RR 1.53, 95% CI 1.04-2.23) but not in men (RR 0.75, 95% CI 0.53-1.06). Mortality was 71% after 2.1 average years of follow-up. Old age and female sex were associated with lower survival. Smoking was a predictor of mortality only in women. Comparing ever versus never smokers, RR (95% CI) of death was 1.31 (1.04-1.65) in women, and 0.90 (0.72-1.11) in men.\\n\\nCONCLUSION: In this large population-based study, smoking was associated with ALS risk and worse survival in women but not in men.", "author" : [ { "dropping-particle" : "", "family" : "Alonso", "given" : "Alvaro", "non-dropping-particle" : "", "parse-names" : false, "suffix" : "" }, { "dropping-particle" : "", "family" : "Logroscino", "given" : "Giancarlo", "non-dropping-particle" : "", "parse-names" : false, "suffix" : "" }, { "dropping-particle" : "", "family" : "Jick", "given" : "Susan S", "non-dropping-particle" : "", "parse-names" : false, "suffix" : "" }, { "dropping-particle" : "", "family" : "Hern\u00e1n", "given" : "Miguel a", "non-dropping-particle" : "", "parse-names" : false, "suffix" : "" } ], "container-title" : "BMC Neurology", "id" : "ITEM-1", "issue" : "1", "issued" : { "date-parts" : [ [ "2010" ] ] }, "page" : "6", "title" : "Association of smoking with amyotrophic lateral sclerosis risk and survival in men and women: a prospective study", "type" : "article-journal", "volume" : "10" }, "uris" : [ "http://www.mendeley.com/documents/?uuid=ca867a27-2aa6-41ec-b962-4d9414d1c75e" ] } ], "mendeley" : { "formattedCitation" : "&lt;sup&gt;27&lt;/sup&gt;", "plainTextFormattedCitation" : "27", "previouslyFormattedCitation" : "&lt;sup&gt;27&lt;/sup&gt;" }, "properties" : { "noteIndex" : 0 }, "schema" : "https://github.com/citation-style-language/schema/raw/master/csl-citation.json" }</w:instrText>
      </w:r>
      <w:r w:rsidR="00AE13D9">
        <w:fldChar w:fldCharType="separate"/>
      </w:r>
      <w:r w:rsidR="00391BF7" w:rsidRPr="00391BF7">
        <w:rPr>
          <w:noProof/>
          <w:vertAlign w:val="superscript"/>
        </w:rPr>
        <w:t>27</w:t>
      </w:r>
      <w:r w:rsidR="00AE13D9">
        <w:fldChar w:fldCharType="end"/>
      </w:r>
      <w:r w:rsidR="00C6548A">
        <w:t xml:space="preserve"> CPRD is well suited for this purpose and subsequent accuracy of </w:t>
      </w:r>
      <w:r w:rsidR="006A5BE7">
        <w:t xml:space="preserve">recording of </w:t>
      </w:r>
      <w:r w:rsidR="00240A07">
        <w:t>smoking status has</w:t>
      </w:r>
      <w:r w:rsidR="00C6548A">
        <w:t xml:space="preserve"> </w:t>
      </w:r>
      <w:r w:rsidR="00EB3C09">
        <w:t xml:space="preserve">been of high quality since </w:t>
      </w:r>
      <w:r w:rsidR="006A5BE7">
        <w:t>its assessment became a key performance indicator for GPs in 2004.</w:t>
      </w:r>
      <w:r w:rsidR="00AE13D9">
        <w:fldChar w:fldCharType="begin" w:fldLock="1"/>
      </w:r>
      <w:r w:rsidR="00735E84">
        <w:instrText>ADDIN CSL_CITATION { "citationItems" : [ { "id" : "ITEM-1", "itemData" : { "DOI" : "10.1503/cmaj.061556", "ISBN" : "1488-2329 (Electronic)", "ISSN" : "08203946", "PMID" : "17548383", "abstract" : "BACKGROUND: Many people with diabetes continue to smoke despite being at high risk of cardiovascular disease. We examined the impact of a pay-for-performance incentive in the United Kingdom introduced in 2004 as part of the new general practitioner contract to improve support for smoking cessation and to reduce the prevalence of smoking among people with chronic diseases such as diabetes.\\n\\nMETHODS: We performed a population-based longitudinal study of the recorded delivery of cessation advice and the prevalence of smoking using electronic records of patients with diabetes obtained from participating general practices. The survey was carried out in an ethnically diverse part of southwest London before (June-October 2003) and after (November 2005-January 2006) the introduction of a pay-for-performance incentive.\\n\\nRESULTS: Significantly more patients with diabetes had their smoking status ever recorded in 2005 than in 2003 (98.8% v. 90.0%, p &lt;0.001). The proportion of patients with documented smoking cessation advice also increased significantly over this period, from 48.0% to 83.5% (p &lt; 0.001). The prevalence of smoking decreased significantly from 20.0% to 16.2% (p &lt; 0.001). The reduction over the study period was lower among women (adjusted odds ratio 0.71, 95% confidence interval 0.53-0.95) but was not significantly different in the most and least affluent groups. In 2005, smoking rates continued to differ significantly with age (10.6%-25.1%), sex (women, 11.5%; men, 20.6%) and ethnic background (4.9%-24.9%).\\n\\nINTERPRETATION: The introduction of a pay-for-performance incentive in the United Kingdom increased the provision of support for smoking cessation and was associated with a reduction in smoking prevalence among patients with diabetes in primary health care settings. Health care planners in other countries may wish to consider introducing similar incentive schemes for primary care physicians.", "author" : [ { "dropping-particle" : "", "family" : "Millett", "given" : "Christopher", "non-dropping-particle" : "", "parse-names" : false, "suffix" : "" }, { "dropping-particle" : "", "family" : "Gray", "given" : "Jeremy", "non-dropping-particle" : "", "parse-names" : false, "suffix" : "" }, { "dropping-particle" : "", "family" : "Saxena", "given" : "Sonia", "non-dropping-particle" : "", "parse-names" : false, "suffix" : "" }, { "dropping-particle" : "", "family" : "Netuveli", "given" : "Gopalakrishnan", "non-dropping-particle" : "", "parse-names" : false, "suffix" : "" }, { "dropping-particle" : "", "family" : "Majeed", "given" : "Azeem", "non-dropping-particle" : "", "parse-names" : false, "suffix" : "" } ], "container-title" : "CMAJ", "id" : "ITEM-1", "issue" : "12", "issued" : { "date-parts" : [ [ "2007" ] ] }, "page" : "1705-1710", "title" : "Impact of a pay-for-performance incentive on support for smoking cessation and on smoking prevalence among people with diabetes", "type" : "article-journal", "volume" : "176" }, "uris" : [ "http://www.mendeley.com/documents/?uuid=0ffcabcb-6e34-43e7-8341-faa6b660e8af" ] } ], "mendeley" : { "formattedCitation" : "&lt;sup&gt;28&lt;/sup&gt;", "plainTextFormattedCitation" : "28", "previouslyFormattedCitation" : "&lt;sup&gt;28&lt;/sup&gt;" }, "properties" : { "noteIndex" : 0 }, "schema" : "https://github.com/citation-style-language/schema/raw/master/csl-citation.json" }</w:instrText>
      </w:r>
      <w:r w:rsidR="00AE13D9">
        <w:fldChar w:fldCharType="separate"/>
      </w:r>
      <w:r w:rsidR="00391BF7" w:rsidRPr="00391BF7">
        <w:rPr>
          <w:noProof/>
          <w:vertAlign w:val="superscript"/>
        </w:rPr>
        <w:t>28</w:t>
      </w:r>
      <w:r w:rsidR="00AE13D9">
        <w:fldChar w:fldCharType="end"/>
      </w:r>
      <w:r w:rsidR="006A5BE7">
        <w:t xml:space="preserve"> </w:t>
      </w:r>
    </w:p>
    <w:p w:rsidR="00BD728D" w:rsidRPr="00BD728D" w:rsidRDefault="00BD728D" w:rsidP="00DA5B21">
      <w:pPr>
        <w:spacing w:line="480" w:lineRule="auto"/>
        <w:jc w:val="both"/>
      </w:pPr>
      <w:r w:rsidRPr="00A05736">
        <w:t>We obtained ethical and scientific approval for the use of CPRD for our study from the Independent Scient</w:t>
      </w:r>
      <w:r>
        <w:t>ific Advisory Commit</w:t>
      </w:r>
      <w:r w:rsidR="003A5B65">
        <w:t xml:space="preserve">tee (ISAC </w:t>
      </w:r>
      <w:r w:rsidRPr="00A05736">
        <w:t xml:space="preserve">Protocol number: </w:t>
      </w:r>
      <w:r>
        <w:t>15_018R)</w:t>
      </w:r>
      <w:r w:rsidRPr="00A05736">
        <w:t>.</w:t>
      </w:r>
    </w:p>
    <w:p w:rsidR="00726404" w:rsidRPr="00264484" w:rsidRDefault="00726404" w:rsidP="00304057">
      <w:pPr>
        <w:pStyle w:val="Heading2"/>
        <w:spacing w:line="480" w:lineRule="auto"/>
        <w:rPr>
          <w:rFonts w:asciiTheme="minorHAnsi" w:hAnsiTheme="minorHAnsi"/>
        </w:rPr>
      </w:pPr>
      <w:r w:rsidRPr="00264484">
        <w:rPr>
          <w:rFonts w:asciiTheme="minorHAnsi" w:hAnsiTheme="minorHAnsi"/>
        </w:rPr>
        <w:t>Incident case definition</w:t>
      </w:r>
      <w:r w:rsidR="00CC72D3" w:rsidRPr="00264484">
        <w:rPr>
          <w:rFonts w:asciiTheme="minorHAnsi" w:hAnsiTheme="minorHAnsi"/>
        </w:rPr>
        <w:t xml:space="preserve"> and cohort construction</w:t>
      </w:r>
    </w:p>
    <w:p w:rsidR="00193DD2" w:rsidRDefault="00726404" w:rsidP="00304057">
      <w:pPr>
        <w:spacing w:line="480" w:lineRule="auto"/>
        <w:jc w:val="both"/>
      </w:pPr>
      <w:r w:rsidRPr="00264484">
        <w:t>We have previously published detailed metho</w:t>
      </w:r>
      <w:r w:rsidR="00DA5B21">
        <w:t>do</w:t>
      </w:r>
      <w:r w:rsidRPr="00264484">
        <w:t>logies in defining incident cases of inflammatory bow</w:t>
      </w:r>
      <w:r w:rsidR="00DA5B21">
        <w:t>el</w:t>
      </w:r>
      <w:r w:rsidR="0087649E">
        <w:t xml:space="preserve"> disease from the CPRD</w:t>
      </w:r>
      <w:r w:rsidRPr="00264484">
        <w:t>.</w:t>
      </w:r>
      <w:r w:rsidR="00AE13D9" w:rsidRPr="00264484">
        <w:fldChar w:fldCharType="begin" w:fldLock="1"/>
      </w:r>
      <w:r w:rsidR="00735E84">
        <w:instrText>ADDIN CSL_CITATION { "citationItems" : [ { "id" : "ITEM-1", "itemData" : { "DOI" : "10.1038/ajg.2013.462", "ISBN" : "0002-9270", "ISSN" : "1572-0241", "PMID" : "24469612", "abstract" : "OBJECTIVES: The efficacy of thiopurines (TPs) in altering the risk of surgery in Crohn's disease (CD) remains controversial. We evaluated the impact of TP therapy, optimal timing, and duration of TP therapy on first intestinal resection rates using a population-based cohort. METHODS: We constructed a population-based cohort of incident cases of CD between 1989 and 2005. We used the Kaplan-Meier analysis to calculate time trends in TP use and first intestinal resection in three groups defined by time period of diagnosis: 1989-1993, 1994-1999, and 2000-2005 groups A, B, and C, respectively. We quantified impact of duration and timing of TP treatment on likelihood of surgery using Cox regression and propensity score matching. RESULTS: We identified 5,640 eligible patients with CD. The 5-year cumulative probability of TP use increased from 12, 18, to 25% ( P&lt;0.0001) while probability of first intestinal resection decreased from 15, 12 to 9% (P&lt;0.001) in groups A, B, and C, respectively. Patients treated with at least 6 months of TP therapy had a 44% reduction in the risk of surgery (hazards ratio (HR): 0.56; 95% confidence interval (CI): 0.37-0.85) and those receiving at least 12 months of TP therapy had a 69% reduction in the risk of surgery (HR: 0.31; 95% CI: 0.22-0.44). Early treatment (&lt;12 months from diagnosis) vs. late treatment with TP showed no additional benefit in reducing risk of surgery (HR: 0.41; 95% CI: 0.27-0.61 vs. 0.21; 95% CI: 0.13-0.34). CONCLUSIONS: Over the past 20 years, TP use has doubled, whereas intestinal surgery has fallen by one-third among the UK population of Crohn's patients. Prolonged exposure is associated with a reduced likelihood of surgery whereby more than 12 months TP therapy reduces the risk of first intestinal surgery two-fold; however, early initiation of TP treatment offered no apparent additional benefit.", "author" : [ { "dropping-particle" : "", "family" : "Chatu", "given" : "S", "non-dropping-particle" : "", "parse-names" : false, "suffix" : "" }, { "dropping-particle" : "", "family" : "Saxena", "given" : "S", "non-dropping-particle" : "", "parse-names" : false, "suffix" : "" }, { "dropping-particle" : "", "family" : "Subramanian", "given" : "V", "non-dropping-particle" : "", "parse-names" : false, "suffix" : "" }, { "dropping-particle" : "", "family" : "Curcin", "given" : "V", "non-dropping-particle" : "", "parse-names" : false, "suffix" : "" }, { "dropping-particle" : "", "family" : "Yadegarfar", "given" : "G", "non-dropping-particle" : "", "parse-names" : false, "suffix" : "" }, { "dropping-particle" : "", "family" : "Gunn", "given" : "L", "non-dropping-particle" : "", "parse-names" : false, "suffix" : "" }, { "dropping-particle" : "", "family" : "Majeed", "given" : "a", "non-dropping-particle" : "", "parse-names" : false, "suffix" : "" }, { "dropping-particle" : "", "family" : "Pollok", "given" : "R C", "non-dropping-particle" : "", "parse-names" : false, "suffix" : "" } ], "container-title" : "Am J Gastroenterol", "id" : "ITEM-1", "issue" : "3", "issued" : { "date-parts" : [ [ "2014" ] ] }, "page" : "409-416", "publisher" : "Nature Publishing Group", "title" : "The Impact of Timing and Duration of Thiopurine Treatment on First Intestinal Resection in Crohn's Disease: National UK Population-Based Study 1989-2010", "type" : "article-journal", "volume" : "109" }, "uris" : [ "http://www.mendeley.com/documents/?uuid=dcac656e-9e5b-4643-847e-226dcd14ca41" ] } ], "mendeley" : { "formattedCitation" : "&lt;sup&gt;29&lt;/sup&gt;", "plainTextFormattedCitation" : "29", "previouslyFormattedCitation" : "&lt;sup&gt;29&lt;/sup&gt;" }, "properties" : { "noteIndex" : 0 }, "schema" : "https://github.com/citation-style-language/schema/raw/master/csl-citation.json" }</w:instrText>
      </w:r>
      <w:r w:rsidR="00AE13D9" w:rsidRPr="00264484">
        <w:fldChar w:fldCharType="separate"/>
      </w:r>
      <w:r w:rsidR="00391BF7" w:rsidRPr="00391BF7">
        <w:rPr>
          <w:noProof/>
          <w:vertAlign w:val="superscript"/>
        </w:rPr>
        <w:t>29</w:t>
      </w:r>
      <w:r w:rsidR="00AE13D9" w:rsidRPr="00264484">
        <w:fldChar w:fldCharType="end"/>
      </w:r>
      <w:r w:rsidRPr="00264484">
        <w:rPr>
          <w:vertAlign w:val="superscript"/>
        </w:rPr>
        <w:t>,</w:t>
      </w:r>
      <w:r w:rsidR="00AE13D9" w:rsidRPr="00264484">
        <w:fldChar w:fldCharType="begin" w:fldLock="1"/>
      </w:r>
      <w:r w:rsidR="00735E84">
        <w:instrText>ADDIN CSL_CITATION { "citationItems" : [ { "id" : "ITEM-1", "itemData" : { "DOI" : "10.1111/apt.13017", "ISSN" : "02692813", "author" : [ { "dropping-particle" : "", "family" : "Chhaya", "given" : "V.", "non-dropping-particle" : "", "parse-names" : false, "suffix" : "" }, { "dropping-particle" : "", "family" : "Saxena", "given" : "S.", "non-dropping-particle" : "", "parse-names" : false, "suffix" : "" }, { "dropping-particle" : "", "family" : "Cecil", "given" : "E.", "non-dropping-particle" : "", "parse-names" : false, "suffix" : "" }, { "dropping-particle" : "", "family" : "Chatu", "given" : "S.", "non-dropping-particle" : "", "parse-names" : false, "suffix" : "" }, { "dropping-particle" : "", "family" : "Subramanian", "given" : "V.", "non-dropping-particle" : "", "parse-names" : false, "suffix" : "" }, { "dropping-particle" : "", "family" : "Curcin", "given" : "V.", "non-dropping-particle" : "", "parse-names" : false, "suffix" : "" }, { "dropping-particle" : "", "family" : "Majeed", "given" : "a.", "non-dropping-particle" : "", "parse-names" : false, "suffix" : "" }, { "dropping-particle" : "", "family" : "Pollok", "given" : "R. C.", "non-dropping-particle" : "", "parse-names" : false, "suffix" : "" } ], "container-title" : "Alimentary Pharmacology &amp; Therapeutics", "id" : "ITEM-1", "issue" : "1", "issued" : { "date-parts" : [ [ "2015" ] ] }, "page" : "87-98", "title" : "The impact of timing and duration of thiopurine treatment on colectomy in ulcerative colitis: a national population-based study of incident cases between 1989-2009", "type" : "article-journal", "volume" : "41" }, "uris" : [ "http://www.mendeley.com/documents/?uuid=b6427fa4-fa0f-4310-b0ee-14ba8c139bb1" ] } ], "mendeley" : { "formattedCitation" : "&lt;sup&gt;30&lt;/sup&gt;", "plainTextFormattedCitation" : "30", "previouslyFormattedCitation" : "&lt;sup&gt;30&lt;/sup&gt;" }, "properties" : { "noteIndex" : 0 }, "schema" : "https://github.com/citation-style-language/schema/raw/master/csl-citation.json" }</w:instrText>
      </w:r>
      <w:r w:rsidR="00AE13D9" w:rsidRPr="00264484">
        <w:fldChar w:fldCharType="separate"/>
      </w:r>
      <w:r w:rsidR="00391BF7" w:rsidRPr="00391BF7">
        <w:rPr>
          <w:noProof/>
          <w:vertAlign w:val="superscript"/>
        </w:rPr>
        <w:t>30</w:t>
      </w:r>
      <w:r w:rsidR="00AE13D9" w:rsidRPr="00264484">
        <w:fldChar w:fldCharType="end"/>
      </w:r>
      <w:r w:rsidRPr="00264484">
        <w:rPr>
          <w:vertAlign w:val="superscript"/>
        </w:rPr>
        <w:t>,</w:t>
      </w:r>
      <w:r w:rsidR="00AE13D9" w:rsidRPr="00264484">
        <w:fldChar w:fldCharType="begin" w:fldLock="1"/>
      </w:r>
      <w:r w:rsidR="00735E84">
        <w:instrText>ADDIN CSL_CITATION { "citationItems" : [ { "id" : "ITEM-1", "itemData" : { "DOI" : "10.1111/apt.13361", "ISSN" : "02692813", "author" : [ { "dropping-particle" : "", "family" : "Chhaya", "given" : "V.", "non-dropping-particle" : "", "parse-names" : false, "suffix" : "" }, { "dropping-particle" : "", "family" : "Pollok", "given" : "R. C. G.", "non-dropping-particle" : "", "parse-names" : false, "suffix" : "" }, { "dropping-particle" : "", "family" : "Cecil", "given" : "E.", "non-dropping-particle" : "", "parse-names" : false, "suffix" : "" }, { "dropping-particle" : "", "family" : "Subramanian", "given" : "V.", "non-dropping-particle" : "", "parse-names" : false, "suffix" : "" }, { "dropping-particle" : "", "family" : "Curcin", "given" : "V.", "non-dropping-particle" : "", "parse-names" : false, "suffix" : "" }, { "dropping-particle" : "", "family" : "Majeed", "given" : "a.", "non-dropping-particle" : "", "parse-names" : false, "suffix" : "" }, { "dropping-particle" : "", "family" : "Saxena", "given" : "S.", "non-dropping-particle" : "", "parse-names" : false, "suffix" : "" } ], "container-title" : "Alimentary Pharmacology &amp; Therapeutics", "id" : "ITEM-1", "issue" : "8", "issued" : { "date-parts" : [ [ "2015" ] ] }, "page" : "990-999", "title" : "Impact of early thiopurines on surgery in 2770 children and young people diagnosed with inflammatory bowel disease: a national population-based study", "type" : "article-journal", "volume" : "42" }, "uris" : [ "http://www.mendeley.com/documents/?uuid=003967a3-2da7-48fb-bf1e-8f548d33e8e4" ] } ], "mendeley" : { "formattedCitation" : "&lt;sup&gt;31&lt;/sup&gt;", "plainTextFormattedCitation" : "31", "previouslyFormattedCitation" : "&lt;sup&gt;31&lt;/sup&gt;" }, "properties" : { "noteIndex" : 0 }, "schema" : "https://github.com/citation-style-language/schema/raw/master/csl-citation.json" }</w:instrText>
      </w:r>
      <w:r w:rsidR="00AE13D9" w:rsidRPr="00264484">
        <w:fldChar w:fldCharType="separate"/>
      </w:r>
      <w:r w:rsidR="00391BF7" w:rsidRPr="00391BF7">
        <w:rPr>
          <w:noProof/>
          <w:vertAlign w:val="superscript"/>
        </w:rPr>
        <w:t>31</w:t>
      </w:r>
      <w:r w:rsidR="00AE13D9" w:rsidRPr="00264484">
        <w:fldChar w:fldCharType="end"/>
      </w:r>
      <w:r w:rsidR="00DA5B21">
        <w:rPr>
          <w:vertAlign w:val="superscript"/>
        </w:rPr>
        <w:t>,</w:t>
      </w:r>
      <w:r w:rsidR="00AE13D9">
        <w:fldChar w:fldCharType="begin" w:fldLock="1"/>
      </w:r>
      <w:r w:rsidR="00735E84">
        <w:instrText>ADDIN CSL_CITATION { "citationItems" : [ { "id" : "ITEM-1", "itemData" : { "DOI" : "10.1097/MIB.0000000000000290", "ISBN" : "0000000000000", "ISSN" : "1078-0998", "author" : [ { "dropping-particle" : "", "family" : "Chhaya", "given" : "Vivek", "non-dropping-particle" : "", "parse-names" : false, "suffix" : "" }, { "dropping-particle" : "", "family" : "Saxena", "given" : "Sonia", "non-dropping-particle" : "", "parse-names" : false, "suffix" : "" }, { "dropping-particle" : "", "family" : "Cecil", "given" : "Elizabeth", "non-dropping-particle" : "", "parse-names" : false, "suffix" : "" }, { "dropping-particle" : "", "family" : "Subramanian", "given" : "Venkataraman", "non-dropping-particle" : "", "parse-names" : false, "suffix" : "" }, { "dropping-particle" : "", "family" : "Curcin", "given" : "Vasa", "non-dropping-particle" : "", "parse-names" : false, "suffix" : "" }, { "dropping-particle" : "", "family" : "Majeed", "given" : "Azeem", "non-dropping-particle" : "", "parse-names" : false, "suffix" : "" }, { "dropping-particle" : "", "family" : "Pollok", "given" : "Richard C. G.", "non-dropping-particle" : "", "parse-names" : false, "suffix" : "" } ], "container-title" : "Inflammatory Bowel Diseases", "id" : "ITEM-1", "issue" : "0", "issued" : { "date-parts" : [ [ "2015" ] ] }, "page" : "385-391", "title" : "Impact of Timing and Duration of Thiopurine Treatment on First Perianal Surgery in Crohn\u02bcs Disease", "type" : "article-journal", "volume" : "21" }, "uris" : [ "http://www.mendeley.com/documents/?uuid=ace34c84-858a-416a-be76-8c80b967ac06" ] } ], "mendeley" : { "formattedCitation" : "&lt;sup&gt;32&lt;/sup&gt;", "plainTextFormattedCitation" : "32", "previouslyFormattedCitation" : "&lt;sup&gt;32&lt;/sup&gt;" }, "properties" : { "noteIndex" : 0 }, "schema" : "https://github.com/citation-style-language/schema/raw/master/csl-citation.json" }</w:instrText>
      </w:r>
      <w:r w:rsidR="00AE13D9">
        <w:fldChar w:fldCharType="separate"/>
      </w:r>
      <w:r w:rsidR="00391BF7" w:rsidRPr="00391BF7">
        <w:rPr>
          <w:noProof/>
          <w:vertAlign w:val="superscript"/>
        </w:rPr>
        <w:t>32</w:t>
      </w:r>
      <w:r w:rsidR="00AE13D9">
        <w:fldChar w:fldCharType="end"/>
      </w:r>
      <w:r w:rsidR="00DA5B21">
        <w:rPr>
          <w:vertAlign w:val="superscript"/>
        </w:rPr>
        <w:t>,</w:t>
      </w:r>
      <w:r w:rsidR="00AE13D9">
        <w:fldChar w:fldCharType="begin" w:fldLock="1"/>
      </w:r>
      <w:r w:rsidR="00735E84">
        <w:instrText>ADDIN CSL_CITATION { "citationItems" : [ { "id" : "ITEM-1", "itemData" : { "DOI" : "10.1111/apt.13700", "ISSN" : "13652036", "author" : [ { "dropping-particle" : "", "family" : "Chhaya", "given" : "V.", "non-dropping-particle" : "", "parse-names" : false, "suffix" : "" }, { "dropping-particle" : "", "family" : "Saxena", "given" : "S.", "non-dropping-particle" : "", "parse-names" : false, "suffix" : "" }, { "dropping-particle" : "", "family" : "Cecil", "given" : "E.", "non-dropping-particle" : "", "parse-names" : false, "suffix" : "" }, { "dropping-particle" : "", "family" : "Subramanian", "given" : "V.", "non-dropping-particle" : "", "parse-names" : false, "suffix" : "" }, { "dropping-particle" : "", "family" : "Curcin", "given" : "V.", "non-dropping-particle" : "", "parse-names" : false, "suffix" : "" }, { "dropping-particle" : "", "family" : "Majeed", "given" : "A.", "non-dropping-particle" : "", "parse-names" : false, "suffix" : "" }, { "dropping-particle" : "", "family" : "Pollok", "given" : "R. C.", "non-dropping-particle" : "", "parse-names" : false, "suffix" : "" } ], "container-title" : "Alimentary Pharmacology and Therapeutics", "id" : "ITEM-1", "issue" : "5", "issued" : { "date-parts" : [ [ "2016" ] ] }, "page" : "482-494", "title" : "Steroid dependency and trends in prescribing for inflammatory bowel disease: a 20-year national population-based study", "type" : "article-journal", "volume" : "44" }, "uris" : [ "http://www.mendeley.com/documents/?uuid=74e2633b-afd5-4491-8062-0d0b7741a88c" ] } ], "mendeley" : { "formattedCitation" : "&lt;sup&gt;33&lt;/sup&gt;", "plainTextFormattedCitation" : "33", "previouslyFormattedCitation" : "&lt;sup&gt;33&lt;/sup&gt;" }, "properties" : { "noteIndex" : 0 }, "schema" : "https://github.com/citation-style-language/schema/raw/master/csl-citation.json" }</w:instrText>
      </w:r>
      <w:r w:rsidR="00AE13D9">
        <w:fldChar w:fldCharType="separate"/>
      </w:r>
      <w:r w:rsidR="00391BF7" w:rsidRPr="00391BF7">
        <w:rPr>
          <w:noProof/>
          <w:vertAlign w:val="superscript"/>
        </w:rPr>
        <w:t>33</w:t>
      </w:r>
      <w:r w:rsidR="00AE13D9">
        <w:fldChar w:fldCharType="end"/>
      </w:r>
      <w:r w:rsidRPr="00264484">
        <w:t xml:space="preserve"> In brief, </w:t>
      </w:r>
      <w:r w:rsidR="00CC72D3" w:rsidRPr="00264484">
        <w:t xml:space="preserve">to separate prevalent from incident cases of CD, we </w:t>
      </w:r>
      <w:r w:rsidR="00CC72D3" w:rsidRPr="00264484">
        <w:lastRenderedPageBreak/>
        <w:t>identified patients with a fir</w:t>
      </w:r>
      <w:r w:rsidR="000C51E9" w:rsidRPr="00264484">
        <w:t>st Read code for CD</w:t>
      </w:r>
      <w:r w:rsidR="002D5A42" w:rsidRPr="00264484">
        <w:t xml:space="preserve"> </w:t>
      </w:r>
      <w:r w:rsidR="00CC72D3" w:rsidRPr="00264484">
        <w:t>at least one year after r</w:t>
      </w:r>
      <w:r w:rsidR="00705849" w:rsidRPr="00264484">
        <w:t>egistering with a 'U</w:t>
      </w:r>
      <w:r w:rsidR="00DA5B21">
        <w:t>p To Standard</w:t>
      </w:r>
      <w:r w:rsidR="00705849" w:rsidRPr="00264484">
        <w:t>'</w:t>
      </w:r>
      <w:r w:rsidR="00CC72D3" w:rsidRPr="00264484">
        <w:t xml:space="preserve"> practice</w:t>
      </w:r>
      <w:r w:rsidR="00AF71B6" w:rsidRPr="00264484">
        <w:t xml:space="preserve"> for the period </w:t>
      </w:r>
      <w:r w:rsidR="00B401DA" w:rsidRPr="00264484">
        <w:t>January 1st 2005 to</w:t>
      </w:r>
      <w:r w:rsidR="0087649E">
        <w:t xml:space="preserve"> December 31st 2014.</w:t>
      </w:r>
    </w:p>
    <w:p w:rsidR="00490D3C" w:rsidRDefault="00490D3C" w:rsidP="00490D3C">
      <w:pPr>
        <w:spacing w:line="480" w:lineRule="auto"/>
        <w:jc w:val="both"/>
      </w:pPr>
      <w:r w:rsidRPr="00264484">
        <w:t xml:space="preserve">Patients were excluded if they had Read codes for both ulcerative colitis and CD, or indeterminate codes ('non-specific colitis', 'colitis NOS' etc). Patients </w:t>
      </w:r>
      <w:r w:rsidR="009E05CB">
        <w:t>who</w:t>
      </w:r>
      <w:r w:rsidRPr="00264484">
        <w:t xml:space="preserve"> had a co-morbid condition that might require re</w:t>
      </w:r>
      <w:r w:rsidR="009E05CB">
        <w:t xml:space="preserve">gular or prolonged steroid use, </w:t>
      </w:r>
      <w:r w:rsidRPr="00264484">
        <w:t>for example, c</w:t>
      </w:r>
      <w:r w:rsidR="00570633">
        <w:t>hronic asthma or</w:t>
      </w:r>
      <w:r>
        <w:t xml:space="preserve"> </w:t>
      </w:r>
      <w:proofErr w:type="spellStart"/>
      <w:r>
        <w:t>polymyalgia</w:t>
      </w:r>
      <w:proofErr w:type="spellEnd"/>
      <w:r w:rsidR="009E05CB">
        <w:t xml:space="preserve"> </w:t>
      </w:r>
      <w:proofErr w:type="spellStart"/>
      <w:r w:rsidR="009E05CB">
        <w:t>rheumatica</w:t>
      </w:r>
      <w:proofErr w:type="spellEnd"/>
      <w:r w:rsidR="00570633">
        <w:t xml:space="preserve"> patients, </w:t>
      </w:r>
      <w:r w:rsidR="009E05CB">
        <w:t>were also excluded to avoid potential confounding</w:t>
      </w:r>
      <w:r>
        <w:t>.</w:t>
      </w:r>
      <w:r w:rsidRPr="00264484">
        <w:t xml:space="preserve"> Patients with previous organ transplants were also </w:t>
      </w:r>
      <w:r w:rsidR="005C7DBA">
        <w:t>excluded because of the likely</w:t>
      </w:r>
      <w:r w:rsidRPr="00264484">
        <w:t xml:space="preserve"> use of concurrent immunosuppressant</w:t>
      </w:r>
      <w:r w:rsidR="00EB3C09">
        <w:t xml:space="preserve"> and steroid</w:t>
      </w:r>
      <w:r w:rsidRPr="00264484">
        <w:t xml:space="preserve"> me</w:t>
      </w:r>
      <w:r w:rsidR="009E05CB">
        <w:t xml:space="preserve">dications </w:t>
      </w:r>
      <w:r w:rsidRPr="00264484">
        <w:t>in this group</w:t>
      </w:r>
      <w:r w:rsidR="009E05CB">
        <w:t xml:space="preserve">. </w:t>
      </w:r>
      <w:r w:rsidRPr="00264484">
        <w:t xml:space="preserve">Patients were followed up from date of CD diagnosis until study endpoint, </w:t>
      </w:r>
      <w:r>
        <w:t>de-registration</w:t>
      </w:r>
      <w:r w:rsidRPr="00264484">
        <w:t>, or death.</w:t>
      </w:r>
    </w:p>
    <w:p w:rsidR="00461EBF" w:rsidRPr="00461EBF" w:rsidRDefault="00461EBF" w:rsidP="00461EBF">
      <w:pPr>
        <w:pStyle w:val="Heading2"/>
        <w:spacing w:line="480" w:lineRule="auto"/>
        <w:rPr>
          <w:rFonts w:asciiTheme="minorHAnsi" w:hAnsiTheme="minorHAnsi"/>
        </w:rPr>
      </w:pPr>
      <w:r w:rsidRPr="00461EBF">
        <w:rPr>
          <w:rFonts w:asciiTheme="minorHAnsi" w:hAnsiTheme="minorHAnsi"/>
        </w:rPr>
        <w:t>Exposure</w:t>
      </w:r>
      <w:r w:rsidR="005A476D">
        <w:rPr>
          <w:rFonts w:asciiTheme="minorHAnsi" w:hAnsiTheme="minorHAnsi"/>
        </w:rPr>
        <w:t xml:space="preserve"> variable</w:t>
      </w:r>
    </w:p>
    <w:p w:rsidR="00461EBF" w:rsidRDefault="00461EBF" w:rsidP="00461EBF">
      <w:pPr>
        <w:spacing w:line="480" w:lineRule="auto"/>
        <w:jc w:val="both"/>
      </w:pPr>
      <w:r w:rsidRPr="00264484">
        <w:t xml:space="preserve">Our main exposure variable was smoking status at CD diagnosis. Patients were defined as either  </w:t>
      </w:r>
      <w:r w:rsidR="00493059">
        <w:t>'</w:t>
      </w:r>
      <w:r w:rsidRPr="00264484">
        <w:t>smokers</w:t>
      </w:r>
      <w:r w:rsidR="00493059">
        <w:t>'</w:t>
      </w:r>
      <w:r w:rsidRPr="00264484">
        <w:t xml:space="preserve"> or </w:t>
      </w:r>
      <w:r w:rsidR="00493059">
        <w:t>'</w:t>
      </w:r>
      <w:r w:rsidRPr="00264484">
        <w:t>non-smokers</w:t>
      </w:r>
      <w:r w:rsidR="00493059">
        <w:t>'</w:t>
      </w:r>
      <w:r w:rsidRPr="00264484">
        <w:t xml:space="preserve"> at</w:t>
      </w:r>
      <w:r w:rsidR="005C7DBA">
        <w:t xml:space="preserve"> the time of</w:t>
      </w:r>
      <w:r w:rsidRPr="00264484">
        <w:t xml:space="preserve"> CD diagnosis based on Read codes for smoking st</w:t>
      </w:r>
      <w:r w:rsidR="0002241D">
        <w:t>atus in the year before the</w:t>
      </w:r>
      <w:r w:rsidR="00D339E4">
        <w:t xml:space="preserve"> first recorded</w:t>
      </w:r>
      <w:r w:rsidRPr="00264484">
        <w:t xml:space="preserve"> CD diagnosis. </w:t>
      </w:r>
      <w:r w:rsidR="00493059">
        <w:t>'</w:t>
      </w:r>
      <w:r w:rsidRPr="00264484">
        <w:t>Non-smokers</w:t>
      </w:r>
      <w:r w:rsidR="00493059">
        <w:t>'</w:t>
      </w:r>
      <w:r w:rsidRPr="00264484">
        <w:t xml:space="preserve"> at CD diagnosis included patients who were either ex-smokers</w:t>
      </w:r>
      <w:r w:rsidR="005C7DBA">
        <w:t xml:space="preserve"> of at least one year,</w:t>
      </w:r>
      <w:r w:rsidRPr="00264484">
        <w:t xml:space="preserve"> or </w:t>
      </w:r>
      <w:r w:rsidR="00493059">
        <w:t>'</w:t>
      </w:r>
      <w:r w:rsidRPr="00264484">
        <w:t>never smokers</w:t>
      </w:r>
      <w:r w:rsidR="00493059">
        <w:t>'</w:t>
      </w:r>
      <w:r w:rsidR="0012489E">
        <w:t>, as defined by Read codes (see additional online material).</w:t>
      </w:r>
      <w:r w:rsidRPr="00264484">
        <w:t xml:space="preserve"> Where patients had contradicting or multiple </w:t>
      </w:r>
      <w:r w:rsidR="00AE16F2">
        <w:t>codes for smoking status in the</w:t>
      </w:r>
      <w:r w:rsidRPr="00264484">
        <w:t xml:space="preserve"> preceding year, the smoking code closest to the date of CD diag</w:t>
      </w:r>
      <w:r w:rsidR="008F3A32">
        <w:t>nosis was used. Completeness of</w:t>
      </w:r>
      <w:r w:rsidRPr="00264484">
        <w:t xml:space="preserve"> smoking data within our dat</w:t>
      </w:r>
      <w:r>
        <w:t>aset was approximately 80% (F</w:t>
      </w:r>
      <w:r w:rsidRPr="00264484">
        <w:t xml:space="preserve">igure 1). </w:t>
      </w:r>
      <w:r>
        <w:t>Accuracy</w:t>
      </w:r>
      <w:r w:rsidRPr="00264484">
        <w:t xml:space="preserve"> of smoking status recording in CPRD </w:t>
      </w:r>
      <w:r w:rsidR="00D339E4">
        <w:t>has been demonstrated to be</w:t>
      </w:r>
      <w:r>
        <w:t xml:space="preserve"> within </w:t>
      </w:r>
      <w:r w:rsidRPr="00264484">
        <w:t xml:space="preserve">1% </w:t>
      </w:r>
      <w:r>
        <w:t>of</w:t>
      </w:r>
      <w:r w:rsidR="006664BE">
        <w:t xml:space="preserve"> self-</w:t>
      </w:r>
      <w:r w:rsidRPr="00264484">
        <w:t>reported smoking habits in national surveys.</w:t>
      </w:r>
      <w:r w:rsidR="00AE13D9">
        <w:fldChar w:fldCharType="begin" w:fldLock="1"/>
      </w:r>
      <w:r w:rsidR="00735E84">
        <w:instrText>ADDIN CSL_CITATION { "citationItems" : [ { "id" : "ITEM-1", "itemData" : { "PMID" : "24243711", "abstract" : "PURPOSE: Primary care electronic health records (EHRs) are increasingly used as a resource for epidemiological research. Cigarette smoking is an important variable in many epidemiological studies. We evaluated the validity of smoking records in primary care EHRs by comparing estimates for smoking prevalence from primary care EHRs with national health survey data. METHODS: Data were analysed for adults over 30 years of age from the Clinical Practice Research Datalink (CPRD) in comparison with data from the Health Survey for England between 2007 and 2011. Electronic health records in the CPRD were searched for records of smoking status and smoking cessation treatment. Annual age- and sex-standardised prevalence of current-, non- and former smoking were calculated, and compared with equivalent data from the Health Survey for England (HSE). RESULTS: The difference between estimates of current smoking in CPRD and HSE was generally &lt;1% from 2007 to 2011. In 2011, the prevalence of current smoking in men was: CPRD 24.3%, HSE 24.2%. The mean difference was 0.1% (95% confidence interval \u22121.5 to 1.7%). In women, current smoking prevalence was CPRD 20.3%, HSE 19.0%; mean difference 1.3% (0.0 to 2.6%). Estimates for former smoking were lower in CPRD than HSE for men (CPRD 26.7%, HSE 31.3%) and women (CPRD 22.9%, HSE 25.0%). CONCLUSIONS: Prevalence estimates for current smoking, and non-smoking, from primary care EHRs are similar to those from nationally representative surveys, but former smoking may be under-recorded.", "author" : [ { "dropping-particle" : "", "family" : "Booth", "given" : "HP", "non-dropping-particle" : "", "parse-names" : false, "suffix" : "" }, { "dropping-particle" : "", "family" : "Prevost", "given" : "AT", "non-dropping-particle" : "", "parse-names" : false, "suffix" : "" }, { "dropping-particle" : "", "family" : "Gulliford", "given" : "MC", "non-dropping-particle" : "", "parse-names" : false, "suffix" : "" } ], "container-title" : "Pharmacoepidemiol Drug Saf. Dec;22(12):.", "id" : "ITEM-1", "issue" : "12", "issued" : { "date-parts" : [ [ "2013" ] ] }, "page" : "1357-61", "title" : "Validity of smoking prevalence estimates from primary care electronic health records compared with national population survey data for England, 2007 to 2011", "type" : "article-journal", "volume" : "22" }, "uris" : [ "http://www.mendeley.com/documents/?uuid=eeb50988-5001-4ec4-9f08-f0d58880e2f9" ] } ], "mendeley" : { "formattedCitation" : "&lt;sup&gt;34&lt;/sup&gt;", "plainTextFormattedCitation" : "34", "previouslyFormattedCitation" : "&lt;sup&gt;34&lt;/sup&gt;" }, "properties" : { "noteIndex" : 0 }, "schema" : "https://github.com/citation-style-language/schema/raw/master/csl-citation.json" }</w:instrText>
      </w:r>
      <w:r w:rsidR="00AE13D9">
        <w:fldChar w:fldCharType="separate"/>
      </w:r>
      <w:r w:rsidR="00391BF7" w:rsidRPr="00391BF7">
        <w:rPr>
          <w:noProof/>
          <w:vertAlign w:val="superscript"/>
        </w:rPr>
        <w:t>34</w:t>
      </w:r>
      <w:r w:rsidR="00AE13D9">
        <w:fldChar w:fldCharType="end"/>
      </w:r>
      <w:r w:rsidRPr="00264484">
        <w:t xml:space="preserve"> </w:t>
      </w:r>
      <w:r>
        <w:t>Since</w:t>
      </w:r>
      <w:r w:rsidRPr="00264484">
        <w:t xml:space="preserve"> </w:t>
      </w:r>
      <w:r>
        <w:t>April</w:t>
      </w:r>
      <w:r w:rsidRPr="00264484">
        <w:t xml:space="preserve"> 2004, </w:t>
      </w:r>
      <w:r>
        <w:t>financial incentives in</w:t>
      </w:r>
      <w:r w:rsidR="00240408">
        <w:t xml:space="preserve"> primary care were introduced</w:t>
      </w:r>
      <w:r w:rsidRPr="00264484">
        <w:t xml:space="preserve"> </w:t>
      </w:r>
      <w:r>
        <w:t>for</w:t>
      </w:r>
      <w:r w:rsidRPr="00264484">
        <w:t xml:space="preserve"> GPs to </w:t>
      </w:r>
      <w:r>
        <w:t>offer</w:t>
      </w:r>
      <w:r w:rsidRPr="00264484">
        <w:t xml:space="preserve"> smoking </w:t>
      </w:r>
      <w:r>
        <w:t>cessation advice to</w:t>
      </w:r>
      <w:r w:rsidRPr="00264484">
        <w:t xml:space="preserve"> patients</w:t>
      </w:r>
      <w:r>
        <w:t xml:space="preserve"> aged over 16 years</w:t>
      </w:r>
      <w:r w:rsidR="00D339E4">
        <w:t xml:space="preserve"> via the </w:t>
      </w:r>
      <w:r w:rsidR="00693BD6">
        <w:t xml:space="preserve">UK </w:t>
      </w:r>
      <w:r w:rsidR="00D339E4">
        <w:t xml:space="preserve">Quality and Outcomes Framework (QOF) scheme. </w:t>
      </w:r>
      <w:r w:rsidR="00693BD6">
        <w:t>T</w:t>
      </w:r>
      <w:r w:rsidR="00D339E4">
        <w:t>his</w:t>
      </w:r>
      <w:r w:rsidR="005C7DBA">
        <w:t xml:space="preserve"> has</w:t>
      </w:r>
      <w:r w:rsidR="00D339E4">
        <w:t xml:space="preserve"> </w:t>
      </w:r>
      <w:r>
        <w:t xml:space="preserve">substantially </w:t>
      </w:r>
      <w:r w:rsidRPr="00264484">
        <w:t xml:space="preserve">increased </w:t>
      </w:r>
      <w:r>
        <w:t xml:space="preserve">completeness of </w:t>
      </w:r>
      <w:r w:rsidRPr="00264484">
        <w:t>re</w:t>
      </w:r>
      <w:r>
        <w:t xml:space="preserve">cording </w:t>
      </w:r>
      <w:r w:rsidRPr="00264484">
        <w:t xml:space="preserve"> of smoking </w:t>
      </w:r>
      <w:r>
        <w:t>status</w:t>
      </w:r>
      <w:r w:rsidR="00D339E4">
        <w:t>.</w:t>
      </w:r>
      <w:r w:rsidR="00AE13D9">
        <w:fldChar w:fldCharType="begin" w:fldLock="1"/>
      </w:r>
      <w:r w:rsidR="00735E84">
        <w:instrText>ADDIN CSL_CITATION { "citationItems" : [ { "id" : "ITEM-1", "itemData" : { "DOI" : "10.1503/cmaj.061556", "ISBN" : "1488-2329 (Electronic)", "ISSN" : "08203946", "PMID" : "17548383", "abstract" : "BACKGROUND: Many people with diabetes continue to smoke despite being at high risk of cardiovascular disease. We examined the impact of a pay-for-performance incentive in the United Kingdom introduced in 2004 as part of the new general practitioner contract to improve support for smoking cessation and to reduce the prevalence of smoking among people with chronic diseases such as diabetes.\\n\\nMETHODS: We performed a population-based longitudinal study of the recorded delivery of cessation advice and the prevalence of smoking using electronic records of patients with diabetes obtained from participating general practices. The survey was carried out in an ethnically diverse part of southwest London before (June-October 2003) and after (November 2005-January 2006) the introduction of a pay-for-performance incentive.\\n\\nRESULTS: Significantly more patients with diabetes had their smoking status ever recorded in 2005 than in 2003 (98.8% v. 90.0%, p &lt;0.001). The proportion of patients with documented smoking cessation advice also increased significantly over this period, from 48.0% to 83.5% (p &lt; 0.001). The prevalence of smoking decreased significantly from 20.0% to 16.2% (p &lt; 0.001). The reduction over the study period was lower among women (adjusted odds ratio 0.71, 95% confidence interval 0.53-0.95) but was not significantly different in the most and least affluent groups. In 2005, smoking rates continued to differ significantly with age (10.6%-25.1%), sex (women, 11.5%; men, 20.6%) and ethnic background (4.9%-24.9%).\\n\\nINTERPRETATION: The introduction of a pay-for-performance incentive in the United Kingdom increased the provision of support for smoking cessation and was associated with a reduction in smoking prevalence among patients with diabetes in primary health care settings. Health care planners in other countries may wish to consider introducing similar incentive schemes for primary care physicians.", "author" : [ { "dropping-particle" : "", "family" : "Millett", "given" : "Christopher", "non-dropping-particle" : "", "parse-names" : false, "suffix" : "" }, { "dropping-particle" : "", "family" : "Gray", "given" : "Jeremy", "non-dropping-particle" : "", "parse-names" : false, "suffix" : "" }, { "dropping-particle" : "", "family" : "Saxena", "given" : "Sonia", "non-dropping-particle" : "", "parse-names" : false, "suffix" : "" }, { "dropping-particle" : "", "family" : "Netuveli", "given" : "Gopalakrishnan", "non-dropping-particle" : "", "parse-names" : false, "suffix" : "" }, { "dropping-particle" : "", "family" : "Majeed", "given" : "Azeem", "non-dropping-particle" : "", "parse-names" : false, "suffix" : "" } ], "container-title" : "CMAJ", "id" : "ITEM-1", "issue" : "12", "issued" : { "date-parts" : [ [ "2007" ] ] }, "page" : "1705-1710", "title" : "Impact of a pay-for-performance incentive on support for smoking cessation and on smoking prevalence among people with diabetes", "type" : "article-journal", "volume" : "176" }, "uris" : [ "http://www.mendeley.com/documents/?uuid=0ffcabcb-6e34-43e7-8341-faa6b660e8af" ] } ], "mendeley" : { "formattedCitation" : "&lt;sup&gt;28&lt;/sup&gt;", "plainTextFormattedCitation" : "28", "previouslyFormattedCitation" : "&lt;sup&gt;28&lt;/sup&gt;" }, "properties" : { "noteIndex" : 0 }, "schema" : "https://github.com/citation-style-language/schema/raw/master/csl-citation.json" }</w:instrText>
      </w:r>
      <w:r w:rsidR="00AE13D9">
        <w:fldChar w:fldCharType="separate"/>
      </w:r>
      <w:r w:rsidR="00391BF7" w:rsidRPr="00391BF7">
        <w:rPr>
          <w:noProof/>
          <w:vertAlign w:val="superscript"/>
        </w:rPr>
        <w:t>28</w:t>
      </w:r>
      <w:r w:rsidR="00AE13D9">
        <w:fldChar w:fldCharType="end"/>
      </w:r>
      <w:r w:rsidR="00D339E4">
        <w:t xml:space="preserve"> </w:t>
      </w:r>
      <w:r>
        <w:t>We there</w:t>
      </w:r>
      <w:r w:rsidR="00693BD6">
        <w:t>fore chose a</w:t>
      </w:r>
      <w:r w:rsidR="00D339E4">
        <w:t xml:space="preserve"> start</w:t>
      </w:r>
      <w:r w:rsidR="00693BD6">
        <w:t xml:space="preserve"> for the study</w:t>
      </w:r>
      <w:r w:rsidR="00D339E4">
        <w:t xml:space="preserve"> of</w:t>
      </w:r>
      <w:r>
        <w:t xml:space="preserve"> January 1st 2005</w:t>
      </w:r>
      <w:r w:rsidR="005C7DBA">
        <w:t>, 9</w:t>
      </w:r>
      <w:r w:rsidR="00240408">
        <w:t xml:space="preserve"> months</w:t>
      </w:r>
      <w:r>
        <w:t xml:space="preserve"> after </w:t>
      </w:r>
      <w:r w:rsidRPr="00264484">
        <w:t>implementation</w:t>
      </w:r>
      <w:r w:rsidR="00693BD6">
        <w:t xml:space="preserve"> of this</w:t>
      </w:r>
      <w:r>
        <w:t xml:space="preserve"> scheme</w:t>
      </w:r>
      <w:r w:rsidRPr="00264484">
        <w:t>.</w:t>
      </w:r>
    </w:p>
    <w:p w:rsidR="0012489E" w:rsidRPr="0012489E" w:rsidRDefault="0012489E" w:rsidP="00461EBF">
      <w:pPr>
        <w:spacing w:line="480" w:lineRule="auto"/>
        <w:jc w:val="both"/>
      </w:pPr>
      <w:r w:rsidRPr="0012489E">
        <w:t xml:space="preserve">For the secondary analysis, we identified patients with further Read codes for smoking status in the first two years after CD diagnosis. Patients were considered 'persistent smokers' if they were </w:t>
      </w:r>
      <w:r w:rsidRPr="0012489E">
        <w:lastRenderedPageBreak/>
        <w:t xml:space="preserve">smokers at CD diagnosis (as defined above) </w:t>
      </w:r>
      <w:r w:rsidRPr="0012489E">
        <w:rPr>
          <w:i/>
        </w:rPr>
        <w:t>and</w:t>
      </w:r>
      <w:r w:rsidRPr="0012489E">
        <w:t xml:space="preserve"> had at least one further Read code indicating a smoking status within 2 years after diagnosis. Patients were labelled as 'quitters' if they were smokers at CD diagnosis, but had at least one subsequent Read code indicating they were non-smokers or ex-smokers in the two years following CD diagnosis.</w:t>
      </w:r>
    </w:p>
    <w:p w:rsidR="00050F12" w:rsidRDefault="00461EBF" w:rsidP="00304057">
      <w:pPr>
        <w:pStyle w:val="Heading2"/>
        <w:spacing w:line="480" w:lineRule="auto"/>
        <w:rPr>
          <w:rFonts w:asciiTheme="minorHAnsi" w:hAnsiTheme="minorHAnsi"/>
        </w:rPr>
      </w:pPr>
      <w:r>
        <w:rPr>
          <w:rFonts w:asciiTheme="minorHAnsi" w:hAnsiTheme="minorHAnsi"/>
        </w:rPr>
        <w:t>Outcome measures</w:t>
      </w:r>
    </w:p>
    <w:p w:rsidR="007D3967" w:rsidRPr="00264484" w:rsidRDefault="007D3967" w:rsidP="007D3967">
      <w:pPr>
        <w:spacing w:line="480" w:lineRule="auto"/>
        <w:jc w:val="both"/>
      </w:pPr>
      <w:r>
        <w:t xml:space="preserve">Our primary outcome measure was </w:t>
      </w:r>
      <w:r w:rsidRPr="00264484">
        <w:t xml:space="preserve">oral corticosteroid (CS) </w:t>
      </w:r>
      <w:r>
        <w:t>use as a proxy measure of</w:t>
      </w:r>
      <w:r w:rsidR="00542E61">
        <w:t xml:space="preserve"> a</w:t>
      </w:r>
      <w:r>
        <w:t xml:space="preserve"> </w:t>
      </w:r>
      <w:r w:rsidR="00AE16F2">
        <w:t xml:space="preserve">CS-requiring </w:t>
      </w:r>
      <w:r>
        <w:t>disease flare</w:t>
      </w:r>
      <w:r w:rsidR="00977FD3">
        <w:t>-up</w:t>
      </w:r>
      <w:r w:rsidR="00D05AB6">
        <w:t xml:space="preserve"> (</w:t>
      </w:r>
      <w:r w:rsidR="00570633">
        <w:t>'</w:t>
      </w:r>
      <w:r w:rsidR="00D05AB6">
        <w:t>CS-flare</w:t>
      </w:r>
      <w:r w:rsidR="00570633">
        <w:t>'</w:t>
      </w:r>
      <w:r w:rsidR="00D05AB6">
        <w:t>)</w:t>
      </w:r>
      <w:r>
        <w:t xml:space="preserve"> </w:t>
      </w:r>
      <w:r w:rsidR="00AE16F2">
        <w:t>indicative of</w:t>
      </w:r>
      <w:r>
        <w:t xml:space="preserve"> an e</w:t>
      </w:r>
      <w:r w:rsidR="00542E61">
        <w:t>xacerbation of CD</w:t>
      </w:r>
      <w:r w:rsidRPr="00264484">
        <w:t xml:space="preserve">. </w:t>
      </w:r>
      <w:r>
        <w:t>We derived 3 measures of CS use</w:t>
      </w:r>
      <w:r w:rsidR="00542E61">
        <w:t>. Firstly we calculated the</w:t>
      </w:r>
      <w:r w:rsidRPr="00264484">
        <w:t xml:space="preserve"> </w:t>
      </w:r>
      <w:r w:rsidR="00542E61">
        <w:t>proportion of patients</w:t>
      </w:r>
      <w:r w:rsidR="00AA5ADE">
        <w:t xml:space="preserve"> '</w:t>
      </w:r>
      <w:r w:rsidR="00542E61">
        <w:t>ever exposed</w:t>
      </w:r>
      <w:r w:rsidR="00AA5ADE">
        <w:t>'</w:t>
      </w:r>
      <w:r w:rsidR="00AE16F2">
        <w:t xml:space="preserve"> or </w:t>
      </w:r>
      <w:r w:rsidR="00AA5ADE">
        <w:t>'</w:t>
      </w:r>
      <w:r w:rsidR="00542E61">
        <w:t>never exposed</w:t>
      </w:r>
      <w:r w:rsidR="00AA5ADE">
        <w:t>'</w:t>
      </w:r>
      <w:r w:rsidR="00AE16F2">
        <w:t xml:space="preserve"> to oral CS</w:t>
      </w:r>
      <w:r w:rsidR="00542E61">
        <w:t xml:space="preserve">. Patients were identified as </w:t>
      </w:r>
      <w:r w:rsidR="00AA5ADE">
        <w:t>'</w:t>
      </w:r>
      <w:r w:rsidR="00542E61">
        <w:t>ever exposed</w:t>
      </w:r>
      <w:r w:rsidR="00AA5ADE">
        <w:t>'</w:t>
      </w:r>
      <w:r w:rsidR="00542E61">
        <w:t xml:space="preserve"> if they had at least one prescription for</w:t>
      </w:r>
      <w:r w:rsidR="00977FD3">
        <w:t xml:space="preserve"> oral CS during follow-</w:t>
      </w:r>
      <w:r w:rsidR="00AA5ADE">
        <w:t>up.</w:t>
      </w:r>
      <w:r w:rsidR="00542E61">
        <w:t xml:space="preserve">  </w:t>
      </w:r>
    </w:p>
    <w:p w:rsidR="007D3967" w:rsidRPr="00264484" w:rsidRDefault="00542E61" w:rsidP="007D3967">
      <w:pPr>
        <w:spacing w:line="480" w:lineRule="auto"/>
        <w:jc w:val="both"/>
      </w:pPr>
      <w:r>
        <w:t>Secondly</w:t>
      </w:r>
      <w:r w:rsidR="00AA5ADE">
        <w:t>,</w:t>
      </w:r>
      <w:r>
        <w:t xml:space="preserve"> w</w:t>
      </w:r>
      <w:r w:rsidR="007D3967" w:rsidRPr="00264484">
        <w:t xml:space="preserve">e </w:t>
      </w:r>
      <w:r w:rsidR="007D3967">
        <w:t>used</w:t>
      </w:r>
      <w:r w:rsidR="007D3967" w:rsidRPr="00264484">
        <w:t xml:space="preserve"> </w:t>
      </w:r>
      <w:r w:rsidR="008F5F89">
        <w:t>a previously published</w:t>
      </w:r>
      <w:r w:rsidR="00977FD3">
        <w:t xml:space="preserve"> methodology described by </w:t>
      </w:r>
      <w:proofErr w:type="spellStart"/>
      <w:r w:rsidR="00977FD3">
        <w:t>Grainge</w:t>
      </w:r>
      <w:proofErr w:type="spellEnd"/>
      <w:r w:rsidR="00977FD3">
        <w:t xml:space="preserve"> </w:t>
      </w:r>
      <w:r w:rsidR="00977FD3" w:rsidRPr="00977FD3">
        <w:rPr>
          <w:i/>
        </w:rPr>
        <w:t>et al</w:t>
      </w:r>
      <w:r w:rsidR="00977FD3">
        <w:t>.</w:t>
      </w:r>
      <w:r w:rsidR="00570633" w:rsidRPr="00570633">
        <w:t xml:space="preserve"> </w:t>
      </w:r>
      <w:r w:rsidR="00570633" w:rsidRPr="00264484">
        <w:t xml:space="preserve">to </w:t>
      </w:r>
      <w:r w:rsidR="00570633">
        <w:t>define the number of 'CS flares' during follow up.</w:t>
      </w:r>
      <w:r w:rsidR="00AE13D9">
        <w:fldChar w:fldCharType="begin" w:fldLock="1"/>
      </w:r>
      <w:r w:rsidR="00735E84">
        <w:instrText>ADDIN CSL_CITATION { "citationItems" : [ { "id" : "ITEM-1", "itemData" : { "DOI" : "10.1016/S0140-6736(09)61963-2", "ISBN" : "1474-547X (Electronic)\\r0140-6736 (Linking)", "ISSN" : "01406736", "PMID" : "20149425", "abstract" : "Background: Patients with inflammatory bowel disease who develop deep vein thrombosis or pulmonary embolism often have active disease at the time of thromboembolism. We therefore aimed to quantify the risk of venous thromboembolism prospectively during different activity phases of inflammatory bowel disease. Methods: From the General Practice Research Database, we matched patients with prospectively recorded inflammatory bowel disease from November, 1987, until July, 2001 with up to five controls by age, sex, and general practice. A flare was defined as the period 120 days after a new corticosteroid prescription. We used Cox regression analysis with time-varying covariates to accommodate changes in the state of inflammatory bowel disease, and whether patients were at high risk of venous thromboembolism after hospitalisation. Findings: 13 756 patients with inflammatory bowel disease and 71 672 matched controls were included in the analysis, and of these 139 patients and 165 controls developed venous thromboembolism. Overall, patients with inflammatory bowel disease had a higher risk of venous thromboembolism than did controls (hazard ratio 3??4, 95% CI 2??7-4??3; p&lt;0??0001; absolute risk 2??6 per 1000 per person-years). At the time of a flare, however, this increase in risk was much more prominent (8??4, 5??5-12??8; p&lt;0??0001; 9??0 per 1000 person-years). This relative risk at the time of a flare was higher during non-hospitalised periods (15??8, 9??8-25??5; p&lt;0??0001; 6??4 per 1000 person-years) than during hospitalised periods (3??2, 1??7-6??3; p=0??0006; 37??5 per 1000 person-years). Interpretation: Trials of primary prophylaxis of venous thromboembolism are warranted to find out whether this important complication can be prevented. Funding: National Association for Colitis and Crohn's Disease. ?? 2010 Elsevier Ltd. All rights reserved.", "author" : [ { "dropping-particle" : "", "family" : "Grainge", "given" : "Matthew J.", "non-dropping-particle" : "", "parse-names" : false, "suffix" : "" }, { "dropping-particle" : "", "family" : "West", "given" : "Joe", "non-dropping-particle" : "", "parse-names" : false, "suffix" : "" }, { "dropping-particle" : "", "family" : "Card", "given" : "Timothy R.", "non-dropping-particle" : "", "parse-names" : false, "suffix" : "" } ], "container-title" : "The Lancet", "id" : "ITEM-1", "issue" : "9715", "issued" : { "date-parts" : [ [ "2010" ] ] }, "page" : "657-663", "publisher" : "Elsevier Ltd", "title" : "Venous thromboembolism during active disease and remission in inflammatory bowel disease: a cohort study", "type" : "article-journal", "volume" : "375" }, "uris" : [ "http://www.mendeley.com/documents/?uuid=65256ba2-1733-4f60-8c59-e22e22d8f8c1" ] } ], "mendeley" : { "formattedCitation" : "&lt;sup&gt;35&lt;/sup&gt;", "plainTextFormattedCitation" : "35", "previouslyFormattedCitation" : "&lt;sup&gt;35&lt;/sup&gt;" }, "properties" : { "noteIndex" : 0 }, "schema" : "https://github.com/citation-style-language/schema/raw/master/csl-citation.json" }</w:instrText>
      </w:r>
      <w:r w:rsidR="00AE13D9">
        <w:fldChar w:fldCharType="separate"/>
      </w:r>
      <w:r w:rsidR="00391BF7" w:rsidRPr="00391BF7">
        <w:rPr>
          <w:noProof/>
          <w:vertAlign w:val="superscript"/>
        </w:rPr>
        <w:t>35</w:t>
      </w:r>
      <w:r w:rsidR="00AE13D9">
        <w:fldChar w:fldCharType="end"/>
      </w:r>
      <w:r w:rsidR="007D3967" w:rsidRPr="00264484">
        <w:t xml:space="preserve"> </w:t>
      </w:r>
      <w:r w:rsidR="00AA5ADE">
        <w:t>T</w:t>
      </w:r>
      <w:r w:rsidR="007D3967">
        <w:t xml:space="preserve">he </w:t>
      </w:r>
      <w:r w:rsidR="00AA5ADE">
        <w:t>first 'CS</w:t>
      </w:r>
      <w:r w:rsidR="00BF3C34">
        <w:t>-</w:t>
      </w:r>
      <w:r w:rsidR="00AA5ADE">
        <w:t>flare'</w:t>
      </w:r>
      <w:r w:rsidR="007D3967">
        <w:t xml:space="preserve"> </w:t>
      </w:r>
      <w:r w:rsidR="00AA5ADE">
        <w:t>was defined</w:t>
      </w:r>
      <w:r w:rsidR="007D3967">
        <w:t xml:space="preserve"> as</w:t>
      </w:r>
      <w:r w:rsidR="007D3967" w:rsidRPr="00264484">
        <w:t xml:space="preserve"> the first CS prescription </w:t>
      </w:r>
      <w:r w:rsidR="00977FD3">
        <w:t xml:space="preserve">registered </w:t>
      </w:r>
      <w:r w:rsidR="007D3967" w:rsidRPr="00264484">
        <w:t>in the patient record</w:t>
      </w:r>
      <w:r w:rsidR="00977FD3">
        <w:t xml:space="preserve"> after date of CD diagnosis</w:t>
      </w:r>
      <w:r w:rsidR="007D3967" w:rsidRPr="00264484">
        <w:t>. The next</w:t>
      </w:r>
      <w:r w:rsidR="002A70DF">
        <w:t xml:space="preserve"> separate</w:t>
      </w:r>
      <w:r w:rsidR="007D3967" w:rsidRPr="00264484">
        <w:t xml:space="preserve"> </w:t>
      </w:r>
      <w:r w:rsidR="002A70DF">
        <w:t>'</w:t>
      </w:r>
      <w:r w:rsidR="00BF3C34">
        <w:t>CS-</w:t>
      </w:r>
      <w:r w:rsidR="007D3967" w:rsidRPr="00264484">
        <w:t>flare</w:t>
      </w:r>
      <w:r w:rsidR="00AA5ADE">
        <w:t>'</w:t>
      </w:r>
      <w:r w:rsidR="007D3967" w:rsidRPr="00264484">
        <w:t xml:space="preserve"> was defined </w:t>
      </w:r>
      <w:r w:rsidR="002A70DF">
        <w:t>where a</w:t>
      </w:r>
      <w:r w:rsidR="007D3967" w:rsidRPr="00264484">
        <w:t xml:space="preserve"> </w:t>
      </w:r>
      <w:r w:rsidR="002A70DF">
        <w:t xml:space="preserve">subsequent </w:t>
      </w:r>
      <w:r w:rsidR="007D3967" w:rsidRPr="00264484">
        <w:t>CS prescription</w:t>
      </w:r>
      <w:r w:rsidR="002A70DF">
        <w:t xml:space="preserve"> was recorded</w:t>
      </w:r>
      <w:r w:rsidR="007D3967" w:rsidRPr="00264484">
        <w:t xml:space="preserve"> following a period of </w:t>
      </w:r>
      <w:r w:rsidR="008F5F89">
        <w:t xml:space="preserve">at least </w:t>
      </w:r>
      <w:r w:rsidR="007D3967" w:rsidRPr="00264484">
        <w:t>4 months without</w:t>
      </w:r>
      <w:r w:rsidR="002A70DF">
        <w:t xml:space="preserve"> a </w:t>
      </w:r>
      <w:r w:rsidR="007D3967" w:rsidRPr="00264484">
        <w:t>CS prescription. T</w:t>
      </w:r>
      <w:r w:rsidR="002A70DF">
        <w:t>his methodology allowed for</w:t>
      </w:r>
      <w:r w:rsidR="00BF3C34">
        <w:t xml:space="preserve"> the determination of total 'CS-</w:t>
      </w:r>
      <w:r w:rsidR="002A70DF">
        <w:t>flares' for the entire period of follow-up for each patient</w:t>
      </w:r>
      <w:r w:rsidR="007D3967" w:rsidRPr="00264484">
        <w:t>.</w:t>
      </w:r>
      <w:r w:rsidR="002A70DF">
        <w:t xml:space="preserve"> Thus,</w:t>
      </w:r>
      <w:r w:rsidR="007D3967" w:rsidRPr="00264484">
        <w:t xml:space="preserve"> </w:t>
      </w:r>
      <w:r w:rsidR="002A70DF">
        <w:t>t</w:t>
      </w:r>
      <w:r w:rsidR="007D3967">
        <w:t>he t</w:t>
      </w:r>
      <w:r w:rsidR="007D3967" w:rsidRPr="00264484">
        <w:t xml:space="preserve">otal </w:t>
      </w:r>
      <w:r w:rsidR="007D3967">
        <w:t xml:space="preserve">number of </w:t>
      </w:r>
      <w:r w:rsidR="002A70DF">
        <w:t>'</w:t>
      </w:r>
      <w:r w:rsidR="00BF3C34">
        <w:t>CS-</w:t>
      </w:r>
      <w:r w:rsidR="007D3967" w:rsidRPr="00264484">
        <w:t>flares</w:t>
      </w:r>
      <w:r w:rsidR="002A70DF">
        <w:t>'</w:t>
      </w:r>
      <w:r w:rsidR="007D3967" w:rsidRPr="00264484">
        <w:t xml:space="preserve"> was divided by follow-</w:t>
      </w:r>
      <w:r w:rsidR="002A70DF">
        <w:t>up time to generate</w:t>
      </w:r>
      <w:r w:rsidR="00AA5ADE">
        <w:t xml:space="preserve"> the</w:t>
      </w:r>
      <w:r w:rsidR="007D3967">
        <w:t xml:space="preserve"> </w:t>
      </w:r>
      <w:r w:rsidR="007D3967" w:rsidRPr="00264484">
        <w:t xml:space="preserve">outcome measure </w:t>
      </w:r>
      <w:r w:rsidR="008F5F89">
        <w:t>'</w:t>
      </w:r>
      <w:r w:rsidR="00BF3C34">
        <w:t>CS-</w:t>
      </w:r>
      <w:r w:rsidR="007D3967" w:rsidRPr="00264484">
        <w:t>flares per year</w:t>
      </w:r>
      <w:r w:rsidR="008F5F89">
        <w:t>'</w:t>
      </w:r>
      <w:r w:rsidR="007D3967" w:rsidRPr="00264484">
        <w:t>.</w:t>
      </w:r>
    </w:p>
    <w:p w:rsidR="007D3967" w:rsidRPr="00264484" w:rsidRDefault="00AA5ADE" w:rsidP="007D3967">
      <w:pPr>
        <w:spacing w:line="480" w:lineRule="auto"/>
        <w:jc w:val="both"/>
      </w:pPr>
      <w:r>
        <w:t>Thirdly, we</w:t>
      </w:r>
      <w:r w:rsidR="007D3967" w:rsidRPr="00264484">
        <w:t xml:space="preserve"> </w:t>
      </w:r>
      <w:r w:rsidR="00921CDB">
        <w:t>identified</w:t>
      </w:r>
      <w:r w:rsidR="007D3967" w:rsidRPr="00264484">
        <w:t xml:space="preserve"> patients with</w:t>
      </w:r>
      <w:r w:rsidR="00BF3C34">
        <w:t xml:space="preserve"> steroid-</w:t>
      </w:r>
      <w:r w:rsidR="00921CDB">
        <w:t>dependency (defined as</w:t>
      </w:r>
      <w:r w:rsidR="007D3967" w:rsidRPr="00264484">
        <w:t xml:space="preserve"> prolonged or repeated CS exposure</w:t>
      </w:r>
      <w:r w:rsidR="00EC06AB">
        <w:t>) adapted from</w:t>
      </w:r>
      <w:r w:rsidR="007D3967" w:rsidRPr="00264484">
        <w:t xml:space="preserve"> the European </w:t>
      </w:r>
      <w:proofErr w:type="spellStart"/>
      <w:r w:rsidR="007D3967" w:rsidRPr="00264484">
        <w:t>Crohn's</w:t>
      </w:r>
      <w:proofErr w:type="spellEnd"/>
      <w:r w:rsidR="007D3967" w:rsidRPr="00264484">
        <w:t xml:space="preserve"> and Colitis Organisation</w:t>
      </w:r>
      <w:r w:rsidR="00921CDB">
        <w:t xml:space="preserve"> guideline</w:t>
      </w:r>
      <w:r w:rsidR="008F3A32">
        <w:t>s</w:t>
      </w:r>
      <w:r w:rsidR="00921CDB">
        <w:t xml:space="preserve"> criteria</w:t>
      </w:r>
      <w:r w:rsidR="007D3967" w:rsidRPr="00264484">
        <w:t>.</w:t>
      </w:r>
      <w:r w:rsidR="00AE13D9">
        <w:fldChar w:fldCharType="begin" w:fldLock="1"/>
      </w:r>
      <w:r w:rsidR="00735E84">
        <w:instrText>ADDIN CSL_CITATION { "citationItems" : [ { "id" : "ITEM-1", "itemData" : { "DOI" : "10.1016/j.crohns.2009.09.009", "ISBN" : "1876-4479 (Electronic)\\r1873-9946 (Linking)", "ISSN" : "18739946", "PMID" : "21122490", "author" : [ { "dropping-particle" : "", "family" : "Assche", "given" : "Gert", "non-dropping-particle" : "Van", "parse-names" : false, "suffix" : "" }, { "dropping-particle" : "", "family" : "Dignass", "given" : "Axel", "non-dropping-particle" : "", "parse-names" : false, "suffix" : "" }, { "dropping-particle" : "", "family" : "Reinisch", "given" : "Walter", "non-dropping-particle" : "", "parse-names" : false, "suffix" : "" }, { "dropping-particle" : "", "family" : "Woude", "given" : "C. Janneke", "non-dropping-particle" : "van der", "parse-names" : false, "suffix" : "" }, { "dropping-particle" : "", "family" : "Sturm", "given" : "Andreas", "non-dropping-particle" : "", "parse-names" : false, "suffix" : "" }, { "dropping-particle" : "", "family" : "Vos", "given" : "Martine", "non-dropping-particle" : "De", "parse-names" : false, "suffix" : "" }, { "dropping-particle" : "", "family" : "Guslandi", "given" : "Mario", "non-dropping-particle" : "", "parse-names" : false, "suffix" : "" }, { "dropping-particle" : "", "family" : "Oldenburg", "given" : "Bas", "non-dropping-particle" : "", "parse-names" : false, "suffix" : "" }, { "dropping-particle" : "", "family" : "Dotan", "given" : "Iris", "non-dropping-particle" : "", "parse-names" : false, "suffix" : "" }, { "dropping-particle" : "", "family" : "Marteau", "given" : "Philippe", "non-dropping-particle" : "", "parse-names" : false, "suffix" : "" }, { "dropping-particle" : "", "family" : "Ardizzone", "given" : "Alessandro", "non-dropping-particle" : "", "parse-names" : false, "suffix" : "" }, { "dropping-particle" : "", "family" : "Baumgart", "given" : "Daniel C.", "non-dropping-particle" : "", "parse-names" : false, "suffix" : "" }, { "dropping-particle" : "", "family" : "D'Haens", "given" : "Geert", "non-dropping-particle" : "", "parse-names" : false, "suffix" : "" }, { "dropping-particle" : "", "family" : "Gionchetti", "given" : "Paolo", "non-dropping-particle" : "", "parse-names" : false, "suffix" : "" }, { "dropping-particle" : "", "family" : "Portela", "given" : "Francisco", "non-dropping-particle" : "", "parse-names" : false, "suffix" : "" }, { "dropping-particle" : "", "family" : "Vucelic", "given" : "Boris", "non-dropping-particle" : "", "parse-names" : false, "suffix" : "" }, { "dropping-particle" : "", "family" : "S\u00f6derholm", "given" : "Johan", "non-dropping-particle" : "", "parse-names" : false, "suffix" : "" }, { "dropping-particle" : "", "family" : "Escher", "given" : "Johanna", "non-dropping-particle" : "", "parse-names" : false, "suffix" : "" }, { "dropping-particle" : "", "family" : "Koletzko", "given" : "Sibylle", "non-dropping-particle" : "", "parse-names" : false, "suffix" : "" }, { "dropping-particle" : "", "family" : "Kolho", "given" : "Kaija Leena", "non-dropping-particle" : "", "parse-names" : false, "suffix" : "" }, { "dropping-particle" : "", "family" : "Lukas", "given" : "Milan", "non-dropping-particle" : "", "parse-names" : false, "suffix" : "" }, { "dropping-particle" : "", "family" : "Mottet", "given" : "Christian", "non-dropping-particle" : "", "parse-names" : false, "suffix" : "" }, { "dropping-particle" : "", "family" : "Tilg", "given" : "Herbert", "non-dropping-particle" : "", "parse-names" : false, "suffix" : "" }, { "dropping-particle" : "", "family" : "Vermeire", "given" : "S\u00e9verine", "non-dropping-particle" : "", "parse-names" : false, "suffix" : "" }, { "dropping-particle" : "", "family" : "Carbonnel", "given" : "Frank", "non-dropping-particle" : "", "parse-names" : false, "suffix" : "" }, { "dropping-particle" : "", "family" : "Cole", "given" : "Andrew", "non-dropping-particle" : "", "parse-names" : false, "suffix" : "" }, { "dropping-particle" : "", "family" : "Novacek", "given" : "Gottfried", "non-dropping-particle" : "", "parse-names" : false, "suffix" : "" }, { "dropping-particle" : "", "family" : "Reinshagen", "given" : "Max", "non-dropping-particle" : "", "parse-names" : false, "suffix" : "" }, { "dropping-particle" : "", "family" : "Tsianos", "given" : "Epameinondas", "non-dropping-particle" : "", "parse-names" : false, "suffix" : "" }, { "dropping-particle" : "", "family" : "Herrlinger", "given" : "Klaus", "non-dropping-particle" : "", "parse-names" : false, "suffix" : "" }, { "dropping-particle" : "", "family" : "Oldenburg", "given" : "Bas", "non-dropping-particle" : "", "parse-names" : false, "suffix" : "" }, { "dropping-particle" : "", "family" : "Bouhnik", "given" : "Yoram", "non-dropping-particle" : "", "parse-names" : false, "suffix" : "" }, { "dropping-particle" : "", "family" : "Kiesslich", "given" : "Ralf", "non-dropping-particle" : "", "parse-names" : false, "suffix" : "" }, { "dropping-particle" : "", "family" : "Stange", "given" : "Eduard", "non-dropping-particle" : "", "parse-names" : false, "suffix" : "" }, { "dropping-particle" : "", "family" : "Travis", "given" : "Simon", "non-dropping-particle" : "", "parse-names" : false, "suffix" : "" }, { "dropping-particle" : "", "family" : "Lindsay", "given" : "James", "non-dropping-particle" : "", "parse-names" : false, "suffix" : "" } ], "container-title" : "Journal of Crohn's and Colitis", "id" : "ITEM-1", "issue" : "1", "issued" : { "date-parts" : [ [ "2010" ] ] }, "page" : "63-101", "publisher" : "Elsevier B.V.", "title" : "The second European evidence-based Consensus on the diagnosis and management of Crohn's disease: Definitions and diagnosis", "type" : "article-journal", "volume" : "4" }, "uris" : [ "http://www.mendeley.com/documents/?uuid=890394be-a273-4d57-8926-f5ca3a6cf9e3" ] } ], "mendeley" : { "formattedCitation" : "&lt;sup&gt;36&lt;/sup&gt;", "plainTextFormattedCitation" : "36", "previouslyFormattedCitation" : "&lt;sup&gt;36&lt;/sup&gt;" }, "properties" : { "noteIndex" : 0 }, "schema" : "https://github.com/citation-style-language/schema/raw/master/csl-citation.json" }</w:instrText>
      </w:r>
      <w:r w:rsidR="00AE13D9">
        <w:fldChar w:fldCharType="separate"/>
      </w:r>
      <w:r w:rsidR="00391BF7" w:rsidRPr="00391BF7">
        <w:rPr>
          <w:noProof/>
          <w:vertAlign w:val="superscript"/>
        </w:rPr>
        <w:t>36</w:t>
      </w:r>
      <w:r w:rsidR="00AE13D9">
        <w:fldChar w:fldCharType="end"/>
      </w:r>
      <w:r w:rsidR="007D3967" w:rsidRPr="00264484">
        <w:t xml:space="preserve"> A patient was defined as </w:t>
      </w:r>
      <w:r w:rsidR="008F5F89">
        <w:t>'</w:t>
      </w:r>
      <w:r w:rsidR="00BF3C34">
        <w:t>CS-</w:t>
      </w:r>
      <w:r w:rsidR="007D3967" w:rsidRPr="00264484">
        <w:t>dependent</w:t>
      </w:r>
      <w:r w:rsidR="008F5F89">
        <w:t>'</w:t>
      </w:r>
      <w:r w:rsidR="007D3967" w:rsidRPr="00264484">
        <w:t xml:space="preserve"> if they had either a prescription for CS that lasted longer than 3 months, or required a repeat CS prescription within 3 months of stopping </w:t>
      </w:r>
      <w:r w:rsidR="00BF3C34">
        <w:t>the previous CS course. CS-</w:t>
      </w:r>
      <w:r w:rsidR="007D3967" w:rsidRPr="00264484">
        <w:t>dependency has been shown to be associated with poorer outcomes in patients with CD.</w:t>
      </w:r>
      <w:r w:rsidR="00AE13D9">
        <w:fldChar w:fldCharType="begin" w:fldLock="1"/>
      </w:r>
      <w:r w:rsidR="00735E84">
        <w:instrText>ADDIN CSL_CITATION { "citationItems" : [ { "id" : "ITEM-1", "itemData" : { "DOI" : "10.1016/S0002-9270(02)04041-8", "ISSN" : "00029270", "PMID" : "12094862", "abstract" : "OBJECTIVES: Some patients with Crohn's disease (CD) do not respond to corticosteroid therapy. Furthermore, corticosteroids frequently cause side effects. Thus, predictive parameters for treatment refractoriness would be helpful for treatment decisions. METHODS: A total of 300 patients with active CD (i.e., with a Crohn's Disease Activity Index [CDAI] &gt;200) entered the study. Treatment started with 60-100 mg/day prednisolone equivalent, which was then tapered to 10-15 mg/day within 6 wk and maintained at that dose for another 4 wk. After 10 wk of treatment, response to steroids was defined by a CDAI &lt;150, steroid resistance by a CDAI always ???150 and steroid dependency by a relapse after dose reduction. Of 239 eligible patients, 196 were responders, 26 were steroid resistant, and 17 were steroid dependent. RESULTS: Prior bowel resections, a high initial CDAI, and perianal disease were associated with steroid resistance. Of the steroid resistant patients 53.9% were bowel-resected compared to 20.4% of the responders (relative risk = 3.63; 95% CI = 1.79-7.36). Perianal disease was observed in 42.3% of steroid resistant patients versus 21.9% of responders (relative risk = 2.28; 95% CI = 1.12-4.66) and initial CDAI was 347 ?? 91 in resistant patients versus 301 ?? 81 in responders (p &lt; 0.05). Parameters for steroid dependent patients were not significantly different from those of responders. CONCLUSIONS: In this study (thus far the largest study for the evaluation of predictive factors for treatment refractoriness to corticosteroids in CD), only prior bowel resection, perianal disease, and a high initial CDAI were found to be predictive of resistance to steroid treatment. ?? 2002 by Am. Coll. of Gastroenterology.", "author" : [ { "dropping-particle" : "", "family" : "Gelbmann", "given" : "Cornelia M.", "non-dropping-particle" : "", "parse-names" : false, "suffix" : "" }, { "dropping-particle" : "", "family" : "Rogler", "given" : "Gerhard", "non-dropping-particle" : "", "parse-names" : false, "suffix" : "" }, { "dropping-particle" : "", "family" : "Gross", "given" : "Volker", "non-dropping-particle" : "", "parse-names" : false, "suffix" : "" }, { "dropping-particle" : "", "family" : "Gierend", "given" : "Michael", "non-dropping-particle" : "", "parse-names" : false, "suffix" : "" }, { "dropping-particle" : "", "family" : "Bregenzer", "given" : "Nicole", "non-dropping-particle" : "", "parse-names" : false, "suffix" : "" }, { "dropping-particle" : "", "family" : "Andus", "given" : "Tilo", "non-dropping-particle" : "", "parse-names" : false, "suffix" : "" }, { "dropping-particle" : "", "family" : "Sch\u00f6lmerich", "given" : "J\u00fcrgen", "non-dropping-particle" : "", "parse-names" : false, "suffix" : "" } ], "container-title" : "American Journal of Gastroenterology", "id" : "ITEM-1", "issue" : "6", "issued" : { "date-parts" : [ [ "2002" ] ] }, "page" : "1438-1445", "title" : "Prior bowel resections, perianal disease, and a high initial Crohn's Disease Activity Index are associated with corticosteroid resistance in active Crohn's disease", "type" : "article-journal", "volume" : "97" }, "uris" : [ "http://www.mendeley.com/documents/?uuid=0b3d7c18-5a91-4933-be5a-b8b067025b3f" ] } ], "mendeley" : { "formattedCitation" : "&lt;sup&gt;37&lt;/sup&gt;", "plainTextFormattedCitation" : "37", "previouslyFormattedCitation" : "&lt;sup&gt;37&lt;/sup&gt;" }, "properties" : { "noteIndex" : 0 }, "schema" : "https://github.com/citation-style-language/schema/raw/master/csl-citation.json" }</w:instrText>
      </w:r>
      <w:r w:rsidR="00AE13D9">
        <w:fldChar w:fldCharType="separate"/>
      </w:r>
      <w:r w:rsidR="00391BF7" w:rsidRPr="00391BF7">
        <w:rPr>
          <w:noProof/>
          <w:vertAlign w:val="superscript"/>
        </w:rPr>
        <w:t>37</w:t>
      </w:r>
      <w:r w:rsidR="00AE13D9">
        <w:fldChar w:fldCharType="end"/>
      </w:r>
    </w:p>
    <w:p w:rsidR="007D3967" w:rsidRPr="00264484" w:rsidRDefault="009768FD" w:rsidP="007D3967">
      <w:pPr>
        <w:spacing w:line="480" w:lineRule="auto"/>
        <w:jc w:val="both"/>
      </w:pPr>
      <w:r>
        <w:t>Our secondary</w:t>
      </w:r>
      <w:r w:rsidR="007D3967" w:rsidRPr="00264484">
        <w:t xml:space="preserve"> outcome measur</w:t>
      </w:r>
      <w:r w:rsidR="00921CDB">
        <w:t>e was first intest</w:t>
      </w:r>
      <w:r w:rsidR="00EC06AB">
        <w:t>inal surgery</w:t>
      </w:r>
      <w:r w:rsidR="007D3967" w:rsidRPr="00264484">
        <w:t xml:space="preserve">. This was defined as the first </w:t>
      </w:r>
      <w:r w:rsidR="00EC06AB">
        <w:t xml:space="preserve">intestinal </w:t>
      </w:r>
      <w:r w:rsidR="007D3967" w:rsidRPr="00264484">
        <w:t>surgical procedure coded for following diagnosis of CD, and was derived using Read/OXMIS codes for intestinal</w:t>
      </w:r>
      <w:r w:rsidR="00EC06AB">
        <w:t xml:space="preserve"> surgery</w:t>
      </w:r>
      <w:r>
        <w:t xml:space="preserve"> as previously described.</w:t>
      </w:r>
      <w:r w:rsidR="00AE13D9">
        <w:fldChar w:fldCharType="begin" w:fldLock="1"/>
      </w:r>
      <w:r w:rsidR="00735E84">
        <w:instrText>ADDIN CSL_CITATION { "citationItems" : [ { "id" : "ITEM-1", "itemData" : { "DOI" : "10.1038/ajg.2013.462", "ISBN" : "0002-9270", "ISSN" : "1572-0241", "PMID" : "24469612", "abstract" : "OBJECTIVES: The efficacy of thiopurines (TPs) in altering the risk of surgery in Crohn's disease (CD) remains controversial. We evaluated the impact of TP therapy, optimal timing, and duration of TP therapy on first intestinal resection rates using a population-based cohort. METHODS: We constructed a population-based cohort of incident cases of CD between 1989 and 2005. We used the Kaplan-Meier analysis to calculate time trends in TP use and first intestinal resection in three groups defined by time period of diagnosis: 1989-1993, 1994-1999, and 2000-2005 groups A, B, and C, respectively. We quantified impact of duration and timing of TP treatment on likelihood of surgery using Cox regression and propensity score matching. RESULTS: We identified 5,640 eligible patients with CD. The 5-year cumulative probability of TP use increased from 12, 18, to 25% ( P&lt;0.0001) while probability of first intestinal resection decreased from 15, 12 to 9% (P&lt;0.001) in groups A, B, and C, respectively. Patients treated with at least 6 months of TP therapy had a 44% reduction in the risk of surgery (hazards ratio (HR): 0.56; 95% confidence interval (CI): 0.37-0.85) and those receiving at least 12 months of TP therapy had a 69% reduction in the risk of surgery (HR: 0.31; 95% CI: 0.22-0.44). Early treatment (&lt;12 months from diagnosis) vs. late treatment with TP showed no additional benefit in reducing risk of surgery (HR: 0.41; 95% CI: 0.27-0.61 vs. 0.21; 95% CI: 0.13-0.34). CONCLUSIONS: Over the past 20 years, TP use has doubled, whereas intestinal surgery has fallen by one-third among the UK population of Crohn's patients. Prolonged exposure is associated with a reduced likelihood of surgery whereby more than 12 months TP therapy reduces the risk of first intestinal surgery two-fold; however, early initiation of TP treatment offered no apparent additional benefit.", "author" : [ { "dropping-particle" : "", "family" : "Chatu", "given" : "S", "non-dropping-particle" : "", "parse-names" : false, "suffix" : "" }, { "dropping-particle" : "", "family" : "Saxena", "given" : "S", "non-dropping-particle" : "", "parse-names" : false, "suffix" : "" }, { "dropping-particle" : "", "family" : "Subramanian", "given" : "V", "non-dropping-particle" : "", "parse-names" : false, "suffix" : "" }, { "dropping-particle" : "", "family" : "Curcin", "given" : "V", "non-dropping-particle" : "", "parse-names" : false, "suffix" : "" }, { "dropping-particle" : "", "family" : "Yadegarfar", "given" : "G", "non-dropping-particle" : "", "parse-names" : false, "suffix" : "" }, { "dropping-particle" : "", "family" : "Gunn", "given" : "L", "non-dropping-particle" : "", "parse-names" : false, "suffix" : "" }, { "dropping-particle" : "", "family" : "Majeed", "given" : "a", "non-dropping-particle" : "", "parse-names" : false, "suffix" : "" }, { "dropping-particle" : "", "family" : "Pollok", "given" : "R C", "non-dropping-particle" : "", "parse-names" : false, "suffix" : "" } ], "container-title" : "Am J Gastroenterol", "id" : "ITEM-1", "issue" : "3", "issued" : { "date-parts" : [ [ "2014" ] ] }, "page" : "409-416", "publisher" : "Nature Publishing Group", "title" : "The Impact of Timing and Duration of Thiopurine Treatment on First Intestinal Resection in Crohn's Disease: National UK Population-Based Study 1989-2010", "type" : "article-journal", "volume" : "109" }, "uris" : [ "http://www.mendeley.com/documents/?uuid=dcac656e-9e5b-4643-847e-226dcd14ca41" ] } ], "mendeley" : { "formattedCitation" : "&lt;sup&gt;29&lt;/sup&gt;", "plainTextFormattedCitation" : "29", "previouslyFormattedCitation" : "&lt;sup&gt;29&lt;/sup&gt;" }, "properties" : { "noteIndex" : 0 }, "schema" : "https://github.com/citation-style-language/schema/raw/master/csl-citation.json" }</w:instrText>
      </w:r>
      <w:r w:rsidR="00AE13D9">
        <w:fldChar w:fldCharType="separate"/>
      </w:r>
      <w:r w:rsidR="00391BF7" w:rsidRPr="00391BF7">
        <w:rPr>
          <w:noProof/>
          <w:vertAlign w:val="superscript"/>
        </w:rPr>
        <w:t>29</w:t>
      </w:r>
      <w:r w:rsidR="00AE13D9">
        <w:fldChar w:fldCharType="end"/>
      </w:r>
      <w:r w:rsidR="00EA5029">
        <w:rPr>
          <w:vertAlign w:val="superscript"/>
        </w:rPr>
        <w:t>,</w:t>
      </w:r>
      <w:r w:rsidR="00AE13D9">
        <w:fldChar w:fldCharType="begin" w:fldLock="1"/>
      </w:r>
      <w:r w:rsidR="00735E84">
        <w:instrText>ADDIN CSL_CITATION { "citationItems" : [ { "id" : "ITEM-1", "itemData" : { "DOI" : "10.1111/apt.13361", "ISSN" : "02692813", "author" : [ { "dropping-particle" : "", "family" : "Chhaya", "given" : "V.", "non-dropping-particle" : "", "parse-names" : false, "suffix" : "" }, { "dropping-particle" : "", "family" : "Pollok", "given" : "R. C. G.", "non-dropping-particle" : "", "parse-names" : false, "suffix" : "" }, { "dropping-particle" : "", "family" : "Cecil", "given" : "E.", "non-dropping-particle" : "", "parse-names" : false, "suffix" : "" }, { "dropping-particle" : "", "family" : "Subramanian", "given" : "V.", "non-dropping-particle" : "", "parse-names" : false, "suffix" : "" }, { "dropping-particle" : "", "family" : "Curcin", "given" : "V.", "non-dropping-particle" : "", "parse-names" : false, "suffix" : "" }, { "dropping-particle" : "", "family" : "Majeed", "given" : "a.", "non-dropping-particle" : "", "parse-names" : false, "suffix" : "" }, { "dropping-particle" : "", "family" : "Saxena", "given" : "S.", "non-dropping-particle" : "", "parse-names" : false, "suffix" : "" } ], "container-title" : "Alimentary Pharmacology &amp; Therapeutics", "id" : "ITEM-1", "issue" : "8", "issued" : { "date-parts" : [ [ "2015" ] ] }, "page" : "990-999", "title" : "Impact of early thiopurines on surgery in 2770 children and young people diagnosed with inflammatory bowel disease: a national population-based study", "type" : "article-journal", "volume" : "42" }, "uris" : [ "http://www.mendeley.com/documents/?uuid=003967a3-2da7-48fb-bf1e-8f548d33e8e4" ] } ], "mendeley" : { "formattedCitation" : "&lt;sup&gt;31&lt;/sup&gt;", "plainTextFormattedCitation" : "31", "previouslyFormattedCitation" : "&lt;sup&gt;31&lt;/sup&gt;" }, "properties" : { "noteIndex" : 0 }, "schema" : "https://github.com/citation-style-language/schema/raw/master/csl-citation.json" }</w:instrText>
      </w:r>
      <w:r w:rsidR="00AE13D9">
        <w:fldChar w:fldCharType="separate"/>
      </w:r>
      <w:r w:rsidR="00391BF7" w:rsidRPr="00391BF7">
        <w:rPr>
          <w:noProof/>
          <w:vertAlign w:val="superscript"/>
        </w:rPr>
        <w:t>31</w:t>
      </w:r>
      <w:r w:rsidR="00AE13D9">
        <w:fldChar w:fldCharType="end"/>
      </w:r>
      <w:r w:rsidR="007D3967" w:rsidRPr="00264484">
        <w:t xml:space="preserve"> </w:t>
      </w:r>
    </w:p>
    <w:p w:rsidR="00CB71D8" w:rsidRDefault="00CB71D8" w:rsidP="00304057">
      <w:pPr>
        <w:pStyle w:val="Heading2"/>
        <w:spacing w:line="480" w:lineRule="auto"/>
        <w:rPr>
          <w:rFonts w:asciiTheme="minorHAnsi" w:hAnsiTheme="minorHAnsi"/>
        </w:rPr>
      </w:pPr>
      <w:r w:rsidRPr="00264484">
        <w:rPr>
          <w:rFonts w:asciiTheme="minorHAnsi" w:hAnsiTheme="minorHAnsi"/>
        </w:rPr>
        <w:lastRenderedPageBreak/>
        <w:t>Covariates</w:t>
      </w:r>
    </w:p>
    <w:p w:rsidR="00C85EFB" w:rsidRDefault="00C85EFB" w:rsidP="00B233B9">
      <w:pPr>
        <w:autoSpaceDE w:val="0"/>
        <w:autoSpaceDN w:val="0"/>
        <w:adjustRightInd w:val="0"/>
        <w:spacing w:after="0" w:line="480" w:lineRule="auto"/>
        <w:jc w:val="both"/>
      </w:pPr>
      <w:r w:rsidRPr="00264484">
        <w:t xml:space="preserve">We included a number of covariates </w:t>
      </w:r>
      <w:r>
        <w:t>with known or likely associations</w:t>
      </w:r>
      <w:r w:rsidR="00D505F8">
        <w:t xml:space="preserve"> with poorer clinical outcomes in CD</w:t>
      </w:r>
      <w:r w:rsidRPr="00264484">
        <w:t xml:space="preserve">. </w:t>
      </w:r>
      <w:r>
        <w:t xml:space="preserve"> These included: age at diagnosis, body mass index, social deprivation, severity of CD,</w:t>
      </w:r>
      <w:r w:rsidR="00F352EE" w:rsidRPr="00F352EE">
        <w:t xml:space="preserve"> </w:t>
      </w:r>
      <w:r w:rsidR="00F352EE">
        <w:t xml:space="preserve">concurrent </w:t>
      </w:r>
      <w:r w:rsidR="00F352EE" w:rsidRPr="00264484">
        <w:t xml:space="preserve">5-aminosalicylic acid (5ASA) </w:t>
      </w:r>
      <w:r w:rsidR="00F352EE">
        <w:t xml:space="preserve">or </w:t>
      </w:r>
      <w:proofErr w:type="spellStart"/>
      <w:r w:rsidR="00F352EE">
        <w:t>thiopurine</w:t>
      </w:r>
      <w:proofErr w:type="spellEnd"/>
      <w:r w:rsidR="00F352EE">
        <w:t xml:space="preserve"> use,</w:t>
      </w:r>
      <w:r>
        <w:t xml:space="preserve"> and co-morbid conditions. </w:t>
      </w:r>
      <w:r w:rsidRPr="00264484">
        <w:t>Age at diagnosis has previously been shown to be relevant to surgical outcomes in the context of smoking status</w:t>
      </w:r>
      <w:r w:rsidR="00B4635D">
        <w:t>.</w:t>
      </w:r>
      <w:r w:rsidR="00AE13D9">
        <w:fldChar w:fldCharType="begin" w:fldLock="1"/>
      </w:r>
      <w:r w:rsidR="00F62348">
        <w:instrText>ADDIN CSL_CITATION { "citationItems" : [ { "id" : "ITEM-1", "itemData" : { "DOI" : "10.1038/ctg.2016.21", "ISSN" : "2155-384X", "PMID" : "27101004", "author" : [ { "dropping-particle" : "", "family" : "Frolkis", "given" : "Alexandra D", "non-dropping-particle" : "", "parse-names" : false, "suffix" : "" }, { "dropping-particle" : "", "family" : "Bruyn", "given" : "Jennifer", "non-dropping-particle" : "de", "parse-names" : false, "suffix" : "" }, { "dropping-particle" : "", "family" : "Jette", "given" : "Nathalie", "non-dropping-particle" : "", "parse-names" : false, "suffix" : "" }, { "dropping-particle" : "", "family" : "Lowerison", "given" : "Mark", "non-dropping-particle" : "", "parse-names" : false, "suffix" : "" }, { "dropping-particle" : "", "family" : "Engbers", "given" : "Jordan", "non-dropping-particle" : "", "parse-names" : false, "suffix" : "" }, { "dropping-particle" : "", "family" : "Ghali", "given" : "William", "non-dropping-particle" : "", "parse-names" : false, "suffix" : "" }, { "dropping-particle" : "", "family" : "Lewis", "given" : "James D", "non-dropping-particle" : "", "parse-names" : false, "suffix" : "" }, { "dropping-particle" : "", "family" : "Vallerand", "given" : "Isabelle", "non-dropping-particle" : "", "parse-names" : false, "suffix" : "" }, { "dropping-particle" : "", "family" : "Patten", "given" : "Scott", "non-dropping-particle" : "", "parse-names" : false, "suffix" : "" }, { "dropping-particle" : "", "family" : "Eksteen", "given" : "Bertus", "non-dropping-particle" : "", "parse-names" : false, "suffix" : "" }, { "dropping-particle" : "", "family" : "Barnabe", "given" : "Cheryl", "non-dropping-particle" : "", "parse-names" : false, "suffix" : "" }, { "dropping-particle" : "", "family" : "Panaccione", "given" : "Remo", "non-dropping-particle" : "", "parse-names" : false, "suffix" : "" }, { "dropping-particle" : "", "family" : "Ghosh", "given" : "Subrata", "non-dropping-particle" : "", "parse-names" : false, "suffix" : "" }, { "dropping-particle" : "", "family" : "Wiebe", "given" : "Samuel", "non-dropping-particle" : "", "parse-names" : false, "suffix" : "" }, { "dropping-particle" : "", "family" : "Kaplan", "given" : "Gilaad G", "non-dropping-particle" : "", "parse-names" : false, "suffix" : "" } ], "container-title" : "Clinical and Translational Gastroenterology", "id" : "ITEM-1", "issue" : "4", "issued" : { "date-parts" : [ [ "2016" ] ] }, "page" : "e165", "publisher" : "Nature Publishing Group", "title" : "The Association of Smoking and Surgery in Inflammatory Bowel Disease is Modified by Age at Diagnosis", "type" : "article-journal", "volume" : "7" }, "uris" : [ "http://www.mendeley.com/documents/?uuid=88a8652c-6981-4d85-a683-c9510fa0f93c" ] } ], "mendeley" : { "formattedCitation" : "&lt;sup&gt;3&lt;/sup&gt;", "plainTextFormattedCitation" : "3", "previouslyFormattedCitation" : "&lt;sup&gt;3&lt;/sup&gt;" }, "properties" : { "noteIndex" : 0 }, "schema" : "https://github.com/citation-style-language/schema/raw/master/csl-citation.json" }</w:instrText>
      </w:r>
      <w:r w:rsidR="00AE13D9">
        <w:fldChar w:fldCharType="separate"/>
      </w:r>
      <w:r w:rsidR="009F5C13" w:rsidRPr="009F5C13">
        <w:rPr>
          <w:noProof/>
          <w:vertAlign w:val="superscript"/>
        </w:rPr>
        <w:t>3</w:t>
      </w:r>
      <w:r w:rsidR="00AE13D9">
        <w:fldChar w:fldCharType="end"/>
      </w:r>
      <w:r w:rsidR="00B4635D">
        <w:t xml:space="preserve"> </w:t>
      </w:r>
      <w:r w:rsidRPr="00264484">
        <w:t xml:space="preserve"> Patients were sub-divided into age categories at diagnosis of CD according to the Montreal Classification (A1 - age less than 17 years, A2 - 17 years to 40 years, A3 - age greater than 40 at initial CD diagnosis). We also extracted data for Body Mass Index (BMI) at diagnosis, defined as the closest BMI recording within 1 year of CD diagnosis.</w:t>
      </w:r>
      <w:r w:rsidR="00FD1E10">
        <w:t xml:space="preserve"> Patients were defined as:</w:t>
      </w:r>
      <w:r w:rsidR="00D505F8">
        <w:t xml:space="preserve"> underweight (BMI&lt;18.5kg/m</w:t>
      </w:r>
      <w:r w:rsidR="00D505F8">
        <w:rPr>
          <w:vertAlign w:val="superscript"/>
        </w:rPr>
        <w:t>2</w:t>
      </w:r>
      <w:r w:rsidR="00D505F8">
        <w:t>), normal weight (18.5-25kg/m</w:t>
      </w:r>
      <w:r w:rsidR="00D505F8">
        <w:rPr>
          <w:vertAlign w:val="superscript"/>
        </w:rPr>
        <w:t>2</w:t>
      </w:r>
      <w:r w:rsidR="00D505F8">
        <w:t>), overweight (25-30kg/m</w:t>
      </w:r>
      <w:r w:rsidR="00D505F8">
        <w:rPr>
          <w:vertAlign w:val="superscript"/>
        </w:rPr>
        <w:t>2</w:t>
      </w:r>
      <w:r w:rsidR="00D505F8">
        <w:t>) or obese (&gt;30</w:t>
      </w:r>
      <w:r w:rsidR="00D505F8" w:rsidRPr="00D505F8">
        <w:t xml:space="preserve"> </w:t>
      </w:r>
      <w:r w:rsidR="00D505F8">
        <w:t>kg/m</w:t>
      </w:r>
      <w:r w:rsidR="00D505F8">
        <w:rPr>
          <w:vertAlign w:val="superscript"/>
        </w:rPr>
        <w:t>2</w:t>
      </w:r>
      <w:r w:rsidR="00D505F8">
        <w:t xml:space="preserve">). </w:t>
      </w:r>
      <w:r w:rsidRPr="00264484">
        <w:t>BMI m</w:t>
      </w:r>
      <w:r w:rsidR="00FD1E10">
        <w:t xml:space="preserve">ay be associated with </w:t>
      </w:r>
      <w:r w:rsidRPr="00264484">
        <w:t>risk of surgery in CD.</w:t>
      </w:r>
      <w:r w:rsidR="00AE13D9">
        <w:fldChar w:fldCharType="begin" w:fldLock="1"/>
      </w:r>
      <w:r w:rsidR="00735E84">
        <w:instrText>ADDIN CSL_CITATION { "citationItems" : [ { "id" : "ITEM-1", "itemData" : { "DOI" : "10.1093/ecco-jcc/jjw079. Epub 2016 Mar 19.", "PMID" : "26995185", "abstract" : "BACKGROUND &amp; AIMS: There are conflicting data for the role of obesity in Crohn's disease (CD) and the effect on long-term clinical outcomes is poorly studied. Some evidence suggests obesity is associated with diminished responsiveness to biological agents, especially anti-tumour necrosis factor antibodies. METHODS: We aimed to examine the influence of body mass index (BMI) on the response to infliximab in CD in a retrospective analysis. The outcomes of interest within 12 months were: (1) Composite loss of response (CD-related flare or surgery; LOR); (2) any CD-related surgery (CDRS); and (3) CD-related intestinal resectional surgery (CDRIS). RESULTS: A total of 388 patients were included. The mean BMI was 24.2kg/m(2) [\u00b1 standard deviation (SD) 5.1]. Of the 388 patients, 137 (35.4%) were overweight (BMI: 25-29.9kg/m(2)) or obese (BMI: \u226530kg/m(2))-160 (41.6%) patients had LOR during the 12 months follow-up; 121 (31.4%) required CDRS, and 109 (28.2%) required CDRIS. Multivariate analysis showed that increasing BMI (per unit, kg/m(2) increase) reduced the risk of LOR [odds ratio (OR): 0.98], CDRS (OR: 0.95), and CDRIS (OR: 0.95). Rates for all outcomes were higher, but not significantly so, in the extreme categories (underweight and obese) and lower in the underweight categories compared with normal BMI. Exclusion of the obese category of patients strengthened this relationship. CONCLUSIONS: Body mass index at first infusion of infliximab has a non-linear relationship with outcomes at 12 months. The worst outcomes are at the extremes of weight (underweight and obese categories). Increasing BMI is associated with a modest reduction in risk of LOR, CDRS, and CDRIS within 12 months, increasing with the exclusion of the obese category.", "author" : [ { "dropping-particle" : "", "family" : "Brown", "given" : "P", "non-dropping-particle" : "", "parse-names" : false, "suffix" : "" }, { "dropping-particle" : "", "family" : "Clark", "given" : "T", "non-dropping-particle" : "", "parse-names" : false, "suffix" : "" }, { "dropping-particle" : "", "family" : "Dowson", "given" : "G", "non-dropping-particle" : "", "parse-names" : false, "suffix" : "" }, { "dropping-particle" : "", "family" : "Warren", "given" : "L", "non-dropping-particle" : "", "parse-names" : false, "suffix" : "" }, { "dropping-particle" : "", "family" : "Hamlin", "given" : "J", "non-dropping-particle" : "", "parse-names" : false, "suffix" : "" }, { "dropping-particle" : "", "family" : "Hull", "given" : "M", "non-dropping-particle" : "", "parse-names" : false, "suffix" : "" }, { "dropping-particle" : "", "family" : "Subramanian", "given" : "V", "non-dropping-particle" : "", "parse-names" : false, "suffix" : "" } ], "container-title" : "J Crohns Colitis", "id" : "ITEM-1", "issue" : "10", "issued" : { "date-parts" : [ [ "2016" ] ] }, "page" : "1144-50", "title" : "Relationship of Body Mass Index to Clinical Outcomes after Infliximab Therapy in Patients with Crohn's Disease.", "type" : "article-journal", "volume" : "10" }, "uris" : [ "http://www.mendeley.com/documents/?uuid=25aa8527-9a74-42de-88c2-19f122ff353b" ] } ], "mendeley" : { "formattedCitation" : "&lt;sup&gt;38&lt;/sup&gt;", "plainTextFormattedCitation" : "38", "previouslyFormattedCitation" : "&lt;sup&gt;38&lt;/sup&gt;" }, "properties" : { "noteIndex" : 0 }, "schema" : "https://github.com/citation-style-language/schema/raw/master/csl-citation.json" }</w:instrText>
      </w:r>
      <w:r w:rsidR="00AE13D9">
        <w:fldChar w:fldCharType="separate"/>
      </w:r>
      <w:r w:rsidR="00391BF7" w:rsidRPr="00391BF7">
        <w:rPr>
          <w:noProof/>
          <w:vertAlign w:val="superscript"/>
        </w:rPr>
        <w:t>38</w:t>
      </w:r>
      <w:r w:rsidR="00AE13D9">
        <w:fldChar w:fldCharType="end"/>
      </w:r>
      <w:r w:rsidR="00B233B9">
        <w:t xml:space="preserve"> </w:t>
      </w:r>
      <w:r w:rsidRPr="00264484">
        <w:t xml:space="preserve">We used a surrogate marker for postcode-linked social deprivation, the Index of Multiple Deprivation (IMD) </w:t>
      </w:r>
      <w:r w:rsidR="00D505F8">
        <w:t>to stratify patients by socio-economic status</w:t>
      </w:r>
      <w:r w:rsidRPr="00264484">
        <w:t>. Patients were categorised into IMD quintiles where IMD category 1 represents the least deprived, and IMD category 5 repre</w:t>
      </w:r>
      <w:r w:rsidR="00FD1E10">
        <w:t>sents the most socio-economically deprived</w:t>
      </w:r>
      <w:r w:rsidRPr="00264484">
        <w:t>.  In the UK, people living in the areas of highest deprivation are more than twice as likely to smoke compared to the lowest.</w:t>
      </w:r>
      <w:r w:rsidR="00AE13D9">
        <w:fldChar w:fldCharType="begin" w:fldLock="1"/>
      </w:r>
      <w:r w:rsidR="00735E84">
        <w:instrText>ADDIN CSL_CITATION { "citationItems" : [ { "id" : "ITEM-1", "itemData" : { "URL" : "www.ons.gov.uk/ons/rel/disability-and-health-measurement/do-smoking-rates-vary-between-more-and-less-advantaged-areas-/2012/sty-smoking-rates.html.", "accessed" : { "date-parts" : [ [ "2017", "2", "28" ] ] }, "container-title" : "Office for National Statistics", "id" : "ITEM-1", "issued" : { "date-parts" : [ [ "0" ] ] }, "title" : "Do smoking rates vary between more and less advantaged areas?", "type" : "webpage" }, "uris" : [ "http://www.mendeley.com/documents/?uuid=567eba74-0ef9-4a95-92d6-f600b5fd9d1d" ] } ], "mendeley" : { "formattedCitation" : "&lt;sup&gt;39&lt;/sup&gt;", "plainTextFormattedCitation" : "39", "previouslyFormattedCitation" : "&lt;sup&gt;39&lt;/sup&gt;" }, "properties" : { "noteIndex" : 0 }, "schema" : "https://github.com/citation-style-language/schema/raw/master/csl-citation.json" }</w:instrText>
      </w:r>
      <w:r w:rsidR="00AE13D9">
        <w:fldChar w:fldCharType="separate"/>
      </w:r>
      <w:r w:rsidR="00391BF7" w:rsidRPr="00391BF7">
        <w:rPr>
          <w:noProof/>
          <w:vertAlign w:val="superscript"/>
        </w:rPr>
        <w:t>39</w:t>
      </w:r>
      <w:r w:rsidR="00AE13D9">
        <w:fldChar w:fldCharType="end"/>
      </w:r>
      <w:r w:rsidRPr="00264484">
        <w:t xml:space="preserve"> We also </w:t>
      </w:r>
      <w:r w:rsidR="005C0B15">
        <w:t>identified patients with</w:t>
      </w:r>
      <w:r w:rsidRPr="00264484">
        <w:t xml:space="preserve"> co-morbid irritable bowel syndrome (IBS) and depression. IBS is common in patients with IBD and may </w:t>
      </w:r>
      <w:r w:rsidR="00FD1E10">
        <w:t>be confused with</w:t>
      </w:r>
      <w:r w:rsidRPr="00264484">
        <w:t xml:space="preserve"> the symptoms of an IBD flare.</w:t>
      </w:r>
      <w:r w:rsidR="00AE13D9">
        <w:fldChar w:fldCharType="begin" w:fldLock="1"/>
      </w:r>
      <w:r w:rsidR="00735E84">
        <w:instrText>ADDIN CSL_CITATION { "citationItems" : [ { "id" : "ITEM-1", "itemData" : { "DOI" : "10.4292/wjgpt.v7.i1.78.", "PMID" : "26855814", "abstract" : "Inflammatory bowel disease (IBD) patients in remission may suffer from gastrointestinal symptoms that resemble irritable bowel syndrome (IBS). Knowledge on this issue has increased considerably in the last decade, and it is our intention to review and summarize it in the present work. We describe a problematic that comprises physiopathological uncertainties, diagnostic difficulties, as IBS-like symptoms are very similar to those produced by an inflammatory flare, and the necessity of appropriate management of these patients, who, although in remission, have impaired quality of life. Ultimately, from almost a philosophical point of view, the presence of IBS-like symptoms in IBD patients in remission supposes a challenge to the traditional functional-organic dichotomy, suggesting the need for a change of paradigm.", "author" : [ { "dropping-particle" : "", "family" : "Teruel", "given" : "C", "non-dropping-particle" : "", "parse-names" : false, "suffix" : "" }, { "dropping-particle" : "", "family" : "Garrido", "given" : "E", "non-dropping-particle" : "", "parse-names" : false, "suffix" : "" }, { "dropping-particle" : "", "family" : "Mesonero", "given" : "F", "non-dropping-particle" : "", "parse-names" : false, "suffix" : "" } ], "container-title" : "World J Gastrointest Pharmacol Ther.", "id" : "ITEM-1", "issued" : { "date-parts" : [ [ "2016" ] ] }, "page" : "78-90", "title" : "Diagnosis and management of functional symptoms in inflammatory bowel disease in remission", "type" : "article-journal", "volume" : "Feb 6;7(1)" }, "uris" : [ "http://www.mendeley.com/documents/?uuid=f642fe57-f3c1-4ec0-872e-c49295b62cc0" ] } ], "mendeley" : { "formattedCitation" : "&lt;sup&gt;40&lt;/sup&gt;", "plainTextFormattedCitation" : "40", "previouslyFormattedCitation" : "&lt;sup&gt;40&lt;/sup&gt;" }, "properties" : { "noteIndex" : 0 }, "schema" : "https://github.com/citation-style-language/schema/raw/master/csl-citation.json" }</w:instrText>
      </w:r>
      <w:r w:rsidR="00AE13D9">
        <w:fldChar w:fldCharType="separate"/>
      </w:r>
      <w:r w:rsidR="00391BF7" w:rsidRPr="00391BF7">
        <w:rPr>
          <w:noProof/>
          <w:vertAlign w:val="superscript"/>
        </w:rPr>
        <w:t>40</w:t>
      </w:r>
      <w:r w:rsidR="00AE13D9">
        <w:fldChar w:fldCharType="end"/>
      </w:r>
      <w:r w:rsidRPr="00264484">
        <w:t xml:space="preserve"> Furthermore, smoking is highly correlated with depressive illnesses.</w:t>
      </w:r>
      <w:r w:rsidR="00AE13D9">
        <w:fldChar w:fldCharType="begin" w:fldLock="1"/>
      </w:r>
      <w:r w:rsidR="00735E84">
        <w:instrText>ADDIN CSL_CITATION { "citationItems" : [ { "id" : "ITEM-1", "itemData" : { "DOI" : "10.1016/bs.irn.2015.07.004.", "PMID" : "26472531", "abstract" : "Cigarette smoking and depression both account for significant morbidity, mortality, and economic burden. The prevalence of both smoking and depression increase across mid-to-late adolescence and show high rates of comorbidity. While little is known about why smoking is disproportionately higher among depressed adolescents than adolescents without depression, emerging research has begun to offer some initial insights. The high rates of comorbidity between depression and smoking emphasize the importance of identifying intervention targets to inform smoking prevention efforts for this high-risk group. Interventions during adolescence may lessen the prevalence of depression-prone adult smokers. Depression is over-represented among adult smokers and contributes to lower smoking cessation rates. Negative mood management and pharmacotherapy have been the central focus of smoking cessation interventions for depression-prone populations to date. Converging lines of research highlight novel smoking cessation targets such as the maintenance of positive mood and reward regulation. Smoking cessation research in depression-prone smokers is critical to identify efficacious treatments that will ultimately decrease the excess smoking burden for this population.", "author" : [ { "dropping-particle" : "", "family" : "Audrain-McGovern", "given" : "J", "non-dropping-particle" : "", "parse-names" : false, "suffix" : "" }, { "dropping-particle" : "", "family" : "Leventhal", "given" : "AM", "non-dropping-particle" : "", "parse-names" : false, "suffix" : "" }, { "dropping-particle" : "", "family" : "Strong", "given" : "DR", "non-dropping-particle" : "", "parse-names" : false, "suffix" : "" } ], "container-title" : "Int Rev Neurobiol.", "id" : "ITEM-1", "issued" : { "date-parts" : [ [ "2015" ] ] }, "page" : "209-43", "title" : "The Role of Depression in the Uptake and Maintenance of Cigarette Smoking.", "type" : "article-journal", "volume" : "124" }, "uris" : [ "http://www.mendeley.com/documents/?uuid=e74e8e5b-c06a-4f94-b047-9f90a328056d" ] } ], "mendeley" : { "formattedCitation" : "&lt;sup&gt;41&lt;/sup&gt;", "plainTextFormattedCitation" : "41", "previouslyFormattedCitation" : "&lt;sup&gt;41&lt;/sup&gt;" }, "properties" : { "noteIndex" : 0 }, "schema" : "https://github.com/citation-style-language/schema/raw/master/csl-citation.json" }</w:instrText>
      </w:r>
      <w:r w:rsidR="00AE13D9">
        <w:fldChar w:fldCharType="separate"/>
      </w:r>
      <w:r w:rsidR="00391BF7" w:rsidRPr="00391BF7">
        <w:rPr>
          <w:noProof/>
          <w:vertAlign w:val="superscript"/>
        </w:rPr>
        <w:t>41</w:t>
      </w:r>
      <w:r w:rsidR="00AE13D9">
        <w:fldChar w:fldCharType="end"/>
      </w:r>
      <w:r w:rsidRPr="00264484">
        <w:t xml:space="preserve"> We defined these co-morbidities to include any patient with a concurrent Read code for either IBS or a depressive diagnosis during the follow-up period. </w:t>
      </w:r>
    </w:p>
    <w:p w:rsidR="00C85EFB" w:rsidRPr="00264484" w:rsidRDefault="00C85EFB" w:rsidP="00B233B9">
      <w:pPr>
        <w:spacing w:line="480" w:lineRule="auto"/>
        <w:jc w:val="both"/>
      </w:pPr>
      <w:r w:rsidRPr="00264484">
        <w:t>We also extracted data for IBD medication usage other than CS. Patients were defined as 5-aminosalicylic acid (5ASA) users if they</w:t>
      </w:r>
      <w:r w:rsidR="00F352EE">
        <w:t xml:space="preserve"> had one of more prescriptions during follow up</w:t>
      </w:r>
      <w:r w:rsidRPr="00264484">
        <w:t>. Similar</w:t>
      </w:r>
      <w:r w:rsidR="00F352EE">
        <w:t>ly</w:t>
      </w:r>
      <w:r w:rsidRPr="00264484">
        <w:t xml:space="preserve">, patients were defined as </w:t>
      </w:r>
      <w:proofErr w:type="spellStart"/>
      <w:r w:rsidRPr="00264484">
        <w:t>thiopurine</w:t>
      </w:r>
      <w:proofErr w:type="spellEnd"/>
      <w:r w:rsidRPr="00264484">
        <w:t xml:space="preserve"> (TP) users if they had one or more prescriptions for </w:t>
      </w:r>
      <w:proofErr w:type="spellStart"/>
      <w:r w:rsidRPr="00264484">
        <w:t>azathioprine</w:t>
      </w:r>
      <w:proofErr w:type="spellEnd"/>
      <w:r w:rsidRPr="00264484">
        <w:t xml:space="preserve"> (AZA) or 6-mercaptopurine (6MP) during follow-up. Prescription data for anti-tumour necrosis facto</w:t>
      </w:r>
      <w:r w:rsidR="005C0B15">
        <w:t>r (</w:t>
      </w:r>
      <w:proofErr w:type="spellStart"/>
      <w:r w:rsidR="005C0B15">
        <w:t>aTNF</w:t>
      </w:r>
      <w:proofErr w:type="spellEnd"/>
      <w:r w:rsidR="005C0B15">
        <w:t>) use is not reliably recorded</w:t>
      </w:r>
      <w:r w:rsidR="00F352EE">
        <w:t xml:space="preserve"> in</w:t>
      </w:r>
      <w:r w:rsidRPr="00264484">
        <w:t xml:space="preserve"> CPRD.</w:t>
      </w:r>
    </w:p>
    <w:p w:rsidR="00C85EFB" w:rsidRDefault="00C85EFB" w:rsidP="00C85EFB">
      <w:pPr>
        <w:spacing w:line="480" w:lineRule="auto"/>
        <w:jc w:val="both"/>
      </w:pPr>
      <w:r>
        <w:lastRenderedPageBreak/>
        <w:t xml:space="preserve">We </w:t>
      </w:r>
      <w:r w:rsidR="005C0B15">
        <w:t>classified</w:t>
      </w:r>
      <w:r w:rsidR="00B4635D">
        <w:t xml:space="preserve"> </w:t>
      </w:r>
      <w:r w:rsidRPr="00264484">
        <w:t xml:space="preserve">disease severity </w:t>
      </w:r>
      <w:r>
        <w:t>using</w:t>
      </w:r>
      <w:r w:rsidR="005C0B15">
        <w:t xml:space="preserve"> a modification of </w:t>
      </w:r>
      <w:r w:rsidR="00F4583D">
        <w:t xml:space="preserve">the </w:t>
      </w:r>
      <w:proofErr w:type="spellStart"/>
      <w:r w:rsidR="00F4583D">
        <w:t>Beaugerie</w:t>
      </w:r>
      <w:proofErr w:type="spellEnd"/>
      <w:r w:rsidR="00F4583D">
        <w:t xml:space="preserve"> Index of severity</w:t>
      </w:r>
      <w:r w:rsidRPr="00264484">
        <w:t>.</w:t>
      </w:r>
      <w:r w:rsidR="00AE13D9">
        <w:fldChar w:fldCharType="begin" w:fldLock="1"/>
      </w:r>
      <w:r w:rsidR="00735E84">
        <w:instrText>ADDIN CSL_CITATION { "citationItems" : [ { "id" : "ITEM-1", "itemData" : { "DOI" : "10.1053/j.gastro.2005.12.019", "ISBN" : "0016-5085 (Print)", "ISSN" : "00165085", "PMID" : "16530505", "abstract" : "Background &amp; Aims: Early intensive therapy in Crohn's disease should be considered only in patients with disabling disease. The aim of our study was to identify at diagnosis factors predictive of a subsequent 5-year disabling course. Methods: Among the 1526 patients seen at our unit with Crohn's disease diagnosed between 1985 and 1998, we excluded patients operated on within the first month of the disease, patients with inadequate data, and patients with severe chronic nondigestive disease. In the 1188 remaining patients, Crohn's disease course within the first 5 years of the disease was categorized as disabling when at least 1 of the criteria of clinical severity, conventionally predefined, was present. Results: Among the 1123 patients with follow-up data allowing full 5-year course classification, the rate of disabling disease was 85.2%. Independent factors present at diagnosis and significantly associated with subsequent 5-year disabling were the initial requirement for steroid use (OR 3.1 [95% CI: 2.2-4.4]), an age below 40 years (OR 2.1 [95% CI: 1.3-3.6]), and the presence of perianal disease (OR 1.8 [95% CI: 1.2-2.8]). The positive predictive value of disabling disease in patients with 2 and 3 predictive factors of disabling disease was 0.91 and 0.93, respectively. These values were 0.84 and 0.91, respectively, when tested prospectively in an independent group of 302 consecutive patients seen at our institution from 1998. Conclusions: At diagnosis of Crohn's disease in a referral center, factors predictive of subsequent 5-year disabling course are an age below 40 years, the presence of perianal disease, and the initial requirement for steroids. \u00a9 2006 by the American Gastroenterological Association Institute.", "author" : [ { "dropping-particle" : "", "family" : "Beaugerie", "given" : "Laurent", "non-dropping-particle" : "", "parse-names" : false, "suffix" : "" }, { "dropping-particle" : "", "family" : "Seksik", "given" : "Philippe", "non-dropping-particle" : "", "parse-names" : false, "suffix" : "" }, { "dropping-particle" : "", "family" : "Nion-Larmurier", "given" : "Isabelle", "non-dropping-particle" : "", "parse-names" : false, "suffix" : "" }, { "dropping-particle" : "", "family" : "Gendre", "given" : "Jean Pierre", "non-dropping-particle" : "", "parse-names" : false, "suffix" : "" }, { "dropping-particle" : "", "family" : "Cosnes", "given" : "Jacques", "non-dropping-particle" : "", "parse-names" : false, "suffix" : "" } ], "container-title" : "Gastroenterology", "id" : "ITEM-1", "issue" : "3", "issued" : { "date-parts" : [ [ "2006" ] ] }, "page" : "650-656", "title" : "Predictors of crohn's disease", "type" : "article-journal", "volume" : "130" }, "uris" : [ "http://www.mendeley.com/documents/?uuid=8d2563b3-d1d3-4e92-a0a3-1a8d0e084bb1" ] } ], "mendeley" : { "formattedCitation" : "&lt;sup&gt;42&lt;/sup&gt;", "plainTextFormattedCitation" : "42", "previouslyFormattedCitation" : "&lt;sup&gt;42&lt;/sup&gt;" }, "properties" : { "noteIndex" : 0 }, "schema" : "https://github.com/citation-style-language/schema/raw/master/csl-citation.json" }</w:instrText>
      </w:r>
      <w:r w:rsidR="00AE13D9">
        <w:fldChar w:fldCharType="separate"/>
      </w:r>
      <w:r w:rsidR="00391BF7" w:rsidRPr="00391BF7">
        <w:rPr>
          <w:noProof/>
          <w:vertAlign w:val="superscript"/>
        </w:rPr>
        <w:t>42</w:t>
      </w:r>
      <w:r w:rsidR="00AE13D9">
        <w:fldChar w:fldCharType="end"/>
      </w:r>
      <w:r w:rsidR="00B233B9">
        <w:t xml:space="preserve"> </w:t>
      </w:r>
      <w:r w:rsidRPr="00264484">
        <w:t xml:space="preserve">This </w:t>
      </w:r>
      <w:r w:rsidR="00B4635D">
        <w:t>is a</w:t>
      </w:r>
      <w:r w:rsidRPr="00264484">
        <w:t xml:space="preserve"> validated 4-</w:t>
      </w:r>
      <w:r w:rsidR="00B4635D">
        <w:t>point score calculated using</w:t>
      </w:r>
      <w:r w:rsidRPr="00264484">
        <w:t xml:space="preserve"> three clinical variables that predict a 'disabling' disease course in CD, including a higher risk of IBD medication use, hospitalisation and surgery. The three variables are: age of CD ons</w:t>
      </w:r>
      <w:r w:rsidR="00FD1E10">
        <w:t xml:space="preserve">et &lt; 40 years, early use of CS, </w:t>
      </w:r>
      <w:r w:rsidRPr="00264484">
        <w:t xml:space="preserve">defined in our population as a first CS prescription </w:t>
      </w:r>
      <w:r w:rsidR="00FD1E10">
        <w:t>within 3 months of CD diagnosis</w:t>
      </w:r>
      <w:r w:rsidRPr="00264484">
        <w:t>, and</w:t>
      </w:r>
      <w:r w:rsidR="00FD1E10">
        <w:t xml:space="preserve"> lastly</w:t>
      </w:r>
      <w:r w:rsidRPr="00264484">
        <w:t xml:space="preserve"> the presence of </w:t>
      </w:r>
      <w:proofErr w:type="spellStart"/>
      <w:r w:rsidRPr="00264484">
        <w:t>peri</w:t>
      </w:r>
      <w:proofErr w:type="spellEnd"/>
      <w:r w:rsidRPr="00264484">
        <w:t>-anal disease</w:t>
      </w:r>
      <w:r w:rsidR="00C82561">
        <w:t xml:space="preserve">, </w:t>
      </w:r>
      <w:r w:rsidRPr="00264484">
        <w:t>defined</w:t>
      </w:r>
      <w:r w:rsidR="00C82561">
        <w:t xml:space="preserve"> for the purpose of this study</w:t>
      </w:r>
      <w:r w:rsidRPr="00264484">
        <w:t xml:space="preserve"> by codes for</w:t>
      </w:r>
      <w:r w:rsidR="00C82561">
        <w:t xml:space="preserve"> </w:t>
      </w:r>
      <w:proofErr w:type="spellStart"/>
      <w:r w:rsidR="00C82561">
        <w:t>peri</w:t>
      </w:r>
      <w:proofErr w:type="spellEnd"/>
      <w:r w:rsidR="00C82561">
        <w:t>-anal surgery</w:t>
      </w:r>
      <w:r w:rsidR="00546054">
        <w:t>, as previously described.</w:t>
      </w:r>
      <w:r w:rsidR="00AE13D9">
        <w:fldChar w:fldCharType="begin" w:fldLock="1"/>
      </w:r>
      <w:r w:rsidR="00735E84">
        <w:instrText>ADDIN CSL_CITATION { "citationItems" : [ { "id" : "ITEM-1", "itemData" : { "DOI" : "10.1097/MIB.0000000000000290", "ISBN" : "0000000000000", "ISSN" : "1078-0998", "author" : [ { "dropping-particle" : "", "family" : "Chhaya", "given" : "Vivek", "non-dropping-particle" : "", "parse-names" : false, "suffix" : "" }, { "dropping-particle" : "", "family" : "Saxena", "given" : "Sonia", "non-dropping-particle" : "", "parse-names" : false, "suffix" : "" }, { "dropping-particle" : "", "family" : "Cecil", "given" : "Elizabeth", "non-dropping-particle" : "", "parse-names" : false, "suffix" : "" }, { "dropping-particle" : "", "family" : "Subramanian", "given" : "Venkataraman", "non-dropping-particle" : "", "parse-names" : false, "suffix" : "" }, { "dropping-particle" : "", "family" : "Curcin", "given" : "Vasa", "non-dropping-particle" : "", "parse-names" : false, "suffix" : "" }, { "dropping-particle" : "", "family" : "Majeed", "given" : "Azeem", "non-dropping-particle" : "", "parse-names" : false, "suffix" : "" }, { "dropping-particle" : "", "family" : "Pollok", "given" : "Richard C. G.", "non-dropping-particle" : "", "parse-names" : false, "suffix" : "" } ], "container-title" : "Inflammatory Bowel Diseases", "id" : "ITEM-1", "issue" : "0", "issued" : { "date-parts" : [ [ "2015" ] ] }, "page" : "385-391", "title" : "Impact of Timing and Duration of Thiopurine Treatment on First Perianal Surgery in Crohn\u02bcs Disease", "type" : "article-journal", "volume" : "21" }, "uris" : [ "http://www.mendeley.com/documents/?uuid=ace34c84-858a-416a-be76-8c80b967ac06" ] } ], "mendeley" : { "formattedCitation" : "&lt;sup&gt;32&lt;/sup&gt;", "plainTextFormattedCitation" : "32", "previouslyFormattedCitation" : "&lt;sup&gt;32&lt;/sup&gt;" }, "properties" : { "noteIndex" : 0 }, "schema" : "https://github.com/citation-style-language/schema/raw/master/csl-citation.json" }</w:instrText>
      </w:r>
      <w:r w:rsidR="00AE13D9">
        <w:fldChar w:fldCharType="separate"/>
      </w:r>
      <w:r w:rsidR="00391BF7" w:rsidRPr="00391BF7">
        <w:rPr>
          <w:noProof/>
          <w:vertAlign w:val="superscript"/>
        </w:rPr>
        <w:t>32</w:t>
      </w:r>
      <w:r w:rsidR="00AE13D9">
        <w:fldChar w:fldCharType="end"/>
      </w:r>
      <w:r w:rsidR="00C82561">
        <w:t xml:space="preserve"> A patient may</w:t>
      </w:r>
      <w:r w:rsidR="00EA5029">
        <w:t xml:space="preserve"> have a score between</w:t>
      </w:r>
      <w:r w:rsidRPr="00264484">
        <w:t xml:space="preserve"> zero (none of the variable</w:t>
      </w:r>
      <w:r w:rsidR="00EA5029">
        <w:t>s) and</w:t>
      </w:r>
      <w:r w:rsidRPr="00264484">
        <w:t xml:space="preserve"> 3 (all three variables). A score of 2 or more is associated with a positive predictive value of over 90% for 'disabling' disease.</w:t>
      </w:r>
      <w:r w:rsidR="00AE13D9">
        <w:fldChar w:fldCharType="begin" w:fldLock="1"/>
      </w:r>
      <w:r w:rsidR="00735E84">
        <w:instrText>ADDIN CSL_CITATION { "citationItems" : [ { "id" : "ITEM-1", "itemData" : { "DOI" : "10.1053/j.gastro.2005.12.019", "ISBN" : "0016-5085 (Print)", "ISSN" : "00165085", "PMID" : "16530505", "abstract" : "Background &amp; Aims: Early intensive therapy in Crohn's disease should be considered only in patients with disabling disease. The aim of our study was to identify at diagnosis factors predictive of a subsequent 5-year disabling course. Methods: Among the 1526 patients seen at our unit with Crohn's disease diagnosed between 1985 and 1998, we excluded patients operated on within the first month of the disease, patients with inadequate data, and patients with severe chronic nondigestive disease. In the 1188 remaining patients, Crohn's disease course within the first 5 years of the disease was categorized as disabling when at least 1 of the criteria of clinical severity, conventionally predefined, was present. Results: Among the 1123 patients with follow-up data allowing full 5-year course classification, the rate of disabling disease was 85.2%. Independent factors present at diagnosis and significantly associated with subsequent 5-year disabling were the initial requirement for steroid use (OR 3.1 [95% CI: 2.2-4.4]), an age below 40 years (OR 2.1 [95% CI: 1.3-3.6]), and the presence of perianal disease (OR 1.8 [95% CI: 1.2-2.8]). The positive predictive value of disabling disease in patients with 2 and 3 predictive factors of disabling disease was 0.91 and 0.93, respectively. These values were 0.84 and 0.91, respectively, when tested prospectively in an independent group of 302 consecutive patients seen at our institution from 1998. Conclusions: At diagnosis of Crohn's disease in a referral center, factors predictive of subsequent 5-year disabling course are an age below 40 years, the presence of perianal disease, and the initial requirement for steroids. \u00a9 2006 by the American Gastroenterological Association Institute.", "author" : [ { "dropping-particle" : "", "family" : "Beaugerie", "given" : "Laurent", "non-dropping-particle" : "", "parse-names" : false, "suffix" : "" }, { "dropping-particle" : "", "family" : "Seksik", "given" : "Philippe", "non-dropping-particle" : "", "parse-names" : false, "suffix" : "" }, { "dropping-particle" : "", "family" : "Nion-Larmurier", "given" : "Isabelle", "non-dropping-particle" : "", "parse-names" : false, "suffix" : "" }, { "dropping-particle" : "", "family" : "Gendre", "given" : "Jean Pierre", "non-dropping-particle" : "", "parse-names" : false, "suffix" : "" }, { "dropping-particle" : "", "family" : "Cosnes", "given" : "Jacques", "non-dropping-particle" : "", "parse-names" : false, "suffix" : "" } ], "container-title" : "Gastroenterology", "id" : "ITEM-1", "issue" : "3", "issued" : { "date-parts" : [ [ "2006" ] ] }, "page" : "650-656", "title" : "Predictors of crohn's disease", "type" : "article-journal", "volume" : "130" }, "uris" : [ "http://www.mendeley.com/documents/?uuid=8d2563b3-d1d3-4e92-a0a3-1a8d0e084bb1" ] } ], "mendeley" : { "formattedCitation" : "&lt;sup&gt;42&lt;/sup&gt;", "plainTextFormattedCitation" : "42", "previouslyFormattedCitation" : "&lt;sup&gt;42&lt;/sup&gt;" }, "properties" : { "noteIndex" : 0 }, "schema" : "https://github.com/citation-style-language/schema/raw/master/csl-citation.json" }</w:instrText>
      </w:r>
      <w:r w:rsidR="00AE13D9">
        <w:fldChar w:fldCharType="separate"/>
      </w:r>
      <w:r w:rsidR="00391BF7" w:rsidRPr="00391BF7">
        <w:rPr>
          <w:noProof/>
          <w:vertAlign w:val="superscript"/>
        </w:rPr>
        <w:t>42</w:t>
      </w:r>
      <w:r w:rsidR="00AE13D9">
        <w:fldChar w:fldCharType="end"/>
      </w:r>
    </w:p>
    <w:p w:rsidR="005C0B15" w:rsidRPr="00264484" w:rsidRDefault="005C0B15" w:rsidP="00C85EFB">
      <w:pPr>
        <w:spacing w:line="480" w:lineRule="auto"/>
        <w:jc w:val="both"/>
      </w:pPr>
      <w:r w:rsidRPr="00264484">
        <w:t>The 10 year study period was divided into five 2-year era to allow for assessment of the impact of era of CD diagnosis on outcome measures (era 1: 1/1/05 to 31/12/06, era 2: 01/1/07 to 31/12/08, era 3: 01/1/09 to 31/12/10, era 4: 01/1/11 to 31/1/12, era 5: 01/1/13 to 31/12/14).</w:t>
      </w:r>
    </w:p>
    <w:p w:rsidR="00CB71D8" w:rsidRPr="00264484" w:rsidRDefault="00CB71D8" w:rsidP="00304057">
      <w:pPr>
        <w:pStyle w:val="Heading2"/>
        <w:spacing w:line="480" w:lineRule="auto"/>
        <w:rPr>
          <w:rFonts w:asciiTheme="minorHAnsi" w:hAnsiTheme="minorHAnsi"/>
        </w:rPr>
      </w:pPr>
      <w:r w:rsidRPr="00264484">
        <w:rPr>
          <w:rFonts w:asciiTheme="minorHAnsi" w:hAnsiTheme="minorHAnsi"/>
        </w:rPr>
        <w:t>Statistical analysis</w:t>
      </w:r>
    </w:p>
    <w:p w:rsidR="00F260E1" w:rsidRPr="00264484" w:rsidRDefault="00F260E1" w:rsidP="00304057">
      <w:pPr>
        <w:spacing w:line="480" w:lineRule="auto"/>
        <w:jc w:val="both"/>
      </w:pPr>
      <w:r w:rsidRPr="00264484">
        <w:t xml:space="preserve">We used </w:t>
      </w:r>
      <w:r w:rsidRPr="00264484">
        <w:rPr>
          <w:i/>
        </w:rPr>
        <w:t>t</w:t>
      </w:r>
      <w:r w:rsidRPr="00264484">
        <w:t>-tests to determine differences between groups of continuous data, and Chi-squared or Fisher’s exact test for comparisons of categorical data. We compared the</w:t>
      </w:r>
      <w:r w:rsidR="00001F7E" w:rsidRPr="00264484">
        <w:t xml:space="preserve"> proportion of smokers versus non-smokers at CD diagnosis who </w:t>
      </w:r>
      <w:r w:rsidR="005C0B15">
        <w:t xml:space="preserve">had any CS exposure, </w:t>
      </w:r>
      <w:r w:rsidR="00001F7E" w:rsidRPr="00264484">
        <w:t>the number of CS f</w:t>
      </w:r>
      <w:r w:rsidR="005C0B15">
        <w:t>lares per year in each group, and</w:t>
      </w:r>
      <w:r w:rsidR="00001F7E" w:rsidRPr="00264484">
        <w:t xml:space="preserve"> </w:t>
      </w:r>
      <w:r w:rsidR="005C0B15">
        <w:t xml:space="preserve">the proportion of </w:t>
      </w:r>
      <w:r w:rsidR="00001F7E" w:rsidRPr="00264484">
        <w:t xml:space="preserve">patients with steroid </w:t>
      </w:r>
      <w:r w:rsidR="005C0B15">
        <w:t>dependency</w:t>
      </w:r>
      <w:r w:rsidR="00001F7E" w:rsidRPr="00264484">
        <w:t>.</w:t>
      </w:r>
      <w:r w:rsidRPr="00264484">
        <w:t xml:space="preserve"> </w:t>
      </w:r>
    </w:p>
    <w:p w:rsidR="00F260E1" w:rsidRPr="00264484" w:rsidRDefault="00F260E1" w:rsidP="00304057">
      <w:pPr>
        <w:spacing w:line="480" w:lineRule="auto"/>
        <w:jc w:val="both"/>
      </w:pPr>
      <w:r w:rsidRPr="00264484">
        <w:t xml:space="preserve">We used </w:t>
      </w:r>
      <w:r w:rsidR="007A16F9" w:rsidRPr="00264484">
        <w:t>Kaplan-Meier</w:t>
      </w:r>
      <w:r w:rsidRPr="00264484">
        <w:t xml:space="preserve"> analysis to generate survival curves </w:t>
      </w:r>
      <w:r w:rsidR="00001F7E" w:rsidRPr="00264484">
        <w:t>calculating</w:t>
      </w:r>
      <w:r w:rsidRPr="00264484">
        <w:t xml:space="preserve"> the ti</w:t>
      </w:r>
      <w:r w:rsidR="00001F7E" w:rsidRPr="00264484">
        <w:t>me to first oral CS prescription i</w:t>
      </w:r>
      <w:r w:rsidR="005C0B15">
        <w:t>n smokers and non-smokers. For both smokers and non-smokers,</w:t>
      </w:r>
      <w:r w:rsidR="00001F7E" w:rsidRPr="00264484">
        <w:t xml:space="preserve"> we calculated cumulative oral CS exposure rates in the</w:t>
      </w:r>
      <w:r w:rsidRPr="00264484">
        <w:t xml:space="preserve"> follo</w:t>
      </w:r>
      <w:r w:rsidR="00001F7E" w:rsidRPr="00264484">
        <w:t>w-up period. The rate of oral CS exposure</w:t>
      </w:r>
      <w:r w:rsidRPr="00264484">
        <w:t xml:space="preserve"> was determined as a function of time, by calculating the duration between diagnosis</w:t>
      </w:r>
      <w:r w:rsidR="007A16F9" w:rsidRPr="00264484">
        <w:t xml:space="preserve"> of CD</w:t>
      </w:r>
      <w:r w:rsidRPr="00264484">
        <w:t xml:space="preserve"> and </w:t>
      </w:r>
      <w:r w:rsidR="00001F7E" w:rsidRPr="00264484">
        <w:t>first oral CS prescription</w:t>
      </w:r>
      <w:r w:rsidRPr="00264484">
        <w:t>, or e</w:t>
      </w:r>
      <w:r w:rsidR="007A16F9" w:rsidRPr="00264484">
        <w:t>nd of follow-up as defined above</w:t>
      </w:r>
      <w:r w:rsidRPr="00264484">
        <w:t xml:space="preserve">. </w:t>
      </w:r>
      <w:r w:rsidR="005E4AFC">
        <w:t>The</w:t>
      </w:r>
      <w:r w:rsidR="00001F7E" w:rsidRPr="00264484">
        <w:t xml:space="preserve"> risk of oral CS use</w:t>
      </w:r>
      <w:r w:rsidR="005E4AFC">
        <w:t xml:space="preserve"> at 1,</w:t>
      </w:r>
      <w:r w:rsidR="00C75974">
        <w:t xml:space="preserve"> </w:t>
      </w:r>
      <w:r w:rsidR="005E4AFC">
        <w:t xml:space="preserve">3 and 5 years after CD diagnosis was </w:t>
      </w:r>
      <w:r w:rsidR="00C75974">
        <w:t xml:space="preserve">also </w:t>
      </w:r>
      <w:r w:rsidR="005E4AFC">
        <w:t>calculated</w:t>
      </w:r>
      <w:r w:rsidRPr="00264484">
        <w:t>. We used the log rank test to assess for any significant di</w:t>
      </w:r>
      <w:r w:rsidR="00001F7E" w:rsidRPr="00264484">
        <w:t>fferences between smokers and non-smokers. We used the same statistical methodology to calculate the</w:t>
      </w:r>
      <w:r w:rsidR="00C75974">
        <w:t xml:space="preserve"> 1,3 and 5 year risk of first intestinal surgery</w:t>
      </w:r>
      <w:r w:rsidR="00743D25" w:rsidRPr="00264484">
        <w:t xml:space="preserve"> between smokers and non-smokers.</w:t>
      </w:r>
    </w:p>
    <w:p w:rsidR="00743D25" w:rsidRDefault="00743D25" w:rsidP="00304057">
      <w:pPr>
        <w:spacing w:line="480" w:lineRule="auto"/>
        <w:jc w:val="both"/>
      </w:pPr>
      <w:r w:rsidRPr="00264484">
        <w:lastRenderedPageBreak/>
        <w:t xml:space="preserve">In a further </w:t>
      </w:r>
      <w:r w:rsidR="00BF3C34">
        <w:t>analysis, we used separate Cox proportional h</w:t>
      </w:r>
      <w:r w:rsidRPr="00264484">
        <w:t xml:space="preserve">azards models to calculate hazard ratios (HR) </w:t>
      </w:r>
      <w:r w:rsidR="008016B4">
        <w:t xml:space="preserve">for </w:t>
      </w:r>
      <w:r w:rsidR="00C75974">
        <w:t>first intestinal surgery</w:t>
      </w:r>
      <w:r w:rsidRPr="00264484">
        <w:t xml:space="preserve"> given smoking status at CD diagnosis. </w:t>
      </w:r>
      <w:r w:rsidR="00737D39" w:rsidRPr="00264484">
        <w:t>All availabl</w:t>
      </w:r>
      <w:r w:rsidR="002B5295">
        <w:t xml:space="preserve">e variables included in the </w:t>
      </w:r>
      <w:proofErr w:type="spellStart"/>
      <w:r w:rsidR="002B5295">
        <w:t>uni</w:t>
      </w:r>
      <w:r w:rsidR="00737D39" w:rsidRPr="00264484">
        <w:t>variate</w:t>
      </w:r>
      <w:proofErr w:type="spellEnd"/>
      <w:r w:rsidR="00737D39" w:rsidRPr="00264484">
        <w:t xml:space="preserve"> and mul</w:t>
      </w:r>
      <w:r w:rsidR="008016B4">
        <w:t>tivariate analysis. Within this model</w:t>
      </w:r>
      <w:r w:rsidR="00737D39" w:rsidRPr="00264484">
        <w:t xml:space="preserve"> we adjusted for </w:t>
      </w:r>
      <w:r w:rsidR="00C75974">
        <w:t xml:space="preserve">sex, Montreal age category, BMI, </w:t>
      </w:r>
      <w:r w:rsidR="00394524" w:rsidRPr="00264484">
        <w:t xml:space="preserve">era of CD diagnosis, </w:t>
      </w:r>
      <w:r w:rsidR="00737D39" w:rsidRPr="00264484">
        <w:t>IMD status (dichotomous variable - upper two IMD quintiles versus lower 3 quintiles), co-morbid depression</w:t>
      </w:r>
      <w:r w:rsidR="00C75974">
        <w:t>, concurrent</w:t>
      </w:r>
      <w:r w:rsidR="00737D39" w:rsidRPr="00264484">
        <w:t xml:space="preserve"> IBS, 5ASA and TP use</w:t>
      </w:r>
      <w:r w:rsidR="0052268B">
        <w:t>, and disease severity</w:t>
      </w:r>
      <w:r w:rsidR="00737D39" w:rsidRPr="00264484">
        <w:t xml:space="preserve"> </w:t>
      </w:r>
      <w:r w:rsidR="005E4AFC">
        <w:t>(</w:t>
      </w:r>
      <w:proofErr w:type="spellStart"/>
      <w:r w:rsidR="00737D39" w:rsidRPr="00264484">
        <w:t>Beaugerie</w:t>
      </w:r>
      <w:proofErr w:type="spellEnd"/>
      <w:r w:rsidR="00737D39" w:rsidRPr="00264484">
        <w:t xml:space="preserve"> index score of greater than or equal to 2). </w:t>
      </w:r>
    </w:p>
    <w:p w:rsidR="0012489E" w:rsidRPr="0012489E" w:rsidRDefault="0012489E" w:rsidP="00304057">
      <w:pPr>
        <w:spacing w:line="480" w:lineRule="auto"/>
        <w:jc w:val="both"/>
      </w:pPr>
      <w:r w:rsidRPr="0012489E">
        <w:t>In the analysis comparing 'quitters' versus 'persistent smokers', we used similar outcome measures as for the primary analysis. CS flare rate, CS-dependency and IR rates were compared between these two sub-groups using student's t-test, Chi squared test, and KM survival analysis with the log rank test.</w:t>
      </w:r>
    </w:p>
    <w:p w:rsidR="0056329D" w:rsidRDefault="00001F7E" w:rsidP="00362D9E">
      <w:pPr>
        <w:spacing w:line="480" w:lineRule="auto"/>
        <w:jc w:val="both"/>
      </w:pPr>
      <w:r w:rsidRPr="00264484">
        <w:t>A p-value of less than or equal to 0.05 was considered statistically significant. All analyses were performed using STATA 12 (</w:t>
      </w:r>
      <w:proofErr w:type="spellStart"/>
      <w:r w:rsidR="00362D9E" w:rsidRPr="00362D9E">
        <w:t>Stataco</w:t>
      </w:r>
      <w:r w:rsidR="00362D9E">
        <w:t>rp</w:t>
      </w:r>
      <w:proofErr w:type="spellEnd"/>
      <w:r w:rsidR="00362D9E">
        <w:t xml:space="preserve"> LP, College Station, TX, USA</w:t>
      </w:r>
      <w:r w:rsidRPr="00264484">
        <w:t>).</w:t>
      </w:r>
    </w:p>
    <w:p w:rsidR="006417CC" w:rsidRPr="0056329D" w:rsidRDefault="006417CC" w:rsidP="0056329D">
      <w:pPr>
        <w:pStyle w:val="Heading2"/>
        <w:spacing w:line="480" w:lineRule="auto"/>
        <w:jc w:val="both"/>
        <w:rPr>
          <w:rFonts w:asciiTheme="minorHAnsi" w:hAnsiTheme="minorHAnsi"/>
        </w:rPr>
      </w:pPr>
      <w:r w:rsidRPr="0056329D">
        <w:rPr>
          <w:rFonts w:asciiTheme="minorHAnsi" w:hAnsiTheme="minorHAnsi"/>
        </w:rPr>
        <w:br w:type="page"/>
      </w:r>
    </w:p>
    <w:p w:rsidR="00FD4518" w:rsidRDefault="006417CC" w:rsidP="00304057">
      <w:pPr>
        <w:pStyle w:val="Heading1"/>
        <w:spacing w:line="480" w:lineRule="auto"/>
        <w:rPr>
          <w:rFonts w:asciiTheme="minorHAnsi" w:hAnsiTheme="minorHAnsi"/>
        </w:rPr>
      </w:pPr>
      <w:r w:rsidRPr="00264484">
        <w:rPr>
          <w:rFonts w:asciiTheme="minorHAnsi" w:hAnsiTheme="minorHAnsi"/>
        </w:rPr>
        <w:lastRenderedPageBreak/>
        <w:t>Results</w:t>
      </w:r>
    </w:p>
    <w:p w:rsidR="00E50AFF" w:rsidRDefault="002C3159" w:rsidP="002C3159">
      <w:pPr>
        <w:spacing w:line="480" w:lineRule="auto"/>
        <w:jc w:val="both"/>
      </w:pPr>
      <w:r w:rsidRPr="00264484">
        <w:t xml:space="preserve">We identified 3553 patients with </w:t>
      </w:r>
      <w:r>
        <w:t xml:space="preserve">a new diagnosis of </w:t>
      </w:r>
      <w:r w:rsidRPr="00264484">
        <w:t xml:space="preserve">CD </w:t>
      </w:r>
      <w:r w:rsidR="00EB574C">
        <w:t>with 14806</w:t>
      </w:r>
      <w:r>
        <w:t xml:space="preserve"> </w:t>
      </w:r>
      <w:r w:rsidR="00546054">
        <w:t>person years of follow up between January 1st 2005 and</w:t>
      </w:r>
      <w:r w:rsidR="00EB574C">
        <w:t xml:space="preserve"> December 31st 2014 (Figure 1).</w:t>
      </w:r>
      <w:r w:rsidR="00FF4F4C" w:rsidRPr="00FF4F4C">
        <w:t xml:space="preserve"> </w:t>
      </w:r>
      <w:r w:rsidR="00546054">
        <w:t xml:space="preserve">1121 of 3553 </w:t>
      </w:r>
      <w:r w:rsidR="00FF4F4C" w:rsidRPr="00264484">
        <w:t>patient</w:t>
      </w:r>
      <w:r w:rsidR="00FF4F4C">
        <w:t>s</w:t>
      </w:r>
      <w:r w:rsidR="00546054">
        <w:t xml:space="preserve"> (31.6%)</w:t>
      </w:r>
      <w:r w:rsidR="00FF4F4C">
        <w:t xml:space="preserve"> were smokers at CD diagnosis. The difference in</w:t>
      </w:r>
      <w:r w:rsidR="00EB574C">
        <w:t xml:space="preserve"> </w:t>
      </w:r>
      <w:r w:rsidR="00FF4F4C">
        <w:t xml:space="preserve">follow-up time between smokers (n=1121) and non smokers (n=2432) was not significant </w:t>
      </w:r>
      <w:r w:rsidR="00FF4F4C" w:rsidRPr="00264484">
        <w:t xml:space="preserve">(4.3 years versus 4.1 years, p=0.22). </w:t>
      </w:r>
      <w:r w:rsidR="00FF4F4C">
        <w:t>The overall proportion of smokers</w:t>
      </w:r>
      <w:r w:rsidR="00234273">
        <w:t xml:space="preserve"> at diagnosis</w:t>
      </w:r>
      <w:r w:rsidR="00FF4F4C">
        <w:t xml:space="preserve"> across the 5 era remained constant.</w:t>
      </w:r>
      <w:r w:rsidR="00234273">
        <w:t xml:space="preserve"> However, the proportion of smokers at CD diagnosis aged 17-40 (Montreal A2 category) dropped from 37.4% in years 2005-6 (era 1) to 30.5% in years 2013-14 (era 5 - Figure 2). </w:t>
      </w:r>
    </w:p>
    <w:p w:rsidR="00037339" w:rsidRDefault="00037339" w:rsidP="002C3159">
      <w:pPr>
        <w:spacing w:line="480" w:lineRule="auto"/>
        <w:jc w:val="both"/>
      </w:pPr>
      <w:r>
        <w:t xml:space="preserve">At baseline, there was no difference in the proportion of smokers and non-smokers aged 17-40 years (Montreal A2) and aged &gt;40 years (Montreal A3) respectively. </w:t>
      </w:r>
      <w:r w:rsidR="00546054">
        <w:t>T</w:t>
      </w:r>
      <w:r>
        <w:t xml:space="preserve">here were significantly more non-smokers than smokers in the </w:t>
      </w:r>
      <w:r w:rsidR="0002241D">
        <w:t>youngest age cohort (Table 1).</w:t>
      </w:r>
    </w:p>
    <w:p w:rsidR="002C3159" w:rsidRPr="00264484" w:rsidRDefault="002C3159" w:rsidP="002C3159">
      <w:pPr>
        <w:spacing w:line="480" w:lineRule="auto"/>
        <w:jc w:val="both"/>
      </w:pPr>
      <w:r w:rsidRPr="00264484">
        <w:t xml:space="preserve"> Amongst patients with CD, smokers were more likely to be female, </w:t>
      </w:r>
      <w:r w:rsidR="00234273">
        <w:t>live</w:t>
      </w:r>
      <w:r w:rsidR="00323F99">
        <w:t xml:space="preserve"> in</w:t>
      </w:r>
      <w:r w:rsidR="00494849">
        <w:t xml:space="preserve"> </w:t>
      </w:r>
      <w:r w:rsidR="00234273">
        <w:t>deprived areas</w:t>
      </w:r>
      <w:r w:rsidRPr="00264484">
        <w:t xml:space="preserve">, and have a </w:t>
      </w:r>
      <w:r w:rsidR="00234273">
        <w:t xml:space="preserve">concurrent </w:t>
      </w:r>
      <w:r w:rsidRPr="00264484">
        <w:t>diagnosis of depression</w:t>
      </w:r>
      <w:r w:rsidR="00E50AFF">
        <w:t xml:space="preserve"> (Table 1)</w:t>
      </w:r>
      <w:r w:rsidRPr="00264484">
        <w:t>.</w:t>
      </w:r>
      <w:r w:rsidR="00E50AFF">
        <w:t xml:space="preserve"> </w:t>
      </w:r>
      <w:r w:rsidR="00091E46">
        <w:t xml:space="preserve">No differences </w:t>
      </w:r>
      <w:r w:rsidR="00546054">
        <w:t xml:space="preserve">between smokers and non-smokers </w:t>
      </w:r>
      <w:r w:rsidR="00091E46">
        <w:t xml:space="preserve">were </w:t>
      </w:r>
      <w:r w:rsidR="00AD3A25">
        <w:t>observed in the o</w:t>
      </w:r>
      <w:r w:rsidR="00091E46">
        <w:t xml:space="preserve">ther baseline characteristics including BMI </w:t>
      </w:r>
      <w:r w:rsidR="00494849">
        <w:t>at diagnosis, IBS prevalence or</w:t>
      </w:r>
      <w:r w:rsidR="00091E46">
        <w:t xml:space="preserve"> disease severity</w:t>
      </w:r>
      <w:r w:rsidR="00AD3A25">
        <w:t>.</w:t>
      </w:r>
      <w:r w:rsidR="00B41339">
        <w:t xml:space="preserve"> </w:t>
      </w:r>
      <w:r w:rsidR="00546054">
        <w:t>Nor were there any</w:t>
      </w:r>
      <w:r w:rsidR="00B41339">
        <w:t xml:space="preserve"> significant differences in 5-ASA use (52.1% versus 54.5%) and </w:t>
      </w:r>
      <w:proofErr w:type="spellStart"/>
      <w:r w:rsidR="00B41339">
        <w:t>thiopurine</w:t>
      </w:r>
      <w:proofErr w:type="spellEnd"/>
      <w:r w:rsidR="00B41339">
        <w:t xml:space="preserve"> use (35.5% versus 32.4%) </w:t>
      </w:r>
      <w:r w:rsidR="00494849">
        <w:t xml:space="preserve">during follow-up </w:t>
      </w:r>
      <w:r w:rsidR="00B41339">
        <w:t xml:space="preserve">between smokers and non-smokers respectively. </w:t>
      </w:r>
    </w:p>
    <w:p w:rsidR="002C3159" w:rsidRPr="00264484" w:rsidRDefault="002C3159" w:rsidP="002C3159">
      <w:pPr>
        <w:pStyle w:val="Heading2"/>
        <w:spacing w:line="480" w:lineRule="auto"/>
        <w:rPr>
          <w:rFonts w:asciiTheme="minorHAnsi" w:hAnsiTheme="minorHAnsi"/>
        </w:rPr>
      </w:pPr>
      <w:r>
        <w:rPr>
          <w:rFonts w:asciiTheme="minorHAnsi" w:hAnsiTheme="minorHAnsi"/>
        </w:rPr>
        <w:t>Corticosteroid use</w:t>
      </w:r>
    </w:p>
    <w:p w:rsidR="002C3159" w:rsidRDefault="002C3159" w:rsidP="002C3159">
      <w:pPr>
        <w:spacing w:line="480" w:lineRule="auto"/>
        <w:jc w:val="both"/>
      </w:pPr>
      <w:r>
        <w:t>Smokers had more overall exposure to oral CS therapy. Crude oral CS exposure was 55.8% in smokers versus 47.0% in non-smoke</w:t>
      </w:r>
      <w:r w:rsidR="008F3A32">
        <w:t>rs (p&lt;0.0001). Smokers were</w:t>
      </w:r>
      <w:r w:rsidR="00DF295F">
        <w:t xml:space="preserve"> </w:t>
      </w:r>
      <w:r>
        <w:t>less</w:t>
      </w:r>
      <w:r w:rsidR="00DF295F">
        <w:t xml:space="preserve"> likely to have CS-fr</w:t>
      </w:r>
      <w:r w:rsidR="002B5295">
        <w:t>ee remission, defined as no 'CS-</w:t>
      </w:r>
      <w:r w:rsidR="00DF295F">
        <w:t>flares' in follow-up. Smokers also</w:t>
      </w:r>
      <w:r w:rsidR="008F3A32">
        <w:t xml:space="preserve"> had significantly more </w:t>
      </w:r>
      <w:r w:rsidR="00DF295F">
        <w:t>'</w:t>
      </w:r>
      <w:r w:rsidR="008F3A32">
        <w:t xml:space="preserve">CS </w:t>
      </w:r>
      <w:r w:rsidR="00C24A82">
        <w:t>(requi</w:t>
      </w:r>
      <w:r w:rsidR="002B5295">
        <w:t xml:space="preserve">ring) </w:t>
      </w:r>
      <w:r w:rsidR="008F3A32">
        <w:t>flares</w:t>
      </w:r>
      <w:r w:rsidR="00DF295F">
        <w:t>'</w:t>
      </w:r>
      <w:r w:rsidR="008F3A32">
        <w:t xml:space="preserve"> per year </w:t>
      </w:r>
      <w:r w:rsidR="004E720E">
        <w:t>when compared with</w:t>
      </w:r>
      <w:r>
        <w:t xml:space="preserve"> non-smokers (Table 2). Similarly,</w:t>
      </w:r>
      <w:r w:rsidR="008F3A32">
        <w:t xml:space="preserve"> a higher proportion of smokers</w:t>
      </w:r>
      <w:r>
        <w:t xml:space="preserve"> develop</w:t>
      </w:r>
      <w:r w:rsidR="008F3A32">
        <w:t>ed</w:t>
      </w:r>
      <w:r w:rsidR="002B5295">
        <w:t xml:space="preserve"> CS-</w:t>
      </w:r>
      <w:r>
        <w:t xml:space="preserve">dependency </w:t>
      </w:r>
      <w:r w:rsidR="005D13C7">
        <w:t>than</w:t>
      </w:r>
      <w:r>
        <w:t xml:space="preserve"> non-smokers (27.4% versus 20.8%, p&lt;0.0001).</w:t>
      </w:r>
    </w:p>
    <w:p w:rsidR="002C3159" w:rsidRDefault="002C3159" w:rsidP="002C3159">
      <w:pPr>
        <w:spacing w:line="480" w:lineRule="auto"/>
        <w:jc w:val="both"/>
      </w:pPr>
      <w:r>
        <w:lastRenderedPageBreak/>
        <w:t>The cumulative risk of oral CS use</w:t>
      </w:r>
      <w:r w:rsidR="00050E4F">
        <w:t xml:space="preserve"> at 1,3 and 5 years</w:t>
      </w:r>
      <w:r>
        <w:t xml:space="preserve"> was 41.1%, 50.9% and 57.5% in smokers, and 34.9%, 43.0% and 49</w:t>
      </w:r>
      <w:r w:rsidR="00926146">
        <w:t>.0% in non-smokers</w:t>
      </w:r>
      <w:r>
        <w:t xml:space="preserve"> (log rank test for trend, p=0.0001, see Figure </w:t>
      </w:r>
      <w:r w:rsidR="00DF295F">
        <w:t>3</w:t>
      </w:r>
      <w:r w:rsidR="00DA45D1">
        <w:t>).</w:t>
      </w:r>
    </w:p>
    <w:p w:rsidR="00091E46" w:rsidRPr="00091E46" w:rsidRDefault="00DF295F" w:rsidP="00091E46">
      <w:pPr>
        <w:pStyle w:val="Heading2"/>
        <w:spacing w:line="480" w:lineRule="auto"/>
        <w:rPr>
          <w:rFonts w:asciiTheme="minorHAnsi" w:hAnsiTheme="minorHAnsi"/>
        </w:rPr>
      </w:pPr>
      <w:r>
        <w:rPr>
          <w:rFonts w:asciiTheme="minorHAnsi" w:hAnsiTheme="minorHAnsi"/>
        </w:rPr>
        <w:t>Intestinal surgery</w:t>
      </w:r>
    </w:p>
    <w:p w:rsidR="00E50AFF" w:rsidRDefault="00091E46" w:rsidP="00091E46">
      <w:pPr>
        <w:spacing w:line="480" w:lineRule="auto"/>
        <w:jc w:val="both"/>
      </w:pPr>
      <w:r>
        <w:t>The crude rate</w:t>
      </w:r>
      <w:r w:rsidR="00DF295F">
        <w:t>s for first intestinal surgery</w:t>
      </w:r>
      <w:r w:rsidR="002C3159">
        <w:t xml:space="preserve"> in patients with CD were 10.0% and 6.6% i</w:t>
      </w:r>
      <w:r w:rsidR="002B5295">
        <w:t>n smokers and non-smokers</w:t>
      </w:r>
      <w:r w:rsidR="002C3159">
        <w:t xml:space="preserve"> (p&lt;0.0001). The cumulative risk of first</w:t>
      </w:r>
      <w:r w:rsidR="00DF295F">
        <w:t xml:space="preserve"> intestinal surgery</w:t>
      </w:r>
      <w:r w:rsidR="00050E4F">
        <w:t xml:space="preserve"> at 1, 3 and 5 years</w:t>
      </w:r>
      <w:r w:rsidR="002C3159">
        <w:t xml:space="preserve"> was 5.3%, 8.5% and 9.3% in smokers and 3.6%, 5.1% and 6.7% </w:t>
      </w:r>
      <w:r w:rsidR="002B5295">
        <w:t>in non-smokers at CD diagnosis</w:t>
      </w:r>
      <w:r w:rsidR="002C3159">
        <w:t xml:space="preserve"> (log rank test for t</w:t>
      </w:r>
      <w:r w:rsidR="00933BE9">
        <w:t>rend, p= 0.009, see f</w:t>
      </w:r>
      <w:r w:rsidR="00DF295F">
        <w:t>igure 4</w:t>
      </w:r>
      <w:r>
        <w:t>)</w:t>
      </w:r>
      <w:r w:rsidR="002C3159">
        <w:t xml:space="preserve">. Smoking was associated with a </w:t>
      </w:r>
      <w:r w:rsidR="00ED4CB3">
        <w:t>64</w:t>
      </w:r>
      <w:r>
        <w:t>% increase in ri</w:t>
      </w:r>
      <w:r w:rsidR="00DF295F">
        <w:t>sk of first intestinal surgery</w:t>
      </w:r>
      <w:r w:rsidR="00ED4CB3">
        <w:t xml:space="preserve"> (HR 1.64</w:t>
      </w:r>
      <w:r w:rsidR="002C3159">
        <w:t>, 95</w:t>
      </w:r>
      <w:r w:rsidR="00ED4CB3">
        <w:t>%CI 1.16-2.52</w:t>
      </w:r>
      <w:r w:rsidR="00C578A6">
        <w:t xml:space="preserve"> - see t</w:t>
      </w:r>
      <w:r w:rsidR="00B438F8">
        <w:t>able 3</w:t>
      </w:r>
      <w:r w:rsidR="00DF295F">
        <w:t>)</w:t>
      </w:r>
      <w:r w:rsidR="00B438F8">
        <w:t>.</w:t>
      </w:r>
    </w:p>
    <w:p w:rsidR="00B438F8" w:rsidRPr="00252368" w:rsidRDefault="00252368" w:rsidP="00B438F8">
      <w:pPr>
        <w:pStyle w:val="Heading2"/>
        <w:spacing w:line="480" w:lineRule="auto"/>
        <w:jc w:val="both"/>
        <w:rPr>
          <w:rFonts w:asciiTheme="minorHAnsi" w:hAnsiTheme="minorHAnsi"/>
        </w:rPr>
      </w:pPr>
      <w:r w:rsidRPr="00252368">
        <w:rPr>
          <w:rFonts w:asciiTheme="minorHAnsi" w:hAnsiTheme="minorHAnsi"/>
        </w:rPr>
        <w:t>Impact of smoking cessation on outcomes in CD</w:t>
      </w:r>
    </w:p>
    <w:p w:rsidR="00B438F8" w:rsidRPr="00252368" w:rsidRDefault="00B438F8" w:rsidP="00B438F8">
      <w:pPr>
        <w:spacing w:line="480" w:lineRule="auto"/>
        <w:jc w:val="both"/>
      </w:pPr>
      <w:r w:rsidRPr="00252368">
        <w:t>We identified 749 patients who were smokers at</w:t>
      </w:r>
      <w:r w:rsidR="00E45A13" w:rsidRPr="00252368">
        <w:t xml:space="preserve"> CD</w:t>
      </w:r>
      <w:r w:rsidRPr="00252368">
        <w:t xml:space="preserve"> diagnosis who had subsequent Read codes for smoking status within the first 2 years following CD diagnosis. Of the</w:t>
      </w:r>
      <w:r w:rsidR="00E45A13" w:rsidRPr="00252368">
        <w:t>se, 334 (44%) were classified as</w:t>
      </w:r>
      <w:r w:rsidRPr="00252368">
        <w:t xml:space="preserve"> 'quitters' and 415 were defined as 'persistent smokers'.</w:t>
      </w:r>
    </w:p>
    <w:p w:rsidR="00B438F8" w:rsidRPr="00252368" w:rsidRDefault="00E45A13" w:rsidP="00B438F8">
      <w:pPr>
        <w:spacing w:line="480" w:lineRule="auto"/>
        <w:jc w:val="both"/>
      </w:pPr>
      <w:r w:rsidRPr="00252368">
        <w:t xml:space="preserve">The proportion of female </w:t>
      </w:r>
      <w:r w:rsidR="00CA78F6" w:rsidRPr="00252368">
        <w:t>'persistent smokers'</w:t>
      </w:r>
      <w:r w:rsidRPr="00252368">
        <w:t xml:space="preserve"> was significantly </w:t>
      </w:r>
      <w:r w:rsidR="00CA78F6" w:rsidRPr="00252368">
        <w:t>higher</w:t>
      </w:r>
      <w:r w:rsidRPr="00252368">
        <w:t xml:space="preserve"> than male </w:t>
      </w:r>
      <w:r w:rsidR="00CA78F6" w:rsidRPr="00252368">
        <w:t xml:space="preserve">patients (66.8% </w:t>
      </w:r>
      <w:proofErr w:type="spellStart"/>
      <w:r w:rsidR="00CA78F6" w:rsidRPr="00252368">
        <w:t>vs</w:t>
      </w:r>
      <w:proofErr w:type="spellEnd"/>
      <w:r w:rsidR="00CA78F6" w:rsidRPr="00252368">
        <w:t xml:space="preserve"> 33.2%, p=0.001). There was also significant differences in the proportions of 'persistent smokers' between the Montreal age groups</w:t>
      </w:r>
      <w:r w:rsidR="00C77249" w:rsidRPr="00252368">
        <w:t xml:space="preserve"> (A2 50.1%, A3 59.8%, p=0.008). Similarly, 'persistent smokers' were more likely to have co-existent depression than 'quitters' (19.0% </w:t>
      </w:r>
      <w:proofErr w:type="spellStart"/>
      <w:r w:rsidR="00C77249" w:rsidRPr="00252368">
        <w:t>vs</w:t>
      </w:r>
      <w:proofErr w:type="spellEnd"/>
      <w:r w:rsidR="00C77249" w:rsidRPr="00252368">
        <w:t xml:space="preserve"> 11.6%, p=0.0001). There were no differences between 'persistent smokers' and 'quitters' with respect to BMI or IMD categories, or the proportion of patients with co-existent IBS.</w:t>
      </w:r>
    </w:p>
    <w:p w:rsidR="00C77249" w:rsidRPr="00252368" w:rsidRDefault="0056588E" w:rsidP="00B438F8">
      <w:pPr>
        <w:spacing w:line="480" w:lineRule="auto"/>
        <w:jc w:val="both"/>
      </w:pPr>
      <w:r w:rsidRPr="00252368">
        <w:t xml:space="preserve">'Quitters' had lower overall CS use. Crude oral CS exposure was 53.7% in </w:t>
      </w:r>
      <w:r w:rsidR="00305440" w:rsidRPr="00252368">
        <w:t>'quitters' versus 61.3 in 'persistent smokers' (p=0.03). Mean number of CS flares per year was 0.61 in 'quitters' versus 1.20 in 'persistent smokers', although this difference did not reach statistical significan</w:t>
      </w:r>
      <w:r w:rsidR="00305440" w:rsidRPr="004A2921">
        <w:t>ce.</w:t>
      </w:r>
      <w:r w:rsidR="003F18ED" w:rsidRPr="004A2921">
        <w:t xml:space="preserve"> However, the proportion of 'quitters' who maintained steroid-free remission during follow-up was significantly higher than amongst 'persistent smokers' (45.4% versus 37.5%, p=0.02). Furthermore</w:t>
      </w:r>
      <w:r w:rsidR="00305440" w:rsidRPr="00252368">
        <w:t xml:space="preserve">, there was a </w:t>
      </w:r>
      <w:r w:rsidR="00305440" w:rsidRPr="00252368">
        <w:lastRenderedPageBreak/>
        <w:t>significant</w:t>
      </w:r>
      <w:r w:rsidR="003F18ED">
        <w:t>ly</w:t>
      </w:r>
      <w:r w:rsidR="00305440" w:rsidRPr="00252368">
        <w:t xml:space="preserve"> higher proportion of 'persistent smokers' who developed CS-dependency compared to the 'quitters' (</w:t>
      </w:r>
      <w:r w:rsidR="009602FB" w:rsidRPr="00252368">
        <w:t xml:space="preserve">32.8% in 'persistent smokers' versus 23.9% amongst 'quitters' - </w:t>
      </w:r>
      <w:r w:rsidR="00305440" w:rsidRPr="00252368">
        <w:t>see figure</w:t>
      </w:r>
      <w:r w:rsidR="001B21C2" w:rsidRPr="00252368">
        <w:t xml:space="preserve"> 5</w:t>
      </w:r>
      <w:r w:rsidR="00305440" w:rsidRPr="00252368">
        <w:t>)</w:t>
      </w:r>
      <w:r w:rsidR="001B21C2" w:rsidRPr="00252368">
        <w:t>.</w:t>
      </w:r>
    </w:p>
    <w:p w:rsidR="001B21C2" w:rsidRPr="00252368" w:rsidRDefault="001B21C2" w:rsidP="00B438F8">
      <w:pPr>
        <w:spacing w:line="480" w:lineRule="auto"/>
        <w:jc w:val="both"/>
      </w:pPr>
      <w:r w:rsidRPr="00252368">
        <w:t>Crude IR rates were 10.2% in 'quitters' and 11.5% in 'persistent smokers (p=0.54). The 1, 3 and 5 year cumulative risk of IR was 5.6%, 7.9% and 10.3% in 'quitters' and 5.5%, 10.4% and 12.1% in 'persistent smokers', although the difference</w:t>
      </w:r>
      <w:r w:rsidR="00527CC1" w:rsidRPr="00252368">
        <w:t>s</w:t>
      </w:r>
      <w:r w:rsidRPr="00252368">
        <w:t xml:space="preserve"> did not reach statistical significance (see figure 6).</w:t>
      </w:r>
    </w:p>
    <w:p w:rsidR="00CC1633" w:rsidRPr="004A2921" w:rsidRDefault="003F18ED" w:rsidP="00CF6B99">
      <w:pPr>
        <w:spacing w:line="480" w:lineRule="auto"/>
        <w:jc w:val="both"/>
      </w:pPr>
      <w:r w:rsidRPr="004A2921">
        <w:t>The marked difference in co-morbid depression prevalence between 'quitters' and 'persistent smokers' was explored given the potential independent effect of depression on outcomes in IBD.</w:t>
      </w:r>
      <w:r w:rsidR="00AE13D9" w:rsidRPr="004A2921">
        <w:fldChar w:fldCharType="begin" w:fldLock="1"/>
      </w:r>
      <w:r w:rsidRPr="004A2921">
        <w:instrText>ADDIN CSL_CITATION { "citationItems" : [ { "id" : "ITEM-1", "itemData" : { "DOI" : "10.1111/apt.14171", "ISSN" : "02692813", "author" : [ { "dropping-particle" : "", "family" : "Alexakis", "given" : "C.", "non-dropping-particle" : "", "parse-names" : false, "suffix" : "" }, { "dropping-particle" : "", "family" : "Kumar", "given" : "S.", "non-dropping-particle" : "", "parse-names" : false, "suffix" : "" }, { "dropping-particle" : "", "family" : "Saxena", "given" : "S.", "non-dropping-particle" : "", "parse-names" : false, "suffix" : "" }, { "dropping-particle" : "", "family" : "Pollok", "given" : "R.", "non-dropping-particle" : "", "parse-names" : false, "suffix" : "" } ], "container-title" : "Alimentary Pharmacology &amp; Therapeutics", "id" : "ITEM-1", "issue" : "January", "issued" : { "date-parts" : [ [ "2017" ] ] }, "page" : "1-11", "title" : "Systematic review and meta-analysis: the impact of a depressive state on disease course in adult inflammatory bowel disease", "type" : "article-journal" }, "uris" : [ "http://www.mendeley.com/documents/?uuid=e67cf2c8-10e1-4615-b9d0-3131b847b606" ] } ], "mendeley" : { "formattedCitation" : "&lt;sup&gt;43&lt;/sup&gt;", "plainTextFormattedCitation" : "43", "previouslyFormattedCitation" : "&lt;sup&gt;43&lt;/sup&gt;" }, "properties" : { "noteIndex" : 0 }, "schema" : "https://github.com/citation-style-language/schema/raw/master/csl-citation.json" }</w:instrText>
      </w:r>
      <w:r w:rsidR="00AE13D9" w:rsidRPr="004A2921">
        <w:fldChar w:fldCharType="separate"/>
      </w:r>
      <w:r w:rsidRPr="004A2921">
        <w:rPr>
          <w:noProof/>
          <w:vertAlign w:val="superscript"/>
        </w:rPr>
        <w:t>43</w:t>
      </w:r>
      <w:r w:rsidR="00AE13D9" w:rsidRPr="004A2921">
        <w:fldChar w:fldCharType="end"/>
      </w:r>
      <w:r w:rsidR="00CC1633" w:rsidRPr="004A2921">
        <w:t xml:space="preserve"> In multiple logistic regression analysis adjusting for age, sex, obesity and social deprivation, depression was associated with an 84% increased odds of being a 'persistent smoker' (OR 1.84, 95% CI 1.04-3.25, p=0.04). However, amongst our CD cohort, the presence of depression did not impact on the key outcomes of CS-dependency and intestinal resection (IR) proportionally when comparing quitters and persistent smokers with/without depression. There were no statistical differences in the proportion of patients developing CS-dependency between 'persistent smokers</w:t>
      </w:r>
      <w:r w:rsidR="00CF6B99" w:rsidRPr="004A2921">
        <w:t>'</w:t>
      </w:r>
      <w:r w:rsidR="00CC1633" w:rsidRPr="004A2921">
        <w:t xml:space="preserve"> with or without depression  </w:t>
      </w:r>
      <w:r w:rsidR="00CF6B99" w:rsidRPr="004A2921">
        <w:t>(</w:t>
      </w:r>
      <w:r w:rsidR="00CC1633" w:rsidRPr="004A2921">
        <w:t>35.4% vs.</w:t>
      </w:r>
      <w:r w:rsidR="00CF6B99" w:rsidRPr="004A2921">
        <w:t xml:space="preserve">32.5%, </w:t>
      </w:r>
      <w:r w:rsidR="00CC1633" w:rsidRPr="004A2921">
        <w:t>p=0.56)</w:t>
      </w:r>
      <w:r w:rsidR="00CF6B99" w:rsidRPr="004A2921">
        <w:t>, or '</w:t>
      </w:r>
      <w:r w:rsidR="00CC1633" w:rsidRPr="004A2921">
        <w:t>quitters</w:t>
      </w:r>
      <w:r w:rsidR="00CF6B99" w:rsidRPr="004A2921">
        <w:t xml:space="preserve">' with or without </w:t>
      </w:r>
      <w:r w:rsidR="00CC1633" w:rsidRPr="004A2921">
        <w:t xml:space="preserve">depression </w:t>
      </w:r>
      <w:r w:rsidR="00CF6B99" w:rsidRPr="004A2921">
        <w:t>(</w:t>
      </w:r>
      <w:r w:rsidR="00CC1633" w:rsidRPr="004A2921">
        <w:t>30</w:t>
      </w:r>
      <w:r w:rsidR="00CF6B99" w:rsidRPr="004A2921">
        <w:t xml:space="preserve">.8% vs. 23.0%, </w:t>
      </w:r>
      <w:r w:rsidR="00CC1633" w:rsidRPr="004A2921">
        <w:t>p=0.28)</w:t>
      </w:r>
      <w:r w:rsidR="00CF6B99" w:rsidRPr="004A2921">
        <w:t>. Similarly, there were no statistical differences in the proportion of CD patients who underwent intestinal surgery between 'persistent smokers' with or without depression (17.7% vs. 10.1%, p=0.06), or 'quitters' with or without depression (2.6% vs. 11.2%, p=0.10).</w:t>
      </w:r>
    </w:p>
    <w:p w:rsidR="00E50AFF" w:rsidRDefault="00E50AFF">
      <w:r>
        <w:br w:type="page"/>
      </w:r>
    </w:p>
    <w:p w:rsidR="00AC6F26" w:rsidRDefault="00AC6F26" w:rsidP="00304057">
      <w:pPr>
        <w:pStyle w:val="Heading1"/>
        <w:spacing w:line="480" w:lineRule="auto"/>
        <w:rPr>
          <w:rFonts w:asciiTheme="minorHAnsi" w:hAnsiTheme="minorHAnsi"/>
        </w:rPr>
      </w:pPr>
      <w:r w:rsidRPr="00AC6F26">
        <w:rPr>
          <w:rFonts w:asciiTheme="minorHAnsi" w:hAnsiTheme="minorHAnsi"/>
        </w:rPr>
        <w:lastRenderedPageBreak/>
        <w:t>Discussion</w:t>
      </w:r>
    </w:p>
    <w:p w:rsidR="00304057" w:rsidRDefault="00304057" w:rsidP="00304057">
      <w:pPr>
        <w:pStyle w:val="Heading2"/>
        <w:spacing w:line="480" w:lineRule="auto"/>
        <w:rPr>
          <w:rFonts w:asciiTheme="minorHAnsi" w:hAnsiTheme="minorHAnsi"/>
        </w:rPr>
      </w:pPr>
      <w:r w:rsidRPr="00304057">
        <w:rPr>
          <w:rFonts w:asciiTheme="minorHAnsi" w:hAnsiTheme="minorHAnsi"/>
        </w:rPr>
        <w:t>Main findings</w:t>
      </w:r>
    </w:p>
    <w:p w:rsidR="00777555" w:rsidRPr="00777555" w:rsidRDefault="00777555" w:rsidP="00777555">
      <w:pPr>
        <w:spacing w:line="480" w:lineRule="auto"/>
        <w:jc w:val="both"/>
      </w:pPr>
      <w:r w:rsidRPr="00777555">
        <w:t xml:space="preserve">This is the is the first population based study to report on the impact of smoking cessation on clinical outcomes in </w:t>
      </w:r>
      <w:proofErr w:type="spellStart"/>
      <w:r w:rsidRPr="00777555">
        <w:t>Crohn’s</w:t>
      </w:r>
      <w:proofErr w:type="spellEnd"/>
      <w:r w:rsidRPr="00777555">
        <w:t xml:space="preserve"> disease. Smoking at diagnosis </w:t>
      </w:r>
      <w:r>
        <w:t>was</w:t>
      </w:r>
      <w:r w:rsidRPr="00777555">
        <w:t xml:space="preserve"> associated with both an increase in </w:t>
      </w:r>
      <w:r>
        <w:t>CS-requiring flares</w:t>
      </w:r>
      <w:r w:rsidRPr="00777555">
        <w:t xml:space="preserve">, the development of CS dependency and risk of intestinal resection. Smoking cessation within the first 2 years of diagnosis was associated with a reduction in CS-dependency by almost a quarter compared to persistent smokers. </w:t>
      </w:r>
      <w:r w:rsidR="00171127" w:rsidRPr="004A2921">
        <w:t>The proportion of quitters in steroid-free remission during follow-up was</w:t>
      </w:r>
      <w:r w:rsidR="008E1C6A" w:rsidRPr="004A2921">
        <w:t xml:space="preserve"> almost a fifth higher than in persistent smokers.</w:t>
      </w:r>
      <w:r w:rsidR="008E1C6A">
        <w:t xml:space="preserve"> </w:t>
      </w:r>
      <w:r w:rsidR="00171127">
        <w:t xml:space="preserve"> </w:t>
      </w:r>
      <w:r w:rsidRPr="00777555">
        <w:t>Rates of intestinal  surgery amongst quitters were reduced but did not reach statistical significance.</w:t>
      </w:r>
    </w:p>
    <w:p w:rsidR="00EA30FB" w:rsidRPr="00F62348" w:rsidRDefault="00304057" w:rsidP="00F62348">
      <w:pPr>
        <w:pStyle w:val="Heading2"/>
        <w:spacing w:line="480" w:lineRule="auto"/>
        <w:rPr>
          <w:rFonts w:asciiTheme="minorHAnsi" w:hAnsiTheme="minorHAnsi"/>
        </w:rPr>
      </w:pPr>
      <w:r w:rsidRPr="00304057">
        <w:rPr>
          <w:rFonts w:asciiTheme="minorHAnsi" w:hAnsiTheme="minorHAnsi"/>
        </w:rPr>
        <w:t>Findings in relationship to other studies</w:t>
      </w:r>
    </w:p>
    <w:p w:rsidR="00D95DDC" w:rsidRPr="00D95DDC" w:rsidRDefault="00D95DDC" w:rsidP="00304057">
      <w:pPr>
        <w:spacing w:line="480" w:lineRule="auto"/>
        <w:jc w:val="both"/>
      </w:pPr>
      <w:r w:rsidRPr="00D95DDC">
        <w:t xml:space="preserve">This study is the first to demonstrate the benefit of smoking cessation in a population based cohort on the key clinical outcome of CS-dependency. In a landmark study </w:t>
      </w:r>
      <w:r>
        <w:t xml:space="preserve">by </w:t>
      </w:r>
      <w:proofErr w:type="spellStart"/>
      <w:r w:rsidRPr="00D95DDC">
        <w:t>Cosnes</w:t>
      </w:r>
      <w:proofErr w:type="spellEnd"/>
      <w:r w:rsidRPr="00D95DDC">
        <w:t xml:space="preserve"> et </w:t>
      </w:r>
      <w:r w:rsidRPr="00D95DDC">
        <w:rPr>
          <w:i/>
        </w:rPr>
        <w:t>al</w:t>
      </w:r>
      <w:r>
        <w:t xml:space="preserve">., </w:t>
      </w:r>
      <w:r w:rsidRPr="00D95DDC">
        <w:t>CD patients</w:t>
      </w:r>
      <w:r>
        <w:t xml:space="preserve"> from a tertiary centre</w:t>
      </w:r>
      <w:r w:rsidRPr="00D95DDC">
        <w:t xml:space="preserve"> who continued to smoke, when compared to those who had quit or had never smoked, had higher rates of disease flares, steroid use and immunosuppressant use, although surgical rates remained unaffected</w:t>
      </w:r>
      <w:r>
        <w:t>.</w:t>
      </w:r>
      <w:r w:rsidR="00AE13D9">
        <w:fldChar w:fldCharType="begin" w:fldLock="1"/>
      </w:r>
      <w:r w:rsidR="00774FD4">
        <w:instrText>ADDIN CSL_CITATION { "citationItems" : [ { "id" : "ITEM-1", "itemData" : { "DOI" : "10.1053/gast.2001.23231", "ISBN" : "0016-5085 (Print)\\r0016-5085 (Linking)", "ISSN" : "0016-5085", "PMID" : "11266373", "abstract" : "BACKGROUND AND AIMS: To evaluate the benefit of smoking cessation in individuals with Crohn's disease, we performed an intervention study in a large cohort of smokers with the disease.\\n\\nMETHODS: Repeated counseling to stop smoking, with easy access to a smoking cessation program, was given to 474 consecutive smokers with Crohn's disease. Patients who stopped smoking for more than 1 year (quitters) were included in a prospective follow-up study, which compared disease course and therapeutic needs with 2 control groups, continuing smokers and nonsmokers, paired for age, gender, disease location, and activity.\\n\\nRESULTS: There were 59 quitters (12%). Predictors of quitting were the physician, previous intestinal surgery, high socioeconomic status, and in women, oral contraceptive use. During a median follow-up of 29 months (1-54 months), the risk of flare-up in quitters did not differ from that in nonsmokers and was less than in continuing smokers (P &lt; 0.001). Need for steroids and for introduction or reinforcement of immunosuppressive therapy, respectively, were similar in quitters and nonsmokers and increased in continuing smokers. The risk of surgery was not significantly different in the 3 groups.\\n\\nCONCLUSIONS: Patients with Crohn's disease who stop smoking for more than 1 year have a more benign disease course than if they had never smoked.", "author" : [ { "dropping-particle" : "", "family" : "Cosnes", "given" : "J", "non-dropping-particle" : "", "parse-names" : false, "suffix" : "" }, { "dropping-particle" : "", "family" : "Beaugerie", "given" : "L", "non-dropping-particle" : "", "parse-names" : false, "suffix" : "" }, { "dropping-particle" : "", "family" : "Carbonnel", "given" : "F", "non-dropping-particle" : "", "parse-names" : false, "suffix" : "" }, { "dropping-particle" : "", "family" : "Gendre", "given" : "J P", "non-dropping-particle" : "", "parse-names" : false, "suffix" : "" } ], "container-title" : "Gastroenterology", "id" : "ITEM-1", "issue" : "5", "issued" : { "date-parts" : [ [ "2001" ] ] }, "page" : "1093-9", "title" : "Smoking cessation and the course of Crohn's disease: an intervention study.", "type" : "article-journal", "volume" : "120" }, "uris" : [ "http://www.mendeley.com/documents/?uuid=2aab8364-b2bb-47f6-b5ad-978ac4a6463d" ] } ], "mendeley" : { "formattedCitation" : "&lt;sup&gt;17&lt;/sup&gt;", "plainTextFormattedCitation" : "17", "previouslyFormattedCitation" : "&lt;sup&gt;17&lt;/sup&gt;" }, "properties" : { "noteIndex" : 0 }, "schema" : "https://github.com/citation-style-language/schema/raw/master/csl-citation.json" }</w:instrText>
      </w:r>
      <w:r w:rsidR="00AE13D9">
        <w:fldChar w:fldCharType="separate"/>
      </w:r>
      <w:r w:rsidRPr="00D95DDC">
        <w:rPr>
          <w:noProof/>
          <w:vertAlign w:val="superscript"/>
        </w:rPr>
        <w:t>17</w:t>
      </w:r>
      <w:r w:rsidR="00AE13D9">
        <w:fldChar w:fldCharType="end"/>
      </w:r>
      <w:r w:rsidR="00774FD4">
        <w:t xml:space="preserve"> </w:t>
      </w:r>
      <w:r w:rsidR="00774FD4" w:rsidRPr="00774FD4">
        <w:t xml:space="preserve">More recently, a prospective observational study </w:t>
      </w:r>
      <w:r w:rsidR="00774FD4">
        <w:t xml:space="preserve">by </w:t>
      </w:r>
      <w:proofErr w:type="spellStart"/>
      <w:r w:rsidR="00774FD4">
        <w:t>Nunes</w:t>
      </w:r>
      <w:proofErr w:type="spellEnd"/>
      <w:r w:rsidR="00774FD4">
        <w:t xml:space="preserve"> et </w:t>
      </w:r>
      <w:r w:rsidR="00774FD4" w:rsidRPr="00774FD4">
        <w:rPr>
          <w:i/>
        </w:rPr>
        <w:t xml:space="preserve">al. </w:t>
      </w:r>
      <w:r w:rsidR="00774FD4" w:rsidRPr="00774FD4">
        <w:t xml:space="preserve">including </w:t>
      </w:r>
      <w:r w:rsidR="00774FD4">
        <w:t xml:space="preserve">573 </w:t>
      </w:r>
      <w:r w:rsidR="00774FD4" w:rsidRPr="00774FD4">
        <w:t>patients</w:t>
      </w:r>
      <w:r w:rsidR="00774FD4">
        <w:t xml:space="preserve"> with CD</w:t>
      </w:r>
      <w:r w:rsidR="00774FD4" w:rsidRPr="00774FD4">
        <w:t xml:space="preserve"> from 14 IBD referral centres in Spain reported similar findings.</w:t>
      </w:r>
      <w:r w:rsidR="00AE13D9">
        <w:fldChar w:fldCharType="begin" w:fldLock="1"/>
      </w:r>
      <w:r w:rsidR="00281AF6">
        <w:instrText>ADDIN CSL_CITATION { "citationItems" : [ { "id" : "ITEM-1", "itemData" : { "DOI" : "10.1038/ajg.2015.401", "ISSN" : "0002-9270", "PMID" : "26856753", "abstract" : "OBJECTIVES: Given the importance of tobacco smoking (TS) as the only environmental factor repeatedly linked to the development of the Crohn's disease (CD), it is surprising that very few prospective studies have assessed whether TS is associated with an increased frequency of clinical relapse. Our aim was to evaluate the current impact of TS on disease relapse and the clinical benefit of quitting smoking in the present era of widespread use of anti-TNF drugs and immunosuppressants.\\n\\nMETHODS: This was a multicenter prospective cohort study, which included 573 CD patients in clinical remission with various smoking habits. All smokers were advised to quit. Patients not exposed to tobacco before inclusion (non- and former smokers), continuing smokers, and quitters were compared regarding differences in disease outcomes during a follow-up of 4 years.\\n\\nRESULTS: A total of 148 continuing smokers, 190 nonsmokers, 160 former smokers, and 75 quitters were included. In comparison with nonsmokers, continuing smokers relapsed more frequently with an incidence rate ratio of 1.53 (95% confidence interval (CI): 1.10-2.17). Former smokers and quitters had similar relapse incidences compared with nonsmokers. Smoking was an independent predictor for disease relapse in the multivariate analysis (hazard ratio: 1.58 (95% CI 1.20-2.09). In the time-dependent analysis, continuing smokers had earlier relapse, regardless of anti-TNF or immunosuppressant use.\\n\\nCONCLUSIONS: Continuing smokers have more disease relapses, and patients who quit smoking have a similar relapse incidence compared with nonsmokers.Am J Gastroenterol advance online publication, 9 February 2016; doi:10.1038/ajg.2015.401.", "author" : [ { "dropping-particle" : "", "family" : "Nunes", "given" : "Tiago", "non-dropping-particle" : "", "parse-names" : false, "suffix" : "" }, { "dropping-particle" : "", "family" : "Etchevers", "given" : "Maria Josefina", "non-dropping-particle" : "", "parse-names" : false, "suffix" : "" }, { "dropping-particle" : "", "family" : "Garc\u00eda-S\u00e1nchez", "given" : "Valle", "non-dropping-particle" : "", "parse-names" : false, "suffix" : "" }, { "dropping-particle" : "", "family" : "Ginard", "given" : "Daniel", "non-dropping-particle" : "", "parse-names" : false, "suffix" : "" }, { "dropping-particle" : "", "family" : "Mart\u00ed", "given" : "Eva", "non-dropping-particle" : "", "parse-names" : false, "suffix" : "" }, { "dropping-particle" : "", "family" : "Barreiro-de Acosta", "given" : "Manuel", "non-dropping-particle" : "", "parse-names" : false, "suffix" : "" }, { "dropping-particle" : "", "family" : "Gomoll\u00f3n", "given" : "Fernando", "non-dropping-particle" : "", "parse-names" : false, "suffix" : "" }, { "dropping-particle" : "", "family" : "Arroyo", "given" : "Maite", "non-dropping-particle" : "", "parse-names" : false, "suffix" : "" }, { "dropping-particle" : "", "family" : "Bastida", "given" : "Guillermo", "non-dropping-particle" : "", "parse-names" : false, "suffix" : "" }, { "dropping-particle" : "", "family" : "Gonzalez", "given" : "Benito", "non-dropping-particle" : "", "parse-names" : false, "suffix" : "" }, { "dropping-particle" : "", "family" : "Monfort", "given" : "David", "non-dropping-particle" : "", "parse-names" : false, "suffix" : "" }, { "dropping-particle" : "", "family" : "Garc\u00eda-Planella", "given" : "Esther", "non-dropping-particle" : "", "parse-names" : false, "suffix" : "" }, { "dropping-particle" : "", "family" : "Figueroa", "given" : "Carolina", "non-dropping-particle" : "", "parse-names" : false, "suffix" : "" }, { "dropping-particle" : "", "family" : "Pan\u00e9s", "given" : "Juli\u00e1n", "non-dropping-particle" : "", "parse-names" : false, "suffix" : "" }, { "dropping-particle" : "", "family" : "Sans", "given" : "Miquel", "non-dropping-particle" : "", "parse-names" : false, "suffix" : "" } ], "container-title" : "The American Journal of Gastroenterology", "id" : "ITEM-1", "issue" : "November 2015", "issued" : { "date-parts" : [ [ "2016" ] ] }, "page" : "1-9", "title" : "Impact of Smoking Cessation on the Clinical Course of Crohn\u2019s Disease Under Current Therapeutic Algorithms: A Multicenter Prospective Study", "type" : "article-journal" }, "uris" : [ "http://www.mendeley.com/documents/?uuid=8aa81338-d835-41fa-983d-e529ff6af5d4" ] } ], "mendeley" : { "formattedCitation" : "&lt;sup&gt;18&lt;/sup&gt;", "plainTextFormattedCitation" : "18", "previouslyFormattedCitation" : "&lt;sup&gt;18&lt;/sup&gt;" }, "properties" : { "noteIndex" : 0 }, "schema" : "https://github.com/citation-style-language/schema/raw/master/csl-citation.json" }</w:instrText>
      </w:r>
      <w:r w:rsidR="00AE13D9">
        <w:fldChar w:fldCharType="separate"/>
      </w:r>
      <w:r w:rsidR="00774FD4" w:rsidRPr="00774FD4">
        <w:rPr>
          <w:noProof/>
          <w:vertAlign w:val="superscript"/>
        </w:rPr>
        <w:t>18</w:t>
      </w:r>
      <w:r w:rsidR="00AE13D9">
        <w:fldChar w:fldCharType="end"/>
      </w:r>
    </w:p>
    <w:p w:rsidR="00F019EC" w:rsidRDefault="00941B5D" w:rsidP="00304057">
      <w:pPr>
        <w:spacing w:line="480" w:lineRule="auto"/>
        <w:jc w:val="both"/>
      </w:pPr>
      <w:r>
        <w:t>Our study is the first</w:t>
      </w:r>
      <w:r w:rsidR="00623FD6">
        <w:t xml:space="preserve"> to addr</w:t>
      </w:r>
      <w:r w:rsidR="002B5295">
        <w:t>ess the impact of smoking on CS-</w:t>
      </w:r>
      <w:r w:rsidR="00623FD6">
        <w:t xml:space="preserve">dependency as </w:t>
      </w:r>
      <w:r w:rsidR="000F3A69">
        <w:t xml:space="preserve">specifically </w:t>
      </w:r>
      <w:r w:rsidR="00623FD6">
        <w:t>defined by ECCO guidelines.</w:t>
      </w:r>
      <w:r w:rsidR="00AE13D9">
        <w:fldChar w:fldCharType="begin" w:fldLock="1"/>
      </w:r>
      <w:r w:rsidR="003F18ED">
        <w:instrText>ADDIN CSL_CITATION { "citationItems" : [ { "id" : "ITEM-1", "itemData" : { "DOI" : "10.1093/ecco-jcc/jjw168", "ISBN" : "3905772434", "ISSN" : "1873-9946", "PMID" : "27660341", "abstract" : "This paper is the first in a series of two publications relating to the European Crohn's and Colitis Organisation [ECCO] evidence-based consensus on the diagnosis and management of Crohn's disease and concerns the methodology of the consensus process, and the classification, diagnosis and medical management of active and quiescent Crohn's disease. Surgical management as well as special situations including management of perianal Crohn's disease of this ECCO Consensus are covered in a subsequent second paper [Gionchetti et al JCC 2016].", "author" : [ { "dropping-particle" : "", "family" : "Gomoll\u00f3n", "given" : "Fernando", "non-dropping-particle" : "", "parse-names" : false, "suffix" : "" }, { "dropping-particle" : "", "family" : "Dignass", "given" : "Axel", "non-dropping-particle" : "", "parse-names" : false, "suffix" : "" }, { "dropping-particle" : "", "family" : "Annese", "given" : "Vito", "non-dropping-particle" : "", "parse-names" : false, "suffix" : "" }, { "dropping-particle" : "", "family" : "Tilg", "given" : "Herbert", "non-dropping-particle" : "", "parse-names" : false, "suffix" : "" }, { "dropping-particle" : "Van", "family" : "Assche", "given" : "Gert", "non-dropping-particle" : "", "parse-names" : false, "suffix" : "" }, { "dropping-particle" : "", "family" : "Lindsay", "given" : "James O", "non-dropping-particle" : "", "parse-names" : false, "suffix" : "" }, { "dropping-particle" : "", "family" : "Peyrin-Biroulet", "given" : "Laurent", "non-dropping-particle" : "", "parse-names" : false, "suffix" : "" }, { "dropping-particle" : "", "family" : "Cullen", "given" : "Garret J", "non-dropping-particle" : "", "parse-names" : false, "suffix" : "" }, { "dropping-particle" : "", "family" : "Daperno", "given" : "Marco", "non-dropping-particle" : "", "parse-names" : false, "suffix" : "" }, { "dropping-particle" : "", "family" : "Kucharzik", "given" : "Torsten", "non-dropping-particle" : "", "parse-names" : false, "suffix" : "" }, { "dropping-particle" : "", "family" : "Rieder", "given" : "Florian", "non-dropping-particle" : "", "parse-names" : false, "suffix" : "" }, { "dropping-particle" : "", "family" : "Almer", "given" : "Sven", "non-dropping-particle" : "", "parse-names" : false, "suffix" : "" }, { "dropping-particle" : "", "family" : "Armuzzi", "given" : "Alessandro", "non-dropping-particle" : "", "parse-names" : false, "suffix" : "" }, { "dropping-particle" : "", "family" : "Harbord", "given" : "Marcus", "non-dropping-particle" : "", "parse-names" : false, "suffix" : "" }, { "dropping-particle" : "", "family" : "Langhorst", "given" : "Jost", "non-dropping-particle" : "", "parse-names" : false, "suffix" : "" }, { "dropping-particle" : "", "family" : "Sans", "given" : "Miquel", "non-dropping-particle" : "", "parse-names" : false, "suffix" : "" }, { "dropping-particle" : "", "family" : "Chowers", "given" : "Yehuda", "non-dropping-particle" : "", "parse-names" : false, "suffix" : "" }, { "dropping-particle" : "", "family" : "Fiorino", "given" : "Gionata", "non-dropping-particle" : "", "parse-names" : false, "suffix" : "" }, { "dropping-particle" : "", "family" : "Juillerat", "given" : "Pascal", "non-dropping-particle" : "", "parse-names" : false, "suffix" : "" }, { "dropping-particle" : "", "family" : "Mantzaris", "given" : "Gerassimos J", "non-dropping-particle" : "", "parse-names" : false, "suffix" : "" }, { "dropping-particle" : "", "family" : "Rizzello", "given" : "Fernando", "non-dropping-particle" : "", "parse-names" : false, "suffix" : "" }, { "dropping-particle" : "", "family" : "Vavricka", "given" : "Stephan", "non-dropping-particle" : "", "parse-names" : false, "suffix" : "" }, { "dropping-particle" : "", "family" : "Gionchetti", "given" : "Paolo", "non-dropping-particle" : "", "parse-names" : false, "suffix" : "" }, { "dropping-particle" : "", "family" : "Krankenhaus", "given" : "Markus", "non-dropping-particle" : "", "parse-names" : false, "suffix" : "" }, { "dropping-particle" : "", "family" : "Gomollon", "given" : "Fernando", "non-dropping-particle" : "", "parse-names" : false, "suffix" : "" } ], "container-title" : "Journal of Crohn's and Colitis", "id" : "ITEM-1", "issued" : { "date-parts" : [ [ "2016" ] ] }, "page" : "1-23", "title" : "3rd European Evidence-based Consensus on the Diagnosis and Management of Crohn's Disease 2016: Part 1: Diagnosis and Medical Management on behalf of ECCO", "type" : "article-journal" }, "uris" : [ "http://www.mendeley.com/documents/?uuid=253fd459-11e6-4868-9858-cce273778b26" ] } ], "mendeley" : { "formattedCitation" : "&lt;sup&gt;44&lt;/sup&gt;", "plainTextFormattedCitation" : "44", "previouslyFormattedCitation" : "&lt;sup&gt;44&lt;/sup&gt;" }, "properties" : { "noteIndex" : 0 }, "schema" : "https://github.com/citation-style-language/schema/raw/master/csl-citation.json" }</w:instrText>
      </w:r>
      <w:r w:rsidR="00AE13D9">
        <w:fldChar w:fldCharType="separate"/>
      </w:r>
      <w:r w:rsidR="003F18ED" w:rsidRPr="003F18ED">
        <w:rPr>
          <w:noProof/>
          <w:vertAlign w:val="superscript"/>
        </w:rPr>
        <w:t>44</w:t>
      </w:r>
      <w:r w:rsidR="00AE13D9">
        <w:fldChar w:fldCharType="end"/>
      </w:r>
      <w:r w:rsidR="00623FD6">
        <w:t xml:space="preserve"> </w:t>
      </w:r>
      <w:r w:rsidR="002B5295">
        <w:t>Reducing CS-</w:t>
      </w:r>
      <w:r w:rsidR="00EA30FB">
        <w:t xml:space="preserve">dependency is an important goal in IBD management </w:t>
      </w:r>
      <w:r w:rsidR="00623FD6">
        <w:t xml:space="preserve"> given the long term clinical side effects and adverse outcomes associated with CS dependency in IBD.</w:t>
      </w:r>
      <w:r w:rsidR="00AE13D9">
        <w:fldChar w:fldCharType="begin" w:fldLock="1"/>
      </w:r>
      <w:r w:rsidR="003F18ED">
        <w:instrText>ADDIN CSL_CITATION { "citationItems" : [ { "id" : "ITEM-1", "itemData" : { "author" : [ { "dropping-particle" : "", "family" : "Rutgeerts", "given" : "P. J.", "non-dropping-particle" : "", "parse-names" : false, "suffix" : "" } ], "container-title" : "Ailment Pharmacol Ther", "id" : "ITEM-1", "issued" : { "date-parts" : [ [ "2001" ] ] }, "page" : "1515-1525", "title" : "Review article : the limitations of corticosteroid therapy in Crohn ' s disease", "type" : "article-journal", "volume" : "15" }, "uris" : [ "http://www.mendeley.com/documents/?uuid=425e0b4d-a508-412d-8b95-74af87eaa6cb" ] } ], "mendeley" : { "formattedCitation" : "&lt;sup&gt;45&lt;/sup&gt;", "plainTextFormattedCitation" : "45", "previouslyFormattedCitation" : "&lt;sup&gt;45&lt;/sup&gt;" }, "properties" : { "noteIndex" : 0 }, "schema" : "https://github.com/citation-style-language/schema/raw/master/csl-citation.json" }</w:instrText>
      </w:r>
      <w:r w:rsidR="00AE13D9">
        <w:fldChar w:fldCharType="separate"/>
      </w:r>
      <w:r w:rsidR="003F18ED" w:rsidRPr="003F18ED">
        <w:rPr>
          <w:noProof/>
          <w:vertAlign w:val="superscript"/>
        </w:rPr>
        <w:t>45</w:t>
      </w:r>
      <w:r w:rsidR="00AE13D9">
        <w:fldChar w:fldCharType="end"/>
      </w:r>
      <w:r w:rsidR="00623FD6">
        <w:t xml:space="preserve"> </w:t>
      </w:r>
      <w:r w:rsidR="00F75361">
        <w:t>Our</w:t>
      </w:r>
      <w:r w:rsidR="00D83ADC">
        <w:t xml:space="preserve"> findings are in keeping</w:t>
      </w:r>
      <w:r w:rsidR="00F86296">
        <w:t xml:space="preserve"> with other </w:t>
      </w:r>
      <w:r w:rsidR="00281AF6">
        <w:t xml:space="preserve">referral centre </w:t>
      </w:r>
      <w:r w:rsidR="00F86296">
        <w:t>studies that have demonstrated that smoking is associated with increased corticosteroid use,</w:t>
      </w:r>
      <w:r w:rsidR="00AE13D9">
        <w:fldChar w:fldCharType="begin" w:fldLock="1"/>
      </w:r>
      <w:r w:rsidR="00391BF7">
        <w:instrText>ADDIN CSL_CITATION { "citationItems" : [ { "id" : "ITEM-1", "itemData" : { "DOI" : "10.1053/gast.1996.v110.pm8566589", "ISBN" : "0016-5085 (Print)\\r0016-5085 (Linking)", "ISSN" : "00165085", "PMID" : "8566589", "abstract" : "BACKGROUND &amp; AIMS: In Crohn's disease, smoking increases the risk for surgical procedures. The influence of smoking on the overall severity of the disease remains controversial. The purpose of the study was to examine the effects of smoking on the long-term course of Crohn's disease and the relationship between smoking and therapy. METHODS: The medical charts of 400 consecutive patients whose smoking habits were specified by direct interview were reviewed. RESULTS: Frequency and extent of excisional surgery were not significantly different in smokers and nonsmokers, but smokers required more glucocorticoids and immunosuppressive drugs. The effect of smoking on the need for immunosuppressive drugs was dose-dependent and was significant in women but not in men. For female smokers, the 10-year risk of immunosuppressive therapy was 52% +/- 11% compared with 24% +/- 10% for nonsmokers (P &lt; 0.001). The risk of surgery increased only in patients who smoked and did not take immunosuppressive drugs. The surgical rate increased significantly during smoking in 19 patients who started smoking after diagnosis and decreased significantly in 34 patients who stopped compared with matched controls. CONCLUSIONS: Patients who smoke, particularly women and heavy smokers, run a high risk of developing severe disease. Immunosuppressive therapy neutralizes the influence of smoking on surgical rates. (Gastroenterology 1996 Feb;110(2):424-31)", "author" : [ { "dropping-particle" : "", "family" : "Cosnes", "given" : "J", "non-dropping-particle" : "", "parse-names" : false, "suffix" : "" }, { "dropping-particle" : "", "family" : "Carbonnel", "given" : "F", "non-dropping-particle" : "", "parse-names" : false, "suffix" : "" }, { "dropping-particle" : "", "family" : "Beaugerie", "given" : "L", "non-dropping-particle" : "", "parse-names" : false, "suffix" : "" }, { "dropping-particle" : "", "family" : "Quintrec", "given" : "Y", "non-dropping-particle" : "Le", "parse-names" : false, "suffix" : "" }, { "dropping-particle" : "", "family" : "Gendre", "given" : "Jp", "non-dropping-particle" : "", "parse-names" : false, "suffix" : "" } ], "container-title" : "Gastroenterology", "id" : "ITEM-1", "issue" : "2", "issued" : { "date-parts" : [ [ "1996" ] ] }, "page" : "424-431", "title" : "Effects of cigarette smoking on the long-term course of Crohn's disease", "type" : "article-journal", "volume" : "110" }, "uris" : [ "http://www.mendeley.com/documents/?uuid=b64f14d5-5aed-4bd9-9bbb-7ba7f13e2ebf" ] } ], "mendeley" : { "formattedCitation" : "&lt;sup&gt;10&lt;/sup&gt;", "plainTextFormattedCitation" : "10", "previouslyFormattedCitation" : "&lt;sup&gt;10&lt;/sup&gt;" }, "properties" : { "noteIndex" : 0 }, "schema" : "https://github.com/citation-style-language/schema/raw/master/csl-citation.json" }</w:instrText>
      </w:r>
      <w:r w:rsidR="00AE13D9">
        <w:fldChar w:fldCharType="separate"/>
      </w:r>
      <w:r w:rsidR="00391BF7" w:rsidRPr="00391BF7">
        <w:rPr>
          <w:noProof/>
          <w:vertAlign w:val="superscript"/>
        </w:rPr>
        <w:t>10</w:t>
      </w:r>
      <w:r w:rsidR="00AE13D9">
        <w:fldChar w:fldCharType="end"/>
      </w:r>
      <w:r w:rsidR="00F86296">
        <w:rPr>
          <w:vertAlign w:val="superscript"/>
        </w:rPr>
        <w:t>,</w:t>
      </w:r>
      <w:r w:rsidR="00AE13D9">
        <w:rPr>
          <w:vertAlign w:val="superscript"/>
        </w:rPr>
        <w:fldChar w:fldCharType="begin" w:fldLock="1"/>
      </w:r>
      <w:r w:rsidR="00391BF7">
        <w:rPr>
          <w:vertAlign w:val="superscript"/>
        </w:rPr>
        <w:instrText>ADDIN CSL_CITATION { "citationItems" : [ { "id" : "ITEM-1", "itemData" : { "DOI" : "10.1111/apt.12440", "ISBN" : "1365-2036 (Electronic)\\r0269-2813 (Linking)", "ISSN" : "02692813", "PMID" : "23980933", "abstract" : "BACKGROUND: Recently, the notion that smoking may adversely affect Crohn's disease (CD) outcomes has been challenged by the suggestion that the widespread use of immunosuppressants and anti-TNF drugs might offset the adverse effects of tobacco. AIM: To reassess the influence of tobacco smoking on disease phenotype and complications on a time-dependent analysis, taking into account the different therapeutic interventions. METHODS: We designed a retrospective cohort study of 3224 patients with Crohn's disease. The data were collected from the Spanish national inflammatory bowel disease registry (ENEIDA), including information regarding demographics, clinical characteristics, disease complications, therapeutic interventions and smoking status. Patients were classified as nonsmokers, smokers and former smokers, according to their present and past smoking habits. RESULTS: In the univariate analysis, smokers had more strictures (22.6% vs. 19.3%, P &lt; 0.05) and less colonic involvement (7.2% vs. 10.9%, P &lt; 0.05), and were more frequently under treatment with steroids (91.6% vs. 85.8%, P &lt; 0.05), immunosuppressants (73.5% vs. 63.6% P &lt; 0.05) or anti-TNF drugs (31.4% vs. 25.1%, P &lt; 0.05) than nonsmokers. In the time-dependent multivariate analysis, smokers were found to have a significantly decreased survival free of stricturing disease (HR: 1.5, CI 95% 1.18-1.90) or perianal complications (HR: 1.50, CI 95% 1.01-1.46), and had a higher risk for requiring thiopurine therapy (HR: 1.20, CI 95% 1.05-1.30). CONCLUSION: These results suggest that, despite the widespread use of immunosuppressants and anti-TNF drugs, smokers with Crohn's disease still have a more severe disease course, with increased therapeutic requirements when compared with nonsmokers.", "author" : [ { "dropping-particle" : "", "family" : "Nunes", "given" : "T.", "non-dropping-particle" : "", "parse-names" : false, "suffix" : "" }, { "dropping-particle" : "", "family" : "Etchevers", "given" : "M. J.", "non-dropping-particle" : "", "parse-names" : false, "suffix" : "" }, { "dropping-particle" : "", "family" : "Dom\u00e8nech", "given" : "E.", "non-dropping-particle" : "", "parse-names" : false, "suffix" : "" }, { "dropping-particle" : "", "family" : "Garc\u00eda-S\u00e1nchez", "given" : "V.", "non-dropping-particle" : "", "parse-names" : false, "suffix" : "" }, { "dropping-particle" : "", "family" : "Ber", "given" : "Y.", "non-dropping-particle" : "", "parse-names" : false, "suffix" : "" }, { "dropping-particle" : "", "family" : "Pe\u00f1alva", "given" : "M.", "non-dropping-particle" : "", "parse-names" : false, "suffix" : "" }, { "dropping-particle" : "", "family" : "Merino", "given" : "O.", "non-dropping-particle" : "", "parse-names" : false, "suffix" : "" }, { "dropping-particle" : "", "family" : "Nos", "given" : "P.", "non-dropping-particle" : "", "parse-names" : false, "suffix" : "" }, { "dropping-particle" : "", "family" : "Garcia-Planella", "given" : "E.", "non-dropping-particle" : "", "parse-names" : false, "suffix" : "" }, { "dropping-particle" : "", "family" : "Casbas", "given" : "a. G.", "non-dropping-particle" : "", "parse-names" : false, "suffix" : "" }, { "dropping-particle" : "", "family" : "Esteve", "given" : "M.", "non-dropping-particle" : "", "parse-names" : false, "suffix" : "" }, { "dropping-particle" : "", "family" : "Taxonera Sams\u00f5", "given" : "C.", "non-dropping-particle" : "", "parse-names" : false, "suffix" : "" }, { "dropping-particle" : "", "family" : "Montoro Huguet", "given" : "M.", "non-dropping-particle" : "", "parse-names" : false, "suffix" : "" }, { "dropping-particle" : "", "family" : "Gisbert", "given" : "J. P.", "non-dropping-particle" : "", "parse-names" : false, "suffix" : "" }, { "dropping-particle" : "", "family" : "Mart\u00edn Arranz", "given" : "M. D.", "non-dropping-particle" : "", "parse-names" : false, "suffix" : "" }, { "dropping-particle" : "", "family" : "Garc\u00eda-Sepulcre", "given" : "M. F.", "non-dropping-particle" : "", "parse-names" : false, "suffix" : "" }, { "dropping-particle" : "", "family" : "Barreiro-De Acosta", "given" : "M.", "non-dropping-particle" : "", "parse-names" : false, "suffix" : "" }, { "dropping-particle" : "", "family" : "Beltr\u00e1n", "given" : "B.", "non-dropping-particle" : "", "parse-names" : false, "suffix" : "" }, { "dropping-particle" : "", "family" : "Alcaide Su\u00e1rez", "given" : "N.", "non-dropping-particle" : "", "parse-names" : false, "suffix" : "" }, { "dropping-particle" : "", "family" : "Saro Gismera", "given" : "C.", "non-dropping-particle" : "", "parse-names" : false, "suffix" : "" }, { "dropping-particle" : "", "family" : "Cabriada", "given" : "J. L.", "non-dropping-particle" : "", "parse-names" : false, "suffix" : "" }, { "dropping-particle" : "", "family" : "Ca\u00f1as-Ventura", "given" : "a.", "non-dropping-particle" : "", "parse-names" : false, "suffix" : "" }, { "dropping-particle" : "", "family" : "Gomoll\u00f5n", "given" : "F.", "non-dropping-particle" : "", "parse-names" : false, "suffix" : "" }, { "dropping-particle" : "", "family" : "Pan\u00e9s", "given" : "J.", "non-dropping-particle" : "", "parse-names" : false, "suffix" : "" } ], "container-title" : "Alimentary Pharmacology and Therapeutics", "id" : "ITEM-1", "issue" : "7", "issued" : { "date-parts" : [ [ "2013" ] ] }, "page" : "752-760", "title" : "Smoking does influence disease behaviour and impacts the need for therapy in Crohn\u2032s disease in the biologic era", "type" : "article-journal", "volume" : "38" }, "uris" : [ "http://www.mendeley.com/documents/?uuid=f02f0324-de1e-4d72-8957-4e4bf840e451" ] } ], "mendeley" : { "formattedCitation" : "&lt;sup&gt;11&lt;/sup&gt;", "plainTextFormattedCitation" : "11", "previouslyFormattedCitation" : "&lt;sup&gt;11&lt;/sup&gt;" }, "properties" : { "noteIndex" : 0 }, "schema" : "https://github.com/citation-style-language/schema/raw/master/csl-citation.json" }</w:instrText>
      </w:r>
      <w:r w:rsidR="00AE13D9">
        <w:rPr>
          <w:vertAlign w:val="superscript"/>
        </w:rPr>
        <w:fldChar w:fldCharType="separate"/>
      </w:r>
      <w:r w:rsidR="00391BF7" w:rsidRPr="00391BF7">
        <w:rPr>
          <w:noProof/>
          <w:vertAlign w:val="superscript"/>
        </w:rPr>
        <w:t>11</w:t>
      </w:r>
      <w:r w:rsidR="00AE13D9">
        <w:rPr>
          <w:vertAlign w:val="superscript"/>
        </w:rPr>
        <w:fldChar w:fldCharType="end"/>
      </w:r>
      <w:r w:rsidR="00C33E16">
        <w:rPr>
          <w:vertAlign w:val="superscript"/>
        </w:rPr>
        <w:t>,</w:t>
      </w:r>
      <w:r w:rsidR="00AE13D9">
        <w:fldChar w:fldCharType="begin" w:fldLock="1"/>
      </w:r>
      <w:r w:rsidR="00391BF7">
        <w:instrText>ADDIN CSL_CITATION { "citationItems" : [ { "id" : "ITEM-1", "itemData" : { "DOI" : "10.1097/MIB.0b013e3182802b3e", "ISBN" : "1536-4844 (Electronic)\\r1078-0998 (Linking)", "ISSN" : "1536-4844", "PMID" : "23399739", "abstract" : "BACKGROUND: Previous studies suggest that smoking is an important environmental factor in inflammatory bowel diseases (IBDs), with dichotomous effects in ulcerative colitis (UC) and Crohn's disease (CD). The aim of this study was to analyze the relationship between smoking and IBD risk in a population-based database from Veszprem Province, which included incident cases diagnosed between January 1, 1977, and December 31, 2008. METHODS: Data from 1420 incident patients were analyzed (UC: 914, age at diagnosis: 38.9 years; CD: 506, age at diagnosis: 31.5 years). Both inpatient and outpatient records were collected and comprehensively reviewed. Overall, smoking frequency in the adult general population was 36.1%. RESULTS: Of patients with CD, 47.2% were current smokers at diagnosis. Smoking was more frequent in male patients (P = 0.002) and was associated with an increased risk of CD (odds ratio, 1.96; 95% confidence interval, 1.63-2.37; P &lt; 0.001). In contrast, current smoking was protective against UC (odds ratio, 0.33; 95% confidence interval, 0.27-0.41). The effect of smoking was linked to gender (in CD, more deleterious in male patients) and age at diagnosis and was most prominent in young adults, with a difference already being seen in 18- to 19-year-olds. In CD, a change in disease behavior (P = 0.02), location from ileal or colonic to ileocolonic (P = 0.003), arthritis/arthropathy (P = 0.002), need for steroids (P = 0.06), or AZA (P = 0.038) was more common in current smokers. Smoking in UC was associated with more extensive disease (P = 0.01) and a tendency for decreased need for colectomy (P = 0.06). CONCLUSIONS: Current smoking was associated with the risk of IBD. This effect was linked to gender and age at diagnosis and was most prominent in young adults. No association was observed in pediatric or elderly patients. The deleterious and protective effects of smoking on the course in CD and UC were partially confirmed.", "author" : [ { "dropping-particle" : "", "family" : "Lakatos", "given" : "P L", "non-dropping-particle" : "", "parse-names" : false, "suffix" : "" }, { "dropping-particle" : "", "family" : "Vegh", "given" : "Z", "non-dropping-particle" : "", "parse-names" : false, "suffix" : "" }, { "dropping-particle" : "", "family" : "Lovasz", "given" : "B D", "non-dropping-particle" : "", "parse-names" : false, "suffix" : "" }, { "dropping-particle" : "", "family" : "David", "given" : "G", "non-dropping-particle" : "", "parse-names" : false, "suffix" : "" }, { "dropping-particle" : "", "family" : "Pandur", "given" : "T", "non-dropping-particle" : "", "parse-names" : false, "suffix" : "" }, { "dropping-particle" : "", "family" : "Erdelyi", "given" : "Z", "non-dropping-particle" : "", "parse-names" : false, "suffix" : "" }, { "dropping-particle" : "", "family" : "Szita", "given" : "I", "non-dropping-particle" : "", "parse-names" : false, "suffix" : "" }, { "dropping-particle" : "", "family" : "Mester", "given" : "G", "non-dropping-particle" : "", "parse-names" : false, "suffix" : "" }, { "dropping-particle" : "", "family" : "Balogh", "given" : "M", "non-dropping-particle" : "", "parse-names" : false, "suffix" : "" }, { "dropping-particle" : "", "family" : "Szipocs", "given" : "I", "non-dropping-particle" : "", "parse-names" : false, "suffix" : "" }, { "dropping-particle" : "", "family" : "Molnar", "given" : "C", "non-dropping-particle" : "", "parse-names" : false, "suffix" : "" }, { "dropping-particle" : "", "family" : "Komaromi", "given" : "E", "non-dropping-particle" : "", "parse-names" : false, "suffix" : "" }, { "dropping-particle" : "", "family" : "Golovics", "given" : "P a", "non-dropping-particle" : "", "parse-names" : false, "suffix" : "" }, { "dropping-particle" : "", "family" : "Mandel", "given" : "M", "non-dropping-particle" : "", "parse-names" : false, "suffix" : "" }, { "dropping-particle" : "", "family" : "Horvath", "given" : "a", "non-dropping-particle" : "", "parse-names" : false, "suffix" : "" }, { "dropping-particle" : "", "family" : "Szathmari", "given" : "M", "non-dropping-particle" : "", "parse-names" : false, "suffix" : "" }, { "dropping-particle" : "", "family" : "Kiss", "given" : "L S", "non-dropping-particle" : "", "parse-names" : false, "suffix" : "" }, { "dropping-particle" : "", "family" : "Lakatos", "given" : "L", "non-dropping-particle" : "", "parse-names" : false, "suffix" : "" } ], "container-title" : "Inflamm Bowel Dis", "id" : "ITEM-1", "issue" : "5", "issued" : { "date-parts" : [ [ "2013" ] ] }, "page" : "1010-1017", "title" : "Is current smoking still an important environmental factor in inflammatory bowel diseases? Results from a population-based incident cohort", "type" : "article-journal", "volume" : "19" }, "uris" : [ "http://www.mendeley.com/documents/?uuid=45ab6659-c538-435a-b9a1-8523bf9a92c5" ] } ], "mendeley" : { "formattedCitation" : "&lt;sup&gt;12&lt;/sup&gt;", "plainTextFormattedCitation" : "12", "previouslyFormattedCitation" : "&lt;sup&gt;12&lt;/sup&gt;" }, "properties" : { "noteIndex" : 0 }, "schema" : "https://github.com/citation-style-language/schema/raw/master/csl-citation.json" }</w:instrText>
      </w:r>
      <w:r w:rsidR="00AE13D9">
        <w:fldChar w:fldCharType="separate"/>
      </w:r>
      <w:r w:rsidR="00391BF7" w:rsidRPr="00391BF7">
        <w:rPr>
          <w:noProof/>
          <w:vertAlign w:val="superscript"/>
        </w:rPr>
        <w:t>12</w:t>
      </w:r>
      <w:r w:rsidR="00AE13D9">
        <w:fldChar w:fldCharType="end"/>
      </w:r>
      <w:r w:rsidR="00F86296">
        <w:t xml:space="preserve"> </w:t>
      </w:r>
      <w:r w:rsidR="0013491D">
        <w:t xml:space="preserve"> </w:t>
      </w:r>
      <w:r w:rsidR="00F86296">
        <w:t>increased disease activity or disease flares,</w:t>
      </w:r>
      <w:r w:rsidR="00AE13D9">
        <w:fldChar w:fldCharType="begin" w:fldLock="1"/>
      </w:r>
      <w:r w:rsidR="00391BF7">
        <w:instrText>ADDIN CSL_CITATION { "citationItems" : [ { "id" : "ITEM-1", "itemData" : { "DOI" : "10.1002/ibd.20828", "ISBN" : "1536-4844 (Electronic)\\r1078-0998 (Linking)", "ISSN" : "10780998", "PMID" : "19067428", "abstract" : "Cigarette smoking is associated with a more severe Crohn's disease (CD) course. However, the effect of light consumption is not known. Our aim was to characterize the effect of a light tobacco consumption on the course of CD.", "author" : [ { "dropping-particle" : "", "family" : "Seksik", "given" : "Philippe", "non-dropping-particle" : "", "parse-names" : false, "suffix" : "" }, { "dropping-particle" : "", "family" : "Nion-Larmurier", "given" : "Isabelle", "non-dropping-particle" : "", "parse-names" : false, "suffix" : "" }, { "dropping-particle" : "", "family" : "Sokol", "given" : "Harry", "non-dropping-particle" : "", "parse-names" : false, "suffix" : "" }, { "dropping-particle" : "", "family" : "Beaugerie", "given" : "Laurent", "non-dropping-particle" : "", "parse-names" : false, "suffix" : "" }, { "dropping-particle" : "", "family" : "Cosnes", "given" : "Jacques", "non-dropping-particle" : "", "parse-names" : false, "suffix" : "" } ], "container-title" : "Inflammatory Bowel Diseases", "id" : "ITEM-1", "issue" : "5", "issued" : { "date-parts" : [ [ "2009" ] ] }, "page" : "734-741", "title" : "Effects of light smoking consumption on the clinical course of Crohn's disease", "type" : "article-journal", "volume" : "15" }, "uris" : [ "http://www.mendeley.com/documents/?uuid=83f29962-61af-4889-a580-a8c2329fcb22" ] } ], "mendeley" : { "formattedCitation" : "&lt;sup&gt;6&lt;/sup&gt;", "plainTextFormattedCitation" : "6", "previouslyFormattedCitation" : "&lt;sup&gt;6&lt;/sup&gt;" }, "properties" : { "noteIndex" : 0 }, "schema" : "https://github.com/citation-style-language/schema/raw/master/csl-citation.json" }</w:instrText>
      </w:r>
      <w:r w:rsidR="00AE13D9">
        <w:fldChar w:fldCharType="separate"/>
      </w:r>
      <w:r w:rsidR="00391BF7" w:rsidRPr="00391BF7">
        <w:rPr>
          <w:noProof/>
          <w:vertAlign w:val="superscript"/>
        </w:rPr>
        <w:t>6</w:t>
      </w:r>
      <w:r w:rsidR="00AE13D9">
        <w:fldChar w:fldCharType="end"/>
      </w:r>
      <w:r w:rsidR="00F86296">
        <w:rPr>
          <w:vertAlign w:val="superscript"/>
        </w:rPr>
        <w:t>,</w:t>
      </w:r>
      <w:r w:rsidR="00AE13D9">
        <w:fldChar w:fldCharType="begin" w:fldLock="1"/>
      </w:r>
      <w:r w:rsidR="00391BF7">
        <w:instrText>ADDIN CSL_CITATION { "citationItems" : [ { "id" : "ITEM-1", "itemData" : { "DOI" : "10.1038/ajg.2010.140", "ISBN" : "1572-0241; 0002-9270", "ISSN" : "1572-0241", "PMID" : "20372115", "abstract" : "OBJECTIVES: We aimed to determine whether any of the nonsteroidal anti-inflammatory drugs (NSAIDs), antibiotics, infections, and stress trigger symptomatic flares of inflammatory bowel diseases (IBDs). METHODS: Participants drawn from a population-based IBD research registry were surveyed every 3 months for 1 year. They simultaneously tracked the use of NSAIDs, antibiotics, infections, major life events, mood, and perceived stress. Social networks, childhood socioeconomic status, and smoking were assessed at baseline. Disease flare was identified using the Manitoba Inflammatory Bowel Disease Index, a validated disease activity index. Across any two consecutive survey periods, participants were categorized as having a flare (inactive/active), having no flare (inactive/inactive), or remaining active (active/active). Potential triggers were evaluated for the first 3-month period to determine predictive rather than concurrent relationships. Data from only one pair of 3-month periods from an individual were analyzed. RESULTS: A total of 704 participants completed the baseline survey; 552 (78.3%) returned all 5 surveys. In all, 174 participants who had a flare were compared with 209 who had no flare. Perceived stress, negative affect (mood), and major life events were the only trigger variables significantly associated with flares. There were no differences between those who flared and those who did not, in the use of NSAIDs, antibiotics, or in the presence of infections. Multivariate logistic regression analyses indicated that only high-perceived stress (adjusted odds ratio=2.40 (1.35, 4.26)) was associated with an increased risk of flare. CONCLUSIONS: This study adds to the growing evidence that psychological factors contribute to IBD symptom flares. There was no support for differential rates of use of NSAIDS, antibiotics, or for the occurrence of (non-enteric) infections related to IBD flares.", "author" : [ { "dropping-particle" : "", "family" : "Bernstein", "given" : "Charles N", "non-dropping-particle" : "", "parse-names" : false, "suffix" : "" }, { "dropping-particle" : "", "family" : "Singh", "given" : "Sunny", "non-dropping-particle" : "", "parse-names" : false, "suffix" : "" }, { "dropping-particle" : "", "family" : "Graff", "given" : "Lesley a", "non-dropping-particle" : "", "parse-names" : false, "suffix" : "" }, { "dropping-particle" : "", "family" : "Walker", "given" : "John R", "non-dropping-particle" : "", "parse-names" : false, "suffix" : "" }, { "dropping-particle" : "", "family" : "Miller", "given" : "Norine", "non-dropping-particle" : "", "parse-names" : false, "suffix" : "" }, { "dropping-particle" : "", "family" : "Cheang", "given" : "Mary", "non-dropping-particle" : "", "parse-names" : false, "suffix" : "" } ], "container-title" : "The American journal of gastroenterology", "id" : "ITEM-1", "issue" : "9", "issued" : { "date-parts" : [ [ "2010" ] ] }, "page" : "1994-2002", "publisher" : "Nature Publishing Group", "title" : "A prospective population-based study of triggers of symptomatic flares in IBD.", "type" : "article-journal", "volume" : "105" }, "uris" : [ "http://www.mendeley.com/documents/?uuid=e9baa97a-e244-4725-9ac7-a122e70cadd9" ] } ], "mendeley" : { "formattedCitation" : "&lt;sup&gt;13&lt;/sup&gt;", "plainTextFormattedCitation" : "13", "previouslyFormattedCitation" : "&lt;sup&gt;13&lt;/sup&gt;" }, "properties" : { "noteIndex" : 0 }, "schema" : "https://github.com/citation-style-language/schema/raw/master/csl-citation.json" }</w:instrText>
      </w:r>
      <w:r w:rsidR="00AE13D9">
        <w:fldChar w:fldCharType="separate"/>
      </w:r>
      <w:r w:rsidR="00391BF7" w:rsidRPr="00391BF7">
        <w:rPr>
          <w:noProof/>
          <w:vertAlign w:val="superscript"/>
        </w:rPr>
        <w:t>13</w:t>
      </w:r>
      <w:r w:rsidR="00AE13D9">
        <w:fldChar w:fldCharType="end"/>
      </w:r>
      <w:r w:rsidR="00F86296">
        <w:t xml:space="preserve"> and progression from an inflammatory to a </w:t>
      </w:r>
      <w:proofErr w:type="spellStart"/>
      <w:r w:rsidR="00F86296">
        <w:t>stricturing</w:t>
      </w:r>
      <w:proofErr w:type="spellEnd"/>
      <w:r w:rsidR="00F86296">
        <w:t xml:space="preserve"> or penetrating  disease pattern</w:t>
      </w:r>
      <w:r w:rsidR="0013491D">
        <w:t xml:space="preserve"> that often requires surgery</w:t>
      </w:r>
      <w:r w:rsidR="00F86296">
        <w:t>.</w:t>
      </w:r>
      <w:r w:rsidR="00AE13D9">
        <w:fldChar w:fldCharType="begin" w:fldLock="1"/>
      </w:r>
      <w:r w:rsidR="003F18ED">
        <w:instrText>ADDIN CSL_CITATION { "citationItems" : [ { "id" : "ITEM-1", "itemData" : { "DOI" : "10.3748/wjg.15.3504", "ISBN" : "2219-2840 (Electronic)\\r1007-9327 (Linking)", "ISSN" : "10079327", "PMID" : "19630105", "abstract" : "AIM: To assess the combined effect of disease phenotype, smoking and medical therapy [steroid, azathioprine (AZA), AZA/biological therapy] on the probability of disease behavior change in a Caucasian cohort of patients with Crohn's disease (CD). METHODS: Three hundred and forty well-characterized, unrelated, consecutive CD patients were analyzed (M/F: 155/185, duration: 9.4 +/- 7.5 years) with a complete clinical follow-up. Medical records including disease phenotype according to the Montreal classification, extraintestinal manifestations, use of medications and surgical events were analyzed retrospectively. Patients were interviewed on their smoking habits at the time of diagnosis and during the regular follow-up visits. RESULTS: A change in disease behavior was observed in 30.8% of patients with an initially non-stricturing, non-penetrating disease behavior after a mean disease duration of 9.0 +/- 7.2 years. In a logistic regression analysis corrected for disease duration, perianal disease, smoking, steroid use, early AZA or AZA/biological therapy use were independent predictors of disease behavior change. In a subsequent Kaplan-Meier survival analysis and a proportional Cox regression analysis, disease location (P = 0.001), presence of perianal disease (P &lt; 0.001), prior steroid use (P = 0.006), early AZA (P = 0.005) or AZA/biological therapy (P = 0.002), or smoking (P = 0.032) were independent predictors of disease behavior change. CONCLUSION: Our data suggest that perianal disease, small bowel disease, smoking, prior steroid use, early AZA or AZA/biological therapy are all predictors of disease behavior change in CD patients.", "author" : [ { "dropping-particle" : "", "family" : "Lakatos", "given" : "Peter Laszlo", "non-dropping-particle" : "", "parse-names" : false, "suffix" : "" }, { "dropping-particle" : "", "family" : "Czegledi", "given" : "Zsofia", "non-dropping-particle" : "", "parse-names" : false, "suffix" : "" }, { "dropping-particle" : "", "family" : "Szamosi", "given" : "Tamas", "non-dropping-particle" : "", "parse-names" : false, "suffix" : "" }, { "dropping-particle" : "", "family" : "Banai", "given" : "Janos", "non-dropping-particle" : "", "parse-names" : false, "suffix" : "" }, { "dropping-particle" : "", "family" : "David", "given" : "Gyula", "non-dropping-particle" : "", "parse-names" : false, "suffix" : "" }, { "dropping-particle" : "", "family" : "Zsigmond", "given" : "Ferenc", "non-dropping-particle" : "", "parse-names" : false, "suffix" : "" }, { "dropping-particle" : "", "family" : "Pandur", "given" : "Tunde", "non-dropping-particle" : "", "parse-names" : false, "suffix" : "" }, { "dropping-particle" : "", "family" : "Erdelyi", "given" : "Zsuzsanna", "non-dropping-particle" : "", "parse-names" : false, "suffix" : "" }, { "dropping-particle" : "", "family" : "Gemela", "given" : "Orsolya", "non-dropping-particle" : "", "parse-names" : false, "suffix" : "" }, { "dropping-particle" : "", "family" : "Papp", "given" : "Janos", "non-dropping-particle" : "", "parse-names" : false, "suffix" : "" }, { "dropping-particle" : "", "family" : "Lakatos", "given" : "Laszlo", "non-dropping-particle" : "", "parse-names" : false, "suffix" : "" } ], "container-title" : "World Journal of Gastroenterology", "id" : "ITEM-1", "issue" : "28", "issued" : { "date-parts" : [ [ "2009" ] ] }, "page" : "3504-3510", "title" : "Perianal disease, small bowel disease, smoking, prior steroid or early azathioprine/biological therapy are predictors of disease behavior change in patients with Crohn's disease", "type" : "article-journal", "volume" : "15" }, "uris" : [ "http://www.mendeley.com/documents/?uuid=c6a45e49-2d33-4044-a76b-de95df1e40ce" ] } ], "mendeley" : { "formattedCitation" : "&lt;sup&gt;46&lt;/sup&gt;", "plainTextFormattedCitation" : "46", "previouslyFormattedCitation" : "&lt;sup&gt;46&lt;/sup&gt;" }, "properties" : { "noteIndex" : 0 }, "schema" : "https://github.com/citation-style-language/schema/raw/master/csl-citation.json" }</w:instrText>
      </w:r>
      <w:r w:rsidR="00AE13D9">
        <w:fldChar w:fldCharType="separate"/>
      </w:r>
      <w:r w:rsidR="003F18ED" w:rsidRPr="003F18ED">
        <w:rPr>
          <w:noProof/>
          <w:vertAlign w:val="superscript"/>
        </w:rPr>
        <w:t>46</w:t>
      </w:r>
      <w:r w:rsidR="00AE13D9">
        <w:fldChar w:fldCharType="end"/>
      </w:r>
      <w:r w:rsidR="00F86296">
        <w:t xml:space="preserve"> </w:t>
      </w:r>
      <w:r w:rsidR="00097DAA">
        <w:t xml:space="preserve">A recent meta-analysis that included nine </w:t>
      </w:r>
      <w:r w:rsidR="0013491D">
        <w:t xml:space="preserve">studies </w:t>
      </w:r>
      <w:r w:rsidR="003B6653">
        <w:t>of patients with CD</w:t>
      </w:r>
      <w:r w:rsidR="0013491D">
        <w:t>, found</w:t>
      </w:r>
      <w:r w:rsidR="00097DAA">
        <w:t xml:space="preserve"> a 56% increased risk of disease flare in patients who smoked (pooled odds ratio 1.56, 95%CI 1.21-2.01).</w:t>
      </w:r>
      <w:r w:rsidR="00AE13D9">
        <w:fldChar w:fldCharType="begin" w:fldLock="1"/>
      </w:r>
      <w:r w:rsidR="00391BF7">
        <w:instrText>ADDIN CSL_CITATION { "citationItems" : [ { "id" : "ITEM-1", "itemData" : { "DOI" : "10.1111/apt.13511", "ISBN" : "0269-2813", "ISSN" : "1365-2036", "PMID" : "26749371", "abstract" : "BACKGROUND: Tobacco smoking is a well-established risk factor for the development of Crohn's disease, and this may lead to a more complicated disease course. However, recent evidence suggests that many patients with Crohn's disease are unaware of this fact.\\n\\nAIM: To perform a systematic review and meta-analysis of the effects of smoking on disease course in Crohn's disease.\\n\\nMETHODS: A search of MEDLINE, EMBASE and EMBASE classic was carried out (up to July 2015) to identify observational studies reporting data on smoking and rates of surgery or flares of disease activity in patients with Crohn's disease. Dichotomous data were pooled to obtain odds ratios (ORs) for flares of disease activity or need for surgery, with 95% confidence intervals (CIs).\\n\\nRESULTS: The search identified 33 eligible studies. Compared with nonsmokers, smokers had increased odds of flare of disease activity (OR, 1.56; 95% CI, 1.21-2.01), flare after surgery (OR, 1.97; 95% CI, 1.36-2.85), need for first surgery (OR, 1.68; 95% CI, 1.33-2.12) and need for second surgery (OR, 2.17; 95% CI, 1.63-2.89). The odds of these outcomes among ex-smokers diminished upon smoking cessation, with ORs comparable to those among nonsmokers and, in the case of flare or second surgery, significantly lower than smokers.\\n\\nCONCLUSIONS: Smokers with Crohn's disease have a more complicated disease course than nonsmokers, and quitting smoking may ameliorate this. Patients should be reminded of the detrimental effects of smoking on the course of their disease, and smoking cessation advice should be provided to reduce disease burden and costs in these patients.", "author" : [ { "dropping-particle" : "", "family" : "To", "given" : "N", "non-dropping-particle" : "", "parse-names" : false, "suffix" : "" }, { "dropping-particle" : "", "family" : "Gracie", "given" : "D J", "non-dropping-particle" : "", "parse-names" : false, "suffix" : "" }, { "dropping-particle" : "", "family" : "Ford", "given" : "a C", "non-dropping-particle" : "", "parse-names" : false, "suffix" : "" } ], "container-title" : "Alimentary pharmacology &amp; therapeutics", "id" : "ITEM-1", "issued" : { "date-parts" : [ [ "2016" ] ] }, "page" : "549-561", "title" : "Systematic review with meta-analysis: the adverse effect of tobacco smoking on the natural history of Crohn's disease.", "type" : "article-journal" }, "uris" : [ "http://www.mendeley.com/documents/?uuid=7fc420f7-f365-420c-bf7d-fe79d5df7254" ] } ], "mendeley" : { "formattedCitation" : "&lt;sup&gt;16&lt;/sup&gt;", "plainTextFormattedCitation" : "16", "previouslyFormattedCitation" : "&lt;sup&gt;16&lt;/sup&gt;" }, "properties" : { "noteIndex" : 0 }, "schema" : "https://github.com/citation-style-language/schema/raw/master/csl-citation.json" }</w:instrText>
      </w:r>
      <w:r w:rsidR="00AE13D9">
        <w:fldChar w:fldCharType="separate"/>
      </w:r>
      <w:r w:rsidR="00391BF7" w:rsidRPr="00391BF7">
        <w:rPr>
          <w:noProof/>
          <w:vertAlign w:val="superscript"/>
        </w:rPr>
        <w:t>16</w:t>
      </w:r>
      <w:r w:rsidR="00AE13D9">
        <w:fldChar w:fldCharType="end"/>
      </w:r>
      <w:r w:rsidR="00097DAA">
        <w:t xml:space="preserve"> </w:t>
      </w:r>
    </w:p>
    <w:p w:rsidR="00304057" w:rsidRDefault="0025511D" w:rsidP="00304057">
      <w:pPr>
        <w:spacing w:line="480" w:lineRule="auto"/>
        <w:jc w:val="both"/>
      </w:pPr>
      <w:r>
        <w:lastRenderedPageBreak/>
        <w:t>We did not find any</w:t>
      </w:r>
      <w:r w:rsidR="00F019EC">
        <w:t xml:space="preserve"> </w:t>
      </w:r>
      <w:r w:rsidR="004E720E">
        <w:t xml:space="preserve">statistical </w:t>
      </w:r>
      <w:r w:rsidR="00F019EC">
        <w:t>difference in</w:t>
      </w:r>
      <w:r w:rsidR="003B6653">
        <w:t xml:space="preserve"> risk of</w:t>
      </w:r>
      <w:r w:rsidR="00F019EC">
        <w:t xml:space="preserve"> TP exposure in between smokers and non</w:t>
      </w:r>
      <w:r>
        <w:t>-smokers, althou</w:t>
      </w:r>
      <w:r w:rsidR="004E720E">
        <w:t xml:space="preserve">gh the results approached </w:t>
      </w:r>
      <w:r>
        <w:t>statistical significance (35.5% vs</w:t>
      </w:r>
      <w:r w:rsidR="002B5295">
        <w:t>.</w:t>
      </w:r>
      <w:r>
        <w:t xml:space="preserve"> 32.4% in smokers and non-smokers respectively, p=0.06)</w:t>
      </w:r>
      <w:r w:rsidR="003B6653">
        <w:t xml:space="preserve"> Similar findings have</w:t>
      </w:r>
      <w:r w:rsidR="00AF763D">
        <w:t xml:space="preserve"> also</w:t>
      </w:r>
      <w:r w:rsidR="003B6653">
        <w:t xml:space="preserve"> been</w:t>
      </w:r>
      <w:r w:rsidR="00AF763D">
        <w:t xml:space="preserve"> reported in a study by </w:t>
      </w:r>
      <w:proofErr w:type="spellStart"/>
      <w:r w:rsidR="00AF763D">
        <w:t>Seksik</w:t>
      </w:r>
      <w:proofErr w:type="spellEnd"/>
      <w:r w:rsidR="00AF763D">
        <w:t xml:space="preserve"> </w:t>
      </w:r>
      <w:r w:rsidR="00AF763D" w:rsidRPr="00AF763D">
        <w:rPr>
          <w:i/>
        </w:rPr>
        <w:t>et al</w:t>
      </w:r>
      <w:r w:rsidR="00AF763D">
        <w:t xml:space="preserve">, in which </w:t>
      </w:r>
      <w:proofErr w:type="spellStart"/>
      <w:r w:rsidR="004E720E">
        <w:t>immuno</w:t>
      </w:r>
      <w:proofErr w:type="spellEnd"/>
      <w:r w:rsidR="004E720E">
        <w:t>-modulator</w:t>
      </w:r>
      <w:r w:rsidR="00AF763D">
        <w:t xml:space="preserve"> (IM) use did not vary between non-smokers, light smokers and heavy smokers.</w:t>
      </w:r>
      <w:r w:rsidR="00AE13D9">
        <w:fldChar w:fldCharType="begin" w:fldLock="1"/>
      </w:r>
      <w:r w:rsidR="00391BF7">
        <w:instrText>ADDIN CSL_CITATION { "citationItems" : [ { "id" : "ITEM-1", "itemData" : { "DOI" : "10.1002/ibd.20828", "ISBN" : "1536-4844 (Electronic)\\r1078-0998 (Linking)", "ISSN" : "10780998", "PMID" : "19067428", "abstract" : "Cigarette smoking is associated with a more severe Crohn's disease (CD) course. However, the effect of light consumption is not known. Our aim was to characterize the effect of a light tobacco consumption on the course of CD.", "author" : [ { "dropping-particle" : "", "family" : "Seksik", "given" : "Philippe", "non-dropping-particle" : "", "parse-names" : false, "suffix" : "" }, { "dropping-particle" : "", "family" : "Nion-Larmurier", "given" : "Isabelle", "non-dropping-particle" : "", "parse-names" : false, "suffix" : "" }, { "dropping-particle" : "", "family" : "Sokol", "given" : "Harry", "non-dropping-particle" : "", "parse-names" : false, "suffix" : "" }, { "dropping-particle" : "", "family" : "Beaugerie", "given" : "Laurent", "non-dropping-particle" : "", "parse-names" : false, "suffix" : "" }, { "dropping-particle" : "", "family" : "Cosnes", "given" : "Jacques", "non-dropping-particle" : "", "parse-names" : false, "suffix" : "" } ], "container-title" : "Inflammatory Bowel Diseases", "id" : "ITEM-1", "issue" : "5", "issued" : { "date-parts" : [ [ "2009" ] ] }, "page" : "734-741", "title" : "Effects of light smoking consumption on the clinical course of Crohn's disease", "type" : "article-journal", "volume" : "15" }, "uris" : [ "http://www.mendeley.com/documents/?uuid=83f29962-61af-4889-a580-a8c2329fcb22" ] } ], "mendeley" : { "formattedCitation" : "&lt;sup&gt;6&lt;/sup&gt;", "plainTextFormattedCitation" : "6", "previouslyFormattedCitation" : "&lt;sup&gt;6&lt;/sup&gt;" }, "properties" : { "noteIndex" : 0 }, "schema" : "https://github.com/citation-style-language/schema/raw/master/csl-citation.json" }</w:instrText>
      </w:r>
      <w:r w:rsidR="00AE13D9">
        <w:fldChar w:fldCharType="separate"/>
      </w:r>
      <w:r w:rsidR="00391BF7" w:rsidRPr="00391BF7">
        <w:rPr>
          <w:noProof/>
          <w:vertAlign w:val="superscript"/>
        </w:rPr>
        <w:t>6</w:t>
      </w:r>
      <w:r w:rsidR="00AE13D9">
        <w:fldChar w:fldCharType="end"/>
      </w:r>
      <w:r w:rsidR="004E720E">
        <w:t xml:space="preserve"> By contrast, other</w:t>
      </w:r>
      <w:r w:rsidR="00AF763D">
        <w:t xml:space="preserve"> studies have demonstrated increased IM</w:t>
      </w:r>
      <w:r w:rsidR="007625C4">
        <w:t xml:space="preserve"> use amongst</w:t>
      </w:r>
      <w:r w:rsidR="00AF763D">
        <w:t xml:space="preserve"> smokers with CD.</w:t>
      </w:r>
      <w:r w:rsidR="00AE13D9">
        <w:fldChar w:fldCharType="begin" w:fldLock="1"/>
      </w:r>
      <w:r w:rsidR="00391BF7">
        <w:instrText>ADDIN CSL_CITATION { "citationItems" : [ { "id" : "ITEM-1", "itemData" : { "DOI" : "10.1053/gast.1996.v110.pm8566589", "ISBN" : "0016-5085 (Print)\\r0016-5085 (Linking)", "ISSN" : "00165085", "PMID" : "8566589", "abstract" : "BACKGROUND &amp; AIMS: In Crohn's disease, smoking increases the risk for surgical procedures. The influence of smoking on the overall severity of the disease remains controversial. The purpose of the study was to examine the effects of smoking on the long-term course of Crohn's disease and the relationship between smoking and therapy. METHODS: The medical charts of 400 consecutive patients whose smoking habits were specified by direct interview were reviewed. RESULTS: Frequency and extent of excisional surgery were not significantly different in smokers and nonsmokers, but smokers required more glucocorticoids and immunosuppressive drugs. The effect of smoking on the need for immunosuppressive drugs was dose-dependent and was significant in women but not in men. For female smokers, the 10-year risk of immunosuppressive therapy was 52% +/- 11% compared with 24% +/- 10% for nonsmokers (P &lt; 0.001). The risk of surgery increased only in patients who smoked and did not take immunosuppressive drugs. The surgical rate increased significantly during smoking in 19 patients who started smoking after diagnosis and decreased significantly in 34 patients who stopped compared with matched controls. CONCLUSIONS: Patients who smoke, particularly women and heavy smokers, run a high risk of developing severe disease. Immunosuppressive therapy neutralizes the influence of smoking on surgical rates. (Gastroenterology 1996 Feb;110(2):424-31)", "author" : [ { "dropping-particle" : "", "family" : "Cosnes", "given" : "J", "non-dropping-particle" : "", "parse-names" : false, "suffix" : "" }, { "dropping-particle" : "", "family" : "Carbonnel", "given" : "F", "non-dropping-particle" : "", "parse-names" : false, "suffix" : "" }, { "dropping-particle" : "", "family" : "Beaugerie", "given" : "L", "non-dropping-particle" : "", "parse-names" : false, "suffix" : "" }, { "dropping-particle" : "", "family" : "Quintrec", "given" : "Y", "non-dropping-particle" : "Le", "parse-names" : false, "suffix" : "" }, { "dropping-particle" : "", "family" : "Gendre", "given" : "Jp", "non-dropping-particle" : "", "parse-names" : false, "suffix" : "" } ], "container-title" : "Gastroenterology", "id" : "ITEM-1", "issue" : "2", "issued" : { "date-parts" : [ [ "1996" ] ] }, "page" : "424-431", "title" : "Effects of cigarette smoking on the long-term course of Crohn's disease", "type" : "article-journal", "volume" : "110" }, "uris" : [ "http://www.mendeley.com/documents/?uuid=b64f14d5-5aed-4bd9-9bbb-7ba7f13e2ebf" ] } ], "mendeley" : { "formattedCitation" : "&lt;sup&gt;10&lt;/sup&gt;", "plainTextFormattedCitation" : "10", "previouslyFormattedCitation" : "&lt;sup&gt;10&lt;/sup&gt;" }, "properties" : { "noteIndex" : 0 }, "schema" : "https://github.com/citation-style-language/schema/raw/master/csl-citation.json" }</w:instrText>
      </w:r>
      <w:r w:rsidR="00AE13D9">
        <w:fldChar w:fldCharType="separate"/>
      </w:r>
      <w:r w:rsidR="00391BF7" w:rsidRPr="00391BF7">
        <w:rPr>
          <w:noProof/>
          <w:vertAlign w:val="superscript"/>
        </w:rPr>
        <w:t>10</w:t>
      </w:r>
      <w:r w:rsidR="00AE13D9">
        <w:fldChar w:fldCharType="end"/>
      </w:r>
      <w:r w:rsidR="00C33E16">
        <w:rPr>
          <w:vertAlign w:val="superscript"/>
        </w:rPr>
        <w:t>,</w:t>
      </w:r>
      <w:r w:rsidR="00AE13D9">
        <w:fldChar w:fldCharType="begin" w:fldLock="1"/>
      </w:r>
      <w:r w:rsidR="00391BF7">
        <w:instrText>ADDIN CSL_CITATION { "citationItems" : [ { "id" : "ITEM-1", "itemData" : { "DOI" : "10.1111/apt.12440", "ISBN" : "1365-2036 (Electronic)\\r0269-2813 (Linking)", "ISSN" : "02692813", "PMID" : "23980933", "abstract" : "BACKGROUND: Recently, the notion that smoking may adversely affect Crohn's disease (CD) outcomes has been challenged by the suggestion that the widespread use of immunosuppressants and anti-TNF drugs might offset the adverse effects of tobacco. AIM: To reassess the influence of tobacco smoking on disease phenotype and complications on a time-dependent analysis, taking into account the different therapeutic interventions. METHODS: We designed a retrospective cohort study of 3224 patients with Crohn's disease. The data were collected from the Spanish national inflammatory bowel disease registry (ENEIDA), including information regarding demographics, clinical characteristics, disease complications, therapeutic interventions and smoking status. Patients were classified as nonsmokers, smokers and former smokers, according to their present and past smoking habits. RESULTS: In the univariate analysis, smokers had more strictures (22.6% vs. 19.3%, P &lt; 0.05) and less colonic involvement (7.2% vs. 10.9%, P &lt; 0.05), and were more frequently under treatment with steroids (91.6% vs. 85.8%, P &lt; 0.05), immunosuppressants (73.5% vs. 63.6% P &lt; 0.05) or anti-TNF drugs (31.4% vs. 25.1%, P &lt; 0.05) than nonsmokers. In the time-dependent multivariate analysis, smokers were found to have a significantly decreased survival free of stricturing disease (HR: 1.5, CI 95% 1.18-1.90) or perianal complications (HR: 1.50, CI 95% 1.01-1.46), and had a higher risk for requiring thiopurine therapy (HR: 1.20, CI 95% 1.05-1.30). CONCLUSION: These results suggest that, despite the widespread use of immunosuppressants and anti-TNF drugs, smokers with Crohn's disease still have a more severe disease course, with increased therapeutic requirements when compared with nonsmokers.", "author" : [ { "dropping-particle" : "", "family" : "Nunes", "given" : "T.", "non-dropping-particle" : "", "parse-names" : false, "suffix" : "" }, { "dropping-particle" : "", "family" : "Etchevers", "given" : "M. J.", "non-dropping-particle" : "", "parse-names" : false, "suffix" : "" }, { "dropping-particle" : "", "family" : "Dom\u00e8nech", "given" : "E.", "non-dropping-particle" : "", "parse-names" : false, "suffix" : "" }, { "dropping-particle" : "", "family" : "Garc\u00eda-S\u00e1nchez", "given" : "V.", "non-dropping-particle" : "", "parse-names" : false, "suffix" : "" }, { "dropping-particle" : "", "family" : "Ber", "given" : "Y.", "non-dropping-particle" : "", "parse-names" : false, "suffix" : "" }, { "dropping-particle" : "", "family" : "Pe\u00f1alva", "given" : "M.", "non-dropping-particle" : "", "parse-names" : false, "suffix" : "" }, { "dropping-particle" : "", "family" : "Merino", "given" : "O.", "non-dropping-particle" : "", "parse-names" : false, "suffix" : "" }, { "dropping-particle" : "", "family" : "Nos", "given" : "P.", "non-dropping-particle" : "", "parse-names" : false, "suffix" : "" }, { "dropping-particle" : "", "family" : "Garcia-Planella", "given" : "E.", "non-dropping-particle" : "", "parse-names" : false, "suffix" : "" }, { "dropping-particle" : "", "family" : "Casbas", "given" : "a. G.", "non-dropping-particle" : "", "parse-names" : false, "suffix" : "" }, { "dropping-particle" : "", "family" : "Esteve", "given" : "M.", "non-dropping-particle" : "", "parse-names" : false, "suffix" : "" }, { "dropping-particle" : "", "family" : "Taxonera Sams\u00f5", "given" : "C.", "non-dropping-particle" : "", "parse-names" : false, "suffix" : "" }, { "dropping-particle" : "", "family" : "Montoro Huguet", "given" : "M.", "non-dropping-particle" : "", "parse-names" : false, "suffix" : "" }, { "dropping-particle" : "", "family" : "Gisbert", "given" : "J. P.", "non-dropping-particle" : "", "parse-names" : false, "suffix" : "" }, { "dropping-particle" : "", "family" : "Mart\u00edn Arranz", "given" : "M. D.", "non-dropping-particle" : "", "parse-names" : false, "suffix" : "" }, { "dropping-particle" : "", "family" : "Garc\u00eda-Sepulcre", "given" : "M. F.", "non-dropping-particle" : "", "parse-names" : false, "suffix" : "" }, { "dropping-particle" : "", "family" : "Barreiro-De Acosta", "given" : "M.", "non-dropping-particle" : "", "parse-names" : false, "suffix" : "" }, { "dropping-particle" : "", "family" : "Beltr\u00e1n", "given" : "B.", "non-dropping-particle" : "", "parse-names" : false, "suffix" : "" }, { "dropping-particle" : "", "family" : "Alcaide Su\u00e1rez", "given" : "N.", "non-dropping-particle" : "", "parse-names" : false, "suffix" : "" }, { "dropping-particle" : "", "family" : "Saro Gismera", "given" : "C.", "non-dropping-particle" : "", "parse-names" : false, "suffix" : "" }, { "dropping-particle" : "", "family" : "Cabriada", "given" : "J. L.", "non-dropping-particle" : "", "parse-names" : false, "suffix" : "" }, { "dropping-particle" : "", "family" : "Ca\u00f1as-Ventura", "given" : "a.", "non-dropping-particle" : "", "parse-names" : false, "suffix" : "" }, { "dropping-particle" : "", "family" : "Gomoll\u00f5n", "given" : "F.", "non-dropping-particle" : "", "parse-names" : false, "suffix" : "" }, { "dropping-particle" : "", "family" : "Pan\u00e9s", "given" : "J.", "non-dropping-particle" : "", "parse-names" : false, "suffix" : "" } ], "container-title" : "Alimentary Pharmacology and Therapeutics", "id" : "ITEM-1", "issue" : "7", "issued" : { "date-parts" : [ [ "2013" ] ] }, "page" : "752-760", "title" : "Smoking does influence disease behaviour and impacts the need for therapy in Crohn\u2032s disease in the biologic era", "type" : "article-journal", "volume" : "38" }, "uris" : [ "http://www.mendeley.com/documents/?uuid=f02f0324-de1e-4d72-8957-4e4bf840e451" ] } ], "mendeley" : { "formattedCitation" : "&lt;sup&gt;11&lt;/sup&gt;", "plainTextFormattedCitation" : "11", "previouslyFormattedCitation" : "&lt;sup&gt;11&lt;/sup&gt;" }, "properties" : { "noteIndex" : 0 }, "schema" : "https://github.com/citation-style-language/schema/raw/master/csl-citation.json" }</w:instrText>
      </w:r>
      <w:r w:rsidR="00AE13D9">
        <w:fldChar w:fldCharType="separate"/>
      </w:r>
      <w:r w:rsidR="00391BF7" w:rsidRPr="00391BF7">
        <w:rPr>
          <w:noProof/>
          <w:vertAlign w:val="superscript"/>
        </w:rPr>
        <w:t>11</w:t>
      </w:r>
      <w:r w:rsidR="00AE13D9">
        <w:fldChar w:fldCharType="end"/>
      </w:r>
      <w:r w:rsidR="00AF763D">
        <w:rPr>
          <w:vertAlign w:val="superscript"/>
        </w:rPr>
        <w:t>,</w:t>
      </w:r>
      <w:r w:rsidR="00AE13D9">
        <w:fldChar w:fldCharType="begin" w:fldLock="1"/>
      </w:r>
      <w:r w:rsidR="00391BF7">
        <w:instrText>ADDIN CSL_CITATION { "citationItems" : [ { "id" : "ITEM-1", "itemData" : { "DOI" : "10.1097/MIB.0b013e3182802b3e", "ISBN" : "1536-4844 (Electronic)\\r1078-0998 (Linking)", "ISSN" : "1536-4844", "PMID" : "23399739", "abstract" : "BACKGROUND: Previous studies suggest that smoking is an important environmental factor in inflammatory bowel diseases (IBDs), with dichotomous effects in ulcerative colitis (UC) and Crohn's disease (CD). The aim of this study was to analyze the relationship between smoking and IBD risk in a population-based database from Veszprem Province, which included incident cases diagnosed between January 1, 1977, and December 31, 2008. METHODS: Data from 1420 incident patients were analyzed (UC: 914, age at diagnosis: 38.9 years; CD: 506, age at diagnosis: 31.5 years). Both inpatient and outpatient records were collected and comprehensively reviewed. Overall, smoking frequency in the adult general population was 36.1%. RESULTS: Of patients with CD, 47.2% were current smokers at diagnosis. Smoking was more frequent in male patients (P = 0.002) and was associated with an increased risk of CD (odds ratio, 1.96; 95% confidence interval, 1.63-2.37; P &lt; 0.001). In contrast, current smoking was protective against UC (odds ratio, 0.33; 95% confidence interval, 0.27-0.41). The effect of smoking was linked to gender (in CD, more deleterious in male patients) and age at diagnosis and was most prominent in young adults, with a difference already being seen in 18- to 19-year-olds. In CD, a change in disease behavior (P = 0.02), location from ileal or colonic to ileocolonic (P = 0.003), arthritis/arthropathy (P = 0.002), need for steroids (P = 0.06), or AZA (P = 0.038) was more common in current smokers. Smoking in UC was associated with more extensive disease (P = 0.01) and a tendency for decreased need for colectomy (P = 0.06). CONCLUSIONS: Current smoking was associated with the risk of IBD. This effect was linked to gender and age at diagnosis and was most prominent in young adults. No association was observed in pediatric or elderly patients. The deleterious and protective effects of smoking on the course in CD and UC were partially confirmed.", "author" : [ { "dropping-particle" : "", "family" : "Lakatos", "given" : "P L", "non-dropping-particle" : "", "parse-names" : false, "suffix" : "" }, { "dropping-particle" : "", "family" : "Vegh", "given" : "Z", "non-dropping-particle" : "", "parse-names" : false, "suffix" : "" }, { "dropping-particle" : "", "family" : "Lovasz", "given" : "B D", "non-dropping-particle" : "", "parse-names" : false, "suffix" : "" }, { "dropping-particle" : "", "family" : "David", "given" : "G", "non-dropping-particle" : "", "parse-names" : false, "suffix" : "" }, { "dropping-particle" : "", "family" : "Pandur", "given" : "T", "non-dropping-particle" : "", "parse-names" : false, "suffix" : "" }, { "dropping-particle" : "", "family" : "Erdelyi", "given" : "Z", "non-dropping-particle" : "", "parse-names" : false, "suffix" : "" }, { "dropping-particle" : "", "family" : "Szita", "given" : "I", "non-dropping-particle" : "", "parse-names" : false, "suffix" : "" }, { "dropping-particle" : "", "family" : "Mester", "given" : "G", "non-dropping-particle" : "", "parse-names" : false, "suffix" : "" }, { "dropping-particle" : "", "family" : "Balogh", "given" : "M", "non-dropping-particle" : "", "parse-names" : false, "suffix" : "" }, { "dropping-particle" : "", "family" : "Szipocs", "given" : "I", "non-dropping-particle" : "", "parse-names" : false, "suffix" : "" }, { "dropping-particle" : "", "family" : "Molnar", "given" : "C", "non-dropping-particle" : "", "parse-names" : false, "suffix" : "" }, { "dropping-particle" : "", "family" : "Komaromi", "given" : "E", "non-dropping-particle" : "", "parse-names" : false, "suffix" : "" }, { "dropping-particle" : "", "family" : "Golovics", "given" : "P a", "non-dropping-particle" : "", "parse-names" : false, "suffix" : "" }, { "dropping-particle" : "", "family" : "Mandel", "given" : "M", "non-dropping-particle" : "", "parse-names" : false, "suffix" : "" }, { "dropping-particle" : "", "family" : "Horvath", "given" : "a", "non-dropping-particle" : "", "parse-names" : false, "suffix" : "" }, { "dropping-particle" : "", "family" : "Szathmari", "given" : "M", "non-dropping-particle" : "", "parse-names" : false, "suffix" : "" }, { "dropping-particle" : "", "family" : "Kiss", "given" : "L S", "non-dropping-particle" : "", "parse-names" : false, "suffix" : "" }, { "dropping-particle" : "", "family" : "Lakatos", "given" : "L", "non-dropping-particle" : "", "parse-names" : false, "suffix" : "" } ], "container-title" : "Inflamm Bowel Dis", "id" : "ITEM-1", "issue" : "5", "issued" : { "date-parts" : [ [ "2013" ] ] }, "page" : "1010-1017", "title" : "Is current smoking still an important environmental factor in inflammatory bowel diseases? Results from a population-based incident cohort", "type" : "article-journal", "volume" : "19" }, "uris" : [ "http://www.mendeley.com/documents/?uuid=45ab6659-c538-435a-b9a1-8523bf9a92c5" ] } ], "mendeley" : { "formattedCitation" : "&lt;sup&gt;12&lt;/sup&gt;", "plainTextFormattedCitation" : "12", "previouslyFormattedCitation" : "&lt;sup&gt;12&lt;/sup&gt;" }, "properties" : { "noteIndex" : 0 }, "schema" : "https://github.com/citation-style-language/schema/raw/master/csl-citation.json" }</w:instrText>
      </w:r>
      <w:r w:rsidR="00AE13D9">
        <w:fldChar w:fldCharType="separate"/>
      </w:r>
      <w:r w:rsidR="00391BF7" w:rsidRPr="00391BF7">
        <w:rPr>
          <w:noProof/>
          <w:vertAlign w:val="superscript"/>
        </w:rPr>
        <w:t>12</w:t>
      </w:r>
      <w:r w:rsidR="00AE13D9">
        <w:fldChar w:fldCharType="end"/>
      </w:r>
      <w:r w:rsidR="00E55211">
        <w:t xml:space="preserve"> Interestingly, in a retrospective analysis</w:t>
      </w:r>
      <w:r w:rsidR="007625C4">
        <w:t xml:space="preserve"> </w:t>
      </w:r>
      <w:r w:rsidR="00C33E16">
        <w:t xml:space="preserve">of </w:t>
      </w:r>
      <w:r w:rsidR="004E720E">
        <w:t>steroid-dependent IBD patients, including 103 CD patients</w:t>
      </w:r>
      <w:r w:rsidR="007625C4">
        <w:t xml:space="preserve"> treated with </w:t>
      </w:r>
      <w:proofErr w:type="spellStart"/>
      <w:r w:rsidR="007625C4">
        <w:t>thiopurines</w:t>
      </w:r>
      <w:proofErr w:type="spellEnd"/>
      <w:r w:rsidR="007625C4">
        <w:t>, there was no difference in steroid-free remission between smokers and non-smokers.</w:t>
      </w:r>
      <w:r w:rsidR="00AE13D9">
        <w:fldChar w:fldCharType="begin" w:fldLock="1"/>
      </w:r>
      <w:r w:rsidR="003F18ED">
        <w:instrText>ADDIN CSL_CITATION { "citationItems" : [ { "id" : "ITEM-1", "itemData" : { "DOI" : "10.1002/ibd.21456", "ISBN" : "1536-4844 (Electronic)\\r1078-0998 (Linking)", "ISSN" : "10780998", "PMID" : "20824819", "abstract" : "BACKGROUND:: The influence of smoking on inflammatory bowel disease (IBD) susceptibility and on its clinical course is well known, but not its impact on drug efficacy. The aim of this study was to evaluate the response to thiopurines in patients with steroid-dependent IBD according to their smoking habits. METHODS:: The medical records of 163 IBD patients (103 Crohn's disease [CD], 60 ulcerative colitis [UC]) in whom thiopurines were started because of steroid-dependency were reviewed. Therapeutic response was defined by steroid-free clinical remission for at least 6 months after 12 months of starting thiopurines. Clinical data and smoking status at diagnosis, at the time thiopurines were started, and during the follow-up were registered. RESULTS:: A therapeutic response was obtained in 72% of CD and 61% of UC patients. Smoking habits did not influence the rate of response to thiopurines, the need for rescue therapies, or the development of penetrating/stricturing complications (CD) or proximal progression (UC). However, CD responders who continued smoking required new courses of steroids more often during follow-up. No influence of smoking was found when these outcomes were analyzed depending on gender or disease location. In the multivariate analysis, smoking status was the only predictive factor of drug tolerance. CONCLUSIONS:: Active smoking does not influence the response to thiopurines in steroid-dependent IBD, but may decrease the likelihood of drug tolerance. (Inflamm Bowel Dis 2010;).", "author" : [ { "dropping-particle" : "", "family" : "Dom\u00e8nech", "given" : "Eugeni", "non-dropping-particle" : "", "parse-names" : false, "suffix" : "" }, { "dropping-particle" : "", "family" : "Carri\u00f3n", "given" : "S\u00edlvia", "non-dropping-particle" : "", "parse-names" : false, "suffix" : "" }, { "dropping-particle" : "", "family" : "Garcia-Planella", "given" : "Esther", "non-dropping-particle" : "", "parse-names" : false, "suffix" : "" }, { "dropping-particle" : "", "family" : "Ma\u00f1osa", "given" : "M\u00edriam", "non-dropping-particle" : "", "parse-names" : false, "suffix" : "" }, { "dropping-particle" : "", "family" : "Gordillo", "given" : "Jordi", "non-dropping-particle" : "", "parse-names" : false, "suffix" : "" }, { "dropping-particle" : "", "family" : "Concepci\u00f3n", "given" : "Mar", "non-dropping-particle" : "", "parse-names" : false, "suffix" : "" }, { "dropping-particle" : "", "family" : "Guarner", "given" : "Carlos", "non-dropping-particle" : "", "parse-names" : false, "suffix" : "" }, { "dropping-particle" : "", "family" : "Cabr\u00e9", "given" : "Eduard", "non-dropping-particle" : "", "parse-names" : false, "suffix" : "" } ], "container-title" : "Inflammatory Bowel Diseases", "id" : "ITEM-1", "issue" : "4", "issued" : { "date-parts" : [ [ "2011" ] ] }, "page" : "971-975", "title" : "Smoking status and response to thiopurines in steroid-dependent inflammatory bowel disease", "type" : "article-journal", "volume" : "17" }, "uris" : [ "http://www.mendeley.com/documents/?uuid=c814336c-e28d-4b23-9e88-67a6cc1720c6" ] } ], "mendeley" : { "formattedCitation" : "&lt;sup&gt;47&lt;/sup&gt;", "plainTextFormattedCitation" : "47", "previouslyFormattedCitation" : "&lt;sup&gt;47&lt;/sup&gt;" }, "properties" : { "noteIndex" : 0 }, "schema" : "https://github.com/citation-style-language/schema/raw/master/csl-citation.json" }</w:instrText>
      </w:r>
      <w:r w:rsidR="00AE13D9">
        <w:fldChar w:fldCharType="separate"/>
      </w:r>
      <w:r w:rsidR="003F18ED" w:rsidRPr="003F18ED">
        <w:rPr>
          <w:noProof/>
          <w:vertAlign w:val="superscript"/>
        </w:rPr>
        <w:t>47</w:t>
      </w:r>
      <w:r w:rsidR="00AE13D9">
        <w:fldChar w:fldCharType="end"/>
      </w:r>
    </w:p>
    <w:p w:rsidR="00B6689F" w:rsidRDefault="00735E84" w:rsidP="00304057">
      <w:pPr>
        <w:spacing w:line="480" w:lineRule="auto"/>
        <w:jc w:val="both"/>
      </w:pPr>
      <w:r>
        <w:t>We</w:t>
      </w:r>
      <w:r w:rsidR="0002241D">
        <w:t xml:space="preserve"> found</w:t>
      </w:r>
      <w:r w:rsidR="00B6689F">
        <w:t xml:space="preserve"> a significantly higher</w:t>
      </w:r>
      <w:r w:rsidR="004536C5">
        <w:t xml:space="preserve"> ri</w:t>
      </w:r>
      <w:r w:rsidR="00900FE5">
        <w:t>sk of first intestinal su</w:t>
      </w:r>
      <w:r w:rsidR="004A725D">
        <w:t>rgery</w:t>
      </w:r>
      <w:r w:rsidR="004536C5">
        <w:t xml:space="preserve"> amongst CD patients who smoke</w:t>
      </w:r>
      <w:r w:rsidR="00B6689F">
        <w:t>d</w:t>
      </w:r>
      <w:r w:rsidR="004536C5">
        <w:t xml:space="preserve"> at diagnosis</w:t>
      </w:r>
      <w:r w:rsidR="004A725D">
        <w:t xml:space="preserve"> (HR 1.64, 95%CI 1.06-2.52)</w:t>
      </w:r>
      <w:r w:rsidR="004536C5">
        <w:t xml:space="preserve">. </w:t>
      </w:r>
      <w:r w:rsidR="00B6689F">
        <w:t>O</w:t>
      </w:r>
      <w:r w:rsidR="003B6653">
        <w:t xml:space="preserve">ur findings add to the body of </w:t>
      </w:r>
      <w:r w:rsidR="00B6689F">
        <w:t>evidence base that suggest an</w:t>
      </w:r>
      <w:r w:rsidR="00F21493">
        <w:t xml:space="preserve"> increase</w:t>
      </w:r>
      <w:r w:rsidR="004A725D">
        <w:t>d risk of intestinal surgery</w:t>
      </w:r>
      <w:r w:rsidR="00F21493">
        <w:t xml:space="preserve"> amongst</w:t>
      </w:r>
      <w:r w:rsidR="00C33E16">
        <w:t xml:space="preserve"> smokers.</w:t>
      </w:r>
      <w:r w:rsidR="00AE13D9">
        <w:fldChar w:fldCharType="begin" w:fldLock="1"/>
      </w:r>
      <w:r w:rsidR="00391BF7">
        <w:instrText>ADDIN CSL_CITATION { "citationItems" : [ { "id" : "ITEM-1", "itemData" : { "DOI" : "10.1002/ibd.20828", "ISBN" : "1536-4844 (Electronic)\\r1078-0998 (Linking)", "ISSN" : "10780998", "PMID" : "19067428", "abstract" : "Cigarette smoking is associated with a more severe Crohn's disease (CD) course. However, the effect of light consumption is not known. Our aim was to characterize the effect of a light tobacco consumption on the course of CD.", "author" : [ { "dropping-particle" : "", "family" : "Seksik", "given" : "Philippe", "non-dropping-particle" : "", "parse-names" : false, "suffix" : "" }, { "dropping-particle" : "", "family" : "Nion-Larmurier", "given" : "Isabelle", "non-dropping-particle" : "", "parse-names" : false, "suffix" : "" }, { "dropping-particle" : "", "family" : "Sokol", "given" : "Harry", "non-dropping-particle" : "", "parse-names" : false, "suffix" : "" }, { "dropping-particle" : "", "family" : "Beaugerie", "given" : "Laurent", "non-dropping-particle" : "", "parse-names" : false, "suffix" : "" }, { "dropping-particle" : "", "family" : "Cosnes", "given" : "Jacques", "non-dropping-particle" : "", "parse-names" : false, "suffix" : "" } ], "container-title" : "Inflammatory Bowel Diseases", "id" : "ITEM-1", "issue" : "5", "issued" : { "date-parts" : [ [ "2009" ] ] }, "page" : "734-741", "title" : "Effects of light smoking consumption on the clinical course of Crohn's disease", "type" : "article-journal", "volume" : "15" }, "uris" : [ "http://www.mendeley.com/documents/?uuid=83f29962-61af-4889-a580-a8c2329fcb22" ] } ], "mendeley" : { "formattedCitation" : "&lt;sup&gt;6&lt;/sup&gt;", "plainTextFormattedCitation" : "6", "previouslyFormattedCitation" : "&lt;sup&gt;6&lt;/sup&gt;" }, "properties" : { "noteIndex" : 0 }, "schema" : "https://github.com/citation-style-language/schema/raw/master/csl-citation.json" }</w:instrText>
      </w:r>
      <w:r w:rsidR="00AE13D9">
        <w:fldChar w:fldCharType="separate"/>
      </w:r>
      <w:r w:rsidR="00391BF7" w:rsidRPr="00391BF7">
        <w:rPr>
          <w:noProof/>
          <w:vertAlign w:val="superscript"/>
        </w:rPr>
        <w:t>6</w:t>
      </w:r>
      <w:r w:rsidR="00AE13D9">
        <w:fldChar w:fldCharType="end"/>
      </w:r>
      <w:r w:rsidR="00F21493">
        <w:rPr>
          <w:vertAlign w:val="superscript"/>
        </w:rPr>
        <w:t>,</w:t>
      </w:r>
      <w:r w:rsidR="00AE13D9">
        <w:fldChar w:fldCharType="begin" w:fldLock="1"/>
      </w:r>
      <w:r w:rsidR="00391BF7">
        <w:instrText>ADDIN CSL_CITATION { "citationItems" : [ { "id" : "ITEM-1", "itemData" : { "DOI" : "10.1111/apt.13239", "ISSN" : "13652036", "PMID" : "2015037528", "abstract" : "Background Smoking demonstrates divergent effects in Crohn's disease (CD) and ulcerative colitis (UC). Smoking frequency is greater in CD and deleterious to its disease course. Conversely, UC is primarily a disease of nonsmokers and ex-smokers, with reports of disease amelioration in active smoking. Aim To determine the prevalence of smoking and its effects on disease progression and surgery in a well-characterised cohort of inflammatory bowel diseases (IBD) patients. Methods Patients with smoking data of the Sydney IBD Cohort were included. Demographic, phenotypic, medical, surgical and hospitalisation data were analysed and reported on the basis of patient smoking status. Results 1203 IBD patients were identified comprising 626 CD and 557 UC with 6725 and 6672 patient-years of follow-up, respectively. CD patients were more likely to smoke than UC patients (19.2% vs. 10.2%, P &lt; 0.001). A history of smoking in CD was associated with an increased proportional surgery rate (45.8% vs. 37.8%, P = 0.045), requirement for IBD-related hospitalisation (P = 0.009) and incidence of peripheral arthritis (29.8% vs. 22.0%, P = 0.027). Current smokers with UC demonstrated reduced corticosteroid utilisation (24.1% vs. 37.5%, P = 0.045), yet no reduction in the rates of colectomy (3.4% vs. 6.6%, P = 0.34) or hospital admission (P = 0.25) relative to nonsmokers. Ex-smokers with UC required proportionately greater immunosuppressive (36.2% vs. 26.3%, P = 0.041) and corticosteroid (43.7% vs. 34.5%, P = 0.078) therapies compared with current and never smokers. Conclusions This study confirms the detrimental effects of smoking in CD, yet failed to demonstrate substantial benefit from smoking in UC. These data should encourage all patients with IBD to quit smoking.", "author" : [ { "dropping-particle" : "", "family" : "Lunney", "given" : "P. C.", "non-dropping-particle" : "", "parse-names" : false, "suffix" : "" }, { "dropping-particle" : "", "family" : "Kariyawasam", "given" : "V. C.", "non-dropping-particle" : "", "parse-names" : false, "suffix" : "" }, { "dropping-particle" : "", "family" : "Wang", "given" : "R. R.", "non-dropping-particle" : "", "parse-names" : false, "suffix" : "" }, { "dropping-particle" : "", "family" : "Middleton", "given" : "K. L.", "non-dropping-particle" : "", "parse-names" : false, "suffix" : "" }, { "dropping-particle" : "", "family" : "Huang", "given" : "T.", "non-dropping-particle" : "", "parse-names" : false, "suffix" : "" }, { "dropping-particle" : "", "family" : "Selinger", "given" : "C. P.", "non-dropping-particle" : "", "parse-names" : false, "suffix" : "" }, { "dropping-particle" : "", "family" : "Andrews", "given" : "J. M.", "non-dropping-particle" : "", "parse-names" : false, "suffix" : "" }, { "dropping-particle" : "", "family" : "Katelaris", "given" : "P. H.", "non-dropping-particle" : "", "parse-names" : false, "suffix" : "" }, { "dropping-particle" : "", "family" : "Leong", "given" : "R. W L", "non-dropping-particle" : "", "parse-names" : false, "suffix" : "" } ], "container-title" : "Alimentary Pharmacology and Therapeutics", "id" : "ITEM-1", "issue" : "1", "issued" : { "date-parts" : [ [ "2015" ] ] }, "page" : "61-70", "title" : "Smoking prevalence and its influence on disease course and surgery in Crohn's disease and ulcerative colitis", "type" : "article-journal", "volume" : "42" }, "uris" : [ "http://www.mendeley.com/documents/?uuid=0ac992fa-9fa4-4dce-8efa-5ae406390dc1" ] } ], "mendeley" : { "formattedCitation" : "&lt;sup&gt;9&lt;/sup&gt;", "plainTextFormattedCitation" : "9", "previouslyFormattedCitation" : "&lt;sup&gt;9&lt;/sup&gt;" }, "properties" : { "noteIndex" : 0 }, "schema" : "https://github.com/citation-style-language/schema/raw/master/csl-citation.json" }</w:instrText>
      </w:r>
      <w:r w:rsidR="00AE13D9">
        <w:fldChar w:fldCharType="separate"/>
      </w:r>
      <w:r w:rsidR="00391BF7" w:rsidRPr="00391BF7">
        <w:rPr>
          <w:noProof/>
          <w:vertAlign w:val="superscript"/>
        </w:rPr>
        <w:t>9</w:t>
      </w:r>
      <w:r w:rsidR="00AE13D9">
        <w:fldChar w:fldCharType="end"/>
      </w:r>
      <w:r w:rsidR="00F21493">
        <w:rPr>
          <w:vertAlign w:val="superscript"/>
        </w:rPr>
        <w:t>,</w:t>
      </w:r>
      <w:r w:rsidR="00AE13D9">
        <w:fldChar w:fldCharType="begin" w:fldLock="1"/>
      </w:r>
      <w:r w:rsidR="003F18ED">
        <w:instrText>ADDIN CSL_CITATION { "citationItems" : [ { "id" : "ITEM-1", "itemData" : { "DOI" : "10.1111/jgh.12369 [doi]", "ISBN" : "1440-1746 (Electronic)\\r0815-9319 (Linking)", "ISSN" : "08159319", "PMID" : "23981141", "abstract" : "BACKGROUND AND AIM: Although differences in genetic susceptibility and the clinical features of Crohn's disease (CD) have been reported between Asian and Caucasian patients, the disease course and predictors of CD in Asians remains poorly defined. The study therefore aimed to investigate factors predictive of the clinical outcomes of patients with CD in a Korean population. METHODS: This retrospective multicenter cohort study included 728 Korean CD patients from 13 university hospitals. The first CD-related surgery or need for immunosuppressive or biological agents were regarded as the clinical outcomes of interest. RESULTS: A total of 126 (17.3%) CD patients underwent CD-related surgery, while 473 (65.0%) and 196 (26.9%) were prescribed thiopurine drugs and infliximab, respectively. Multivariate Cox regression analysis identified current (hazard ratio [HR] = 1.86; P = 0.018) and former smoking habits (HR = 1.78; P = 0.049), stricturing (HR = 2.24; P &lt; 0.001), and penetrating disease behavior at diagnosis (HR = 3.07; P &lt; 0.001) as independent predictors associated with the first CD-related surgery. With respect to immunosuppressive and biological agents, younger age (&lt; 40 years) (HR = 2.17; P &lt; 0.001 and HR = 2.10; P = 0.006, respectively), ileal involvement (HR = 1.36; P = 0.035 and HR = 2.17; P = 0.006, respectively), and perianal disease (HR = 1.42; P = 0.001 and HR = 1.38; P = 0.038, respectively) at diagnosis were significant predictors for the need of these medications. CONCLUSIONS: In Korean patients with CD, stricturing, penetrating disease behavior, and smoking habits at the time of diagnosis are independent predictors for CD-related surgery. It was also identified that younger age (&lt; 40 years), ileal involvement, and perianal disease at diagnosis are predictive of a need for immunosuppressive or biological agents.", "author" : [ { "dropping-particle" : "", "family" : "Moon", "given" : "C M", "non-dropping-particle" : "", "parse-names" : false, "suffix" : "" }, { "dropping-particle" : "", "family" : "Park", "given" : "D I", "non-dropping-particle" : "", "parse-names" : false, "suffix" : "" }, { "dropping-particle" : "", "family" : "Kim", "given" : "E R", "non-dropping-particle" : "", "parse-names" : false, "suffix" : "" }, { "dropping-particle" : "", "family" : "Kim", "given" : "Y H", "non-dropping-particle" : "", "parse-names" : false, "suffix" : "" }, { "dropping-particle" : "", "family" : "Lee", "given" : "C K", "non-dropping-particle" : "", "parse-names" : false, "suffix" : "" }, { "dropping-particle" : "", "family" : "Lee", "given" : "S H", "non-dropping-particle" : "", "parse-names" : false, "suffix" : "" }, { "dropping-particle" : "", "family" : "Kim", "given" : "J H", "non-dropping-particle" : "", "parse-names" : false, "suffix" : "" }, { "dropping-particle" : "", "family" : "Huh", "given" : "K C", "non-dropping-particle" : "", "parse-names" : false, "suffix" : "" }, { "dropping-particle" : "", "family" : "Jung", "given" : "S a", "non-dropping-particle" : "", "parse-names" : false, "suffix" : "" }, { "dropping-particle" : "", "family" : "Yoon", "given" : "S M", "non-dropping-particle" : "", "parse-names" : false, "suffix" : "" }, { "dropping-particle" : "", "family" : "Song", "given" : "H J", "non-dropping-particle" : "", "parse-names" : false, "suffix" : "" }, { "dropping-particle" : "", "family" : "Jang", "given" : "H J", "non-dropping-particle" : "", "parse-names" : false, "suffix" : "" }, { "dropping-particle" : "", "family" : "Kim", "given" : "Y S", "non-dropping-particle" : "", "parse-names" : false, "suffix" : "" }, { "dropping-particle" : "", "family" : "Lee", "given" : "K M", "non-dropping-particle" : "", "parse-names" : false, "suffix" : "" }, { "dropping-particle" : "", "family" : "Shin", "given" : "J E", "non-dropping-particle" : "", "parse-names" : false, "suffix" : "" } ], "container-title" : "J Gastroenterol Hepatol", "id" : "ITEM-1", "issued" : { "date-parts" : [ [ "2014" ] ] }, "page" : "74-82", "title" : "Clinical features and predictors of clinical outcomes in Korean patients with Crohn's disease: a Korean association for the study of intestinal diseases multicenter study", "type" : "article-journal", "volume" : "29" }, "uris" : [ "http://www.mendeley.com/documents/?uuid=a5a37610-a0f6-4d0f-b933-0bcfb97b0bab" ] } ], "mendeley" : { "formattedCitation" : "&lt;sup&gt;48&lt;/sup&gt;", "plainTextFormattedCitation" : "48", "previouslyFormattedCitation" : "&lt;sup&gt;48&lt;/sup&gt;" }, "properties" : { "noteIndex" : 0 }, "schema" : "https://github.com/citation-style-language/schema/raw/master/csl-citation.json" }</w:instrText>
      </w:r>
      <w:r w:rsidR="00AE13D9">
        <w:fldChar w:fldCharType="separate"/>
      </w:r>
      <w:r w:rsidR="003F18ED" w:rsidRPr="003F18ED">
        <w:rPr>
          <w:noProof/>
          <w:vertAlign w:val="superscript"/>
        </w:rPr>
        <w:t>48</w:t>
      </w:r>
      <w:r w:rsidR="00AE13D9">
        <w:fldChar w:fldCharType="end"/>
      </w:r>
      <w:r w:rsidR="00F21493">
        <w:t xml:space="preserve"> </w:t>
      </w:r>
      <w:r w:rsidR="00B6689F">
        <w:t>The majority of studies in this field have been derived from data c</w:t>
      </w:r>
      <w:r w:rsidR="004A725D">
        <w:t xml:space="preserve">ollected in secondary care. </w:t>
      </w:r>
      <w:r w:rsidR="00281AF6">
        <w:t>One previous study by</w:t>
      </w:r>
      <w:r w:rsidR="00B6689F">
        <w:t xml:space="preserve"> </w:t>
      </w:r>
      <w:proofErr w:type="spellStart"/>
      <w:r w:rsidR="00B6689F">
        <w:t>Frolkis</w:t>
      </w:r>
      <w:proofErr w:type="spellEnd"/>
      <w:r w:rsidR="00B6689F">
        <w:t xml:space="preserve"> </w:t>
      </w:r>
      <w:r w:rsidR="00B6689F" w:rsidRPr="00B6689F">
        <w:rPr>
          <w:i/>
        </w:rPr>
        <w:t>et al.</w:t>
      </w:r>
      <w:r w:rsidR="00DA335F">
        <w:t xml:space="preserve"> reported</w:t>
      </w:r>
      <w:r w:rsidR="00B6689F">
        <w:t xml:space="preserve"> population-based</w:t>
      </w:r>
      <w:r w:rsidR="00DA335F">
        <w:t xml:space="preserve"> data</w:t>
      </w:r>
      <w:r w:rsidR="00B6689F">
        <w:t xml:space="preserve"> on the impact of smoking on risk of surgery in CD using The Health Improvement Network (THIN)</w:t>
      </w:r>
      <w:r w:rsidR="00DA335F">
        <w:t>, although did not evaluate the impact of smoking cessation in this cohort</w:t>
      </w:r>
      <w:r w:rsidR="00B6689F">
        <w:t xml:space="preserve">. THIN </w:t>
      </w:r>
      <w:r w:rsidR="00900FE5">
        <w:t>is a UK primary care database that shares information from some practices</w:t>
      </w:r>
      <w:r w:rsidR="004A725D">
        <w:t xml:space="preserve"> within CPRD</w:t>
      </w:r>
      <w:r w:rsidR="00DA335F">
        <w:t xml:space="preserve"> and</w:t>
      </w:r>
      <w:r w:rsidR="00900FE5">
        <w:t xml:space="preserve"> also includes patient data from practices that do not contribute to CPRD</w:t>
      </w:r>
      <w:r w:rsidR="00DA335F">
        <w:t xml:space="preserve">, although is smaller in size </w:t>
      </w:r>
      <w:r w:rsidR="003B6653">
        <w:t>than CPRD.</w:t>
      </w:r>
      <w:r w:rsidR="004A725D">
        <w:t xml:space="preserve"> This stud</w:t>
      </w:r>
      <w:r w:rsidR="00900FE5">
        <w:t>y included 1500 CD patients and</w:t>
      </w:r>
      <w:r w:rsidR="004A725D">
        <w:t xml:space="preserve"> reported that</w:t>
      </w:r>
      <w:r w:rsidR="00B6689F">
        <w:t xml:space="preserve"> </w:t>
      </w:r>
      <w:r w:rsidR="00595576">
        <w:t>current smoking at time of CD diagnosis was associated with a threefold increase in risk of intestinal surgery (HR 2.99, 95%CI 1.52-5.92), although this increased risk was only apparent in patients diagnosed with CD over the age of 40 years</w:t>
      </w:r>
      <w:r w:rsidR="004A725D">
        <w:t xml:space="preserve"> (Montreal A3</w:t>
      </w:r>
      <w:r w:rsidR="004F2C70">
        <w:t>)</w:t>
      </w:r>
      <w:r w:rsidR="00595576">
        <w:t>.</w:t>
      </w:r>
      <w:r w:rsidR="00AE13D9">
        <w:fldChar w:fldCharType="begin" w:fldLock="1"/>
      </w:r>
      <w:r w:rsidR="00F62348">
        <w:instrText>ADDIN CSL_CITATION { "citationItems" : [ { "id" : "ITEM-1", "itemData" : { "DOI" : "10.1038/ctg.2016.21", "ISSN" : "2155-384X", "PMID" : "27101004", "author" : [ { "dropping-particle" : "", "family" : "Frolkis", "given" : "Alexandra D", "non-dropping-particle" : "", "parse-names" : false, "suffix" : "" }, { "dropping-particle" : "", "family" : "Bruyn", "given" : "Jennifer", "non-dropping-particle" : "de", "parse-names" : false, "suffix" : "" }, { "dropping-particle" : "", "family" : "Jette", "given" : "Nathalie", "non-dropping-particle" : "", "parse-names" : false, "suffix" : "" }, { "dropping-particle" : "", "family" : "Lowerison", "given" : "Mark", "non-dropping-particle" : "", "parse-names" : false, "suffix" : "" }, { "dropping-particle" : "", "family" : "Engbers", "given" : "Jordan", "non-dropping-particle" : "", "parse-names" : false, "suffix" : "" }, { "dropping-particle" : "", "family" : "Ghali", "given" : "William", "non-dropping-particle" : "", "parse-names" : false, "suffix" : "" }, { "dropping-particle" : "", "family" : "Lewis", "given" : "James D", "non-dropping-particle" : "", "parse-names" : false, "suffix" : "" }, { "dropping-particle" : "", "family" : "Vallerand", "given" : "Isabelle", "non-dropping-particle" : "", "parse-names" : false, "suffix" : "" }, { "dropping-particle" : "", "family" : "Patten", "given" : "Scott", "non-dropping-particle" : "", "parse-names" : false, "suffix" : "" }, { "dropping-particle" : "", "family" : "Eksteen", "given" : "Bertus", "non-dropping-particle" : "", "parse-names" : false, "suffix" : "" }, { "dropping-particle" : "", "family" : "Barnabe", "given" : "Cheryl", "non-dropping-particle" : "", "parse-names" : false, "suffix" : "" }, { "dropping-particle" : "", "family" : "Panaccione", "given" : "Remo", "non-dropping-particle" : "", "parse-names" : false, "suffix" : "" }, { "dropping-particle" : "", "family" : "Ghosh", "given" : "Subrata", "non-dropping-particle" : "", "parse-names" : false, "suffix" : "" }, { "dropping-particle" : "", "family" : "Wiebe", "given" : "Samuel", "non-dropping-particle" : "", "parse-names" : false, "suffix" : "" }, { "dropping-particle" : "", "family" : "Kaplan", "given" : "Gilaad G", "non-dropping-particle" : "", "parse-names" : false, "suffix" : "" } ], "container-title" : "Clinical and Translational Gastroenterology", "id" : "ITEM-1", "issue" : "4", "issued" : { "date-parts" : [ [ "2016" ] ] }, "page" : "e165", "publisher" : "Nature Publishing Group", "title" : "The Association of Smoking and Surgery in Inflammatory Bowel Disease is Modified by Age at Diagnosis", "type" : "article-journal", "volume" : "7" }, "uris" : [ "http://www.mendeley.com/documents/?uuid=88a8652c-6981-4d85-a683-c9510fa0f93c" ] } ], "mendeley" : { "formattedCitation" : "&lt;sup&gt;3&lt;/sup&gt;", "plainTextFormattedCitation" : "3", "previouslyFormattedCitation" : "&lt;sup&gt;3&lt;/sup&gt;" }, "properties" : { "noteIndex" : 0 }, "schema" : "https://github.com/citation-style-language/schema/raw/master/csl-citation.json" }</w:instrText>
      </w:r>
      <w:r w:rsidR="00AE13D9">
        <w:fldChar w:fldCharType="separate"/>
      </w:r>
      <w:r w:rsidR="009F5C13" w:rsidRPr="009F5C13">
        <w:rPr>
          <w:noProof/>
          <w:vertAlign w:val="superscript"/>
        </w:rPr>
        <w:t>3</w:t>
      </w:r>
      <w:r w:rsidR="00AE13D9">
        <w:fldChar w:fldCharType="end"/>
      </w:r>
      <w:r w:rsidR="00A81B9A">
        <w:t xml:space="preserve"> </w:t>
      </w:r>
      <w:r w:rsidR="004A725D">
        <w:t>This contrasts with our own larger study that</w:t>
      </w:r>
      <w:r w:rsidR="00B6689F">
        <w:t xml:space="preserve"> found n</w:t>
      </w:r>
      <w:r w:rsidR="004A725D">
        <w:t>o age-related differences in</w:t>
      </w:r>
      <w:r w:rsidR="00B6689F">
        <w:t xml:space="preserve"> multi-</w:t>
      </w:r>
      <w:proofErr w:type="spellStart"/>
      <w:r w:rsidR="00B6689F">
        <w:t>variate</w:t>
      </w:r>
      <w:proofErr w:type="spellEnd"/>
      <w:r w:rsidR="00B6689F">
        <w:t xml:space="preserve"> analys</w:t>
      </w:r>
      <w:r w:rsidR="0017726E">
        <w:t>is, which may reflect the size of our cohort,</w:t>
      </w:r>
      <w:r w:rsidR="003B6653">
        <w:t xml:space="preserve"> differences in adjusting for confounding,</w:t>
      </w:r>
      <w:r w:rsidR="0017726E">
        <w:t xml:space="preserve"> and minor</w:t>
      </w:r>
      <w:r w:rsidR="003B6653">
        <w:t xml:space="preserve"> variations</w:t>
      </w:r>
      <w:r w:rsidR="00B6689F">
        <w:t xml:space="preserve"> in the definition</w:t>
      </w:r>
      <w:r w:rsidR="003258A7">
        <w:t>s</w:t>
      </w:r>
      <w:r>
        <w:t xml:space="preserve"> of smoking at CD diagnosis.</w:t>
      </w:r>
    </w:p>
    <w:p w:rsidR="007625C4" w:rsidRDefault="00F62348" w:rsidP="00304057">
      <w:pPr>
        <w:spacing w:line="480" w:lineRule="auto"/>
        <w:jc w:val="both"/>
      </w:pPr>
      <w:r>
        <w:t>Smoking rates in the UK as in many developed countries have fallen since legislation banning sm</w:t>
      </w:r>
      <w:r w:rsidR="00082E73">
        <w:t>oking in public spaces</w:t>
      </w:r>
      <w:r>
        <w:t xml:space="preserve"> were introduced and our cohorts show similar trends in smoki</w:t>
      </w:r>
      <w:r w:rsidR="00712B70">
        <w:t>ng prevalence. Data from the Global Burden of Disease (GBD)</w:t>
      </w:r>
      <w:r>
        <w:t xml:space="preserve"> tobacco collaborators study reported an </w:t>
      </w:r>
      <w:r>
        <w:lastRenderedPageBreak/>
        <w:t>annual percentage drop in smoking prevalence of 0.9-1.2 between 2005-15.</w:t>
      </w:r>
      <w:r w:rsidR="00AE13D9">
        <w:fldChar w:fldCharType="begin" w:fldLock="1"/>
      </w:r>
      <w:r w:rsidR="00926146">
        <w:instrText>ADDIN CSL_CITATION { "citationItems" : [ { "id" : "ITEM-1", "itemData" : { "DOI" : "10.1016/S0140-6736(17)30819-X", "ISSN" : "1474547X", "PMID" : "28390697", "abstract" : "Background: The scale-up of tobacco control, especially after the adoption of the Framework Convention for Tobacco Control, is a major public health success story. Nonetheless, smoking remains a leading risk for early death and disability worldwide, and therefore continues to require sustained political commitment. The Global Burden of Diseases, Injuries, and Risk Factors Study (GBD) offers a robust platform through which global, regional, and national progress toward achieving smoking-related targets can be assessed. Methods: We synthesised 2818 data sources with spatiotemporal Gaussian process regression and produced estimates of daily smoking prevalence by sex, age group, and year for 195 countries and territories from 1990 to 2015. We analysed 38 risk-outcome pairs to generate estimates of smoking-attributable mortality and disease burden, as measured by disability-adjusted life-years (DALYs). We then performed a cohort analysis of smoking prevalence by birth-year cohort to better understand temporal age patterns in smoking. We also did a decomposition analysis, in which we parsed out changes in all-cause smoking-attributable DALYs due to changes in population growth, population ageing, smoking prevalence, and risk-deleted DALY rates. Finally, we explored results by level of development using the Socio-demographic Index (SDI). Findings: Worldwide, the age-standardised prevalence of daily smoking was 25??0% (95% uncertainty interval [UI] 24??2-25??7) for men and 5??4% (5??1-5??7) for women, representing 28??4% (25??8-31??1) and 34??4% (29??4-38??6) reductions, respectively, since 1990. A greater percentage of countries and territories achieved significant annualised rates of decline in smoking prevalence from 1990 to 2005 than in between 2005 and 2015; however, only four countries had significant annualised increases in smoking prevalence between 2005 and 2015 (Congo [Brazzaville] and Azerbaijan for men and Kuwait and Timor-Leste for women). In 2015, 11??5% of global deaths (6??4 million [95% UI 5??7-7??0 million]) were attributable to smoking worldwide, of which 52??2% took place in four countries (China, India, the USA, and Russia). Smoking was ranked among the five leading risk factors by DALYs in 109 countries and territories in 2015, rising from 88 geographies in 1990. In terms of birth cohorts, male smoking prevalence followed similar age patterns across levels of SDI, whereas much more heterogeneity was found in age patterns for female smokers\u2026", "author" : [ { "dropping-particle" : "", "family" : "Collaborators", "given" : "Global Burden of Disease 2015 Tobacco", "non-dropping-particle" : "", "parse-names" : false, "suffix" : "" } ], "container-title" : "The Lancet", "id" : "ITEM-1", "issued" : { "date-parts" : [ [ "2017" ] ] }, "page" : "1885-1906", "title" : "Smoking prevalence and attributable disease burden in 195 countries and territories, 1990-2015: A systematic analysis from the Global Burden of Disease Study 2015", "type" : "article-journal", "volume" : "13;389(100" }, "uris" : [ "http://www.mendeley.com/documents/?uuid=97e75d28-23bc-430f-b149-7cea819d82e0" ] } ], "mendeley" : { "formattedCitation" : "&lt;sup&gt;2&lt;/sup&gt;", "plainTextFormattedCitation" : "2", "previouslyFormattedCitation" : "&lt;sup&gt;2&lt;/sup&gt;" }, "properties" : { "noteIndex" : 0 }, "schema" : "https://github.com/citation-style-language/schema/raw/master/csl-citation.json" }</w:instrText>
      </w:r>
      <w:r w:rsidR="00AE13D9">
        <w:fldChar w:fldCharType="separate"/>
      </w:r>
      <w:r w:rsidRPr="00F62348">
        <w:rPr>
          <w:noProof/>
          <w:vertAlign w:val="superscript"/>
        </w:rPr>
        <w:t>2</w:t>
      </w:r>
      <w:r w:rsidR="00AE13D9">
        <w:fldChar w:fldCharType="end"/>
      </w:r>
      <w:r>
        <w:t xml:space="preserve"> </w:t>
      </w:r>
      <w:r w:rsidR="00082E73">
        <w:t>D</w:t>
      </w:r>
      <w:r w:rsidR="00A0420C">
        <w:t>uring</w:t>
      </w:r>
      <w:r w:rsidR="00082E73">
        <w:t xml:space="preserve"> our</w:t>
      </w:r>
      <w:r>
        <w:t xml:space="preserve"> 10 year study period,</w:t>
      </w:r>
      <w:r w:rsidR="006F3662">
        <w:t xml:space="preserve"> the</w:t>
      </w:r>
      <w:r w:rsidR="00F8591F">
        <w:t>re was a sustained and significant decrease in</w:t>
      </w:r>
      <w:r w:rsidR="006F3662">
        <w:t xml:space="preserve"> proportion o</w:t>
      </w:r>
      <w:r w:rsidR="003258A7">
        <w:t xml:space="preserve">f patients </w:t>
      </w:r>
      <w:r w:rsidR="006F3662">
        <w:t>age</w:t>
      </w:r>
      <w:r w:rsidR="003258A7">
        <w:t>d 17-40 years (Montreal A2)</w:t>
      </w:r>
      <w:r w:rsidR="006F3662">
        <w:t xml:space="preserve"> who were smokers at diagnosis</w:t>
      </w:r>
      <w:r>
        <w:t xml:space="preserve"> from 37.4% to 30.5%, or </w:t>
      </w:r>
      <w:r w:rsidR="00A0420C">
        <w:t xml:space="preserve">a drop of </w:t>
      </w:r>
      <w:r>
        <w:t>approximately 0.7%/year</w:t>
      </w:r>
      <w:r w:rsidR="00F8591F">
        <w:t xml:space="preserve">. </w:t>
      </w:r>
      <w:r w:rsidR="00E60BF7">
        <w:t>R</w:t>
      </w:r>
      <w:r w:rsidR="003C48E7">
        <w:t>esearch on smoking cessation in the UK general population has also shown a differential rate of smoking cessation, with</w:t>
      </w:r>
      <w:r w:rsidR="003258A7">
        <w:t xml:space="preserve"> the highest quit rates amongst</w:t>
      </w:r>
      <w:r w:rsidR="003C48E7">
        <w:t xml:space="preserve"> 21-30 year olds.</w:t>
      </w:r>
      <w:r w:rsidR="00AE13D9">
        <w:fldChar w:fldCharType="begin" w:fldLock="1"/>
      </w:r>
      <w:r w:rsidR="003F18ED">
        <w:instrText>ADDIN CSL_CITATION { "citationItems" : [ { "id" : "ITEM-1", "itemData" : { "DOI" : "10.1111/add.12241", "ISBN" : "1360-0443", "ISSN" : "09652140", "PMID" : "23668684", "abstract" : "AIMS: To assess the incidence of long-term smoking cessation as a function of age, gender, social grade and their interactions.\\n\\nDESIGN AND SETTING: Cross-sectional surveys of population representative samples of smokers in England.\\n\\nPARTICIPANTS: A total of 24\u2009094 ever smokers (\u226521 and \u226460 years of age) participating in household surveys between November 2006 and February 2011.\\n\\nMEASUREMENTS: The ratio of long-term (&gt;1 year) ex-smokers to ever-smokers was calculated for each age. Regression analyses were used to model the association between age and quit ratio, with the change in quit ratio by year of age n years versus all years up to n-1 years, yielding an estimate of the quitting incidence at that age. Analyses were conducted for the entire sample and then for the sample stratified by gender and social grade, and interactions assessed between these variables.\\n\\nFINDINGS: A cubic trend was needed to fit the data. The estimated quitting incidence between ages 21 and 30 was 1.5% (95% CI: 1.0%-2.0%), between 31 and 50 it was 0.3% (95% CI: 0.2%-0.5%) and between 51 and 60 it was 1.2% (95% CI: 0.7%-1.7%). Age interacted with gender and social grade: women and smokers from higher social grades had a higher incidence of quitting than men and those from lower social grades specifically in young adulthood. CONCLUSIONS\u2003: The incidence of smoking cessation in England appears to be greater in young and old adults compared with those in middle age. Women and higher social grade smokers show a greater incidence of quitting than men and those from lower social grades specifically in young adulthood.", "author" : [ { "dropping-particle" : "", "family" : "Fidler", "given" : "Jennifer", "non-dropping-particle" : "", "parse-names" : false, "suffix" : "" }, { "dropping-particle" : "", "family" : "Ferguson", "given" : "Stuart G.", "non-dropping-particle" : "", "parse-names" : false, "suffix" : "" }, { "dropping-particle" : "", "family" : "Brown", "given" : "Jamie", "non-dropping-particle" : "", "parse-names" : false, "suffix" : "" }, { "dropping-particle" : "", "family" : "Stapleton", "given" : "John", "non-dropping-particle" : "", "parse-names" : false, "suffix" : "" }, { "dropping-particle" : "", "family" : "West", "given" : "Robert", "non-dropping-particle" : "", "parse-names" : false, "suffix" : "" } ], "container-title" : "Addiction", "id" : "ITEM-1", "issue" : "9", "issued" : { "date-parts" : [ [ "2013" ] ] }, "page" : "1680-1685", "title" : "How does rate of smoking cessation vary by age, gender and social grade? Findings from a population survey in England", "type" : "article-journal", "volume" : "108" }, "uris" : [ "http://www.mendeley.com/documents/?uuid=ddf48339-7ec6-4e78-a530-7e5cc1d37988" ] } ], "mendeley" : { "formattedCitation" : "&lt;sup&gt;49&lt;/sup&gt;", "plainTextFormattedCitation" : "49", "previouslyFormattedCitation" : "&lt;sup&gt;49&lt;/sup&gt;" }, "properties" : { "noteIndex" : 0 }, "schema" : "https://github.com/citation-style-language/schema/raw/master/csl-citation.json" }</w:instrText>
      </w:r>
      <w:r w:rsidR="00AE13D9">
        <w:fldChar w:fldCharType="separate"/>
      </w:r>
      <w:r w:rsidR="003F18ED" w:rsidRPr="003F18ED">
        <w:rPr>
          <w:noProof/>
          <w:vertAlign w:val="superscript"/>
        </w:rPr>
        <w:t>49</w:t>
      </w:r>
      <w:r w:rsidR="00AE13D9">
        <w:fldChar w:fldCharType="end"/>
      </w:r>
      <w:r w:rsidR="00082E73">
        <w:t xml:space="preserve"> This is against</w:t>
      </w:r>
      <w:r w:rsidR="00FA1912">
        <w:t xml:space="preserve"> a background of an </w:t>
      </w:r>
      <w:r w:rsidR="00082E73">
        <w:t>overall drop</w:t>
      </w:r>
      <w:r w:rsidR="00FA1912">
        <w:t xml:space="preserve"> in smoking prevalence in UK adults from 46% in 1974 to 19% in 2014.</w:t>
      </w:r>
      <w:r w:rsidR="00AE13D9">
        <w:fldChar w:fldCharType="begin" w:fldLock="1"/>
      </w:r>
      <w:r w:rsidR="003F18ED">
        <w:instrText>ADDIN CSL_CITATION { "citationItems" : [ { "id" : "ITEM-1", "itemData" : { "URL" : "http://content.digital.nhs.uk/catalogue/PUB20781/stat-smok-eng-2016-rep.pdf", "accessed" : { "date-parts" : [ [ "2017", "5", "17" ] ] }, "author" : [ { "dropping-particle" : "", "family" : "Public Health England", "given" : "", "non-dropping-particle" : "", "parse-names" : false, "suffix" : "" } ], "id" : "ITEM-1", "issued" : { "date-parts" : [ [ "2014" ] ] }, "title" : "Smoking prevalence in adults: Opinions and lifestyle survey 2014", "type" : "webpage" }, "uris" : [ "http://www.mendeley.com/documents/?uuid=09aad626-cd99-41ef-aa6e-9875db27022f" ] } ], "mendeley" : { "formattedCitation" : "&lt;sup&gt;50&lt;/sup&gt;", "plainTextFormattedCitation" : "50", "previouslyFormattedCitation" : "&lt;sup&gt;50&lt;/sup&gt;" }, "properties" : { "noteIndex" : 0 }, "schema" : "https://github.com/citation-style-language/schema/raw/master/csl-citation.json" }</w:instrText>
      </w:r>
      <w:r w:rsidR="00AE13D9">
        <w:fldChar w:fldCharType="separate"/>
      </w:r>
      <w:r w:rsidR="003F18ED" w:rsidRPr="003F18ED">
        <w:rPr>
          <w:noProof/>
          <w:vertAlign w:val="superscript"/>
        </w:rPr>
        <w:t>50</w:t>
      </w:r>
      <w:r w:rsidR="00AE13D9">
        <w:fldChar w:fldCharType="end"/>
      </w:r>
      <w:r w:rsidR="003C48E7">
        <w:t xml:space="preserve"> </w:t>
      </w:r>
      <w:r w:rsidR="00167566">
        <w:t>The drop in smokers at diagnosis may also reflect changing smoking hab</w:t>
      </w:r>
      <w:r w:rsidR="00082E73">
        <w:t>its in the wake of the UK</w:t>
      </w:r>
      <w:r w:rsidR="00167566">
        <w:t xml:space="preserve"> smoking ban t</w:t>
      </w:r>
      <w:r w:rsidR="007E7AB2">
        <w:t>hat wa</w:t>
      </w:r>
      <w:r w:rsidR="00A77335">
        <w:t>s introduced in July 2007</w:t>
      </w:r>
      <w:r w:rsidR="00FA1912">
        <w:t>,</w:t>
      </w:r>
      <w:r w:rsidR="00AE13D9">
        <w:fldChar w:fldCharType="begin" w:fldLock="1"/>
      </w:r>
      <w:r w:rsidR="003F18ED">
        <w:instrText>ADDIN CSL_CITATION { "citationItems" : [ { "id" : "ITEM-1", "itemData" : { "PMID" : "18812435", "abstract" : "BACKGROUND: In July 2007, legislation banning smoking in public places was introduced in England. This study investigates the impact of this legislation on smoking in Bury. METHODS: A postal survey was undertaken before the implementation of the legislation. The survey was repeated 3 months after the smoking ban. Smoking prevalence was then compared. Participants were randomly selected using the PCT database of people registered with general practitioners. In the baseline and second survey, 3500 questionnaires were sent to participants. In the baseline survey 59.5% responded. In the second survey 56.3% responded. RESULTS: Results were standardized to age and gender bands from Bury's population. The baseline survey found that the standardized prevalence of smoking before the ban was 22.4% and after it was 22.6%. The proportion of smokers reporting that on average they smoked 20 cigarettes a day or greater fell from 27.6 to 21.8% (P = 0.044). CONCLUSIONS: The study found that in Bury the smoking ban did not have a substantial impact on smoking prevalence but had an impact on the proportion of heavy smokers. The measurement of smoking prevalence before the change in legislation can be used to assess its long-term impact on smoking habits in Bury.", "author" : [ { "dropping-particle" : "", "family" : "Elton", "given" : "PJ", "non-dropping-particle" : "", "parse-names" : false, "suffix" : "" }, { "dropping-particle" : "", "family" : "Campbell", "given" : "P", "non-dropping-particle" : "", "parse-names" : false, "suffix" : "" } ], "container-title" : "J Public Health (Oxf). 2008 Dec;30(4):415-20", "id" : "ITEM-1", "issue" : "415-20", "issued" : { "date-parts" : [ [ "2008" ] ] }, "title" : "Smoking prevalence in a north-west town following the introduction of Smoke-free England", "type" : "article-journal", "volume" : "30" }, "uris" : [ "http://www.mendeley.com/documents/?uuid=b0698e0a-65b8-4c25-8359-a1c5267878f6" ] } ], "mendeley" : { "formattedCitation" : "&lt;sup&gt;51&lt;/sup&gt;", "plainTextFormattedCitation" : "51", "previouslyFormattedCitation" : "&lt;sup&gt;51&lt;/sup&gt;" }, "properties" : { "noteIndex" : 0 }, "schema" : "https://github.com/citation-style-language/schema/raw/master/csl-citation.json" }</w:instrText>
      </w:r>
      <w:r w:rsidR="00AE13D9">
        <w:fldChar w:fldCharType="separate"/>
      </w:r>
      <w:r w:rsidR="003F18ED" w:rsidRPr="003F18ED">
        <w:rPr>
          <w:noProof/>
          <w:vertAlign w:val="superscript"/>
        </w:rPr>
        <w:t>51</w:t>
      </w:r>
      <w:r w:rsidR="00AE13D9">
        <w:fldChar w:fldCharType="end"/>
      </w:r>
      <w:r w:rsidR="00FA1912">
        <w:t xml:space="preserve"> in add</w:t>
      </w:r>
      <w:r w:rsidR="00CC2E74">
        <w:t>ition to the introduction of Quality and Outcome Framework</w:t>
      </w:r>
      <w:r w:rsidR="00AA2E51">
        <w:t xml:space="preserve"> (QOF)</w:t>
      </w:r>
      <w:r w:rsidR="00FA1912">
        <w:t xml:space="preserve"> targets</w:t>
      </w:r>
      <w:r w:rsidR="00AA2E51">
        <w:t xml:space="preserve"> in UK general practices</w:t>
      </w:r>
      <w:r w:rsidR="00A77335">
        <w:t>.</w:t>
      </w:r>
      <w:r w:rsidR="00AE13D9">
        <w:fldChar w:fldCharType="begin" w:fldLock="1"/>
      </w:r>
      <w:r w:rsidR="00735E84">
        <w:instrText>ADDIN CSL_CITATION { "citationItems" : [ { "id" : "ITEM-1", "itemData" : { "DOI" : "10.1503/cmaj.061556", "ISBN" : "1488-2329 (Electronic)", "ISSN" : "08203946", "PMID" : "17548383", "abstract" : "BACKGROUND: Many people with diabetes continue to smoke despite being at high risk of cardiovascular disease. We examined the impact of a pay-for-performance incentive in the United Kingdom introduced in 2004 as part of the new general practitioner contract to improve support for smoking cessation and to reduce the prevalence of smoking among people with chronic diseases such as diabetes.\\n\\nMETHODS: We performed a population-based longitudinal study of the recorded delivery of cessation advice and the prevalence of smoking using electronic records of patients with diabetes obtained from participating general practices. The survey was carried out in an ethnically diverse part of southwest London before (June-October 2003) and after (November 2005-January 2006) the introduction of a pay-for-performance incentive.\\n\\nRESULTS: Significantly more patients with diabetes had their smoking status ever recorded in 2005 than in 2003 (98.8% v. 90.0%, p &lt;0.001). The proportion of patients with documented smoking cessation advice also increased significantly over this period, from 48.0% to 83.5% (p &lt; 0.001). The prevalence of smoking decreased significantly from 20.0% to 16.2% (p &lt; 0.001). The reduction over the study period was lower among women (adjusted odds ratio 0.71, 95% confidence interval 0.53-0.95) but was not significantly different in the most and least affluent groups. In 2005, smoking rates continued to differ significantly with age (10.6%-25.1%), sex (women, 11.5%; men, 20.6%) and ethnic background (4.9%-24.9%).\\n\\nINTERPRETATION: The introduction of a pay-for-performance incentive in the United Kingdom increased the provision of support for smoking cessation and was associated with a reduction in smoking prevalence among patients with diabetes in primary health care settings. Health care planners in other countries may wish to consider introducing similar incentive schemes for primary care physicians.", "author" : [ { "dropping-particle" : "", "family" : "Millett", "given" : "Christopher", "non-dropping-particle" : "", "parse-names" : false, "suffix" : "" }, { "dropping-particle" : "", "family" : "Gray", "given" : "Jeremy", "non-dropping-particle" : "", "parse-names" : false, "suffix" : "" }, { "dropping-particle" : "", "family" : "Saxena", "given" : "Sonia", "non-dropping-particle" : "", "parse-names" : false, "suffix" : "" }, { "dropping-particle" : "", "family" : "Netuveli", "given" : "Gopalakrishnan", "non-dropping-particle" : "", "parse-names" : false, "suffix" : "" }, { "dropping-particle" : "", "family" : "Majeed", "given" : "Azeem", "non-dropping-particle" : "", "parse-names" : false, "suffix" : "" } ], "container-title" : "CMAJ", "id" : "ITEM-1", "issue" : "12", "issued" : { "date-parts" : [ [ "2007" ] ] }, "page" : "1705-1710", "title" : "Impact of a pay-for-performance incentive on support for smoking cessation and on smoking prevalence among people with diabetes", "type" : "article-journal", "volume" : "176" }, "uris" : [ "http://www.mendeley.com/documents/?uuid=0ffcabcb-6e34-43e7-8341-faa6b660e8af" ] } ], "mendeley" : { "formattedCitation" : "&lt;sup&gt;28&lt;/sup&gt;", "plainTextFormattedCitation" : "28", "previouslyFormattedCitation" : "&lt;sup&gt;28&lt;/sup&gt;" }, "properties" : { "noteIndex" : 0 }, "schema" : "https://github.com/citation-style-language/schema/raw/master/csl-citation.json" }</w:instrText>
      </w:r>
      <w:r w:rsidR="00AE13D9">
        <w:fldChar w:fldCharType="separate"/>
      </w:r>
      <w:r w:rsidR="00391BF7" w:rsidRPr="00391BF7">
        <w:rPr>
          <w:noProof/>
          <w:vertAlign w:val="superscript"/>
        </w:rPr>
        <w:t>28</w:t>
      </w:r>
      <w:r w:rsidR="00AE13D9">
        <w:fldChar w:fldCharType="end"/>
      </w:r>
      <w:r w:rsidR="00A77335">
        <w:t xml:space="preserve"> I</w:t>
      </w:r>
      <w:r w:rsidR="007E7AB2">
        <w:t>n a sensitivity analysis of our</w:t>
      </w:r>
      <w:r w:rsidR="00417A0D">
        <w:t xml:space="preserve"> own</w:t>
      </w:r>
      <w:r w:rsidR="007E7AB2">
        <w:t xml:space="preserve"> data, </w:t>
      </w:r>
      <w:r w:rsidR="00AA2E51">
        <w:t xml:space="preserve">we found </w:t>
      </w:r>
      <w:r w:rsidR="00833156">
        <w:t>the proportion of CD</w:t>
      </w:r>
      <w:r w:rsidR="007E7AB2">
        <w:t xml:space="preserve"> patients</w:t>
      </w:r>
      <w:r w:rsidR="00833156">
        <w:t xml:space="preserve"> aged 17-40 years (Montreal A2)</w:t>
      </w:r>
      <w:r w:rsidR="007E7AB2">
        <w:t xml:space="preserve"> who smoked at diagnosis dropped</w:t>
      </w:r>
      <w:r w:rsidR="00AA2E51">
        <w:t xml:space="preserve"> significantly</w:t>
      </w:r>
      <w:r w:rsidR="007E7AB2">
        <w:t xml:space="preserve"> from 37%</w:t>
      </w:r>
      <w:r w:rsidR="00A77335">
        <w:t xml:space="preserve"> in the pre-smoking ban era</w:t>
      </w:r>
      <w:r w:rsidR="007E7AB2">
        <w:t xml:space="preserve"> to 30% in the post-smoking ban era, whereas </w:t>
      </w:r>
      <w:r w:rsidR="00417A0D">
        <w:t>there were no changes in the other age categories</w:t>
      </w:r>
      <w:r w:rsidR="007E7AB2">
        <w:t>.</w:t>
      </w:r>
    </w:p>
    <w:p w:rsidR="00A72726" w:rsidRDefault="00A454CA" w:rsidP="00304057">
      <w:pPr>
        <w:spacing w:line="480" w:lineRule="auto"/>
        <w:jc w:val="both"/>
      </w:pPr>
      <w:r w:rsidRPr="0050157D">
        <w:t>That smoking worsens</w:t>
      </w:r>
      <w:r w:rsidR="00AE65B3" w:rsidRPr="0050157D">
        <w:t>, and conversely cessation improves</w:t>
      </w:r>
      <w:r w:rsidRPr="0050157D">
        <w:t xml:space="preserve"> disease course in CD</w:t>
      </w:r>
      <w:r w:rsidR="00AE65B3" w:rsidRPr="0050157D">
        <w:t>,</w:t>
      </w:r>
      <w:r w:rsidRPr="0050157D">
        <w:t xml:space="preserve"> can be explained </w:t>
      </w:r>
      <w:r w:rsidR="00A908CB" w:rsidRPr="0050157D">
        <w:t>by</w:t>
      </w:r>
      <w:r w:rsidR="00AE65B3" w:rsidRPr="0050157D">
        <w:t xml:space="preserve"> a host of</w:t>
      </w:r>
      <w:r w:rsidR="00A908CB" w:rsidRPr="0050157D">
        <w:t xml:space="preserve"> biological, clinical and social factors. </w:t>
      </w:r>
      <w:r w:rsidR="00AE65B3" w:rsidRPr="0050157D">
        <w:t>Tobacco smoke is postulated to</w:t>
      </w:r>
      <w:r w:rsidR="00A22744" w:rsidRPr="0050157D">
        <w:t xml:space="preserve"> c</w:t>
      </w:r>
      <w:r w:rsidR="0017726E" w:rsidRPr="0050157D">
        <w:t>ause inflammation and damage to the gastrointestinal tract</w:t>
      </w:r>
      <w:r w:rsidR="00AE65B3" w:rsidRPr="0050157D">
        <w:t xml:space="preserve"> via a number of mechanisms</w:t>
      </w:r>
      <w:r w:rsidR="00A22744" w:rsidRPr="0050157D">
        <w:t>.</w:t>
      </w:r>
      <w:r w:rsidR="00AE13D9">
        <w:fldChar w:fldCharType="begin" w:fldLock="1"/>
      </w:r>
      <w:r w:rsidR="003F18ED">
        <w:instrText>ADDIN CSL_CITATION { "citationItems" : [ { "id" : "ITEM-1", "itemData" : { "ISSN" : "1554-7914", "PMID" : "23935543", "abstract" : "Crohn's disease (CD) and ulcerative colitis (UC) are chronic immunologically mediated diseases that often have a relapsing-remitting course in young persons. Genetic-risk polymorphisms explain less than one third of the heritability of disease. Epidemiologic and laboratory data suggest that environmental factors play a significant role in influencing the risk and natural history of disease. Smoking is the most widely and consistently described risk factor. It, however, increases the risk of CD while conferring protection against UC. The gut microbiome is a key component in the development of inflammatory bowel disease (IBD). Several external factors potentially exert an effect by influencing the composition of the gut microbiome or disrupting the intestinal barrier. These external influences include the use of antibiotics or nonsteroidal anti-inflammatory drugs and the presence of enteric infections. Data on diet have been inconsistent, but high fiber intake, particularly of soluble fiber, appears to protect against CD, whereas protein intake may increase disease risk. Vitamin D may also play an important protective role, particularly in patients with CD. Neurobehavioral factors, such as stress and depression, also influence the risk of IBD. Systematic and rigorous studies of environmental exposures in the management of IBD are needed. In particular, studies of whether environmental factors can be modified to reduce the likelihood of relapse or improve patient outcomes would be valuable.", "author" : [ { "dropping-particle" : "", "family" : "Ananthakrishnan", "given" : "Ashwin N", "non-dropping-particle" : "", "parse-names" : false, "suffix" : "" } ], "container-title" : "Gastroenterology &amp; hepatology", "id" : "ITEM-1", "issue" : "6", "issued" : { "date-parts" : [ [ "2013" ] ] }, "page" : "367-74", "title" : "Environmental risk factors for inflammatory bowel disease.", "type" : "article-journal", "volume" : "9" }, "uris" : [ "http://www.mendeley.com/documents/?uuid=06db1993-a3a5-4972-8862-dba1a562679b" ] } ], "mendeley" : { "formattedCitation" : "&lt;sup&gt;52&lt;/sup&gt;", "plainTextFormattedCitation" : "52", "previouslyFormattedCitation" : "&lt;sup&gt;52&lt;/sup&gt;" }, "properties" : { "noteIndex" : 0 }, "schema" : "https://github.com/citation-style-language/schema/raw/master/csl-citation.json" }</w:instrText>
      </w:r>
      <w:r w:rsidR="00AE13D9">
        <w:fldChar w:fldCharType="separate"/>
      </w:r>
      <w:r w:rsidR="003F18ED" w:rsidRPr="003F18ED">
        <w:rPr>
          <w:noProof/>
          <w:vertAlign w:val="superscript"/>
        </w:rPr>
        <w:t>52</w:t>
      </w:r>
      <w:r w:rsidR="00AE13D9">
        <w:fldChar w:fldCharType="end"/>
      </w:r>
      <w:r w:rsidR="0050157D">
        <w:t xml:space="preserve"> S</w:t>
      </w:r>
      <w:r w:rsidR="00A22744">
        <w:t>moking may lead to alterations in the intestinal f</w:t>
      </w:r>
      <w:r w:rsidR="0017726E">
        <w:t xml:space="preserve">lora in patients with IBD </w:t>
      </w:r>
      <w:r w:rsidR="00A22744">
        <w:t xml:space="preserve">manifest as decreased species diversity and </w:t>
      </w:r>
      <w:r w:rsidR="001C3A67">
        <w:t xml:space="preserve">reduced anti-inflammatory phyla, </w:t>
      </w:r>
      <w:r w:rsidR="00A22744">
        <w:t xml:space="preserve">for example </w:t>
      </w:r>
      <w:r w:rsidR="00A22744" w:rsidRPr="00506220">
        <w:rPr>
          <w:i/>
        </w:rPr>
        <w:t>Firmicutes</w:t>
      </w:r>
      <w:r w:rsidR="00A22744">
        <w:t>.</w:t>
      </w:r>
      <w:r w:rsidR="00AE13D9">
        <w:fldChar w:fldCharType="begin" w:fldLock="1"/>
      </w:r>
      <w:r w:rsidR="003F18ED">
        <w:instrText>ADDIN CSL_CITATION { "citationItems" : [ { "id" : "ITEM-1", "itemData" : { "DOI" : "10.1038/cti.2016.91", "ISSN" : "2050-0068", "PMID" : "28197336", "author" : [ { "dropping-particle" : "", "family" : "Elsen", "given" : "Lieke Wj", "non-dropping-particle" : "van den", "parse-names" : false, "suffix" : "" }, { "dropping-particle" : "", "family" : "Poyntz", "given" : "Hazel C", "non-dropping-particle" : "", "parse-names" : false, "suffix" : "" }, { "dropping-particle" : "", "family" : "Weyrich", "given" : "Laura S", "non-dropping-particle" : "", "parse-names" : false, "suffix" : "" }, { "dropping-particle" : "", "family" : "Young", "given" : "Wayne", "non-dropping-particle" : "", "parse-names" : false, "suffix" : "" }, { "dropping-particle" : "", "family" : "Forbes-Blom", "given" : "Elizabeth E", "non-dropping-particle" : "", "parse-names" : false, "suffix" : "" } ], "container-title" : "Clinical &amp; Translational Immunology", "id" : "ITEM-1", "issue" : "1", "issued" : { "date-parts" : [ [ "2017" ] ] }, "page" : "e125", "publisher" : "Nature Publishing Group", "title" : "Embracing the gut microbiota: the new frontier for inflammatory and infectious diseases", "type" : "article-journal", "volume" : "6" }, "uris" : [ "http://www.mendeley.com/documents/?uuid=1781ed88-1364-49a1-8fc9-dee2432b3543" ] } ], "mendeley" : { "formattedCitation" : "&lt;sup&gt;53&lt;/sup&gt;", "plainTextFormattedCitation" : "53", "previouslyFormattedCitation" : "&lt;sup&gt;53&lt;/sup&gt;" }, "properties" : { "noteIndex" : 0 }, "schema" : "https://github.com/citation-style-language/schema/raw/master/csl-citation.json" }</w:instrText>
      </w:r>
      <w:r w:rsidR="00AE13D9">
        <w:fldChar w:fldCharType="separate"/>
      </w:r>
      <w:r w:rsidR="003F18ED" w:rsidRPr="003F18ED">
        <w:rPr>
          <w:noProof/>
          <w:vertAlign w:val="superscript"/>
        </w:rPr>
        <w:t>53</w:t>
      </w:r>
      <w:r w:rsidR="00AE13D9">
        <w:fldChar w:fldCharType="end"/>
      </w:r>
      <w:r w:rsidR="00A22744">
        <w:t xml:space="preserve"> </w:t>
      </w:r>
      <w:r w:rsidR="0017726E">
        <w:t xml:space="preserve">Smoking in CD may also increase </w:t>
      </w:r>
      <w:r w:rsidR="00A22744">
        <w:t xml:space="preserve">potentially pro-inflammatory </w:t>
      </w:r>
      <w:proofErr w:type="spellStart"/>
      <w:r w:rsidR="00A22744" w:rsidRPr="008C51A4">
        <w:rPr>
          <w:i/>
        </w:rPr>
        <w:t>Bacteioroides</w:t>
      </w:r>
      <w:proofErr w:type="spellEnd"/>
      <w:r w:rsidR="00A22744">
        <w:t xml:space="preserve"> species.</w:t>
      </w:r>
      <w:r w:rsidR="00AE13D9">
        <w:fldChar w:fldCharType="begin" w:fldLock="1"/>
      </w:r>
      <w:r w:rsidR="003F18ED">
        <w:instrText>ADDIN CSL_CITATION { "citationItems" : [ { "id" : "ITEM-1", "itemData" : { "DOI" : "10.1002/ibd.21864", "ISBN" : "1536-4844 (Electronic)\\r1078-0998 (Linking)", "ISSN" : "10780998", "PMID" : "22102318", "abstract" : "BACKGROUND: Patients with Crohn's disease (CD) have an intestinal dysbiosis with components of the microbiota exerting differential immune effects. Smoking is associated with an increased incidence of CD, more frequent relapse, and greater burden of surgery. This study aimed to investigate the association between smoking and the intestinal microbiota in patients with active CD.\\n\\nMETHODS: Patients with active CD (n = 103) and healthy controls (n = 66) were recruited and demographic and clinical data recorded including current smoking behavior. Fecal samples were collected and analyzed by fluorescent in situ hybridization using probes targeting 16S rRNA of bacteria previously shown to be altered in active CD (bifidobacteria, bacteroides, Clostridium coccoides-Eubacterium rectale, Escherichia coli, and Faecalibacterium prausnitzii).\\n\\nRESULTS: In total, 29/101 (29%) patients with CD and 8/58 (14%) controls were current smokers (P = 0.032). Following multivariate analysis, smoking was found to have a significant and independent effect on the microbiota of patients with CD, with higher Bacteroides-Prevotella in smokers (38.4%) compared with nonsmokers (28.1%) (F((1,93)) = 12.6, P = 0.001). Healthy controls who smoked also had higher Bacteroides-Prevotella (34.8%) than nonsmokers (24.1%) (F((1,55)) = 4.5, P = 0.038). In the pooled multivariate analysis, patients with CD had higher bifidobacteria (F((1,156)) = 30.5, P &lt; 0.001), higher Bacteroides-Prevotella (F((1,156)) = 6.5, P = 0.012), and lower F. prausnitzii (F((1,156)) = 3.8, P = 0.052) compared with healthy controls.\\n\\nCONCLUSIONS: Smokers have luminal microbiota that consist of significantly higher bacteroides. Investigation of whether this is one mechanism through which the negative effects of smoking on CD are mediated is warranted.", "author" : [ { "dropping-particle" : "", "family" : "Benjamin", "given" : "Jane L.", "non-dropping-particle" : "", "parse-names" : false, "suffix" : "" }, { "dropping-particle" : "", "family" : "Hedin", "given" : "Charlotte R H", "non-dropping-particle" : "", "parse-names" : false, "suffix" : "" }, { "dropping-particle" : "", "family" : "Koutsoumpas", "given" : "Andreas", "non-dropping-particle" : "", "parse-names" : false, "suffix" : "" }, { "dropping-particle" : "", "family" : "Ng", "given" : "Siew C.", "non-dropping-particle" : "", "parse-names" : false, "suffix" : "" }, { "dropping-particle" : "", "family" : "McCarthy", "given" : "Neil E.", "non-dropping-particle" : "", "parse-names" : false, "suffix" : "" }, { "dropping-particle" : "", "family" : "Prescott", "given" : "Natalie J.", "non-dropping-particle" : "", "parse-names" : false, "suffix" : "" }, { "dropping-particle" : "", "family" : "Pessoa-Lopes", "given" : "Pedro", "non-dropping-particle" : "", "parse-names" : false, "suffix" : "" }, { "dropping-particle" : "", "family" : "Mathew", "given" : "Christopher G.", "non-dropping-particle" : "", "parse-names" : false, "suffix" : "" }, { "dropping-particle" : "", "family" : "Sanderson", "given" : "Jeremy", "non-dropping-particle" : "", "parse-names" : false, "suffix" : "" }, { "dropping-particle" : "", "family" : "Hart", "given" : "Ailsa L.", "non-dropping-particle" : "", "parse-names" : false, "suffix" : "" }, { "dropping-particle" : "", "family" : "Kamm", "given" : "Michael a.", "non-dropping-particle" : "", "parse-names" : false, "suffix" : "" }, { "dropping-particle" : "", "family" : "Knight", "given" : "Stella C.", "non-dropping-particle" : "", "parse-names" : false, "suffix" : "" }, { "dropping-particle" : "", "family" : "Forbes", "given" : "Alastair", "non-dropping-particle" : "", "parse-names" : false, "suffix" : "" }, { "dropping-particle" : "", "family" : "Stagg", "given" : "Andrew J.", "non-dropping-particle" : "", "parse-names" : false, "suffix" : "" }, { "dropping-particle" : "", "family" : "Lindsay", "given" : "James O.", "non-dropping-particle" : "", "parse-names" : false, "suffix" : "" }, { "dropping-particle" : "", "family" : "Whelan", "given" : "Kevin", "non-dropping-particle" : "", "parse-names" : false, "suffix" : "" } ], "container-title" : "Inflammatory Bowel Diseases", "id" : "ITEM-1", "issue" : "6", "issued" : { "date-parts" : [ [ "2012" ] ] }, "page" : "1092-1100", "title" : "Smokers with active Crohn's disease have a clinically relevant dysbiosis of the gastrointestinal microbiota", "type" : "article-journal", "volume" : "18" }, "uris" : [ "http://www.mendeley.com/documents/?uuid=5bff056b-7a4c-492d-98f3-d9bfb141753e" ] } ], "mendeley" : { "formattedCitation" : "&lt;sup&gt;54&lt;/sup&gt;", "plainTextFormattedCitation" : "54", "previouslyFormattedCitation" : "&lt;sup&gt;54&lt;/sup&gt;" }, "properties" : { "noteIndex" : 0 }, "schema" : "https://github.com/citation-style-language/schema/raw/master/csl-citation.json" }</w:instrText>
      </w:r>
      <w:r w:rsidR="00AE13D9">
        <w:fldChar w:fldCharType="separate"/>
      </w:r>
      <w:r w:rsidR="003F18ED" w:rsidRPr="003F18ED">
        <w:rPr>
          <w:noProof/>
          <w:vertAlign w:val="superscript"/>
        </w:rPr>
        <w:t>54</w:t>
      </w:r>
      <w:r w:rsidR="00AE13D9">
        <w:fldChar w:fldCharType="end"/>
      </w:r>
      <w:r w:rsidR="0050157D">
        <w:t xml:space="preserve"> C</w:t>
      </w:r>
      <w:r w:rsidR="00833156">
        <w:t xml:space="preserve">onstituents of </w:t>
      </w:r>
      <w:r w:rsidR="00A22744">
        <w:t xml:space="preserve">tobacco smoke may </w:t>
      </w:r>
      <w:r w:rsidR="0050157D">
        <w:t xml:space="preserve">inhibit anti-inflammatory pathways, </w:t>
      </w:r>
      <w:proofErr w:type="spellStart"/>
      <w:r w:rsidR="0050157D">
        <w:t>dysregulate</w:t>
      </w:r>
      <w:proofErr w:type="spellEnd"/>
      <w:r w:rsidR="0050157D">
        <w:t xml:space="preserve"> </w:t>
      </w:r>
      <w:proofErr w:type="spellStart"/>
      <w:r w:rsidR="0050157D">
        <w:t>monocyte</w:t>
      </w:r>
      <w:proofErr w:type="spellEnd"/>
      <w:r w:rsidR="0050157D">
        <w:t xml:space="preserve"> function and alter small bowel permeability.</w:t>
      </w:r>
      <w:r w:rsidR="00AE13D9" w:rsidRPr="00424313">
        <w:rPr>
          <w:rFonts w:eastAsiaTheme="minorEastAsia"/>
          <w:vertAlign w:val="superscript"/>
        </w:rPr>
        <w:fldChar w:fldCharType="begin" w:fldLock="1"/>
      </w:r>
      <w:r w:rsidR="003F18ED">
        <w:rPr>
          <w:rFonts w:eastAsiaTheme="minorEastAsia"/>
          <w:vertAlign w:val="superscript"/>
        </w:rPr>
        <w:instrText>ADDIN CSL_CITATION { "citationItems" : [ { "id" : "ITEM-1", "itemData" : { "DOI" : "10.1097/00042737-200206000-00005", "ISBN" : "0954-691X (Print)\\r0954-691X (Linking)", "ISSN" : "0954-691X", "PMID" : "12072594", "abstract" : "BACKGROUND: Cigarette smoking alters the course of inflammatory bowel disease, is associated with protection against ulcerative colitis, but aggravates or has no effect on Crohn's disease. While the aetiology of this discrepancy remains unclear, differences between location of involvement in ulcerative colitis and Crohn's disease have not been examined in these studies. AIM: To examine the effects of nicotine administration on the course of jejunitis and colitis in interleukin-10 deficient mice. METHODS: Male C57/BL10 IL-10 -/- and wild type mice were given nicotine (12.5 microg/ml) in their drinking water at age 12-14 weeks when they had developed clinical signs of inflammatory bowel disease. Gender and age matched control mice received tap water alone. All mice were killed after 2 weeks of treatment. Whole tissue sections of jejunum, proximal and distal colon were separated and examined by macroscopic and histological score. Northern blots were examined for somatostatin, intestinal trefoil factor and mucin-2. RESULTS: At 14-16 weeks, when the mice were killed, IL-10 -/- untreated control mice developed jejunitis (macroscopic score 1.4 +/- 0.5, microscopic score 2.0 +/- 0.2) and colitis (2.0 +/- 0.2 and 5.9 +/- 0.9, respectively). IL-10 -/- mice treated for 2 weeks with nicotine had significantly reduced colonic scores (1.4 +/- 0.6 and 2.2 +/- 0.15, respectively). In contrast, the jejunum was more severely damaged (2.6 +/- 0.4 and 4.0 +/- 0.3; P = 0.01, respectively). Nicotine significantly increased both somatostatin and intestinal trefoil factor mRNA expression in the colon but not in the jejunum; no effect was noted on mucin-2 or beta-actin mRNA expression. CONCLUSIONS: (1) Two weeks of nicotine administration leads to contrasting effects on jejunal and colonic inflammation in IL-10 -/- mice. (2) Nicotine ameliorated inflammation in the colon, which was associated with enhanced expression of two protective peptides.", "author" : [ { "dropping-particle" : "", "family" : "Eliakim", "given" : "Rami", "non-dropping-particle" : "", "parse-names" : false, "suffix" : "" }, { "dropping-particle" : "", "family" : "Fan", "given" : "Qiu Xiang", "non-dropping-particle" : "", "parse-names" : false, "suffix" : "" }, { "dropping-particle" : "", "family" : "Babyatsky", "given" : "Mark W", "non-dropping-particle" : "", "parse-names" : false, "suffix" : "" } ], "container-title" : "European Journal of Gastroenterology &amp; Hepatology", "id" : "ITEM-1", "issue" : "6", "issued" : { "date-parts" : [ [ "2002" ] ] }, "page" : "607-14", "title" : "Chronic nicotine administration differentially alters jejunal and colonic inflammation in interleukin-10 deficient mice.", "type" : "article-journal", "volume" : "14" }, "uris" : [ "http://www.mendeley.com/documents/?uuid=dac6fd5a-99ea-4f0f-ae10-f598083fb739" ] } ], "mendeley" : { "formattedCitation" : "&lt;sup&gt;55&lt;/sup&gt;", "plainTextFormattedCitation" : "55", "previouslyFormattedCitation" : "&lt;sup&gt;55&lt;/sup&gt;" }, "properties" : { "noteIndex" : 0 }, "schema" : "https://github.com/citation-style-language/schema/raw/master/csl-citation.json" }</w:instrText>
      </w:r>
      <w:r w:rsidR="00AE13D9" w:rsidRPr="00424313">
        <w:rPr>
          <w:rFonts w:eastAsiaTheme="minorEastAsia"/>
          <w:vertAlign w:val="superscript"/>
        </w:rPr>
        <w:fldChar w:fldCharType="separate"/>
      </w:r>
      <w:r w:rsidR="003F18ED" w:rsidRPr="003F18ED">
        <w:rPr>
          <w:noProof/>
          <w:vertAlign w:val="superscript"/>
        </w:rPr>
        <w:t>55</w:t>
      </w:r>
      <w:r w:rsidR="00AE13D9" w:rsidRPr="00424313">
        <w:rPr>
          <w:rFonts w:eastAsiaTheme="minorEastAsia"/>
          <w:vertAlign w:val="superscript"/>
        </w:rPr>
        <w:fldChar w:fldCharType="end"/>
      </w:r>
      <w:r w:rsidR="0050157D">
        <w:rPr>
          <w:vertAlign w:val="superscript"/>
        </w:rPr>
        <w:t>,</w:t>
      </w:r>
      <w:r w:rsidR="00AE13D9">
        <w:fldChar w:fldCharType="begin" w:fldLock="1"/>
      </w:r>
      <w:r w:rsidR="003F18ED">
        <w:instrText>ADDIN CSL_CITATION { "citationItems" : [ { "id" : "ITEM-1", "itemData" : { "DOI" : "10.1002/ibd.21889", "ISBN" : "1536-4844 (Electronic)\\r1078-0998 (Linking)", "ISSN" : "1536-4844", "PMID" : "21987436", "abstract" : "BACKGROUND: Epidemiologic data suggest that smoking increases the risk and the severity of Crohn's disease (CD), although it may protect patients with ulcerative colitis (UC). To investigate this paradox, we evaluated the effect of cigarette smoke in the function of blood mononuclear cells from healthy subjects and patients with CD or UC in flare up. METHODS: The production of mediators associated with inflammation but also with protective functions was evaluated by enzyme-linked immunosorbent assay (ELISA) and enzyme immunoassay (EIA), following either in vivo or in vitro exposure to cigarette smoke. RESULTS: We found that mononuclear cells from smokers with CD were functionally impaired. These cells secreted lower levels of chemokines and cytokines as compared with nonsmoker counterparts, whereas healthy smokers or smokers with UC were not affected. Similar findings were noted after in vitro exposure to cigarette smoke extract. In addition, cells from patients with CD who smoke presented a defective sensitivity to antiinflammatory or antioxidant protection, and particularly synthesized lower levels of cytoprotective Hsp70. The effects observed were not due to diminished cell viability. Our experiments suggest that cigarette smoke-related responses were largely dependent on oxidative stress generated, and not on the nicotine component. CONCLUSIONS: Overall, our data point out the presence of biological differences between blood mononuclear cells from patients with CD and UC toward cigarette smoke that might support its opposite role in both diseases.", "author" : [ { "dropping-particle" : "", "family" : "Bergeron", "given" : "V", "non-dropping-particle" : "", "parse-names" : false, "suffix" : "" }, { "dropping-particle" : "", "family" : "Grondin", "given" : "V", "non-dropping-particle" : "", "parse-names" : false, "suffix" : "" }, { "dropping-particle" : "", "family" : "Rajca", "given" : "S", "non-dropping-particle" : "", "parse-names" : false, "suffix" : "" }, { "dropping-particle" : "", "family" : "Maubert", "given" : "M a", "non-dropping-particle" : "", "parse-names" : false, "suffix" : "" }, { "dropping-particle" : "", "family" : "Pigneur", "given" : "B", "non-dropping-particle" : "", "parse-names" : false, "suffix" : "" }, { "dropping-particle" : "", "family" : "Thomas", "given" : "G", "non-dropping-particle" : "", "parse-names" : false, "suffix" : "" }, { "dropping-particle" : "", "family" : "Trugnan", "given" : "G", "non-dropping-particle" : "", "parse-names" : false, "suffix" : "" }, { "dropping-particle" : "", "family" : "Beaugerie", "given" : "L", "non-dropping-particle" : "", "parse-names" : false, "suffix" : "" }, { "dropping-particle" : "", "family" : "Cosnes", "given" : "J", "non-dropping-particle" : "", "parse-names" : false, "suffix" : "" }, { "dropping-particle" : "", "family" : "Masliah", "given" : "J", "non-dropping-particle" : "", "parse-names" : false, "suffix" : "" }, { "dropping-particle" : "", "family" : "Sokol", "given" : "H", "non-dropping-particle" : "", "parse-names" : false, "suffix" : "" }, { "dropping-particle" : "", "family" : "Seksik", "given" : "P", "non-dropping-particle" : "", "parse-names" : false, "suffix" : "" }, { "dropping-particle" : "", "family" : "Bachelet", "given" : "M", "non-dropping-particle" : "", "parse-names" : false, "suffix" : "" } ], "container-title" : "Inflamm Bowel Dis", "id" : "ITEM-1", "issue" : "6", "issued" : { "date-parts" : [ [ "2012" ] ] }, "page" : "1101-1111", "title" : "Current smoking differentially affects blood mononuclear cells from patients with Crohn's disease and ulcerative colitis: relevance to its adverse role in the disease", "type" : "article-journal", "volume" : "18" }, "uris" : [ "http://www.mendeley.com/documents/?uuid=2f80a017-e023-49f1-8be2-17d9545c17c0" ] } ], "mendeley" : { "formattedCitation" : "&lt;sup&gt;56&lt;/sup&gt;", "plainTextFormattedCitation" : "56", "previouslyFormattedCitation" : "&lt;sup&gt;56&lt;/sup&gt;" }, "properties" : { "noteIndex" : 0 }, "schema" : "https://github.com/citation-style-language/schema/raw/master/csl-citation.json" }</w:instrText>
      </w:r>
      <w:r w:rsidR="00AE13D9">
        <w:fldChar w:fldCharType="separate"/>
      </w:r>
      <w:r w:rsidR="003F18ED" w:rsidRPr="003F18ED">
        <w:rPr>
          <w:noProof/>
          <w:vertAlign w:val="superscript"/>
        </w:rPr>
        <w:t>56</w:t>
      </w:r>
      <w:r w:rsidR="00AE13D9">
        <w:fldChar w:fldCharType="end"/>
      </w:r>
      <w:r w:rsidR="0050157D">
        <w:rPr>
          <w:vertAlign w:val="superscript"/>
        </w:rPr>
        <w:t>,</w:t>
      </w:r>
      <w:r w:rsidR="00AE13D9">
        <w:fldChar w:fldCharType="begin" w:fldLock="1"/>
      </w:r>
      <w:r w:rsidR="003F18ED">
        <w:instrText>ADDIN CSL_CITATION { "citationItems" : [ { "id" : "ITEM-1", "itemData" : { "DOI" : "10.1016/j.crohns.2014.08.008", "ISSN" : "18764479", "PMID" : "25205553", "abstract" : "Aims: To observe the effect of cigarette smoke (CS) on the small bowel and colon in mice and to attempt to explain the potential mechanisms that account for these effects. Methods: Male BALB/c mice age 6-8. weeks were randomly divided into a CS group and a control group (n. = 10 per group). CS mice were exposed to CS (five cigarettes each time, four times a day for 5. days a week using Hamburg II smoking machine and CS was diluted with air at a ratio of 1:6) for 10. weeks, and control mice were exposed to room air. After 10. weeks, mice were sacrificed for analysis (colon and small bowel). Results: CS exposure impaired the intestinal barrier of the small bowel, based on evidence that CS mice exhibited increased intestinal permeability, bacterial translocation, intestinal villi atrophy, damaged tight junctions and abnormal tight junction proteins. These changes were partly mediated through the activated NF-\u03baB (p65) signalling pathway. However, no obvious changes associated with the intestinal barrier were identified in the small bowel of control mice or the colons of control or CS mice. Conclusions: CS is associated with intestinal barrier dysfunction in the small intestine but not in the large intestine of mice.", "author" : [ { "dropping-particle" : "", "family" : "Zuo", "given" : "Lugen", "non-dropping-particle" : "", "parse-names" : false, "suffix" : "" }, { "dropping-particle" : "", "family" : "Li", "given" : "Yi", "non-dropping-particle" : "", "parse-names" : false, "suffix" : "" }, { "dropping-particle" : "", "family" : "Wang", "given" : "Honggang", "non-dropping-particle" : "", "parse-names" : false, "suffix" : "" }, { "dropping-particle" : "", "family" : "Wu", "given" : "Rong", "non-dropping-particle" : "", "parse-names" : false, "suffix" : "" }, { "dropping-particle" : "", "family" : "Zhu", "given" : "Weiming", "non-dropping-particle" : "", "parse-names" : false, "suffix" : "" }, { "dropping-particle" : "", "family" : "Zhang", "given" : "Wei", "non-dropping-particle" : "", "parse-names" : false, "suffix" : "" }, { "dropping-particle" : "", "family" : "Cao", "given" : "Lei", "non-dropping-particle" : "", "parse-names" : false, "suffix" : "" }, { "dropping-particle" : "", "family" : "Gu", "given" : "Lili", "non-dropping-particle" : "", "parse-names" : false, "suffix" : "" }, { "dropping-particle" : "", "family" : "Gong", "given" : "Jianfeng", "non-dropping-particle" : "", "parse-names" : false, "suffix" : "" }, { "dropping-particle" : "", "family" : "Li", "given" : "Ning", "non-dropping-particle" : "", "parse-names" : false, "suffix" : "" }, { "dropping-particle" : "", "family" : "Li", "given" : "Jieshou", "non-dropping-particle" : "", "parse-names" : false, "suffix" : "" } ], "container-title" : "Journal of Crohn's and Colitis", "id" : "ITEM-1", "issue" : "12", "issued" : { "date-parts" : [ [ "2014" ] ] }, "page" : "1710-1722", "title" : "Cigarette smoking is associated with intestinal barrier dysfunction in the small intestine but not in the large intestine of mice", "type" : "article-journal", "volume" : "8" }, "uris" : [ "http://www.mendeley.com/documents/?uuid=b4b9a552-4992-4223-b048-628e3a60cd6e" ] } ], "mendeley" : { "formattedCitation" : "&lt;sup&gt;57&lt;/sup&gt;", "plainTextFormattedCitation" : "57", "previouslyFormattedCitation" : "&lt;sup&gt;57&lt;/sup&gt;" }, "properties" : { "noteIndex" : 0 }, "schema" : "https://github.com/citation-style-language/schema/raw/master/csl-citation.json" }</w:instrText>
      </w:r>
      <w:r w:rsidR="00AE13D9">
        <w:fldChar w:fldCharType="separate"/>
      </w:r>
      <w:r w:rsidR="003F18ED" w:rsidRPr="003F18ED">
        <w:rPr>
          <w:noProof/>
          <w:vertAlign w:val="superscript"/>
        </w:rPr>
        <w:t>57</w:t>
      </w:r>
      <w:r w:rsidR="00AE13D9">
        <w:fldChar w:fldCharType="end"/>
      </w:r>
    </w:p>
    <w:p w:rsidR="00A908CB" w:rsidRDefault="009973AA" w:rsidP="00304057">
      <w:pPr>
        <w:spacing w:line="480" w:lineRule="auto"/>
        <w:jc w:val="both"/>
      </w:pPr>
      <w:r>
        <w:t xml:space="preserve">Smoking may </w:t>
      </w:r>
      <w:r w:rsidR="001C3A67">
        <w:t xml:space="preserve">also </w:t>
      </w:r>
      <w:r>
        <w:t>impact on</w:t>
      </w:r>
      <w:r w:rsidR="001C3A67">
        <w:t xml:space="preserve"> the efficacy of CD-specific medication</w:t>
      </w:r>
      <w:r>
        <w:t xml:space="preserve">. Smokers are more likely to discontinue </w:t>
      </w:r>
      <w:proofErr w:type="spellStart"/>
      <w:r>
        <w:t>thiopurine</w:t>
      </w:r>
      <w:proofErr w:type="spellEnd"/>
      <w:r>
        <w:t xml:space="preserve"> therapy because of side effects.</w:t>
      </w:r>
      <w:r w:rsidR="00AE13D9">
        <w:fldChar w:fldCharType="begin" w:fldLock="1"/>
      </w:r>
      <w:r w:rsidR="003F18ED">
        <w:instrText>ADDIN CSL_CITATION { "citationItems" : [ { "id" : "ITEM-1", "itemData" : { "DOI" : "10.1002/ibd.21456", "ISBN" : "1536-4844 (Electronic)\\r1078-0998 (Linking)", "ISSN" : "10780998", "PMID" : "20824819", "abstract" : "BACKGROUND:: The influence of smoking on inflammatory bowel disease (IBD) susceptibility and on its clinical course is well known, but not its impact on drug efficacy. The aim of this study was to evaluate the response to thiopurines in patients with steroid-dependent IBD according to their smoking habits. METHODS:: The medical records of 163 IBD patients (103 Crohn's disease [CD], 60 ulcerative colitis [UC]) in whom thiopurines were started because of steroid-dependency were reviewed. Therapeutic response was defined by steroid-free clinical remission for at least 6 months after 12 months of starting thiopurines. Clinical data and smoking status at diagnosis, at the time thiopurines were started, and during the follow-up were registered. RESULTS:: A therapeutic response was obtained in 72% of CD and 61% of UC patients. Smoking habits did not influence the rate of response to thiopurines, the need for rescue therapies, or the development of penetrating/stricturing complications (CD) or proximal progression (UC). However, CD responders who continued smoking required new courses of steroids more often during follow-up. No influence of smoking was found when these outcomes were analyzed depending on gender or disease location. In the multivariate analysis, smoking status was the only predictive factor of drug tolerance. CONCLUSIONS:: Active smoking does not influence the response to thiopurines in steroid-dependent IBD, but may decrease the likelihood of drug tolerance. (Inflamm Bowel Dis 2010;).", "author" : [ { "dropping-particle" : "", "family" : "Dom\u00e8nech", "given" : "Eugeni", "non-dropping-particle" : "", "parse-names" : false, "suffix" : "" }, { "dropping-particle" : "", "family" : "Carri\u00f3n", "given" : "S\u00edlvia", "non-dropping-particle" : "", "parse-names" : false, "suffix" : "" }, { "dropping-particle" : "", "family" : "Garcia-Planella", "given" : "Esther", "non-dropping-particle" : "", "parse-names" : false, "suffix" : "" }, { "dropping-particle" : "", "family" : "Ma\u00f1osa", "given" : "M\u00edriam", "non-dropping-particle" : "", "parse-names" : false, "suffix" : "" }, { "dropping-particle" : "", "family" : "Gordillo", "given" : "Jordi", "non-dropping-particle" : "", "parse-names" : false, "suffix" : "" }, { "dropping-particle" : "", "family" : "Concepci\u00f3n", "given" : "Mar", "non-dropping-particle" : "", "parse-names" : false, "suffix" : "" }, { "dropping-particle" : "", "family" : "Guarner", "given" : "Carlos", "non-dropping-particle" : "", "parse-names" : false, "suffix" : "" }, { "dropping-particle" : "", "family" : "Cabr\u00e9", "given" : "Eduard", "non-dropping-particle" : "", "parse-names" : false, "suffix" : "" } ], "container-title" : "Inflammatory Bowel Diseases", "id" : "ITEM-1", "issue" : "4", "issued" : { "date-parts" : [ [ "2011" ] ] }, "page" : "971-975", "title" : "Smoking status and response to thiopurines in steroid-dependent inflammatory bowel disease", "type" : "article-journal", "volume" : "17" }, "uris" : [ "http://www.mendeley.com/documents/?uuid=c814336c-e28d-4b23-9e88-67a6cc1720c6" ] } ], "mendeley" : { "formattedCitation" : "&lt;sup&gt;47&lt;/sup&gt;", "plainTextFormattedCitation" : "47", "previouslyFormattedCitation" : "&lt;sup&gt;47&lt;/sup&gt;" }, "properties" : { "noteIndex" : 0 }, "schema" : "https://github.com/citation-style-language/schema/raw/master/csl-citation.json" }</w:instrText>
      </w:r>
      <w:r w:rsidR="00AE13D9">
        <w:fldChar w:fldCharType="separate"/>
      </w:r>
      <w:r w:rsidR="003F18ED" w:rsidRPr="003F18ED">
        <w:rPr>
          <w:noProof/>
          <w:vertAlign w:val="superscript"/>
        </w:rPr>
        <w:t>47</w:t>
      </w:r>
      <w:r w:rsidR="00AE13D9">
        <w:fldChar w:fldCharType="end"/>
      </w:r>
      <w:r>
        <w:t xml:space="preserve"> Smoking has also been suggested to reduce the effectiveness of biologic therapies, but this a</w:t>
      </w:r>
      <w:r w:rsidR="001C3A67">
        <w:t>ssociation remains unconfirmed</w:t>
      </w:r>
      <w:r>
        <w:t>.</w:t>
      </w:r>
      <w:r w:rsidR="00AE13D9">
        <w:fldChar w:fldCharType="begin" w:fldLock="1"/>
      </w:r>
      <w:r w:rsidR="003F18ED">
        <w:instrText>ADDIN CSL_CITATION { "citationItems" : [ { "id" : "ITEM-1", "itemData" : { "ISBN" : "0835-7900 (Print)\\r0835-7900 (Linking)", "ISSN" : "08357900", "PMID" : "19214288", "abstract" : "Crohn's disease (CD) is an idiopathic inflammatory bowel disease and has no known cure. CD symptoms are treated using an array of medicines, including biological agents such as infliximab. However, infliximab therapy is expensive; therefore, identifying variables that can help predict response to infliximab is worthwhile. The present article reviews the impact of tobacco smoking on the efficacy of infliximab in CD. Earlier studies have speculated that smoking has a negative effect on the response to infliximab in CD, but the current literature is largely unable to identify a significant relationship between the two. Although smoking is known to have a negative effect on the course of CD, as well as other organ systems, presently, a CD patient's smoking status should not influence treatment decisions regarding infliximab therapy.", "author" : [ { "dropping-particle" : "", "family" : "Narula", "given" : "Neeraj", "non-dropping-particle" : "", "parse-names" : false, "suffix" : "" }, { "dropping-particle" : "", "family" : "Fedorak", "given" : "Richard N.", "non-dropping-particle" : "", "parse-names" : false, "suffix" : "" } ], "container-title" : "Canadian Journal of Gastroenterology", "id" : "ITEM-1", "issue" : "2", "issued" : { "date-parts" : [ [ "2009" ] ] }, "page" : "121-125", "title" : "Does smoking reduce infliximab's effectiveness against Crohn's disease?", "type" : "article-journal", "volume" : "23" }, "uris" : [ "http://www.mendeley.com/documents/?uuid=8557f0f0-cf3d-4646-ae4c-e9db7adfaac0" ] } ], "mendeley" : { "formattedCitation" : "&lt;sup&gt;58&lt;/sup&gt;", "plainTextFormattedCitation" : "58", "previouslyFormattedCitation" : "&lt;sup&gt;58&lt;/sup&gt;" }, "properties" : { "noteIndex" : 0 }, "schema" : "https://github.com/citation-style-language/schema/raw/master/csl-citation.json" }</w:instrText>
      </w:r>
      <w:r w:rsidR="00AE13D9">
        <w:fldChar w:fldCharType="separate"/>
      </w:r>
      <w:r w:rsidR="003F18ED" w:rsidRPr="003F18ED">
        <w:rPr>
          <w:noProof/>
          <w:vertAlign w:val="superscript"/>
        </w:rPr>
        <w:t>58</w:t>
      </w:r>
      <w:r w:rsidR="00AE13D9">
        <w:fldChar w:fldCharType="end"/>
      </w:r>
      <w:r w:rsidR="001C3A67">
        <w:t xml:space="preserve"> Furthermore, reports from</w:t>
      </w:r>
      <w:r w:rsidR="00B452D2">
        <w:t xml:space="preserve"> some non-IBD population</w:t>
      </w:r>
      <w:r w:rsidR="001C3A67">
        <w:t>s indicate</w:t>
      </w:r>
      <w:r w:rsidR="00B452D2">
        <w:t xml:space="preserve"> medication adherence amongst sm</w:t>
      </w:r>
      <w:r w:rsidR="00BA1D63">
        <w:t>okers may be worse</w:t>
      </w:r>
      <w:r w:rsidR="00B452D2">
        <w:t>.</w:t>
      </w:r>
      <w:r w:rsidR="00AE13D9">
        <w:fldChar w:fldCharType="begin" w:fldLock="1"/>
      </w:r>
      <w:r w:rsidR="003F18ED">
        <w:instrText>ADDIN CSL_CITATION { "citationItems" : [ { "id" : "ITEM-1", "itemData" : { "PMID" : "24105731", "abstract" : "PURPOSE: To assess the factors influencing adherence in long-term medication use as exemplified by statins. METHODS: Data from an in-depth survey of Australians aged 45 years and over were linked to national prescription reimbursement data to assess medication possession ratio (MPR) for statins for the middle two years of a four-year period of statin possession. Poisson regression was used to calculate the relative risk (RR) for adherence (MPR \u2265 80%) for patient characteristics and factors related to access to and need for health care services. Separate models were fit for patients receiving healthcare concession subsidies and those who do not ('general beneficiaries'). RESULTS: In the analysis, 42 492 concessional and 16 110 general beneficiary patients were included, with 80.1% and 56.7% showing MPR \u2265 80%, respectively. In both models, RR for adherence was significantly elevated for older (age 65+) and less healthy (worse self-rated health, pre-existing heart condition or obese) individuals, and for those who had private health insurance. Significantly lower RR (i.e. more non-adherence) was found for individuals reporting speaking a language other than English at home, who were smokers, were employed, and had higher levels of education, and for those who reported psychological distress. Income had no significant relationship with adherence, and the pattern of adherence by remoteness of area of residence was inconsistent. CONCLUSIONS: Poor adherence in long-term use of statins is commonplace, but a number of key predictors-including age, language other than English spoken at home, smoking status and psychological distress-are readily assessable by the prescribing practice.", "author" : [ { "dropping-particle" : "", "family" : "Warren", "given" : "JR", "non-dropping-particle" : "", "parse-names" : false, "suffix" : "" }, { "dropping-particle" : "", "family" : "Falster", "given" : "MO", "non-dropping-particle" : "", "parse-names" : false, "suffix" : "" }, { "dropping-particle" : "", "family" : "Fox", "given" : "D", "non-dropping-particle" : "", "parse-names" : false, "suffix" : "" }, { "dropping-particle" : "", "family" : "Jorm", "given" : "L", "non-dropping-particle" : "", "parse-names" : false, "suffix" : "" } ], "container-title" : "Pharmacoepidemiol Drug Saf.", "id" : "ITEM-1", "issue" : "12", "issued" : { "date-parts" : [ [ "2013" ] ] }, "page" : "1298-307", "title" : "Factors influencing adherence in long-term use of statins", "type" : "article-journal", "volume" : "22" }, "uris" : [ "http://www.mendeley.com/documents/?uuid=fa3a6017-6c6a-4a39-8522-8813d6d487bf" ] } ], "mendeley" : { "formattedCitation" : "&lt;sup&gt;59&lt;/sup&gt;", "plainTextFormattedCitation" : "59", "previouslyFormattedCitation" : "&lt;sup&gt;59&lt;/sup&gt;" }, "properties" : { "noteIndex" : 0 }, "schema" : "https://github.com/citation-style-language/schema/raw/master/csl-citation.json" }</w:instrText>
      </w:r>
      <w:r w:rsidR="00AE13D9">
        <w:fldChar w:fldCharType="separate"/>
      </w:r>
      <w:r w:rsidR="003F18ED" w:rsidRPr="003F18ED">
        <w:rPr>
          <w:noProof/>
          <w:vertAlign w:val="superscript"/>
        </w:rPr>
        <w:t>59</w:t>
      </w:r>
      <w:r w:rsidR="00AE13D9">
        <w:fldChar w:fldCharType="end"/>
      </w:r>
    </w:p>
    <w:p w:rsidR="00304057" w:rsidRDefault="00304057" w:rsidP="00304057">
      <w:pPr>
        <w:pStyle w:val="Heading2"/>
        <w:spacing w:line="480" w:lineRule="auto"/>
        <w:rPr>
          <w:rFonts w:asciiTheme="minorHAnsi" w:hAnsiTheme="minorHAnsi"/>
        </w:rPr>
      </w:pPr>
      <w:r w:rsidRPr="00304057">
        <w:rPr>
          <w:rFonts w:asciiTheme="minorHAnsi" w:hAnsiTheme="minorHAnsi"/>
        </w:rPr>
        <w:lastRenderedPageBreak/>
        <w:t>Strengths and limitations</w:t>
      </w:r>
    </w:p>
    <w:p w:rsidR="00304057" w:rsidRDefault="00D02968" w:rsidP="00304057">
      <w:pPr>
        <w:spacing w:line="480" w:lineRule="auto"/>
        <w:jc w:val="both"/>
      </w:pPr>
      <w:r>
        <w:t xml:space="preserve">This is the </w:t>
      </w:r>
      <w:r w:rsidR="00F411C1">
        <w:t>first</w:t>
      </w:r>
      <w:r>
        <w:t xml:space="preserve"> population-based study investi</w:t>
      </w:r>
      <w:r w:rsidR="00F411C1">
        <w:t>gating the impact of smoking cessation</w:t>
      </w:r>
      <w:r>
        <w:t xml:space="preserve"> on disease outcomes in patients with </w:t>
      </w:r>
      <w:proofErr w:type="spellStart"/>
      <w:r>
        <w:t>Crohn's</w:t>
      </w:r>
      <w:proofErr w:type="spellEnd"/>
      <w:r>
        <w:t xml:space="preserve"> disease. Data were drawn from a large nationally representative validated research database free of referral centre bias</w:t>
      </w:r>
      <w:r w:rsidR="00D97D56">
        <w:t>.</w:t>
      </w:r>
      <w:r w:rsidR="00F264E8">
        <w:t xml:space="preserve"> </w:t>
      </w:r>
      <w:r w:rsidR="00CE457E">
        <w:t>CPRD has</w:t>
      </w:r>
      <w:r w:rsidR="00F658EF">
        <w:t xml:space="preserve"> previously</w:t>
      </w:r>
      <w:r w:rsidR="00CE457E">
        <w:t xml:space="preserve"> </w:t>
      </w:r>
      <w:r w:rsidR="00F658EF">
        <w:t xml:space="preserve">been validated as a tool to study </w:t>
      </w:r>
      <w:r w:rsidR="00201E3C">
        <w:t>IBD, including smoking exposure</w:t>
      </w:r>
      <w:r w:rsidR="00CE457E">
        <w:t>.</w:t>
      </w:r>
      <w:r w:rsidR="00AE13D9">
        <w:fldChar w:fldCharType="begin" w:fldLock="1"/>
      </w:r>
      <w:r w:rsidR="00735E84">
        <w:instrText>ADDIN CSL_CITATION { "citationItems" : [ { "id" : "ITEM-1", "itemData" : { "DOI" : "10.1002/pds.698", "ISSN" : "1053-8569", "PMID" : "12051120", "abstract" : "PURPOSE: The objective of this study was to evaluate the validity and completeness of the General Practice Research Database (GPRD) as a tool for research into inflammatory bowel disease epidemiology. METHODS: Patients diagnosed with inflammatory bowel disease were identified from GPRD. Mailed surveys were sent to the general practitioner caring for a stratified random sample of 170 of these patients and collected information on the diagnosis of inflammatory bowel disease and the most recent surgery and hospitalization. RESULTS: Usable surveys were returned for 157 patients (92%). The inflammatory bowel disease diagnosis was highly probable or probable in 144 (92%, 95% CI 86 to 96%). Among the 53 patients with a potentially incident inflammatory bowel disease diagnosis, 33 (62%) had the first recorded diagnosis in GPRD within 30 days of the date reported in the survey (median difference -8 days; interquartile range 0 to -81 days). Of 12 surgeries and 25 hospitalizations reported in the survey, 11 (92%) and 19 (76%) were identified in GPRD, respectively. CONCLUSIONS: The diagnosis of inflammatory bowel disease in GPRD appears reliable for most patients. Important medical events such as hospitalizations and surgery are recorded at a high rate, although algorithms to identify these events are complex.", "author" : [ { "dropping-particle" : "", "family" : "Lewis", "given" : "James D", "non-dropping-particle" : "", "parse-names" : false, "suffix" : "" }, { "dropping-particle" : "", "family" : "Brensinger", "given" : "Colleen", "non-dropping-particle" : "", "parse-names" : false, "suffix" : "" }, { "dropping-particle" : "", "family" : "Bilker", "given" : "Warren B", "non-dropping-particle" : "", "parse-names" : false, "suffix" : "" }, { "dropping-particle" : "", "family" : "Strom", "given" : "Brian L", "non-dropping-particle" : "", "parse-names" : false, "suffix" : "" } ], "container-title" : "Pharmacoepidemiology and drug safety", "id" : "ITEM-1", "issue" : "3", "issued" : { "date-parts" : [ [ "2002" ] ] }, "page" : "211-218", "title" : "Validity and completeness of the General Practice Research Database for studies of inflammatory bowel disease.", "type" : "article-journal", "volume" : "11" }, "uris" : [ "http://www.mendeley.com/documents/?uuid=8b3b1512-e55d-42bd-94f7-274d15354abc" ] } ], "mendeley" : { "formattedCitation" : "&lt;sup&gt;20&lt;/sup&gt;", "plainTextFormattedCitation" : "20", "previouslyFormattedCitation" : "&lt;sup&gt;20&lt;/sup&gt;" }, "properties" : { "noteIndex" : 0 }, "schema" : "https://github.com/citation-style-language/schema/raw/master/csl-citation.json" }</w:instrText>
      </w:r>
      <w:r w:rsidR="00AE13D9">
        <w:fldChar w:fldCharType="separate"/>
      </w:r>
      <w:r w:rsidR="00391BF7" w:rsidRPr="00391BF7">
        <w:rPr>
          <w:noProof/>
          <w:vertAlign w:val="superscript"/>
        </w:rPr>
        <w:t>20</w:t>
      </w:r>
      <w:r w:rsidR="00AE13D9">
        <w:fldChar w:fldCharType="end"/>
      </w:r>
      <w:r w:rsidR="00C91833">
        <w:rPr>
          <w:vertAlign w:val="superscript"/>
        </w:rPr>
        <w:t>,</w:t>
      </w:r>
      <w:r w:rsidR="00AE13D9">
        <w:fldChar w:fldCharType="begin" w:fldLock="1"/>
      </w:r>
      <w:r w:rsidR="003F18ED">
        <w:instrText>ADDIN CSL_CITATION { "citationItems" : [ { "id" : "ITEM-1", "itemData" : { "DOI" : "10.1002/pds.902", "ISBN" : "1053-8569 (Print) 1053-8569 (Linking)", "ISSN" : "10538569", "PMID" : "15269927", "abstract" : "BACKGROUND: Cigarette smoking is a common habit that is associated with many diseases. Smoking is often an important confounding variable in pharmacoepidemiological studies. The General Practice Research Database (GPRD) is widely used in pharmacoepidemiological research. In this study, we compare data recorded in the GPRD with the smoking history obtained from direct query of general practitioners (GPs) and from a population-based survey. METHODS: We completed a mailed survey of GPs caring for a random sample of 150 patients with inflammatory bowel disease. The survey asked the GP to categorize the patients smoking status on a specified date. These results were then compared to the data recorded in the GPRD. Smoking status of 225,308 randomly selected GPRD patients without inflammatory bowel disease was compared to the results of a population-based household survey. RESULTS: Completed surveys with usable data were received from GPs on 136 of the 150 patients (91%). The sensitivity and positive predictive value of the database for current smoking were 78% (95% CI: 52-94) and 70% (95% CI: 46-88) respectively. The sensitivity and positive predictive value of former smoking were 53% (95% CI: 28-77) and 60% (95% CI: 32-84) respectively. Current and former smoking rates in the GPRD were 79% and 29% respectively of expected rates according to the population-based survey. CONCLUSIONS: Current smoking is more completely recorded in the GPRD than former smoking. These data need to be considered when planning GPRD studies where smoking is an important exposure variable.", "author" : [ { "dropping-particle" : "", "family" : "Lewis", "given" : "James D.", "non-dropping-particle" : "", "parse-names" : false, "suffix" : "" }, { "dropping-particle" : "", "family" : "Brensinger", "given" : "Colleen", "non-dropping-particle" : "", "parse-names" : false, "suffix" : "" } ], "container-title" : "Pharmacoepidemiology and Drug Safety", "id" : "ITEM-1", "issue" : "7", "issued" : { "date-parts" : [ [ "2004" ] ] }, "page" : "437-441", "title" : "Agreement between GPRD smoking data: A survey of general practitioners and a population-based survey", "type" : "article-journal", "volume" : "13" }, "uris" : [ "http://www.mendeley.com/documents/?uuid=3031ee17-03d5-4adb-adf4-bc661559df83" ] } ], "mendeley" : { "formattedCitation" : "&lt;sup&gt;60&lt;/sup&gt;", "plainTextFormattedCitation" : "60", "previouslyFormattedCitation" : "&lt;sup&gt;60&lt;/sup&gt;" }, "properties" : { "noteIndex" : 0 }, "schema" : "https://github.com/citation-style-language/schema/raw/master/csl-citation.json" }</w:instrText>
      </w:r>
      <w:r w:rsidR="00AE13D9">
        <w:fldChar w:fldCharType="separate"/>
      </w:r>
      <w:r w:rsidR="003F18ED" w:rsidRPr="003F18ED">
        <w:rPr>
          <w:noProof/>
          <w:vertAlign w:val="superscript"/>
        </w:rPr>
        <w:t>60</w:t>
      </w:r>
      <w:r w:rsidR="00AE13D9">
        <w:fldChar w:fldCharType="end"/>
      </w:r>
      <w:r w:rsidR="00D97D56">
        <w:t xml:space="preserve"> </w:t>
      </w:r>
      <w:r>
        <w:t>Completeness for the recording of smoking status is reported at over 98% in some patient populations.</w:t>
      </w:r>
      <w:r w:rsidR="00AE13D9">
        <w:fldChar w:fldCharType="begin" w:fldLock="1"/>
      </w:r>
      <w:r w:rsidR="00735E84">
        <w:instrText>ADDIN CSL_CITATION { "citationItems" : [ { "id" : "ITEM-1", "itemData" : { "DOI" : "10.1503/cmaj.061556", "ISBN" : "1488-2329 (Electronic)", "ISSN" : "08203946", "PMID" : "17548383", "abstract" : "BACKGROUND: Many people with diabetes continue to smoke despite being at high risk of cardiovascular disease. We examined the impact of a pay-for-performance incentive in the United Kingdom introduced in 2004 as part of the new general practitioner contract to improve support for smoking cessation and to reduce the prevalence of smoking among people with chronic diseases such as diabetes.\\n\\nMETHODS: We performed a population-based longitudinal study of the recorded delivery of cessation advice and the prevalence of smoking using electronic records of patients with diabetes obtained from participating general practices. The survey was carried out in an ethnically diverse part of southwest London before (June-October 2003) and after (November 2005-January 2006) the introduction of a pay-for-performance incentive.\\n\\nRESULTS: Significantly more patients with diabetes had their smoking status ever recorded in 2005 than in 2003 (98.8% v. 90.0%, p &lt;0.001). The proportion of patients with documented smoking cessation advice also increased significantly over this period, from 48.0% to 83.5% (p &lt; 0.001). The prevalence of smoking decreased significantly from 20.0% to 16.2% (p &lt; 0.001). The reduction over the study period was lower among women (adjusted odds ratio 0.71, 95% confidence interval 0.53-0.95) but was not significantly different in the most and least affluent groups. In 2005, smoking rates continued to differ significantly with age (10.6%-25.1%), sex (women, 11.5%; men, 20.6%) and ethnic background (4.9%-24.9%).\\n\\nINTERPRETATION: The introduction of a pay-for-performance incentive in the United Kingdom increased the provision of support for smoking cessation and was associated with a reduction in smoking prevalence among patients with diabetes in primary health care settings. Health care planners in other countries may wish to consider introducing similar incentive schemes for primary care physicians.", "author" : [ { "dropping-particle" : "", "family" : "Millett", "given" : "Christopher", "non-dropping-particle" : "", "parse-names" : false, "suffix" : "" }, { "dropping-particle" : "", "family" : "Gray", "given" : "Jeremy", "non-dropping-particle" : "", "parse-names" : false, "suffix" : "" }, { "dropping-particle" : "", "family" : "Saxena", "given" : "Sonia", "non-dropping-particle" : "", "parse-names" : false, "suffix" : "" }, { "dropping-particle" : "", "family" : "Netuveli", "given" : "Gopalakrishnan", "non-dropping-particle" : "", "parse-names" : false, "suffix" : "" }, { "dropping-particle" : "", "family" : "Majeed", "given" : "Azeem", "non-dropping-particle" : "", "parse-names" : false, "suffix" : "" } ], "container-title" : "CMAJ", "id" : "ITEM-1", "issue" : "12", "issued" : { "date-parts" : [ [ "2007" ] ] }, "page" : "1705-1710", "title" : "Impact of a pay-for-performance incentive on support for smoking cessation and on smoking prevalence among people with diabetes", "type" : "article-journal", "volume" : "176" }, "uris" : [ "http://www.mendeley.com/documents/?uuid=0ffcabcb-6e34-43e7-8341-faa6b660e8af" ] } ], "mendeley" : { "formattedCitation" : "&lt;sup&gt;28&lt;/sup&gt;", "plainTextFormattedCitation" : "28", "previouslyFormattedCitation" : "&lt;sup&gt;28&lt;/sup&gt;" }, "properties" : { "noteIndex" : 0 }, "schema" : "https://github.com/citation-style-language/schema/raw/master/csl-citation.json" }</w:instrText>
      </w:r>
      <w:r w:rsidR="00AE13D9">
        <w:fldChar w:fldCharType="separate"/>
      </w:r>
      <w:r w:rsidR="00391BF7" w:rsidRPr="00391BF7">
        <w:rPr>
          <w:noProof/>
          <w:vertAlign w:val="superscript"/>
        </w:rPr>
        <w:t>28</w:t>
      </w:r>
      <w:r w:rsidR="00AE13D9">
        <w:fldChar w:fldCharType="end"/>
      </w:r>
      <w:r>
        <w:t xml:space="preserve"> </w:t>
      </w:r>
      <w:r w:rsidR="00F264E8">
        <w:t>I</w:t>
      </w:r>
      <w:r w:rsidR="001D265C">
        <w:t xml:space="preserve">n our </w:t>
      </w:r>
      <w:r w:rsidR="00CE457E">
        <w:t xml:space="preserve">regression </w:t>
      </w:r>
      <w:r w:rsidR="00F658EF">
        <w:t>model</w:t>
      </w:r>
      <w:r w:rsidR="001D265C">
        <w:t xml:space="preserve"> we have accounted for multiple demographic and clinical covariates that </w:t>
      </w:r>
      <w:r w:rsidR="00E25BB9">
        <w:t xml:space="preserve">add strength to our findings. </w:t>
      </w:r>
    </w:p>
    <w:p w:rsidR="00910F7F" w:rsidRDefault="00910F7F" w:rsidP="00304057">
      <w:pPr>
        <w:spacing w:line="480" w:lineRule="auto"/>
        <w:jc w:val="both"/>
      </w:pPr>
      <w:r>
        <w:t>We acknowledge certain</w:t>
      </w:r>
      <w:r w:rsidR="00F411C1">
        <w:t xml:space="preserve"> limitations to our study.</w:t>
      </w:r>
      <w:r w:rsidR="00F411C1" w:rsidRPr="00F411C1">
        <w:t xml:space="preserve"> </w:t>
      </w:r>
      <w:r w:rsidR="00F411C1">
        <w:t xml:space="preserve">A potential limitation is that longitudinal data with regard to smoking continuation and cessation was incomplete and reduced the size of the cohort available for analysis of the impact of smoking cessation. However to date this is the only population based study to evaluate the impact of smoking cessation in CD. </w:t>
      </w:r>
      <w:r w:rsidR="009602FB" w:rsidRPr="004A2921">
        <w:t>Furthermore, o</w:t>
      </w:r>
      <w:r w:rsidR="00461B1B" w:rsidRPr="004A2921">
        <w:t xml:space="preserve">ur measure of smoking status may have been subject to recall bias </w:t>
      </w:r>
      <w:r w:rsidR="000222AA" w:rsidRPr="004A2921">
        <w:t xml:space="preserve">by </w:t>
      </w:r>
      <w:r w:rsidR="00461B1B" w:rsidRPr="004A2921">
        <w:t>patients or a fail</w:t>
      </w:r>
      <w:r w:rsidR="000222AA" w:rsidRPr="004A2921">
        <w:t>ure of clinicians to inquire about and record status</w:t>
      </w:r>
      <w:r w:rsidR="00461B1B" w:rsidRPr="004A2921">
        <w:t xml:space="preserve"> acurately.</w:t>
      </w:r>
      <w:r w:rsidR="00AE13D9" w:rsidRPr="004A2921">
        <w:fldChar w:fldCharType="begin" w:fldLock="1"/>
      </w:r>
      <w:r w:rsidR="004C1E7F" w:rsidRPr="004A2921">
        <w:instrText>ADDIN CSL_CITATION { "citationItems" : [ { "id" : "ITEM-1", "itemData" : { "author" : [ { "dropping-particle" : "", "family" : "Hwang", "given" : "Sung Wook", "non-dropping-particle" : "", "parse-names" : false, "suffix" : "" }, { "dropping-particle" : "", "family" : "Seo", "given" : "Hyungil", "non-dropping-particle" : "", "parse-names" : false, "suffix" : "" }, { "dropping-particle" : "", "family" : "Kim", "given" : "Gwang-un", "non-dropping-particle" : "", "parse-names" : false, "suffix" : "" }, { "dropping-particle" : "", "family" : "Song", "given" : "Eun Mi", "non-dropping-particle" : "", "parse-names" : false, "suffix" : "" }, { "dropping-particle" : "", "family" : "Seo", "given" : "Myeongsook", "non-dropping-particle" : "", "parse-names" : false, "suffix" : "" }, { "dropping-particle" : "", "family" : "Park", "given" : "Sang Hyoung", "non-dropping-particle" : "", "parse-names" : false, "suffix" : "" }, { "dropping-particle" : "", "family" : "Kwon", "given" : "Eunja", "non-dropping-particle" : "", "parse-names" : false, "suffix" : "" }, { "dropping-particle" : "", "family" : "Lee", "given" : "Ho-su", "non-dropping-particle" : "", "parse-names" : false, "suffix" : "" }, { "dropping-particle" : "", "family" : "Yang", "given" : "Dong-hoon", "non-dropping-particle" : "", "parse-names" : false, "suffix" : "" }, { "dropping-particle" : "", "family" : "Kim", "given" : "Kyung-jo", "non-dropping-particle" : "", "parse-names" : false, "suffix" : "" }, { "dropping-particle" : "", "family" : "Ye", "given" : "Byong Duk", "non-dropping-particle" : "", "parse-names" : false, "suffix" : "" }, { "dropping-particle" : "", "family" : "Byeon", "given" : "Jeong-sik", "non-dropping-particle" : "", "parse-names" : false, "suffix" : "" }, { "dropping-particle" : "", "family" : "Myung", "given" : "Seung-jae", "non-dropping-particle" : "", "parse-names" : false, "suffix" : "" }, { "dropping-particle" : "", "family" : "Kim", "given" : "Jin-ho", "non-dropping-particle" : "", "parse-names" : false, "suffix" : "" }, { "dropping-particle" : "", "family" : "Yang", "given" : "Suk-kyun", "non-dropping-particle" : "", "parse-names" : false, "suffix" : "" } ], "id" : "ITEM-1", "issued" : { "date-parts" : [ [ "2016" ] ] }, "page" : "1-6", "title" : "Underestimation of Smoking Rates in an East Asian Population with Crohn \u2019 s Disease", "type" : "article-journal" }, "uris" : [ "http://www.mendeley.com/documents/?uuid=d841db07-293f-4838-8080-4a9650d5af3e" ] } ], "mendeley" : { "formattedCitation" : "&lt;sup&gt;4&lt;/sup&gt;", "plainTextFormattedCitation" : "4", "previouslyFormattedCitation" : "&lt;sup&gt;4&lt;/sup&gt;" }, "properties" : { "noteIndex" : 0 }, "schema" : "https://github.com/citation-style-language/schema/raw/master/csl-citation.json" }</w:instrText>
      </w:r>
      <w:r w:rsidR="00AE13D9" w:rsidRPr="004A2921">
        <w:fldChar w:fldCharType="separate"/>
      </w:r>
      <w:r w:rsidR="00963FF6" w:rsidRPr="004A2921">
        <w:rPr>
          <w:noProof/>
          <w:vertAlign w:val="superscript"/>
        </w:rPr>
        <w:t>4</w:t>
      </w:r>
      <w:r w:rsidR="00AE13D9" w:rsidRPr="004A2921">
        <w:fldChar w:fldCharType="end"/>
      </w:r>
      <w:r w:rsidRPr="00910F7F">
        <w:rPr>
          <w:color w:val="FF0000"/>
        </w:rPr>
        <w:t xml:space="preserve"> </w:t>
      </w:r>
      <w:r w:rsidR="00461B1B">
        <w:t>This could potentially result in an und</w:t>
      </w:r>
      <w:r w:rsidR="000222AA">
        <w:t xml:space="preserve">erestimation of any effect.  Furthermore, </w:t>
      </w:r>
      <w:r w:rsidR="00233233">
        <w:t>our study did not</w:t>
      </w:r>
      <w:r w:rsidR="00461B1B">
        <w:t xml:space="preserve"> account </w:t>
      </w:r>
      <w:r w:rsidR="00233233">
        <w:t xml:space="preserve">for </w:t>
      </w:r>
      <w:r w:rsidR="00461B1B">
        <w:t xml:space="preserve">smoking intensity or alternative types of tobacco exposure. </w:t>
      </w:r>
    </w:p>
    <w:p w:rsidR="008E7E11" w:rsidRPr="004A2921" w:rsidRDefault="008E7E11" w:rsidP="00304057">
      <w:pPr>
        <w:spacing w:line="480" w:lineRule="auto"/>
        <w:jc w:val="both"/>
      </w:pPr>
      <w:r w:rsidRPr="004A2921">
        <w:t>With respect to the smoking cessation analysis, we evaluated the impact of cessation with in the first 2 years of diagnosis</w:t>
      </w:r>
      <w:r w:rsidRPr="004A2921">
        <w:rPr>
          <w:bCs/>
        </w:rPr>
        <w:t>. We classified the status of quitting or smoking persistence based on changes in smoking codes within the first two years after CD diagnosis. Our methodology defines cessation based on an event documented and coded for by the primary care physician and not the actual date the patient stopped smoking. It is possible therefore that  CS use and IR may have occurred before the actual 'quit date'. Reassuringly in this respect we found in a sensitivity analysis that mean time to a change in smoking code (227 days from CD diagnosis) was significantly shorter than the mean time to either CS dependency (1112 days) or intestinal surgery (395 days)  This suggests smoking cessation usually preceded CS use or IR in our analysis .</w:t>
      </w:r>
    </w:p>
    <w:p w:rsidR="00FE7B7E" w:rsidRPr="004A2921" w:rsidRDefault="006F52CB" w:rsidP="00304057">
      <w:pPr>
        <w:spacing w:line="480" w:lineRule="auto"/>
        <w:jc w:val="both"/>
      </w:pPr>
      <w:r w:rsidRPr="004A2921">
        <w:lastRenderedPageBreak/>
        <w:t xml:space="preserve">We also acknowledge </w:t>
      </w:r>
      <w:r w:rsidR="00D97D56" w:rsidRPr="004A2921">
        <w:t>CPRD contains limited informati</w:t>
      </w:r>
      <w:r w:rsidRPr="004A2921">
        <w:t>on about disease phenotype,</w:t>
      </w:r>
      <w:r w:rsidR="00D97D56" w:rsidRPr="004A2921">
        <w:t xml:space="preserve"> activit</w:t>
      </w:r>
      <w:r w:rsidRPr="004A2921">
        <w:t>y, severity and endoscopic data, but emphasize that this database has been validated for use in IBD-related research.</w:t>
      </w:r>
      <w:r w:rsidR="00AE13D9" w:rsidRPr="004A2921">
        <w:fldChar w:fldCharType="begin" w:fldLock="1"/>
      </w:r>
      <w:r w:rsidRPr="004A2921">
        <w:instrText>ADDIN CSL_CITATION { "citationItems" : [ { "id" : "ITEM-1", "itemData" : { "DOI" : "10.1002/pds.698", "ISSN" : "1053-8569", "PMID" : "12051120", "abstract" : "PURPOSE: The objective of this study was to evaluate the validity and completeness of the General Practice Research Database (GPRD) as a tool for research into inflammatory bowel disease epidemiology. METHODS: Patients diagnosed with inflammatory bowel disease were identified from GPRD. Mailed surveys were sent to the general practitioner caring for a stratified random sample of 170 of these patients and collected information on the diagnosis of inflammatory bowel disease and the most recent surgery and hospitalization. RESULTS: Usable surveys were returned for 157 patients (92%). The inflammatory bowel disease diagnosis was highly probable or probable in 144 (92%, 95% CI 86 to 96%). Among the 53 patients with a potentially incident inflammatory bowel disease diagnosis, 33 (62%) had the first recorded diagnosis in GPRD within 30 days of the date reported in the survey (median difference -8 days; interquartile range 0 to -81 days). Of 12 surgeries and 25 hospitalizations reported in the survey, 11 (92%) and 19 (76%) were identified in GPRD, respectively. CONCLUSIONS: The diagnosis of inflammatory bowel disease in GPRD appears reliable for most patients. Important medical events such as hospitalizations and surgery are recorded at a high rate, although algorithms to identify these events are complex.", "author" : [ { "dropping-particle" : "", "family" : "Lewis", "given" : "James D", "non-dropping-particle" : "", "parse-names" : false, "suffix" : "" }, { "dropping-particle" : "", "family" : "Brensinger", "given" : "Colleen", "non-dropping-particle" : "", "parse-names" : false, "suffix" : "" }, { "dropping-particle" : "", "family" : "Bilker", "given" : "Warren B", "non-dropping-particle" : "", "parse-names" : false, "suffix" : "" }, { "dropping-particle" : "", "family" : "Strom", "given" : "Brian L", "non-dropping-particle" : "", "parse-names" : false, "suffix" : "" } ], "container-title" : "Pharmacoepidemiology and drug safety", "id" : "ITEM-1", "issue" : "3", "issued" : { "date-parts" : [ [ "2002" ] ] }, "page" : "211-218", "title" : "Validity and completeness of the General Practice Research Database for studies of inflammatory bowel disease.", "type" : "article-journal", "volume" : "11" }, "uris" : [ "http://www.mendeley.com/documents/?uuid=8b3b1512-e55d-42bd-94f7-274d15354abc" ] } ], "mendeley" : { "formattedCitation" : "&lt;sup&gt;20&lt;/sup&gt;", "plainTextFormattedCitation" : "20", "previouslyFormattedCitation" : "&lt;sup&gt;20&lt;/sup&gt;" }, "properties" : { "noteIndex" : 0 }, "schema" : "https://github.com/citation-style-language/schema/raw/master/csl-citation.json" }</w:instrText>
      </w:r>
      <w:r w:rsidR="00AE13D9" w:rsidRPr="004A2921">
        <w:fldChar w:fldCharType="separate"/>
      </w:r>
      <w:r w:rsidRPr="004A2921">
        <w:rPr>
          <w:noProof/>
          <w:vertAlign w:val="superscript"/>
        </w:rPr>
        <w:t>20</w:t>
      </w:r>
      <w:r w:rsidR="00AE13D9" w:rsidRPr="004A2921">
        <w:fldChar w:fldCharType="end"/>
      </w:r>
      <w:r w:rsidRPr="004A2921">
        <w:t xml:space="preserve"> </w:t>
      </w:r>
      <w:r w:rsidR="00461B1B" w:rsidRPr="004A2921">
        <w:t>W</w:t>
      </w:r>
      <w:r w:rsidR="00404F45" w:rsidRPr="004A2921">
        <w:t xml:space="preserve">e </w:t>
      </w:r>
      <w:r w:rsidRPr="004A2921">
        <w:t xml:space="preserve">have however </w:t>
      </w:r>
      <w:r w:rsidR="00821A30" w:rsidRPr="004A2921">
        <w:t>a</w:t>
      </w:r>
      <w:r w:rsidR="00F658EF" w:rsidRPr="004A2921">
        <w:t>ttempted to adjust</w:t>
      </w:r>
      <w:r w:rsidR="0045206C" w:rsidRPr="004A2921">
        <w:t xml:space="preserve"> for some of these restrictions</w:t>
      </w:r>
      <w:r w:rsidR="00821A30" w:rsidRPr="004A2921">
        <w:t xml:space="preserve"> </w:t>
      </w:r>
      <w:r w:rsidRPr="004A2921">
        <w:t>including</w:t>
      </w:r>
      <w:r w:rsidR="00821A30" w:rsidRPr="004A2921">
        <w:t xml:space="preserve"> </w:t>
      </w:r>
      <w:r w:rsidR="00D97D56" w:rsidRPr="004A2921">
        <w:t>developing surroga</w:t>
      </w:r>
      <w:r w:rsidRPr="004A2921">
        <w:t>te markers for</w:t>
      </w:r>
      <w:r w:rsidR="00D96B57" w:rsidRPr="004A2921">
        <w:t xml:space="preserve"> disease activity</w:t>
      </w:r>
      <w:r w:rsidRPr="004A2921">
        <w:t xml:space="preserve"> to generate</w:t>
      </w:r>
      <w:r w:rsidR="00821A30" w:rsidRPr="004A2921">
        <w:t xml:space="preserve"> </w:t>
      </w:r>
      <w:r w:rsidR="004347CF" w:rsidRPr="004A2921">
        <w:t>'</w:t>
      </w:r>
      <w:r w:rsidR="00545964" w:rsidRPr="004A2921">
        <w:t>CS-</w:t>
      </w:r>
      <w:r w:rsidRPr="004A2921">
        <w:t>flare</w:t>
      </w:r>
      <w:r w:rsidR="004347CF" w:rsidRPr="004A2921">
        <w:t>'</w:t>
      </w:r>
      <w:r w:rsidR="00821A30" w:rsidRPr="004A2921">
        <w:t xml:space="preserve"> </w:t>
      </w:r>
      <w:r w:rsidRPr="004A2921">
        <w:t>data using</w:t>
      </w:r>
      <w:r w:rsidR="00FE7B7E" w:rsidRPr="004A2921">
        <w:t xml:space="preserve"> a</w:t>
      </w:r>
      <w:r w:rsidRPr="004A2921">
        <w:t xml:space="preserve"> pr</w:t>
      </w:r>
      <w:r w:rsidR="00FE7B7E" w:rsidRPr="004A2921">
        <w:t>eviously published methodology</w:t>
      </w:r>
      <w:r w:rsidR="004347CF" w:rsidRPr="004A2921">
        <w:t>.</w:t>
      </w:r>
      <w:r w:rsidR="00AE13D9" w:rsidRPr="004A2921">
        <w:fldChar w:fldCharType="begin" w:fldLock="1"/>
      </w:r>
      <w:r w:rsidR="003F18ED" w:rsidRPr="004A2921">
        <w:instrText>ADDIN CSL_CITATION { "citationItems" : [ { "id" : "ITEM-1", "itemData" : { "DOI" : "10.1016/S0140-6736(09)61963-2", "ISBN" : "1474-547X (Electronic)\\r0140-6736 (Linking)", "ISSN" : "01406736", "PMID" : "20149425", "abstract" : "Background: Patients with inflammatory bowel disease who develop deep vein thrombosis or pulmonary embolism often have active disease at the time of thromboembolism. We therefore aimed to quantify the risk of venous thromboembolism prospectively during different activity phases of inflammatory bowel disease. Methods: From the General Practice Research Database, we matched patients with prospectively recorded inflammatory bowel disease from November, 1987, until July, 2001 with up to five controls by age, sex, and general practice. A flare was defined as the period 120 days after a new corticosteroid prescription. We used Cox regression analysis with time-varying covariates to accommodate changes in the state of inflammatory bowel disease, and whether patients were at high risk of venous thromboembolism after hospitalisation. Findings: 13 756 patients with inflammatory bowel disease and 71 672 matched controls were included in the analysis, and of these 139 patients and 165 controls developed venous thromboembolism. Overall, patients with inflammatory bowel disease had a higher risk of venous thromboembolism than did controls (hazard ratio 3??4, 95% CI 2??7-4??3; p&lt;0??0001; absolute risk 2??6 per 1000 per person-years). At the time of a flare, however, this increase in risk was much more prominent (8??4, 5??5-12??8; p&lt;0??0001; 9??0 per 1000 person-years). This relative risk at the time of a flare was higher during non-hospitalised periods (15??8, 9??8-25??5; p&lt;0??0001; 6??4 per 1000 person-years) than during hospitalised periods (3??2, 1??7-6??3; p=0??0006; 37??5 per 1000 person-years). Interpretation: Trials of primary prophylaxis of venous thromboembolism are warranted to find out whether this important complication can be prevented. Funding: National Association for Colitis and Crohn's Disease. ?? 2010 Elsevier Ltd. All rights reserved.", "author" : [ { "dropping-particle" : "", "family" : "Grainge", "given" : "Matthew J.", "non-dropping-particle" : "", "parse-names" : false, "suffix" : "" }, { "dropping-particle" : "", "family" : "West", "given" : "Joe", "non-dropping-particle" : "", "parse-names" : false, "suffix" : "" }, { "dropping-particle" : "", "family" : "Card", "given" : "Timothy R.", "non-dropping-particle" : "", "parse-names" : false, "suffix" : "" } ], "container-title" : "The Lancet", "id" : "ITEM-1", "issue" : "9715", "issued" : { "date-parts" : [ [ "2010" ] ] }, "page" : "657-663", "publisher" : "Elsevier Ltd", "title" : "Venous thromboembolism during active disease and remission in inflammatory bowel disease: a cohort study", "type" : "article-journal", "volume" : "375" }, "uris" : [ "http://www.mendeley.com/documents/?uuid=65256ba2-1733-4f60-8c59-e22e22d8f8c1" ] } ], "mendeley" : { "formattedCitation" : "&lt;sup&gt;35&lt;/sup&gt;", "plainTextFormattedCitation" : "35", "previouslyFormattedCitation" : "&lt;sup&gt;35&lt;/sup&gt;" }, "properties" : { "noteIndex" : 0 }, "schema" : "https://github.com/citation-style-language/schema/raw/master/csl-citation.json" }</w:instrText>
      </w:r>
      <w:r w:rsidR="00AE13D9" w:rsidRPr="004A2921">
        <w:fldChar w:fldCharType="separate"/>
      </w:r>
      <w:r w:rsidRPr="004A2921">
        <w:rPr>
          <w:noProof/>
          <w:vertAlign w:val="superscript"/>
        </w:rPr>
        <w:t>35</w:t>
      </w:r>
      <w:r w:rsidR="00AE13D9" w:rsidRPr="004A2921">
        <w:fldChar w:fldCharType="end"/>
      </w:r>
      <w:r w:rsidR="004347CF" w:rsidRPr="004A2921">
        <w:t xml:space="preserve"> </w:t>
      </w:r>
      <w:r w:rsidR="00FE7B7E" w:rsidRPr="004A2921">
        <w:t>We also recognise the potential limitations of using CS prescription data to define disease activity rather than objective markers. Nevertheless this does often reflect ‘real world’ clinical practice. Our methodology will also fail to capture patients who choose against taking steroids for a flare, although postulate this would be a small proportion of patients.</w:t>
      </w:r>
    </w:p>
    <w:p w:rsidR="004600E3" w:rsidRPr="004A2921" w:rsidRDefault="00FE7B7E" w:rsidP="00304057">
      <w:pPr>
        <w:spacing w:line="480" w:lineRule="auto"/>
        <w:jc w:val="both"/>
      </w:pPr>
      <w:r w:rsidRPr="004A2921">
        <w:t xml:space="preserve">We were however able to control for disease severity using the validated </w:t>
      </w:r>
      <w:proofErr w:type="spellStart"/>
      <w:r w:rsidRPr="004A2921">
        <w:t>Beaugerie</w:t>
      </w:r>
      <w:proofErr w:type="spellEnd"/>
      <w:r w:rsidRPr="004A2921">
        <w:t xml:space="preserve"> index</w:t>
      </w:r>
      <w:r w:rsidR="00821A30" w:rsidRPr="004A2921">
        <w:t>.</w:t>
      </w:r>
      <w:r w:rsidR="00AE13D9" w:rsidRPr="004A2921">
        <w:fldChar w:fldCharType="begin" w:fldLock="1"/>
      </w:r>
      <w:r w:rsidR="00735E84" w:rsidRPr="004A2921">
        <w:instrText>ADDIN CSL_CITATION { "citationItems" : [ { "id" : "ITEM-1", "itemData" : { "DOI" : "10.1053/j.gastro.2005.12.019", "ISBN" : "0016-5085 (Print)", "ISSN" : "00165085", "PMID" : "16530505", "abstract" : "Background &amp; Aims: Early intensive therapy in Crohn's disease should be considered only in patients with disabling disease. The aim of our study was to identify at diagnosis factors predictive of a subsequent 5-year disabling course. Methods: Among the 1526 patients seen at our unit with Crohn's disease diagnosed between 1985 and 1998, we excluded patients operated on within the first month of the disease, patients with inadequate data, and patients with severe chronic nondigestive disease. In the 1188 remaining patients, Crohn's disease course within the first 5 years of the disease was categorized as disabling when at least 1 of the criteria of clinical severity, conventionally predefined, was present. Results: Among the 1123 patients with follow-up data allowing full 5-year course classification, the rate of disabling disease was 85.2%. Independent factors present at diagnosis and significantly associated with subsequent 5-year disabling were the initial requirement for steroid use (OR 3.1 [95% CI: 2.2-4.4]), an age below 40 years (OR 2.1 [95% CI: 1.3-3.6]), and the presence of perianal disease (OR 1.8 [95% CI: 1.2-2.8]). The positive predictive value of disabling disease in patients with 2 and 3 predictive factors of disabling disease was 0.91 and 0.93, respectively. These values were 0.84 and 0.91, respectively, when tested prospectively in an independent group of 302 consecutive patients seen at our institution from 1998. Conclusions: At diagnosis of Crohn's disease in a referral center, factors predictive of subsequent 5-year disabling course are an age below 40 years, the presence of perianal disease, and the initial requirement for steroids. \u00a9 2006 by the American Gastroenterological Association Institute.", "author" : [ { "dropping-particle" : "", "family" : "Beaugerie", "given" : "Laurent", "non-dropping-particle" : "", "parse-names" : false, "suffix" : "" }, { "dropping-particle" : "", "family" : "Seksik", "given" : "Philippe", "non-dropping-particle" : "", "parse-names" : false, "suffix" : "" }, { "dropping-particle" : "", "family" : "Nion-Larmurier", "given" : "Isabelle", "non-dropping-particle" : "", "parse-names" : false, "suffix" : "" }, { "dropping-particle" : "", "family" : "Gendre", "given" : "Jean Pierre", "non-dropping-particle" : "", "parse-names" : false, "suffix" : "" }, { "dropping-particle" : "", "family" : "Cosnes", "given" : "Jacques", "non-dropping-particle" : "", "parse-names" : false, "suffix" : "" } ], "container-title" : "Gastroenterology", "id" : "ITEM-1", "issue" : "3", "issued" : { "date-parts" : [ [ "2006" ] ] }, "page" : "650-656", "title" : "Predictors of crohn's disease", "type" : "article-journal", "volume" : "130" }, "uris" : [ "http://www.mendeley.com/documents/?uuid=8d2563b3-d1d3-4e92-a0a3-1a8d0e084bb1" ] } ], "mendeley" : { "formattedCitation" : "&lt;sup&gt;42&lt;/sup&gt;", "plainTextFormattedCitation" : "42", "previouslyFormattedCitation" : "&lt;sup&gt;42&lt;/sup&gt;" }, "properties" : { "noteIndex" : 0 }, "schema" : "https://github.com/citation-style-language/schema/raw/master/csl-citation.json" }</w:instrText>
      </w:r>
      <w:r w:rsidR="00AE13D9" w:rsidRPr="004A2921">
        <w:fldChar w:fldCharType="separate"/>
      </w:r>
      <w:r w:rsidR="00391BF7" w:rsidRPr="004A2921">
        <w:rPr>
          <w:noProof/>
          <w:vertAlign w:val="superscript"/>
        </w:rPr>
        <w:t>42</w:t>
      </w:r>
      <w:r w:rsidR="00AE13D9" w:rsidRPr="004A2921">
        <w:fldChar w:fldCharType="end"/>
      </w:r>
      <w:r w:rsidR="00821A30" w:rsidRPr="004A2921">
        <w:t xml:space="preserve"> </w:t>
      </w:r>
      <w:r w:rsidR="00F264E8" w:rsidRPr="004A2921">
        <w:t>Additionally, w</w:t>
      </w:r>
      <w:r w:rsidR="00821A30" w:rsidRPr="004A2921">
        <w:t>e use</w:t>
      </w:r>
      <w:r w:rsidR="008E3FE1" w:rsidRPr="004A2921">
        <w:t>d</w:t>
      </w:r>
      <w:r w:rsidR="004347CF" w:rsidRPr="004A2921">
        <w:t xml:space="preserve"> a previously described comprehensive</w:t>
      </w:r>
      <w:r w:rsidR="00821A30" w:rsidRPr="004A2921">
        <w:t xml:space="preserve"> list of </w:t>
      </w:r>
      <w:r w:rsidR="008E3FE1" w:rsidRPr="004A2921">
        <w:t xml:space="preserve">Read </w:t>
      </w:r>
      <w:r w:rsidR="00821A30" w:rsidRPr="004A2921">
        <w:t>codes to</w:t>
      </w:r>
      <w:r w:rsidR="00D16B05" w:rsidRPr="004A2921">
        <w:t xml:space="preserve"> determine whether a patient had</w:t>
      </w:r>
      <w:r w:rsidR="00821A30" w:rsidRPr="004A2921">
        <w:t xml:space="preserve"> had intestinal surgery</w:t>
      </w:r>
      <w:r w:rsidR="00F264E8" w:rsidRPr="004A2921">
        <w:t>.</w:t>
      </w:r>
      <w:r w:rsidR="00AE13D9" w:rsidRPr="004A2921">
        <w:fldChar w:fldCharType="begin" w:fldLock="1"/>
      </w:r>
      <w:r w:rsidR="00735E84" w:rsidRPr="004A2921">
        <w:instrText>ADDIN CSL_CITATION { "citationItems" : [ { "id" : "ITEM-1", "itemData" : { "DOI" : "10.1038/ajg.2013.462", "ISBN" : "0002-9270", "ISSN" : "1572-0241", "PMID" : "24469612", "abstract" : "OBJECTIVES: The efficacy of thiopurines (TPs) in altering the risk of surgery in Crohn's disease (CD) remains controversial. We evaluated the impact of TP therapy, optimal timing, and duration of TP therapy on first intestinal resection rates using a population-based cohort. METHODS: We constructed a population-based cohort of incident cases of CD between 1989 and 2005. We used the Kaplan-Meier analysis to calculate time trends in TP use and first intestinal resection in three groups defined by time period of diagnosis: 1989-1993, 1994-1999, and 2000-2005 groups A, B, and C, respectively. We quantified impact of duration and timing of TP treatment on likelihood of surgery using Cox regression and propensity score matching. RESULTS: We identified 5,640 eligible patients with CD. The 5-year cumulative probability of TP use increased from 12, 18, to 25% ( P&lt;0.0001) while probability of first intestinal resection decreased from 15, 12 to 9% (P&lt;0.001) in groups A, B, and C, respectively. Patients treated with at least 6 months of TP therapy had a 44% reduction in the risk of surgery (hazards ratio (HR): 0.56; 95% confidence interval (CI): 0.37-0.85) and those receiving at least 12 months of TP therapy had a 69% reduction in the risk of surgery (HR: 0.31; 95% CI: 0.22-0.44). Early treatment (&lt;12 months from diagnosis) vs. late treatment with TP showed no additional benefit in reducing risk of surgery (HR: 0.41; 95% CI: 0.27-0.61 vs. 0.21; 95% CI: 0.13-0.34). CONCLUSIONS: Over the past 20 years, TP use has doubled, whereas intestinal surgery has fallen by one-third among the UK population of Crohn's patients. Prolonged exposure is associated with a reduced likelihood of surgery whereby more than 12 months TP therapy reduces the risk of first intestinal surgery two-fold; however, early initiation of TP treatment offered no apparent additional benefit.", "author" : [ { "dropping-particle" : "", "family" : "Chatu", "given" : "S", "non-dropping-particle" : "", "parse-names" : false, "suffix" : "" }, { "dropping-particle" : "", "family" : "Saxena", "given" : "S", "non-dropping-particle" : "", "parse-names" : false, "suffix" : "" }, { "dropping-particle" : "", "family" : "Subramanian", "given" : "V", "non-dropping-particle" : "", "parse-names" : false, "suffix" : "" }, { "dropping-particle" : "", "family" : "Curcin", "given" : "V", "non-dropping-particle" : "", "parse-names" : false, "suffix" : "" }, { "dropping-particle" : "", "family" : "Yadegarfar", "given" : "G", "non-dropping-particle" : "", "parse-names" : false, "suffix" : "" }, { "dropping-particle" : "", "family" : "Gunn", "given" : "L", "non-dropping-particle" : "", "parse-names" : false, "suffix" : "" }, { "dropping-particle" : "", "family" : "Majeed", "given" : "a", "non-dropping-particle" : "", "parse-names" : false, "suffix" : "" }, { "dropping-particle" : "", "family" : "Pollok", "given" : "R C", "non-dropping-particle" : "", "parse-names" : false, "suffix" : "" } ], "container-title" : "Am J Gastroenterol", "id" : "ITEM-1", "issue" : "3", "issued" : { "date-parts" : [ [ "2014" ] ] }, "page" : "409-416", "publisher" : "Nature Publishing Group", "title" : "The Impact of Timing and Duration of Thiopurine Treatment on First Intestinal Resection in Crohn's Disease: National UK Population-Based Study 1989-2010", "type" : "article-journal", "volume" : "109" }, "uris" : [ "http://www.mendeley.com/documents/?uuid=dcac656e-9e5b-4643-847e-226dcd14ca41" ] } ], "mendeley" : { "formattedCitation" : "&lt;sup&gt;29&lt;/sup&gt;", "plainTextFormattedCitation" : "29", "previouslyFormattedCitation" : "&lt;sup&gt;29&lt;/sup&gt;" }, "properties" : { "noteIndex" : 0 }, "schema" : "https://github.com/citation-style-language/schema/raw/master/csl-citation.json" }</w:instrText>
      </w:r>
      <w:r w:rsidR="00AE13D9" w:rsidRPr="004A2921">
        <w:fldChar w:fldCharType="separate"/>
      </w:r>
      <w:r w:rsidR="00391BF7" w:rsidRPr="004A2921">
        <w:rPr>
          <w:noProof/>
          <w:vertAlign w:val="superscript"/>
        </w:rPr>
        <w:t>29</w:t>
      </w:r>
      <w:r w:rsidR="00AE13D9" w:rsidRPr="004A2921">
        <w:fldChar w:fldCharType="end"/>
      </w:r>
      <w:r w:rsidR="00F264E8" w:rsidRPr="004A2921">
        <w:t xml:space="preserve"> </w:t>
      </w:r>
      <w:r w:rsidRPr="004A2921">
        <w:t>We accept some patients, in particular those in the older (A3) age group, may have undergone surgery for indications other than CD, such as cancer. The associated impact of smoking status on IBD-specific hospitalisation would also have been of interest but CPRD does not code for this parameter.</w:t>
      </w:r>
    </w:p>
    <w:p w:rsidR="00D81DAE" w:rsidRDefault="001D265C" w:rsidP="00304057">
      <w:pPr>
        <w:spacing w:line="480" w:lineRule="auto"/>
        <w:jc w:val="both"/>
      </w:pPr>
      <w:r>
        <w:t>CPRD</w:t>
      </w:r>
      <w:r w:rsidR="00750E0B">
        <w:t xml:space="preserve"> contains</w:t>
      </w:r>
      <w:r w:rsidR="006F675C">
        <w:t xml:space="preserve"> limited </w:t>
      </w:r>
      <w:r w:rsidR="003F2E0E">
        <w:t>data on anti-tumour necrosis</w:t>
      </w:r>
      <w:r w:rsidR="007B1FB2">
        <w:t xml:space="preserve"> factor</w:t>
      </w:r>
      <w:r w:rsidR="003F2E0E">
        <w:t xml:space="preserve"> (</w:t>
      </w:r>
      <w:proofErr w:type="spellStart"/>
      <w:r w:rsidR="003F2E0E">
        <w:t>aTNF</w:t>
      </w:r>
      <w:proofErr w:type="spellEnd"/>
      <w:r w:rsidR="003F2E0E">
        <w:t>)</w:t>
      </w:r>
      <w:r w:rsidR="007B1FB2">
        <w:t xml:space="preserve"> medications</w:t>
      </w:r>
      <w:r w:rsidR="004E08FA">
        <w:t>, since</w:t>
      </w:r>
      <w:r w:rsidR="006F675C">
        <w:t xml:space="preserve"> these </w:t>
      </w:r>
      <w:r w:rsidR="003F2E0E">
        <w:t>treatments</w:t>
      </w:r>
      <w:r w:rsidR="006F675C">
        <w:t xml:space="preserve"> are</w:t>
      </w:r>
      <w:r w:rsidR="004E08FA">
        <w:t xml:space="preserve"> usually prescri</w:t>
      </w:r>
      <w:r w:rsidR="003F2E0E">
        <w:t>bed in</w:t>
      </w:r>
      <w:r w:rsidR="00092AB4">
        <w:t xml:space="preserve"> secondary care</w:t>
      </w:r>
      <w:r w:rsidR="00750E0B">
        <w:t xml:space="preserve"> and thus is a potential confounder</w:t>
      </w:r>
      <w:r w:rsidR="00D84BFE">
        <w:t>.</w:t>
      </w:r>
      <w:r w:rsidR="005A5FF7">
        <w:t xml:space="preserve"> </w:t>
      </w:r>
      <w:r w:rsidR="00D84BFE">
        <w:t xml:space="preserve">It </w:t>
      </w:r>
      <w:r w:rsidR="004E08FA">
        <w:t xml:space="preserve">is noteworthy that in 2006, </w:t>
      </w:r>
      <w:r w:rsidR="003F2E0E">
        <w:t xml:space="preserve">only </w:t>
      </w:r>
      <w:r w:rsidR="004E08FA">
        <w:t>an estimated</w:t>
      </w:r>
      <w:r w:rsidR="00D84BFE">
        <w:t xml:space="preserve"> 3% of the British CD population was on biologic therapy,</w:t>
      </w:r>
      <w:r w:rsidR="00AE13D9">
        <w:fldChar w:fldCharType="begin" w:fldLock="1"/>
      </w:r>
      <w:r w:rsidR="003F18ED">
        <w:instrText>ADDIN CSL_CITATION { "citationItems" : [ { "id" : "ITEM-1", "itemData" : { "DOI" : "10.1016/j.crohns.2010.01.003", "ISBN" : "1873-9946", "ISSN" : "18739946", "PMID" : "21122536", "abstract" : "Background: Inflammatory bowel disease (IBD), a paradigm of chronic illness, requires for its safe clinical management ready access to complete information, not always possible using paper records. Aim: To develop an IBD database (DB) for both individual patient management and collating information across centres. Methods: Access?? based, with a minimum dataset. Results: Prospectively collected data for 11,432 patients from 21 centres. Profile Diagnosis: Ulcerative colitis (UC) 56%, Crohn's disease (CD) 40%, indeterminate colitis 4%. M:F ratio: UC 1.08:1, CD 0.72:1. Median age at diagnosis: UC 39, CD 30. years. Operated: UC 16%, CD 47%. Thiopurine use: UC 16%, CD 29%. IBD related mortality: 0.74%. Discussion: A snapshot of this large IBD cohort shows the disease profile across the UK is similar to other large series. Unexpected gaps, sometimes large emerged (e.g. data on smoking and immunosuppression) highlighting the need for clear definition, consistency and completeness of data collection. Clinical management is made easier by the 'at a glance' summary, automated clinic letters, and facility for monitoring and audit, but the time required limited its 'real-time' use. Conclusion: Our experience shows it is possible to collect data from centres across the country which truly reflects clinical practice. We have learned as much from the process itself as from the data, principally, information needs to be well defined, validated at entry, and updated at every visit, a time consuming sequence which we had underestimated. Our lessons learned may help inform the development of a national database, and support national IBD standards and audit. ?? 2010 European Crohn's and Colitis Organisation.", "author" : [ { "dropping-particle" : "", "family" : "Bardhan", "given" : "K. D.", "non-dropping-particle" : "", "parse-names" : false, "suffix" : "" }, { "dropping-particle" : "", "family" : "Simmonds", "given" : "N.", "non-dropping-particle" : "", "parse-names" : false, "suffix" : "" }, { "dropping-particle" : "", "family" : "Royston", "given" : "C.", "non-dropping-particle" : "", "parse-names" : false, "suffix" : "" }, { "dropping-particle" : "", "family" : "Dhar", "given" : "a.", "non-dropping-particle" : "", "parse-names" : false, "suffix" : "" }, { "dropping-particle" : "", "family" : "Edwards", "given" : "C. M.", "non-dropping-particle" : "", "parse-names" : false, "suffix" : "" } ], "container-title" : "Journal of Crohn's and Colitis", "id" : "ITEM-1", "issue" : "4", "issued" : { "date-parts" : [ [ "2010" ] ] }, "page" : "405-412", "publisher" : "European Crohn's and Colitis Organisation", "title" : "A United Kingdom inflammatory bowel disease database: Making the effort worthwhile", "type" : "article-journal", "volume" : "4" }, "uris" : [ "http://www.mendeley.com/documents/?uuid=302adea0-091c-4d35-9a04-fac37753aa6c" ] } ], "mendeley" : { "formattedCitation" : "&lt;sup&gt;61&lt;/sup&gt;", "plainTextFormattedCitation" : "61", "previouslyFormattedCitation" : "&lt;sup&gt;61&lt;/sup&gt;" }, "properties" : { "noteIndex" : 0 }, "schema" : "https://github.com/citation-style-language/schema/raw/master/csl-citation.json" }</w:instrText>
      </w:r>
      <w:r w:rsidR="00AE13D9">
        <w:fldChar w:fldCharType="separate"/>
      </w:r>
      <w:r w:rsidR="003F18ED" w:rsidRPr="003F18ED">
        <w:rPr>
          <w:noProof/>
          <w:vertAlign w:val="superscript"/>
        </w:rPr>
        <w:t>61</w:t>
      </w:r>
      <w:r w:rsidR="00AE13D9">
        <w:fldChar w:fldCharType="end"/>
      </w:r>
      <w:r w:rsidR="00750E0B">
        <w:t xml:space="preserve"> but </w:t>
      </w:r>
      <w:r w:rsidR="007B1FB2">
        <w:t>has steadily risen since</w:t>
      </w:r>
      <w:r w:rsidR="001140B1">
        <w:t>.</w:t>
      </w:r>
      <w:r w:rsidR="00AE13D9">
        <w:fldChar w:fldCharType="begin" w:fldLock="1"/>
      </w:r>
      <w:r w:rsidR="003F18ED">
        <w:instrText>ADDIN CSL_CITATION { "citationItems" : [ { "id" : "ITEM-1", "itemData" : { "ISBN" : "9781860165719", "URL" : "https://www.rcplondon.ac.uk/projects/outputs/national-clinical-audit-report-biological-therapies-adult-report-2015", "accessed" : { "date-parts" : [ [ "2017", "3", "3" ] ] }, "author" : [ { "dropping-particle" : "", "family" : "Royal College of Physicians", "given" : "", "non-dropping-particle" : "", "parse-names" : false, "suffix" : "" } ], "id" : "ITEM-1", "issue" : "September", "issued" : { "date-parts" : [ [ "2015" ] ] }, "title" : "National clinical audit of biological therapies - UK Inflammatory Bowel Disease (IBD) audit", "type" : "webpage" }, "uris" : [ "http://www.mendeley.com/documents/?uuid=4392ee4c-5e05-4e92-9c20-c45d69d38f89" ] } ], "mendeley" : { "formattedCitation" : "&lt;sup&gt;62&lt;/sup&gt;", "plainTextFormattedCitation" : "62", "previouslyFormattedCitation" : "&lt;sup&gt;62&lt;/sup&gt;" }, "properties" : { "noteIndex" : 0 }, "schema" : "https://github.com/citation-style-language/schema/raw/master/csl-citation.json" }</w:instrText>
      </w:r>
      <w:r w:rsidR="00AE13D9">
        <w:fldChar w:fldCharType="separate"/>
      </w:r>
      <w:r w:rsidR="003F18ED" w:rsidRPr="003F18ED">
        <w:rPr>
          <w:noProof/>
          <w:vertAlign w:val="superscript"/>
        </w:rPr>
        <w:t>62</w:t>
      </w:r>
      <w:r w:rsidR="00AE13D9">
        <w:fldChar w:fldCharType="end"/>
      </w:r>
      <w:r w:rsidR="009327D4">
        <w:t xml:space="preserve"> </w:t>
      </w:r>
      <w:r w:rsidR="007B1FB2">
        <w:t>In our multivariate analysis we have shown that era of diagnosis was not a significant covariate implying that changes in biologic use between the era did not impact significantly on the measured outcomes. This is also consistent with a recent  Spanish registry study, which reported that smoking was associated with a more deleterious disease course irrespective of increased biologic use.</w:t>
      </w:r>
      <w:r w:rsidR="00AE13D9">
        <w:fldChar w:fldCharType="begin" w:fldLock="1"/>
      </w:r>
      <w:r w:rsidR="00391BF7">
        <w:instrText>ADDIN CSL_CITATION { "citationItems" : [ { "id" : "ITEM-1", "itemData" : { "DOI" : "10.1111/apt.12440", "ISBN" : "1365-2036 (Electronic)\\r0269-2813 (Linking)", "ISSN" : "02692813", "PMID" : "23980933", "abstract" : "BACKGROUND: Recently, the notion that smoking may adversely affect Crohn's disease (CD) outcomes has been challenged by the suggestion that the widespread use of immunosuppressants and anti-TNF drugs might offset the adverse effects of tobacco. AIM: To reassess the influence of tobacco smoking on disease phenotype and complications on a time-dependent analysis, taking into account the different therapeutic interventions. METHODS: We designed a retrospective cohort study of 3224 patients with Crohn's disease. The data were collected from the Spanish national inflammatory bowel disease registry (ENEIDA), including information regarding demographics, clinical characteristics, disease complications, therapeutic interventions and smoking status. Patients were classified as nonsmokers, smokers and former smokers, according to their present and past smoking habits. RESULTS: In the univariate analysis, smokers had more strictures (22.6% vs. 19.3%, P &lt; 0.05) and less colonic involvement (7.2% vs. 10.9%, P &lt; 0.05), and were more frequently under treatment with steroids (91.6% vs. 85.8%, P &lt; 0.05), immunosuppressants (73.5% vs. 63.6% P &lt; 0.05) or anti-TNF drugs (31.4% vs. 25.1%, P &lt; 0.05) than nonsmokers. In the time-dependent multivariate analysis, smokers were found to have a significantly decreased survival free of stricturing disease (HR: 1.5, CI 95% 1.18-1.90) or perianal complications (HR: 1.50, CI 95% 1.01-1.46), and had a higher risk for requiring thiopurine therapy (HR: 1.20, CI 95% 1.05-1.30). CONCLUSION: These results suggest that, despite the widespread use of immunosuppressants and anti-TNF drugs, smokers with Crohn's disease still have a more severe disease course, with increased therapeutic requirements when compared with nonsmokers.", "author" : [ { "dropping-particle" : "", "family" : "Nunes", "given" : "T.", "non-dropping-particle" : "", "parse-names" : false, "suffix" : "" }, { "dropping-particle" : "", "family" : "Etchevers", "given" : "M. J.", "non-dropping-particle" : "", "parse-names" : false, "suffix" : "" }, { "dropping-particle" : "", "family" : "Dom\u00e8nech", "given" : "E.", "non-dropping-particle" : "", "parse-names" : false, "suffix" : "" }, { "dropping-particle" : "", "family" : "Garc\u00eda-S\u00e1nchez", "given" : "V.", "non-dropping-particle" : "", "parse-names" : false, "suffix" : "" }, { "dropping-particle" : "", "family" : "Ber", "given" : "Y.", "non-dropping-particle" : "", "parse-names" : false, "suffix" : "" }, { "dropping-particle" : "", "family" : "Pe\u00f1alva", "given" : "M.", "non-dropping-particle" : "", "parse-names" : false, "suffix" : "" }, { "dropping-particle" : "", "family" : "Merino", "given" : "O.", "non-dropping-particle" : "", "parse-names" : false, "suffix" : "" }, { "dropping-particle" : "", "family" : "Nos", "given" : "P.", "non-dropping-particle" : "", "parse-names" : false, "suffix" : "" }, { "dropping-particle" : "", "family" : "Garcia-Planella", "given" : "E.", "non-dropping-particle" : "", "parse-names" : false, "suffix" : "" }, { "dropping-particle" : "", "family" : "Casbas", "given" : "a. G.", "non-dropping-particle" : "", "parse-names" : false, "suffix" : "" }, { "dropping-particle" : "", "family" : "Esteve", "given" : "M.", "non-dropping-particle" : "", "parse-names" : false, "suffix" : "" }, { "dropping-particle" : "", "family" : "Taxonera Sams\u00f5", "given" : "C.", "non-dropping-particle" : "", "parse-names" : false, "suffix" : "" }, { "dropping-particle" : "", "family" : "Montoro Huguet", "given" : "M.", "non-dropping-particle" : "", "parse-names" : false, "suffix" : "" }, { "dropping-particle" : "", "family" : "Gisbert", "given" : "J. P.", "non-dropping-particle" : "", "parse-names" : false, "suffix" : "" }, { "dropping-particle" : "", "family" : "Mart\u00edn Arranz", "given" : "M. D.", "non-dropping-particle" : "", "parse-names" : false, "suffix" : "" }, { "dropping-particle" : "", "family" : "Garc\u00eda-Sepulcre", "given" : "M. F.", "non-dropping-particle" : "", "parse-names" : false, "suffix" : "" }, { "dropping-particle" : "", "family" : "Barreiro-De Acosta", "given" : "M.", "non-dropping-particle" : "", "parse-names" : false, "suffix" : "" }, { "dropping-particle" : "", "family" : "Beltr\u00e1n", "given" : "B.", "non-dropping-particle" : "", "parse-names" : false, "suffix" : "" }, { "dropping-particle" : "", "family" : "Alcaide Su\u00e1rez", "given" : "N.", "non-dropping-particle" : "", "parse-names" : false, "suffix" : "" }, { "dropping-particle" : "", "family" : "Saro Gismera", "given" : "C.", "non-dropping-particle" : "", "parse-names" : false, "suffix" : "" }, { "dropping-particle" : "", "family" : "Cabriada", "given" : "J. L.", "non-dropping-particle" : "", "parse-names" : false, "suffix" : "" }, { "dropping-particle" : "", "family" : "Ca\u00f1as-Ventura", "given" : "a.", "non-dropping-particle" : "", "parse-names" : false, "suffix" : "" }, { "dropping-particle" : "", "family" : "Gomoll\u00f5n", "given" : "F.", "non-dropping-particle" : "", "parse-names" : false, "suffix" : "" }, { "dropping-particle" : "", "family" : "Pan\u00e9s", "given" : "J.", "non-dropping-particle" : "", "parse-names" : false, "suffix" : "" } ], "container-title" : "Alimentary Pharmacology and Therapeutics", "id" : "ITEM-1", "issue" : "7", "issued" : { "date-parts" : [ [ "2013" ] ] }, "page" : "752-760", "title" : "Smoking does influence disease behaviour and impacts the need for therapy in Crohn\u2032s disease in the biologic era", "type" : "article-journal", "volume" : "38" }, "uris" : [ "http://www.mendeley.com/documents/?uuid=f02f0324-de1e-4d72-8957-4e4bf840e451" ] } ], "mendeley" : { "formattedCitation" : "&lt;sup&gt;11&lt;/sup&gt;", "plainTextFormattedCitation" : "11", "previouslyFormattedCitation" : "&lt;sup&gt;11&lt;/sup&gt;" }, "properties" : { "noteIndex" : 0 }, "schema" : "https://github.com/citation-style-language/schema/raw/master/csl-citation.json" }</w:instrText>
      </w:r>
      <w:r w:rsidR="00AE13D9">
        <w:fldChar w:fldCharType="separate"/>
      </w:r>
      <w:r w:rsidR="00391BF7" w:rsidRPr="00391BF7">
        <w:rPr>
          <w:noProof/>
          <w:vertAlign w:val="superscript"/>
        </w:rPr>
        <w:t>11</w:t>
      </w:r>
      <w:r w:rsidR="00AE13D9">
        <w:fldChar w:fldCharType="end"/>
      </w:r>
    </w:p>
    <w:p w:rsidR="00304057" w:rsidRDefault="004514EC" w:rsidP="00304057">
      <w:pPr>
        <w:pStyle w:val="Heading2"/>
        <w:spacing w:line="480" w:lineRule="auto"/>
        <w:rPr>
          <w:rFonts w:asciiTheme="minorHAnsi" w:hAnsiTheme="minorHAnsi"/>
        </w:rPr>
      </w:pPr>
      <w:r>
        <w:rPr>
          <w:rFonts w:asciiTheme="minorHAnsi" w:hAnsiTheme="minorHAnsi"/>
        </w:rPr>
        <w:t>Implications</w:t>
      </w:r>
    </w:p>
    <w:p w:rsidR="00E70C54" w:rsidRPr="00E70C54" w:rsidRDefault="00E70C54" w:rsidP="00304057">
      <w:pPr>
        <w:spacing w:line="480" w:lineRule="auto"/>
        <w:jc w:val="both"/>
      </w:pPr>
      <w:r w:rsidRPr="00E70C54">
        <w:t>Our results support the hypothesis that intestinal inflammation is exacerbated by toba</w:t>
      </w:r>
      <w:r w:rsidR="00471BEF">
        <w:t xml:space="preserve">cco exposure in </w:t>
      </w:r>
      <w:proofErr w:type="spellStart"/>
      <w:r w:rsidR="00471BEF">
        <w:t>Crohn’s</w:t>
      </w:r>
      <w:proofErr w:type="spellEnd"/>
      <w:r w:rsidR="00471BEF">
        <w:t xml:space="preserve"> disease</w:t>
      </w:r>
      <w:r w:rsidRPr="00E70C54">
        <w:t xml:space="preserve"> and worsens subsequent clinical outcomes, notably steroid use and requirement </w:t>
      </w:r>
      <w:r w:rsidRPr="00E70C54">
        <w:lastRenderedPageBreak/>
        <w:t>for intestinal surgery. Importantly it supports the notion that smoking cessation has a favourable impact.</w:t>
      </w:r>
    </w:p>
    <w:p w:rsidR="00304057" w:rsidRPr="001521D5" w:rsidRDefault="00D32C0C" w:rsidP="00304057">
      <w:pPr>
        <w:spacing w:line="480" w:lineRule="auto"/>
        <w:jc w:val="both"/>
      </w:pPr>
      <w:r w:rsidRPr="00E70C54">
        <w:t>Smoking is the only</w:t>
      </w:r>
      <w:r w:rsidR="00690683" w:rsidRPr="00E70C54">
        <w:t xml:space="preserve"> truly</w:t>
      </w:r>
      <w:r w:rsidRPr="00E70C54">
        <w:t xml:space="preserve"> modifiable risk factor</w:t>
      </w:r>
      <w:r w:rsidR="00690683" w:rsidRPr="00E70C54">
        <w:t xml:space="preserve"> in disease course in CD and</w:t>
      </w:r>
      <w:r w:rsidRPr="00E70C54">
        <w:t xml:space="preserve"> </w:t>
      </w:r>
      <w:r w:rsidR="00690683" w:rsidRPr="00E70C54">
        <w:t>o</w:t>
      </w:r>
      <w:r w:rsidR="00AB5E1B" w:rsidRPr="00E70C54">
        <w:t xml:space="preserve">ur findings </w:t>
      </w:r>
      <w:r w:rsidR="005031CD" w:rsidRPr="00E70C54">
        <w:t>underscore</w:t>
      </w:r>
      <w:r w:rsidR="00AB5E1B" w:rsidRPr="00E70C54">
        <w:t xml:space="preserve"> the </w:t>
      </w:r>
      <w:r w:rsidR="00443E9F" w:rsidRPr="00E70C54">
        <w:t xml:space="preserve">importance of </w:t>
      </w:r>
      <w:r w:rsidR="00E70C54">
        <w:t>assessing</w:t>
      </w:r>
      <w:r w:rsidR="00AB5E1B" w:rsidRPr="00E70C54">
        <w:t xml:space="preserve"> sm</w:t>
      </w:r>
      <w:r w:rsidR="00443E9F" w:rsidRPr="00E70C54">
        <w:t>oking status at first presentation</w:t>
      </w:r>
      <w:r w:rsidR="00F549A4" w:rsidRPr="00E70C54">
        <w:t>,</w:t>
      </w:r>
      <w:r w:rsidR="00AB5E1B" w:rsidRPr="00E70C54">
        <w:t xml:space="preserve"> and</w:t>
      </w:r>
      <w:r w:rsidR="00E70C54" w:rsidRPr="00E70C54">
        <w:t xml:space="preserve"> </w:t>
      </w:r>
      <w:r w:rsidR="00443E9F" w:rsidRPr="00E70C54">
        <w:t>counselli</w:t>
      </w:r>
      <w:r w:rsidR="00F549A4" w:rsidRPr="00E70C54">
        <w:t>ng patients who smoke that continued tobacco</w:t>
      </w:r>
      <w:r w:rsidR="00E70C54" w:rsidRPr="00E70C54">
        <w:t xml:space="preserve"> use</w:t>
      </w:r>
      <w:r w:rsidR="00F549A4" w:rsidRPr="00E70C54">
        <w:t xml:space="preserve"> i</w:t>
      </w:r>
      <w:r w:rsidRPr="00E70C54">
        <w:t>s likely to be associated with detrimental outcomes, but that quitting smoking will improve their disease course</w:t>
      </w:r>
      <w:r w:rsidR="00AB5E1B" w:rsidRPr="00E70C54">
        <w:t>.</w:t>
      </w:r>
      <w:r w:rsidR="00F549A4" w:rsidRPr="00E70C54">
        <w:t xml:space="preserve"> </w:t>
      </w:r>
      <w:r w:rsidR="00690683" w:rsidRPr="00E70C54">
        <w:t>This is particularly pertinent given patient knowledge as to the potentially negative impact of smoking on outcomes in IBD may be lacking.</w:t>
      </w:r>
      <w:r w:rsidR="00AE13D9" w:rsidRPr="00E70C54">
        <w:fldChar w:fldCharType="begin" w:fldLock="1"/>
      </w:r>
      <w:r w:rsidR="003F18ED">
        <w:instrText>ADDIN CSL_CITATION { "citationItems" : [ { "id" : "ITEM-1", "itemData" : { "DOI" : "10.1111/apt.13423", "ISSN" : "13652036", "PMID" : "26435040", "abstract" : "Summary Background The detrimental effect of smoking on development and progression of Crohn's disease (CD) is generally accepted. Aim To evaluate the awareness of smoking risks in a Belgian inflammatory bowel disease (IBD) population. Methods In the out-patient clinic of a tertiary referral centre, 625 consecutive patients with CD, 238 patients with ulcerative colitis (UC) and 289 non-IBD controls, filled out a simple questionnaire. This questionnaire included data on smoking behaviour and awareness of smoking-related health effects, including effects on IBD. Results At diagnosis, more CD patients were active smokers compared to UC (40% vs. 17%, P &lt; 0.001). Remarkably, smoking cessation rates after diagnosis were similar for CD and UC (both 56%, P = 0.997). The great majority recognised a detrimental influence of smoking on general health (98-99%), lung cancer (95-97%), myocardial infarction (89-92%) and stroke (78-87%). Although CD patients more frequently acknowledged risks of smoking on their disease, only 37% were aware of a link with CD development, 30% of increased surgical rates and 27% of increased post-operative CD recurrence. Active smokers more frequently denied an increased risk of surgery and higher post-operative CD recurrence. Intriguingly, within the active smokers with CD, those not willing to quit smoking most often denied a potential bad influence of smoking. Taking into account disease duration, previous surgery, education level, working status and nicotine dependence, we were unable to define specific subgroups of patients requiring extra education. Conclusion Although patients with Crohn's disease were better informed on the detrimental effects of smoking, the awareness rate was still low. \u00c2\u00a9 2015 John Wiley &amp; Sons Ltd.", "author" : [ { "dropping-particle" : "", "family" : "Bie", "given" : "C.", "non-dropping-particle" : "De", "parse-names" : false, "suffix" : "" }, { "dropping-particle" : "", "family" : "Ballet", "given" : "V.", "non-dropping-particle" : "", "parse-names" : false, "suffix" : "" }, { "dropping-particle" : "", "family" : "Hendriks", "given" : "N.", "non-dropping-particle" : "", "parse-names" : false, "suffix" : "" }, { "dropping-particle" : "", "family" : "Coenen", "given" : "S.", "non-dropping-particle" : "", "parse-names" : false, "suffix" : "" }, { "dropping-particle" : "", "family" : "Weyts", "given" : "E.", "non-dropping-particle" : "", "parse-names" : false, "suffix" : "" }, { "dropping-particle" : "", "family" : "Assche", "given" : "G.", "non-dropping-particle" : "Van", "parse-names" : false, "suffix" : "" }, { "dropping-particle" : "", "family" : "Vermeire", "given" : "S.", "non-dropping-particle" : "", "parse-names" : false, "suffix" : "" }, { "dropping-particle" : "", "family" : "Ferrante", "given" : "M.", "non-dropping-particle" : "", "parse-names" : false, "suffix" : "" } ], "container-title" : "Alimentary Pharmacology and Therapeutics", "id" : "ITEM-1", "issue" : "11-12", "issued" : { "date-parts" : [ [ "2015" ] ] }, "page" : "1294-1302", "title" : "Smoking behaviour and knowledge of the health effects of smoking in patients with inflammatory bowel disease", "type" : "article-journal", "volume" : "42" }, "uris" : [ "http://www.mendeley.com/documents/?uuid=e34bbad8-fb12-43f0-b788-85988557d600" ] } ], "mendeley" : { "formattedCitation" : "&lt;sup&gt;63&lt;/sup&gt;", "plainTextFormattedCitation" : "63", "previouslyFormattedCitation" : "&lt;sup&gt;63&lt;/sup&gt;" }, "properties" : { "noteIndex" : 0 }, "schema" : "https://github.com/citation-style-language/schema/raw/master/csl-citation.json" }</w:instrText>
      </w:r>
      <w:r w:rsidR="00AE13D9" w:rsidRPr="00E70C54">
        <w:fldChar w:fldCharType="separate"/>
      </w:r>
      <w:r w:rsidR="003F18ED" w:rsidRPr="003F18ED">
        <w:rPr>
          <w:noProof/>
          <w:vertAlign w:val="superscript"/>
        </w:rPr>
        <w:t>63</w:t>
      </w:r>
      <w:r w:rsidR="00AE13D9" w:rsidRPr="00E70C54">
        <w:fldChar w:fldCharType="end"/>
      </w:r>
      <w:r w:rsidR="00CC6C14" w:rsidRPr="00E70C54">
        <w:rPr>
          <w:vertAlign w:val="superscript"/>
        </w:rPr>
        <w:t>,</w:t>
      </w:r>
      <w:r w:rsidR="00AE13D9">
        <w:rPr>
          <w:u w:val="single"/>
        </w:rPr>
        <w:fldChar w:fldCharType="begin" w:fldLock="1"/>
      </w:r>
      <w:r w:rsidR="003F18ED">
        <w:rPr>
          <w:u w:val="single"/>
        </w:rPr>
        <w:instrText>ADDIN CSL_CITATION { "citationItems" : [ { "id" : "ITEM-1", "itemData" : { "DOI" : "26196475", "abstract" : "BACKGOUND: Tobacco is one of the most significant risk factors for inflammatory bowel disease (IBD). GOALS: The main objective was to assess the knowledge of patients with IBD regarding the effects of tobacco on their disease. Secondary objectives were to determine the source of their knowledge, the influence of their knowledge on their intent to quit smoking, and the association between patients' characteristics and their knowledge. STUDY: Patients with IBD completed a self-administered questionnaire on demographic data, severity of disease, and effects of tobacco on their disease. RESULTS: In total 259 patients [182 with Crohn's disease, 77 with ulcerative colitis (UC)] participated. The prevalence of current smokers, exsmokers, and nonsmokers was 19.6%, 40.2%, and 40.2%, respectively. Patients with Crohn's disease were more aware of the effects of tobacco on their disease compared with those with UC (57.7% vs. 13.0%, P&lt;0.0001). In informed patients, the main source of information was the gastroenterologist (56.9%). The intent to quit smoking was superior in informed patients compared with those uninformed (78.6% vs. 47.8%, P=0.046). Older patients (odds ratio=0.97, P=0.01) and patients with UC (odds ratio=0.11, P&lt;0.0001) were less likely to be informed. CONCLUSIONS: Only half of patients with IBD are aware of the risks of smoking associated with their disease, whereas their intent to quit smoking is directly related to their awareness. In the scope of IBD's treatment, management of smoking cessation should be undertaken in all smokers.", "author" : [ { "dropping-particle" : "", "family" : "Ducharme-B\u00e9nard", "given" : "S", "non-dropping-particle" : "", "parse-names" : false, "suffix" : "" }, { "dropping-particle" : "", "family" : "C\u00f4t\u00e9-Daigneault", "given" : "J", "non-dropping-particle" : "", "parse-names" : false, "suffix" : "" }, { "dropping-particle" : "", "family" : "Lemoyne", "given" : "M", "non-dropping-particle" : "", "parse-names" : false, "suffix" : "" }, { "dropping-particle" : "", "family" : "Orlicka", "given" : "K", "non-dropping-particle" : "", "parse-names" : false, "suffix" : "" }, { "dropping-particle" : "", "family" : "Lahaie", "given" : "R", "non-dropping-particle" : "", "parse-names" : false, "suffix" : "" }, { "dropping-particle" : "", "family" : "Weber", "given" : "A", "non-dropping-particle" : "", "parse-names" : false, "suffix" : "" }, { "dropping-particle" : "", "family" : "Bouin", "given" : "M", "non-dropping-particle" : "", "parse-names" : false, "suffix" : "" } ], "container-title" : "J Clin Gastroenterol.", "id" : "ITEM-1", "issue" : "6", "issued" : { "date-parts" : [ [ "2016" ] ] }, "page" : "490-7", "title" : "Patients With Inflammatory Bowel Disease Are Unaware of the Impact of Smoking on Their Disease.", "type" : "article-journal", "volume" : "50" }, "uris" : [ "http://www.mendeley.com/documents/?uuid=8b7631b7-aa19-478a-97ca-6f8eb003a281" ] } ], "mendeley" : { "formattedCitation" : "&lt;sup&gt;64&lt;/sup&gt;", "plainTextFormattedCitation" : "64", "previouslyFormattedCitation" : "&lt;sup&gt;64&lt;/sup&gt;" }, "properties" : { "noteIndex" : 0 }, "schema" : "https://github.com/citation-style-language/schema/raw/master/csl-citation.json" }</w:instrText>
      </w:r>
      <w:r w:rsidR="00AE13D9">
        <w:rPr>
          <w:u w:val="single"/>
        </w:rPr>
        <w:fldChar w:fldCharType="separate"/>
      </w:r>
      <w:r w:rsidR="003F18ED" w:rsidRPr="003F18ED">
        <w:rPr>
          <w:noProof/>
          <w:vertAlign w:val="superscript"/>
        </w:rPr>
        <w:t>64</w:t>
      </w:r>
      <w:r w:rsidR="00AE13D9">
        <w:rPr>
          <w:u w:val="single"/>
        </w:rPr>
        <w:fldChar w:fldCharType="end"/>
      </w:r>
      <w:r w:rsidR="00E70C54">
        <w:rPr>
          <w:u w:val="single"/>
        </w:rPr>
        <w:t xml:space="preserve"> </w:t>
      </w:r>
      <w:r w:rsidR="00E70C54">
        <w:t>We recommend that smoking cessation strategies should be prioritised in systematic shared care protocols bridging primary and secondary care since there is good evidence, that when clinicians support patients, about a third will quit</w:t>
      </w:r>
      <w:r w:rsidR="000B11E0">
        <w:t>,</w:t>
      </w:r>
      <w:r w:rsidR="00AE13D9">
        <w:fldChar w:fldCharType="begin" w:fldLock="1"/>
      </w:r>
      <w:r w:rsidR="003F18ED">
        <w:instrText>ADDIN CSL_CITATION { "citationItems" : [ { "id" : "ITEM-1", "itemData" : { "DOI" : "10.1016/j.crohns.2012.04.011", "ISBN" : "1876-4479 (Electronic)\\r1873-9946 (Linking)", "ISSN" : "18739946", "PMID" : "22626507", "abstract" : "Introduction: Tobacco smoking has a significant impact on the development of Crohn's disease (CD) and its clinical course, making smoking cessation one of the main goals in CD therapeutic strategy. Aims: To evaluate the effectiveness of an advice-based smoking cessation strategy among CD patients. Methods: We have performed a prospective multicenter study which enrolled 408 CD smokers. At inclusion all patients were instructed about the risks of smoking and subsequently followed every 3. months. Each center used additional smoking cessation strategies based on available resources. Urinary cotinine and exhaled carbon monoxide levels were evaluated in a subgroup of patients. Results: Median study follow up was 18 months. 31% of the patients achieved complete smoking cessation and 23% were smoking-free at the end of their follow up with 8% of smoking relapse. Most patients not achieving smoking cessation did not change their smoking habit with only 5% presenting a decrease in tobacco load. 63% of patients willing to quit smoking received help from another specialist, most frequently the pulmonologist (47%). Surprisingly, most patients (88%) tried to quit smoking with no pharmacological therapy and bupropion, varenicline and nicotine replacement treatment were used in few patients. Urinary cotinine and exhaled CO levels tested in a subgroup of patients proved to have a good correlation with the self-reported smoking habit. No predictors of successful smoking cessation were identified. ?? 2012 European Crohn's and Colitis Organisation.", "author" : [ { "dropping-particle" : "", "family" : "Nunes", "given" : "Tiago", "non-dropping-particle" : "", "parse-names" : false, "suffix" : "" }, { "dropping-particle" : "", "family" : "Etchevers", "given" : "Maria Josefina", "non-dropping-particle" : "", "parse-names" : false, "suffix" : "" }, { "dropping-particle" : "", "family" : "Merino", "given" : "Olga", "non-dropping-particle" : "", "parse-names" : false, "suffix" : "" }, { "dropping-particle" : "", "family" : "Gallego", "given" : "Sonia", "non-dropping-particle" : "", "parse-names" : false, "suffix" : "" }, { "dropping-particle" : "", "family" : "Garc??a-S??nchez", "given" : "Valle", "non-dropping-particle" : "", "parse-names" : false, "suffix" : "" }, { "dropping-particle" : "", "family" : "Mar??n-Jim??nez", "given" : "Ignacio", "non-dropping-particle" : "", "parse-names" : false, "suffix" : "" }, { "dropping-particle" : "", "family" : "Mench??n", "given" : "Luis", "non-dropping-particle" : "", "parse-names" : false, "suffix" : "" }, { "dropping-particle" : "", "family" : "Barreiro-de Acosta", "given" : "Manuel", "non-dropping-particle" : "", "parse-names" : false, "suffix" : "" }, { "dropping-particle" : "", "family" : "Bastida", "given" : "Guillermo", "non-dropping-particle" : "", "parse-names" : false, "suffix" : "" }, { "dropping-particle" : "", "family" : "Garc??a", "given" : "Sara", "non-dropping-particle" : "", "parse-names" : false, "suffix" : "" }, { "dropping-particle" : "", "family" : "Gento", "given" : "Elena", "non-dropping-particle" : "", "parse-names" : false, "suffix" : "" }, { "dropping-particle" : "", "family" : "Ginard", "given" : "Daniel", "non-dropping-particle" : "", "parse-names" : false, "suffix" : "" }, { "dropping-particle" : "", "family" : "Mart??", "given" : "Eva", "non-dropping-particle" : "", "parse-names" : false, "suffix" : "" }, { "dropping-particle" : "", "family" : "Gomoll??n", "given" : "Fernando", "non-dropping-particle" : "", "parse-names" : false, "suffix" : "" }, { "dropping-particle" : "", "family" : "Arroyo", "given" : "Maite", "non-dropping-particle" : "", "parse-names" : false, "suffix" : "" }, { "dropping-particle" : "", "family" : "Monfort", "given" : "David", "non-dropping-particle" : "", "parse-names" : false, "suffix" : "" }, { "dropping-particle" : "", "family" : "Garc??a-Planella", "given" : "Esther", "non-dropping-particle" : "", "parse-names" : false, "suffix" : "" }, { "dropping-particle" : "", "family" : "Gonzalez", "given" : "Benito", "non-dropping-particle" : "", "parse-names" : false, "suffix" : "" }, { "dropping-particle" : "", "family" : "Loras", "given" : "Carme", "non-dropping-particle" : "", "parse-names" : false, "suffix" : "" }, { "dropping-particle" : "", "family" : "Agust??", "given" : "Carles", "non-dropping-particle" : "", "parse-names" : false, "suffix" : "" }, { "dropping-particle" : "", "family" : "Figueroa", "given" : "Carolina", "non-dropping-particle" : "", "parse-names" : false, "suffix" : "" }, { "dropping-particle" : "", "family" : "Sans", "given" : "Miquel", "non-dropping-particle" : "", "parse-names" : false, "suffix" : "" } ], "container-title" : "Journal of Crohn's and Colitis", "id" : "ITEM-1", "issue" : "3", "issued" : { "date-parts" : [ [ "2013" ] ] }, "page" : "202-207", "publisher" : "European Crohn's and Colitis Organisation", "title" : "High smoking cessation rate in Crohn's disease patients after physician advice - The TABACROHN Study", "type" : "article-journal", "volume" : "7" }, "uris" : [ "http://www.mendeley.com/documents/?uuid=746c0ced-e7eb-4543-94d5-fd8ba0661145" ] } ], "mendeley" : { "formattedCitation" : "&lt;sup&gt;65&lt;/sup&gt;", "plainTextFormattedCitation" : "65", "previouslyFormattedCitation" : "&lt;sup&gt;65&lt;/sup&gt;" }, "properties" : { "noteIndex" : 0 }, "schema" : "https://github.com/citation-style-language/schema/raw/master/csl-citation.json" }</w:instrText>
      </w:r>
      <w:r w:rsidR="00AE13D9">
        <w:fldChar w:fldCharType="separate"/>
      </w:r>
      <w:r w:rsidR="003F18ED" w:rsidRPr="003F18ED">
        <w:rPr>
          <w:noProof/>
          <w:vertAlign w:val="superscript"/>
        </w:rPr>
        <w:t>65</w:t>
      </w:r>
      <w:r w:rsidR="00AE13D9">
        <w:fldChar w:fldCharType="end"/>
      </w:r>
      <w:r w:rsidR="00F549A4">
        <w:t xml:space="preserve"> with resultant improvement in</w:t>
      </w:r>
      <w:r w:rsidR="000B11E0">
        <w:t xml:space="preserve"> clinical outcomes</w:t>
      </w:r>
      <w:r w:rsidR="00F549A4">
        <w:t xml:space="preserve"> in those </w:t>
      </w:r>
      <w:r w:rsidR="007B2E59">
        <w:t>that achieve this goal</w:t>
      </w:r>
      <w:r w:rsidR="000B11E0">
        <w:t>.</w:t>
      </w:r>
      <w:r w:rsidR="00AE13D9" w:rsidRPr="00D044B7">
        <w:fldChar w:fldCharType="begin" w:fldLock="1"/>
      </w:r>
      <w:r w:rsidR="00735E84" w:rsidRPr="00D044B7">
        <w:instrText>ADDIN CSL_CITATION { "citationItems" : [ { "id" : "ITEM-1", "itemData" : { "DOI" : "10.1038/ajg.2015.401", "ISSN" : "0002-9270", "PMID" : "26856753", "abstract" : "OBJECTIVES: Given the importance of tobacco smoking (TS) as the only environmental factor repeatedly linked to the development of the Crohn's disease (CD), it is surprising that very few prospective studies have assessed whether TS is associated with an increased frequency of clinical relapse. Our aim was to evaluate the current impact of TS on disease relapse and the clinical benefit of quitting smoking in the present era of widespread use of anti-TNF drugs and immunosuppressants.\\n\\nMETHODS: This was a multicenter prospective cohort study, which included 573 CD patients in clinical remission with various smoking habits. All smokers were advised to quit. Patients not exposed to tobacco before inclusion (non- and former smokers), continuing smokers, and quitters were compared regarding differences in disease outcomes during a follow-up of 4 years.\\n\\nRESULTS: A total of 148 continuing smokers, 190 nonsmokers, 160 former smokers, and 75 quitters were included. In comparison with nonsmokers, continuing smokers relapsed more frequently with an incidence rate ratio of 1.53 (95% confidence interval (CI): 1.10-2.17). Former smokers and quitters had similar relapse incidences compared with nonsmokers. Smoking was an independent predictor for disease relapse in the multivariate analysis (hazard ratio: 1.58 (95% CI 1.20-2.09). In the time-dependent analysis, continuing smokers had earlier relapse, regardless of anti-TNF or immunosuppressant use.\\n\\nCONCLUSIONS: Continuing smokers have more disease relapses, and patients who quit smoking have a similar relapse incidence compared with nonsmokers.Am J Gastroenterol advance online publication, 9 February 2016; doi:10.1038/ajg.2015.401.", "author" : [ { "dropping-particle" : "", "family" : "Nunes", "given" : "Tiago", "non-dropping-particle" : "", "parse-names" : false, "suffix" : "" }, { "dropping-particle" : "", "family" : "Etchevers", "given" : "Maria Josefina", "non-dropping-particle" : "", "parse-names" : false, "suffix" : "" }, { "dropping-particle" : "", "family" : "Garc\u00eda-S\u00e1nchez", "given" : "Valle", "non-dropping-particle" : "", "parse-names" : false, "suffix" : "" }, { "dropping-particle" : "", "family" : "Ginard", "given" : "Daniel", "non-dropping-particle" : "", "parse-names" : false, "suffix" : "" }, { "dropping-particle" : "", "family" : "Mart\u00ed", "given" : "Eva", "non-dropping-particle" : "", "parse-names" : false, "suffix" : "" }, { "dropping-particle" : "", "family" : "Barreiro-de Acosta", "given" : "Manuel", "non-dropping-particle" : "", "parse-names" : false, "suffix" : "" }, { "dropping-particle" : "", "family" : "Gomoll\u00f3n", "given" : "Fernando", "non-dropping-particle" : "", "parse-names" : false, "suffix" : "" }, { "dropping-particle" : "", "family" : "Arroyo", "given" : "Maite", "non-dropping-particle" : "", "parse-names" : false, "suffix" : "" }, { "dropping-particle" : "", "family" : "Bastida", "given" : "Guillermo", "non-dropping-particle" : "", "parse-names" : false, "suffix" : "" }, { "dropping-particle" : "", "family" : "Gonzalez", "given" : "Benito", "non-dropping-particle" : "", "parse-names" : false, "suffix" : "" }, { "dropping-particle" : "", "family" : "Monfort", "given" : "David", "non-dropping-particle" : "", "parse-names" : false, "suffix" : "" }, { "dropping-particle" : "", "family" : "Garc\u00eda-Planella", "given" : "Esther", "non-dropping-particle" : "", "parse-names" : false, "suffix" : "" }, { "dropping-particle" : "", "family" : "Figueroa", "given" : "Carolina", "non-dropping-particle" : "", "parse-names" : false, "suffix" : "" }, { "dropping-particle" : "", "family" : "Pan\u00e9s", "given" : "Juli\u00e1n", "non-dropping-particle" : "", "parse-names" : false, "suffix" : "" }, { "dropping-particle" : "", "family" : "Sans", "given" : "Miquel", "non-dropping-particle" : "", "parse-names" : false, "suffix" : "" } ], "container-title" : "The American Journal of Gastroenterology", "id" : "ITEM-1", "issue" : "November 2015", "issued" : { "date-parts" : [ [ "2016" ] ] }, "page" : "1-9", "title" : "Impact of Smoking Cessation on the Clinical Course of Crohn\u2019s Disease Under Current Therapeutic Algorithms: A Multicenter Prospective Study", "type" : "article-journal" }, "uris" : [ "http://www.mendeley.com/documents/?uuid=8aa81338-d835-41fa-983d-e529ff6af5d4" ] } ], "mendeley" : { "formattedCitation" : "&lt;sup&gt;18&lt;/sup&gt;", "plainTextFormattedCitation" : "18", "previouslyFormattedCitation" : "&lt;sup&gt;18&lt;/sup&gt;" }, "properties" : { "noteIndex" : 0 }, "schema" : "https://github.com/citation-style-language/schema/raw/master/csl-citation.json" }</w:instrText>
      </w:r>
      <w:r w:rsidR="00AE13D9" w:rsidRPr="00D044B7">
        <w:fldChar w:fldCharType="separate"/>
      </w:r>
      <w:r w:rsidR="00391BF7" w:rsidRPr="00D044B7">
        <w:rPr>
          <w:noProof/>
          <w:vertAlign w:val="superscript"/>
        </w:rPr>
        <w:t>18</w:t>
      </w:r>
      <w:r w:rsidR="00AE13D9" w:rsidRPr="00D044B7">
        <w:fldChar w:fldCharType="end"/>
      </w:r>
      <w:r w:rsidR="00E61024" w:rsidRPr="00D044B7">
        <w:t xml:space="preserve"> </w:t>
      </w:r>
      <w:r w:rsidR="00D044B7">
        <w:t>There may be added value in</w:t>
      </w:r>
      <w:r w:rsidR="001521D5" w:rsidRPr="00D044B7">
        <w:t xml:space="preserve"> focusing this effort on certain target populations including younger patients or</w:t>
      </w:r>
      <w:r w:rsidR="00CC6C14" w:rsidRPr="00D044B7">
        <w:t xml:space="preserve"> light smokers who are more likely to succeed with complete cessation.</w:t>
      </w:r>
      <w:r w:rsidR="00AE13D9" w:rsidRPr="00D044B7">
        <w:fldChar w:fldCharType="begin" w:fldLock="1"/>
      </w:r>
      <w:r w:rsidR="003F18ED">
        <w:instrText>ADDIN CSL_CITATION { "citationItems" : [ { "id" : "ITEM-1", "itemData" : { "PMID" : "28556205", "abstract" : "BACKGROUND AND AIMS: Smoking cessation is known to improve the course of Crohn's disease (CD). However, the factors associated with smoking cessation after CD diagnosis have not been well established. METHODS: Clinical characteristics and change in smoking status were evaluated in 445 current smokers at the time of CD diagnosis. Patients were classified into three subgroups based on their final smoking status and time of smoking cessation: non-quitters, quitters at diagnosis, and quitters during follow-up. RESULTS: The overall smoking cessation rate was 55.7% (248 of 445 patients). The diagnosis of CD was the main reason for quitting (41.5%, 103 of 248 patients). Smoking cessation at the time of CD diagnosis was associated with intestinal resection within 3 months from CD diagnosis (odds ratio [OR] 2.355, 95% confidence interval [CI] 1.348-4.116, p = 0.003), light smoking (OR 2.041, 95% CI 1.157-3.602, p = 0.014) and initiation of smoking before 18 years of age (OR 0.570, 95% CI 0.327-0.994, p = 0.047). Light smoking (OR 1.762, 95% CI 1.019-3.144, p = 0.043) and initiation of smoking before 18 years (OR 0.588, 95% CI 0.381-0.908, p = 0.017) were also associated with overall smoking cessation. CONCLUSIONS: Quitters after CD diagnosis, including quitters at diagnosis and quitters during follow-up, had features distinct from those of non-quitters. Given the motivation at CD diagnosis, a detailed history of smoking habits should be taken and all current smokers should be encouraged to quit smoking at the time of CD diagnosis.", "author" : [ { "dropping-particle" : "", "family" : "Song", "given" : "EM", "non-dropping-particle" : "", "parse-names" : false, "suffix" : "" }, { "dropping-particle" : "", "family" : "Kim", "given" : "GU", "non-dropping-particle" : "", "parse-names" : false, "suffix" : "" }, { "dropping-particle" : "", "family" : "Seo", "given" : "M", "non-dropping-particle" : "", "parse-names" : false, "suffix" : "" }, { "dropping-particle" : "", "family" : "Hwang", "given" : "SW", "non-dropping-particle" : "", "parse-names" : false, "suffix" : "" }, { "dropping-particle" : "", "family" : "Park", "given" : "SH", "non-dropping-particle" : "", "parse-names" : false, "suffix" : "" }, { "dropping-particle" : "", "family" : "Kwon", "given" : "E", "non-dropping-particle" : "", "parse-names" : false, "suffix" : "" }, { "dropping-particle" : "", "family" : "Lee", "given" : "HS", "non-dropping-particle" : "", "parse-names" : false, "suffix" : "" }, { "dropping-particle" : "", "family" : "Yang", "given" : "DH", "non-dropping-particle" : "", "parse-names" : false, "suffix" : "" }, { "dropping-particle" : "", "family" : "Kim", "given" : "KJ", "non-dropping-particle" : "", "parse-names" : false, "suffix" : "" }, { "dropping-particle" : "", "family" : "Ye", "given" : "BD", "non-dropping-particle" : "", "parse-names" : false, "suffix" : "" }, { "dropping-particle" : "", "family" : "Byeon", "given" : "JS", "non-dropping-particle" : "", "parse-names" : false, "suffix" : "" }, { "dropping-particle" : "", "family" : "Myung", "given" : "SJ", "non-dropping-particle" : "", "parse-names" : false, "suffix" : "" }, { "dropping-particle" : "", "family" : "Yang", "given" : "SK", "non-dropping-particle" : "", "parse-names" : false, "suffix" : "" } ], "container-title" : "J Gastroenterol Hepatol.", "id" : "ITEM-1", "issue" : "26", "issued" : { "date-parts" : [ [ "2017" ] ] }, "title" : "Assessment of factors associated with smoking cessation at diagnosis or during follow-up of Crohn's disease.", "type" : "article-journal", "volume" : "5" }, "uris" : [ "http://www.mendeley.com/documents/?uuid=5c2e9b69-5800-4b1b-a4dc-a31d4b039cfc" ] } ], "mendeley" : { "formattedCitation" : "&lt;sup&gt;66&lt;/sup&gt;", "plainTextFormattedCitation" : "66", "previouslyFormattedCitation" : "&lt;sup&gt;66&lt;/sup&gt;" }, "properties" : { "noteIndex" : 0 }, "schema" : "https://github.com/citation-style-language/schema/raw/master/csl-citation.json" }</w:instrText>
      </w:r>
      <w:r w:rsidR="00AE13D9" w:rsidRPr="00D044B7">
        <w:fldChar w:fldCharType="separate"/>
      </w:r>
      <w:r w:rsidR="003F18ED" w:rsidRPr="003F18ED">
        <w:rPr>
          <w:noProof/>
          <w:vertAlign w:val="superscript"/>
        </w:rPr>
        <w:t>66</w:t>
      </w:r>
      <w:r w:rsidR="00AE13D9" w:rsidRPr="00D044B7">
        <w:fldChar w:fldCharType="end"/>
      </w:r>
      <w:r w:rsidR="00CC6C14" w:rsidRPr="00D044B7">
        <w:t xml:space="preserve"> There may also be </w:t>
      </w:r>
      <w:r w:rsidR="00907B48" w:rsidRPr="00D044B7">
        <w:t>considerable economic benefits to healthcare services employing cessation programs in CD.</w:t>
      </w:r>
      <w:r w:rsidR="00AE13D9" w:rsidRPr="00D044B7">
        <w:fldChar w:fldCharType="begin" w:fldLock="1"/>
      </w:r>
      <w:r w:rsidR="003F18ED">
        <w:instrText>ADDIN CSL_CITATION { "citationItems" : [ { "id" : "ITEM-1", "itemData" : { "PMID" : "25350768", "abstract" : "OBJECTIVES: Patients with Crohn's disease (CD) who smoke are at a higher risk of flaring and requiring surgery. Cost-effectiveness studies of funding smoking cessation programs are lacking. Thus, we performed a cost-utility analysis of funding smoking cessation programs for CD. METHODS: A cost-utility analysis was performed comparing five smoking cessation strategies: No Program, Counseling, Nicotine Replacement Therapy (NRT), NRT+Counseling, and Varenicline. The time horizon for the Markov model was 5 years. The health states included medical remission (azathioprine or antitumor necrosis factor (anti-TNF), dose escalation of an anti-TNF, second anti-TNF, surgery, and death. Probabilities were taken from peer-reviewed literature, and costs (CAN$) for surgery, medications, and smoking cessation programs were estimated locally. The primary outcome was the cost per quality-adjusted life year (QALY) gained associated with each smoking cessation strategy. Threshold, three-way sensitivity, probabilistic sensitivity analysis (PSA), and budget impact analysis (BIA) were carried out. RESULTS: All strategies dominated No Program. Strategies from most to least cost effective were as follows: Varenicline (cost: $55,614, QALY: 3.70), NRT+Counseling (cost: $58,878, QALY: 3.69), NRT (cost: $59,540, QALY: 3.69), Counseling (cost: $61,029, QALY: 3.68), and No Program (cost: $63,601, QALY: 3.67). Three-way sensitivity analysis demonstrated that No Program was only more cost effective when every strategy's cost exceeded approximately 10 times their estimated costs. The PSA showed that No Program was the most cost-effective &lt;1% of the time. The BIA showed that any strategy saved the health-care system money over No Program. CONCLUSIONS: Health-care systems should consider funding smoking cessation programs for CD, as they improve health outcomes and reduce costs.", "author" : [ { "dropping-particle" : "", "family" : "Coward", "given" : "S", "non-dropping-particle" : "", "parse-names" : false, "suffix" : "" }, { "dropping-particle" : "", "family" : "Heitman", "given" : "SJ", "non-dropping-particle" : "", "parse-names" : false, "suffix" : "" }, { "dropping-particle" : "", "family" : "Clement", "given" : "F", "non-dropping-particle" : "", "parse-names" : false, "suffix" : "" }, { "dropping-particle" : "", "family" : "Negron", "given" : "M", "non-dropping-particle" : "", "parse-names" : false, "suffix" : "" }, { "dropping-particle" : "", "family" : "Panaccione", "given" : "R", "non-dropping-particle" : "", "parse-names" : false, "suffix" : "" }, { "dropping-particle" : "", "family" : "Ghosh", "given" : "S", "non-dropping-particle" : "", "parse-names" : false, "suffix" : "" }, { "dropping-particle" : "", "family" : "Barkema", "given" : "HW", "non-dropping-particle" : "", "parse-names" : false, "suffix" : "" }, { "dropping-particle" : "", "family" : "Seow", "given" : "C", "non-dropping-particle" : "", "parse-names" : false, "suffix" : "" }, { "dropping-particle" : "", "family" : "Leung", "given" : "YP", "non-dropping-particle" : "", "parse-names" : false, "suffix" : "" }, { "dropping-particle" : "", "family" : "Kaplan", "given" : "GG", "non-dropping-particle" : "", "parse-names" : false, "suffix" : "" } ], "container-title" : "Am J Gastroenterol. 2015 Mar;110(3):368-77", "id" : "ITEM-1", "issue" : "3", "issued" : { "date-parts" : [ [ "2015" ] ] }, "page" : "368-77", "title" : "Funding a smoking cessation program for Crohn's disease: an economic evaluation", "type" : "article-journal", "volume" : "110" }, "uris" : [ "http://www.mendeley.com/documents/?uuid=90b6823d-20cf-4104-a7f5-90064a8a998c" ] } ], "mendeley" : { "formattedCitation" : "&lt;sup&gt;67&lt;/sup&gt;", "plainTextFormattedCitation" : "67", "previouslyFormattedCitation" : "&lt;sup&gt;67&lt;/sup&gt;" }, "properties" : { "noteIndex" : 0 }, "schema" : "https://github.com/citation-style-language/schema/raw/master/csl-citation.json" }</w:instrText>
      </w:r>
      <w:r w:rsidR="00AE13D9" w:rsidRPr="00D044B7">
        <w:fldChar w:fldCharType="separate"/>
      </w:r>
      <w:r w:rsidR="003F18ED" w:rsidRPr="003F18ED">
        <w:rPr>
          <w:noProof/>
          <w:vertAlign w:val="superscript"/>
        </w:rPr>
        <w:t>67</w:t>
      </w:r>
      <w:r w:rsidR="00AE13D9" w:rsidRPr="00D044B7">
        <w:fldChar w:fldCharType="end"/>
      </w:r>
    </w:p>
    <w:p w:rsidR="00B370C9" w:rsidRDefault="00D044B7" w:rsidP="00304057">
      <w:pPr>
        <w:spacing w:line="480" w:lineRule="auto"/>
        <w:jc w:val="both"/>
      </w:pPr>
      <w:r>
        <w:t>Further</w:t>
      </w:r>
      <w:r w:rsidR="00E03D45">
        <w:t xml:space="preserve"> work is needed to quantify</w:t>
      </w:r>
      <w:r w:rsidR="009F0DDC">
        <w:t xml:space="preserve"> the effect of</w:t>
      </w:r>
      <w:r w:rsidR="00F549A4">
        <w:t xml:space="preserve"> smoking exposure ideally using objective markers that are not subject to re</w:t>
      </w:r>
      <w:r w:rsidR="009E004D">
        <w:t>call bias such as salivary cotin</w:t>
      </w:r>
      <w:r w:rsidR="00F549A4">
        <w:t>ine.</w:t>
      </w:r>
      <w:r w:rsidR="00AE13D9">
        <w:fldChar w:fldCharType="begin" w:fldLock="1"/>
      </w:r>
      <w:r w:rsidR="003F18ED">
        <w:instrText>ADDIN CSL_CITATION { "citationItems" : [ { "id" : "ITEM-1", "itemData" : { "PMID" : "10926356", "abstract" : "Exposure to tobacco smoke, both from active smoking and from passive exposure to environmental tobacco smoke, can be monitored by measuring cotinine, a metabolite of nicotine, in a variety of biological sources including blood, urine, and saliva. Previously, a sensitive atmospheric-pressure ionization, tandem mass spectrometric (LC-API-MS-MS) method for cotinine measurements in serum was developed in support of a large, recurrent national epidemiologic investigation. The current study examined the application of this LC-API-MS-MS method to both serum and saliva cotinine measurements in a group of 200 healthy adults, including both smokers and nonsmokers. The primary objective of this study was to evaluate the relationship between serum and saliva cotinine concentrations to facilitate the linking of results from epidemiologic studies using salivary cotinine measurements to existing national data based on serum cotinine analyses. The results indicate that a simple, linear relationship can be developed to describe serum and saliva cotinine concentrations in an individual, and the expression describing this relationship can be used to estimate with reasonable accuracy (approximately +/- 10%) the serum cotinine concentration in an individual given his or her salivary cotinine result. It was further confirmed that saliva cotinine samples are generally quite stable during storage after collection, even at ambient temperatures, and this sample matrix appears to be well-suited to the requirements of many epidemiologic investigations.", "author" : [ { "dropping-particle" : "", "family" : "Bernert", "given" : "JT Jr", "non-dropping-particle" : "", "parse-names" : false, "suffix" : "" }, { "dropping-particle" : "", "family" : "McGuffey", "given" : "JE", "non-dropping-particle" : "", "parse-names" : false, "suffix" : "" }, { "dropping-particle" : "", "family" : "Morrison", "given" : "MA", "non-dropping-particle" : "", "parse-names" : false, "suffix" : "" }, { "dropping-particle" : "", "family" : "Pirkle", "given" : "JL", "non-dropping-particle" : "", "parse-names" : false, "suffix" : "" } ], "container-title" : "J Anal Toxicol.", "id" : "ITEM-1", "issue" : "5", "issued" : { "date-parts" : [ [ "2000" ] ] }, "page" : "333-9", "title" : "Comparison of serum and salivary cotinine measurements by a sensitive high-performance liquid chromatography-tandem mass spectrometry method as an indicator of exposure to tobacco smoke among smokers and nonsmokers.", "type" : "article-journal", "volume" : "24" }, "uris" : [ "http://www.mendeley.com/documents/?uuid=82e716c7-3657-4c59-8055-f5f8321251d9" ] } ], "mendeley" : { "formattedCitation" : "&lt;sup&gt;68&lt;/sup&gt;", "plainTextFormattedCitation" : "68", "previouslyFormattedCitation" : "&lt;sup&gt;68&lt;/sup&gt;" }, "properties" : { "noteIndex" : 0 }, "schema" : "https://github.com/citation-style-language/schema/raw/master/csl-citation.json" }</w:instrText>
      </w:r>
      <w:r w:rsidR="00AE13D9">
        <w:fldChar w:fldCharType="separate"/>
      </w:r>
      <w:r w:rsidR="003F18ED" w:rsidRPr="003F18ED">
        <w:rPr>
          <w:noProof/>
          <w:vertAlign w:val="superscript"/>
        </w:rPr>
        <w:t>68</w:t>
      </w:r>
      <w:r w:rsidR="00AE13D9">
        <w:fldChar w:fldCharType="end"/>
      </w:r>
      <w:r w:rsidR="00F549A4">
        <w:t xml:space="preserve"> </w:t>
      </w:r>
      <w:r w:rsidR="00FD3EAF">
        <w:t>Additionally, f</w:t>
      </w:r>
      <w:r w:rsidR="00F549A4">
        <w:t>uture prospective studies that quantify smoking exposure by accurately recording smoking intensity (number of cigarettes smoked per day)</w:t>
      </w:r>
      <w:r w:rsidR="009F0DDC">
        <w:t xml:space="preserve">, </w:t>
      </w:r>
      <w:r w:rsidR="006B7B34">
        <w:t xml:space="preserve">could be used </w:t>
      </w:r>
      <w:r w:rsidR="00E03D45">
        <w:t>to investigate the potential of</w:t>
      </w:r>
      <w:r w:rsidR="006B7B34">
        <w:t xml:space="preserve"> a tobacco</w:t>
      </w:r>
      <w:r w:rsidR="00E03D45">
        <w:t xml:space="preserve"> 'dose effect'. </w:t>
      </w:r>
    </w:p>
    <w:p w:rsidR="00304057" w:rsidRDefault="00304057" w:rsidP="00304057">
      <w:pPr>
        <w:pStyle w:val="Heading2"/>
        <w:spacing w:line="480" w:lineRule="auto"/>
        <w:rPr>
          <w:rFonts w:asciiTheme="minorHAnsi" w:hAnsiTheme="minorHAnsi"/>
        </w:rPr>
      </w:pPr>
      <w:r w:rsidRPr="00304057">
        <w:rPr>
          <w:rFonts w:asciiTheme="minorHAnsi" w:hAnsiTheme="minorHAnsi"/>
        </w:rPr>
        <w:t>Conclusions</w:t>
      </w:r>
    </w:p>
    <w:p w:rsidR="00D044B7" w:rsidRPr="00D044B7" w:rsidRDefault="00D044B7" w:rsidP="00D044B7">
      <w:pPr>
        <w:spacing w:line="480" w:lineRule="auto"/>
        <w:jc w:val="both"/>
      </w:pPr>
      <w:r>
        <w:t>A</w:t>
      </w:r>
      <w:bookmarkStart w:id="0" w:name="_GoBack"/>
      <w:bookmarkEnd w:id="0"/>
      <w:r>
        <w:t xml:space="preserve">mongst patients with CD, smoking status at diagnosis impacts on key clinical outcomes within the first five years of the disease course. CD patients who are smokers at diagnosis are a third more likely to be steroid dependent, have more steroid flares during follow-up, and are two thirds more likely </w:t>
      </w:r>
      <w:r w:rsidRPr="00D044B7">
        <w:t xml:space="preserve">to undergo intestinal surgery. Patients who stopped smoking within the first 2 years following CD diagnosis had reduced rates of CS-dependency, a key clinical outcome in this cohort. These </w:t>
      </w:r>
      <w:r w:rsidRPr="00D044B7">
        <w:lastRenderedPageBreak/>
        <w:t>findings underpin the importance of early targeted smoking cessation programmes within this patient group.</w:t>
      </w:r>
    </w:p>
    <w:p w:rsidR="00DD110F" w:rsidRDefault="00DD110F" w:rsidP="00DD110F">
      <w:pPr>
        <w:pStyle w:val="Heading1"/>
        <w:spacing w:line="480" w:lineRule="auto"/>
        <w:jc w:val="both"/>
        <w:rPr>
          <w:rFonts w:asciiTheme="minorHAnsi" w:hAnsiTheme="minorHAnsi"/>
        </w:rPr>
      </w:pPr>
      <w:r>
        <w:rPr>
          <w:rFonts w:asciiTheme="minorHAnsi" w:hAnsiTheme="minorHAnsi"/>
        </w:rPr>
        <w:t>Author contributions</w:t>
      </w:r>
    </w:p>
    <w:p w:rsidR="00804D8E" w:rsidRPr="000C202F" w:rsidRDefault="007A616D" w:rsidP="00DD110F">
      <w:pPr>
        <w:spacing w:line="480" w:lineRule="auto"/>
        <w:jc w:val="both"/>
        <w:rPr>
          <w:sz w:val="24"/>
          <w:szCs w:val="24"/>
        </w:rPr>
      </w:pPr>
      <w:r>
        <w:rPr>
          <w:sz w:val="24"/>
          <w:szCs w:val="24"/>
        </w:rPr>
        <w:t xml:space="preserve">CA will act as the guarantor for the article. All </w:t>
      </w:r>
      <w:r w:rsidRPr="00787059">
        <w:rPr>
          <w:sz w:val="24"/>
          <w:szCs w:val="24"/>
        </w:rPr>
        <w:t xml:space="preserve">authors contributed to the </w:t>
      </w:r>
      <w:r>
        <w:rPr>
          <w:sz w:val="24"/>
          <w:szCs w:val="24"/>
        </w:rPr>
        <w:t>concept and design of the study. CA wrote the paper and all authors contributed and approved the final manuscript.</w:t>
      </w:r>
      <w:r w:rsidR="00804D8E">
        <w:br w:type="page"/>
      </w:r>
    </w:p>
    <w:p w:rsidR="00804D8E" w:rsidRPr="00804D8E" w:rsidRDefault="00804D8E" w:rsidP="00304057">
      <w:pPr>
        <w:pStyle w:val="Heading1"/>
        <w:spacing w:line="480" w:lineRule="auto"/>
        <w:rPr>
          <w:rFonts w:asciiTheme="minorHAnsi" w:hAnsiTheme="minorHAnsi"/>
        </w:rPr>
      </w:pPr>
      <w:r>
        <w:rPr>
          <w:rFonts w:asciiTheme="minorHAnsi" w:hAnsiTheme="minorHAnsi"/>
        </w:rPr>
        <w:lastRenderedPageBreak/>
        <w:t>References</w:t>
      </w:r>
    </w:p>
    <w:p w:rsidR="003F18ED" w:rsidRPr="003F18ED" w:rsidRDefault="00AE13D9">
      <w:pPr>
        <w:pStyle w:val="NormalWeb"/>
        <w:ind w:left="640" w:hanging="640"/>
        <w:divId w:val="700671459"/>
        <w:rPr>
          <w:rFonts w:ascii="Calibri" w:hAnsi="Calibri"/>
          <w:noProof/>
          <w:sz w:val="22"/>
        </w:rPr>
      </w:pPr>
      <w:r>
        <w:fldChar w:fldCharType="begin" w:fldLock="1"/>
      </w:r>
      <w:r w:rsidR="00804D8E">
        <w:instrText xml:space="preserve">ADDIN Mendeley Bibliography CSL_BIBLIOGRAPHY </w:instrText>
      </w:r>
      <w:r>
        <w:fldChar w:fldCharType="separate"/>
      </w:r>
      <w:r w:rsidR="003F18ED" w:rsidRPr="003F18ED">
        <w:rPr>
          <w:rFonts w:ascii="Calibri" w:hAnsi="Calibri"/>
          <w:noProof/>
          <w:sz w:val="22"/>
        </w:rPr>
        <w:t xml:space="preserve">1. </w:t>
      </w:r>
      <w:r w:rsidR="003F18ED" w:rsidRPr="003F18ED">
        <w:rPr>
          <w:rFonts w:ascii="Calibri" w:hAnsi="Calibri"/>
          <w:noProof/>
          <w:sz w:val="22"/>
        </w:rPr>
        <w:tab/>
        <w:t xml:space="preserve">Parkes GC, Whelan K, Lindsay JO. Smoking in inflammatory bowel disease: Impact on disease course and insights into the aetiology of its effect. </w:t>
      </w:r>
      <w:r w:rsidR="003F18ED" w:rsidRPr="003F18ED">
        <w:rPr>
          <w:rFonts w:ascii="Calibri" w:hAnsi="Calibri"/>
          <w:i/>
          <w:iCs/>
          <w:noProof/>
          <w:sz w:val="22"/>
        </w:rPr>
        <w:t>J Crohn’s Colitis</w:t>
      </w:r>
      <w:r w:rsidR="003F18ED" w:rsidRPr="003F18ED">
        <w:rPr>
          <w:rFonts w:ascii="Calibri" w:hAnsi="Calibri"/>
          <w:noProof/>
          <w:sz w:val="22"/>
        </w:rPr>
        <w:t>. 2014;8(8):717-725. doi:10.1016/j.crohns.2014.02.002.</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2. </w:t>
      </w:r>
      <w:r w:rsidRPr="003F18ED">
        <w:rPr>
          <w:rFonts w:ascii="Calibri" w:hAnsi="Calibri"/>
          <w:noProof/>
          <w:sz w:val="22"/>
        </w:rPr>
        <w:tab/>
        <w:t xml:space="preserve">Collaborators GB of D 2015 T. Smoking prevalence and attributable disease burden in 195 countries and territories, 1990-2015: A systematic analysis from the Global Burden of Disease Study 2015. </w:t>
      </w:r>
      <w:r w:rsidRPr="003F18ED">
        <w:rPr>
          <w:rFonts w:ascii="Calibri" w:hAnsi="Calibri"/>
          <w:i/>
          <w:iCs/>
          <w:noProof/>
          <w:sz w:val="22"/>
        </w:rPr>
        <w:t>Lancet</w:t>
      </w:r>
      <w:r w:rsidRPr="003F18ED">
        <w:rPr>
          <w:rFonts w:ascii="Calibri" w:hAnsi="Calibri"/>
          <w:noProof/>
          <w:sz w:val="22"/>
        </w:rPr>
        <w:t>. 2017;13;389(100:1885-1906. doi:10.1016/S0140-6736(17)30819-X.</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3. </w:t>
      </w:r>
      <w:r w:rsidRPr="003F18ED">
        <w:rPr>
          <w:rFonts w:ascii="Calibri" w:hAnsi="Calibri"/>
          <w:noProof/>
          <w:sz w:val="22"/>
        </w:rPr>
        <w:tab/>
        <w:t xml:space="preserve">Frolkis AD, de Bruyn J, Jette N, et al. The Association of Smoking and Surgery in Inflammatory Bowel Disease is Modified by Age at Diagnosis. </w:t>
      </w:r>
      <w:r w:rsidRPr="003F18ED">
        <w:rPr>
          <w:rFonts w:ascii="Calibri" w:hAnsi="Calibri"/>
          <w:i/>
          <w:iCs/>
          <w:noProof/>
          <w:sz w:val="22"/>
        </w:rPr>
        <w:t>Clin Transl Gastroenterol</w:t>
      </w:r>
      <w:r w:rsidRPr="003F18ED">
        <w:rPr>
          <w:rFonts w:ascii="Calibri" w:hAnsi="Calibri"/>
          <w:noProof/>
          <w:sz w:val="22"/>
        </w:rPr>
        <w:t>. 2016;7(4):e165. doi:10.1038/ctg.2016.21.</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4. </w:t>
      </w:r>
      <w:r w:rsidRPr="003F18ED">
        <w:rPr>
          <w:rFonts w:ascii="Calibri" w:hAnsi="Calibri"/>
          <w:noProof/>
          <w:sz w:val="22"/>
        </w:rPr>
        <w:tab/>
        <w:t>Hwang SW, Seo H, Kim G, et al. Underestimation of Smoking Rates in an East Asian Population with Crohn ’ s Disease. 2016:1-6.</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5. </w:t>
      </w:r>
      <w:r w:rsidRPr="003F18ED">
        <w:rPr>
          <w:rFonts w:ascii="Calibri" w:hAnsi="Calibri"/>
          <w:noProof/>
          <w:sz w:val="22"/>
        </w:rPr>
        <w:tab/>
        <w:t xml:space="preserve">Biedermann L, Fournier N, Misselwitz B, et al. High Rates of Smoking Especially in Female Crohn’s Disease Patients and Low Use of Supportive Measures to Achieve Smoking Cessation--Data from the Swiss IBD Cohort Study. </w:t>
      </w:r>
      <w:r w:rsidRPr="003F18ED">
        <w:rPr>
          <w:rFonts w:ascii="Calibri" w:hAnsi="Calibri"/>
          <w:i/>
          <w:iCs/>
          <w:noProof/>
          <w:sz w:val="22"/>
        </w:rPr>
        <w:t>J Crohns Colitis</w:t>
      </w:r>
      <w:r w:rsidRPr="003F18ED">
        <w:rPr>
          <w:rFonts w:ascii="Calibri" w:hAnsi="Calibri"/>
          <w:noProof/>
          <w:sz w:val="22"/>
        </w:rPr>
        <w:t>. 2015;9(10):819-829. doi:10.1093/ecco-jcc/jjv113.</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6. </w:t>
      </w:r>
      <w:r w:rsidRPr="003F18ED">
        <w:rPr>
          <w:rFonts w:ascii="Calibri" w:hAnsi="Calibri"/>
          <w:noProof/>
          <w:sz w:val="22"/>
        </w:rPr>
        <w:tab/>
        <w:t xml:space="preserve">Seksik P, Nion-Larmurier I, Sokol H, Beaugerie L, Cosnes J. Effects of light smoking consumption on the clinical course of Crohn’s disease. </w:t>
      </w:r>
      <w:r w:rsidRPr="003F18ED">
        <w:rPr>
          <w:rFonts w:ascii="Calibri" w:hAnsi="Calibri"/>
          <w:i/>
          <w:iCs/>
          <w:noProof/>
          <w:sz w:val="22"/>
        </w:rPr>
        <w:t>Inflamm Bowel Dis</w:t>
      </w:r>
      <w:r w:rsidRPr="003F18ED">
        <w:rPr>
          <w:rFonts w:ascii="Calibri" w:hAnsi="Calibri"/>
          <w:noProof/>
          <w:sz w:val="22"/>
        </w:rPr>
        <w:t>. 2009;15(5):734-741. doi:10.1002/ibd.20828.</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7. </w:t>
      </w:r>
      <w:r w:rsidRPr="003F18ED">
        <w:rPr>
          <w:rFonts w:ascii="Calibri" w:hAnsi="Calibri"/>
          <w:noProof/>
          <w:sz w:val="22"/>
        </w:rPr>
        <w:tab/>
        <w:t xml:space="preserve">Sands BE, Arsenault JE, Rosen MJ, et al. Risk of early surgery for Crohn’s disease: implications for early treatment strategies. </w:t>
      </w:r>
      <w:r w:rsidRPr="003F18ED">
        <w:rPr>
          <w:rFonts w:ascii="Calibri" w:hAnsi="Calibri"/>
          <w:i/>
          <w:iCs/>
          <w:noProof/>
          <w:sz w:val="22"/>
        </w:rPr>
        <w:t>Am J Gastroenterol</w:t>
      </w:r>
      <w:r w:rsidRPr="003F18ED">
        <w:rPr>
          <w:rFonts w:ascii="Calibri" w:hAnsi="Calibri"/>
          <w:noProof/>
          <w:sz w:val="22"/>
        </w:rPr>
        <w:t>. 2003;98(12):2712-2718. doi:10.1111/j.1572-0241.2003.08674.x.</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8. </w:t>
      </w:r>
      <w:r w:rsidRPr="003F18ED">
        <w:rPr>
          <w:rFonts w:ascii="Calibri" w:hAnsi="Calibri"/>
          <w:noProof/>
          <w:sz w:val="22"/>
        </w:rPr>
        <w:tab/>
        <w:t xml:space="preserve">Song X, Gao X, Li M, et al. Clinical features and risk factors for primary surgery in 205 patients with Crohn’s disease: analysis of a South China cohort. </w:t>
      </w:r>
      <w:r w:rsidRPr="003F18ED">
        <w:rPr>
          <w:rFonts w:ascii="Calibri" w:hAnsi="Calibri"/>
          <w:i/>
          <w:iCs/>
          <w:noProof/>
          <w:sz w:val="22"/>
        </w:rPr>
        <w:t>Dis Colon Rectum</w:t>
      </w:r>
      <w:r w:rsidRPr="003F18ED">
        <w:rPr>
          <w:rFonts w:ascii="Calibri" w:hAnsi="Calibri"/>
          <w:noProof/>
          <w:sz w:val="22"/>
        </w:rPr>
        <w:t>. 2011;54(9):1147-1154. doi:10.1097/DCR.0b013e318222ddc3.</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9. </w:t>
      </w:r>
      <w:r w:rsidRPr="003F18ED">
        <w:rPr>
          <w:rFonts w:ascii="Calibri" w:hAnsi="Calibri"/>
          <w:noProof/>
          <w:sz w:val="22"/>
        </w:rPr>
        <w:tab/>
        <w:t xml:space="preserve">Lunney PC, Kariyawasam VC, Wang RR, et al. Smoking prevalence and its influence on disease course and surgery in Crohn’s disease and ulcerative colitis. </w:t>
      </w:r>
      <w:r w:rsidRPr="003F18ED">
        <w:rPr>
          <w:rFonts w:ascii="Calibri" w:hAnsi="Calibri"/>
          <w:i/>
          <w:iCs/>
          <w:noProof/>
          <w:sz w:val="22"/>
        </w:rPr>
        <w:t>Aliment Pharmacol Ther</w:t>
      </w:r>
      <w:r w:rsidRPr="003F18ED">
        <w:rPr>
          <w:rFonts w:ascii="Calibri" w:hAnsi="Calibri"/>
          <w:noProof/>
          <w:sz w:val="22"/>
        </w:rPr>
        <w:t>. 2015;42(1):61-70. doi:10.1111/apt.13239.</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10. </w:t>
      </w:r>
      <w:r w:rsidRPr="003F18ED">
        <w:rPr>
          <w:rFonts w:ascii="Calibri" w:hAnsi="Calibri"/>
          <w:noProof/>
          <w:sz w:val="22"/>
        </w:rPr>
        <w:tab/>
        <w:t xml:space="preserve">Cosnes J, Carbonnel F, Beaugerie L, Le Quintrec Y, Gendre J. Effects of cigarette smoking on the long-term course of Crohn’s disease. </w:t>
      </w:r>
      <w:r w:rsidRPr="003F18ED">
        <w:rPr>
          <w:rFonts w:ascii="Calibri" w:hAnsi="Calibri"/>
          <w:i/>
          <w:iCs/>
          <w:noProof/>
          <w:sz w:val="22"/>
        </w:rPr>
        <w:t>Gastroenterology</w:t>
      </w:r>
      <w:r w:rsidRPr="003F18ED">
        <w:rPr>
          <w:rFonts w:ascii="Calibri" w:hAnsi="Calibri"/>
          <w:noProof/>
          <w:sz w:val="22"/>
        </w:rPr>
        <w:t>. 1996;110(2):424-431. doi:10.1053/gast.1996.v110.pm8566589.</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11. </w:t>
      </w:r>
      <w:r w:rsidRPr="003F18ED">
        <w:rPr>
          <w:rFonts w:ascii="Calibri" w:hAnsi="Calibri"/>
          <w:noProof/>
          <w:sz w:val="22"/>
        </w:rPr>
        <w:tab/>
        <w:t xml:space="preserve">Nunes T, Etchevers MJ, Domènech E, et al. Smoking does influence disease behaviour and impacts the need for therapy in Crohn′s disease in the biologic era. </w:t>
      </w:r>
      <w:r w:rsidRPr="003F18ED">
        <w:rPr>
          <w:rFonts w:ascii="Calibri" w:hAnsi="Calibri"/>
          <w:i/>
          <w:iCs/>
          <w:noProof/>
          <w:sz w:val="22"/>
        </w:rPr>
        <w:t>Aliment Pharmacol Ther</w:t>
      </w:r>
      <w:r w:rsidRPr="003F18ED">
        <w:rPr>
          <w:rFonts w:ascii="Calibri" w:hAnsi="Calibri"/>
          <w:noProof/>
          <w:sz w:val="22"/>
        </w:rPr>
        <w:t>. 2013;38(7):752-760. doi:10.1111/apt.12440.</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12. </w:t>
      </w:r>
      <w:r w:rsidRPr="003F18ED">
        <w:rPr>
          <w:rFonts w:ascii="Calibri" w:hAnsi="Calibri"/>
          <w:noProof/>
          <w:sz w:val="22"/>
        </w:rPr>
        <w:tab/>
        <w:t xml:space="preserve">Lakatos PL, Vegh Z, Lovasz BD, et al. Is current smoking still an important environmental factor in inflammatory bowel diseases? Results from a population-based incident cohort. </w:t>
      </w:r>
      <w:r w:rsidRPr="003F18ED">
        <w:rPr>
          <w:rFonts w:ascii="Calibri" w:hAnsi="Calibri"/>
          <w:i/>
          <w:iCs/>
          <w:noProof/>
          <w:sz w:val="22"/>
        </w:rPr>
        <w:t>Inflamm Bowel Dis</w:t>
      </w:r>
      <w:r w:rsidRPr="003F18ED">
        <w:rPr>
          <w:rFonts w:ascii="Calibri" w:hAnsi="Calibri"/>
          <w:noProof/>
          <w:sz w:val="22"/>
        </w:rPr>
        <w:t>. 2013;19(5):1010-1017. doi:10.1097/MIB.0b013e3182802b3e.</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lastRenderedPageBreak/>
        <w:t xml:space="preserve">13. </w:t>
      </w:r>
      <w:r w:rsidRPr="003F18ED">
        <w:rPr>
          <w:rFonts w:ascii="Calibri" w:hAnsi="Calibri"/>
          <w:noProof/>
          <w:sz w:val="22"/>
        </w:rPr>
        <w:tab/>
        <w:t xml:space="preserve">Bernstein CN, Singh S, Graff L a, Walker JR, Miller N, Cheang M. A prospective population-based study of triggers of symptomatic flares in IBD. </w:t>
      </w:r>
      <w:r w:rsidRPr="003F18ED">
        <w:rPr>
          <w:rFonts w:ascii="Calibri" w:hAnsi="Calibri"/>
          <w:i/>
          <w:iCs/>
          <w:noProof/>
          <w:sz w:val="22"/>
        </w:rPr>
        <w:t>Am J Gastroenterol</w:t>
      </w:r>
      <w:r w:rsidRPr="003F18ED">
        <w:rPr>
          <w:rFonts w:ascii="Calibri" w:hAnsi="Calibri"/>
          <w:noProof/>
          <w:sz w:val="22"/>
        </w:rPr>
        <w:t>. 2010;105(9):1994-2002. doi:10.1038/ajg.2010.140.</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14. </w:t>
      </w:r>
      <w:r w:rsidRPr="003F18ED">
        <w:rPr>
          <w:rFonts w:ascii="Calibri" w:hAnsi="Calibri"/>
          <w:noProof/>
          <w:sz w:val="22"/>
        </w:rPr>
        <w:tab/>
        <w:t xml:space="preserve">Solberg IC, Vatn MH, Høie O, et al. Clinical Course in Crohn’s Disease: Results of a Norwegian Population-Based Ten-Year Follow-Up Study. </w:t>
      </w:r>
      <w:r w:rsidRPr="003F18ED">
        <w:rPr>
          <w:rFonts w:ascii="Calibri" w:hAnsi="Calibri"/>
          <w:i/>
          <w:iCs/>
          <w:noProof/>
          <w:sz w:val="22"/>
        </w:rPr>
        <w:t>Clin Gastroenterol Hepatol</w:t>
      </w:r>
      <w:r w:rsidRPr="003F18ED">
        <w:rPr>
          <w:rFonts w:ascii="Calibri" w:hAnsi="Calibri"/>
          <w:noProof/>
          <w:sz w:val="22"/>
        </w:rPr>
        <w:t>. 2007;5(12):1430-1438. doi:10.1016/j.cgh.2007.09.002.</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15. </w:t>
      </w:r>
      <w:r w:rsidRPr="003F18ED">
        <w:rPr>
          <w:rFonts w:ascii="Calibri" w:hAnsi="Calibri"/>
          <w:noProof/>
          <w:sz w:val="22"/>
        </w:rPr>
        <w:tab/>
        <w:t xml:space="preserve">Zabana Y, Garcia-Planella E, Van Domselaar M, et al. Does active smoking really influence the course of Crohn’s disease? A retrospective observational study. </w:t>
      </w:r>
      <w:r w:rsidRPr="003F18ED">
        <w:rPr>
          <w:rFonts w:ascii="Calibri" w:hAnsi="Calibri"/>
          <w:i/>
          <w:iCs/>
          <w:noProof/>
          <w:sz w:val="22"/>
        </w:rPr>
        <w:t>J Crohn’s Colitis</w:t>
      </w:r>
      <w:r w:rsidRPr="003F18ED">
        <w:rPr>
          <w:rFonts w:ascii="Calibri" w:hAnsi="Calibri"/>
          <w:noProof/>
          <w:sz w:val="22"/>
        </w:rPr>
        <w:t>. 2013;7(4):280-285. doi:10.1016/j.crohns.2012.03.020.</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16. </w:t>
      </w:r>
      <w:r w:rsidRPr="003F18ED">
        <w:rPr>
          <w:rFonts w:ascii="Calibri" w:hAnsi="Calibri"/>
          <w:noProof/>
          <w:sz w:val="22"/>
        </w:rPr>
        <w:tab/>
        <w:t xml:space="preserve">To N, Gracie DJ, Ford a C. Systematic review with meta-analysis: the adverse effect of tobacco smoking on the natural history of Crohn’s disease. </w:t>
      </w:r>
      <w:r w:rsidRPr="003F18ED">
        <w:rPr>
          <w:rFonts w:ascii="Calibri" w:hAnsi="Calibri"/>
          <w:i/>
          <w:iCs/>
          <w:noProof/>
          <w:sz w:val="22"/>
        </w:rPr>
        <w:t>Aliment Pharmacol Ther</w:t>
      </w:r>
      <w:r w:rsidRPr="003F18ED">
        <w:rPr>
          <w:rFonts w:ascii="Calibri" w:hAnsi="Calibri"/>
          <w:noProof/>
          <w:sz w:val="22"/>
        </w:rPr>
        <w:t>. 2016:549-561. doi:10.1111/apt.13511.</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17. </w:t>
      </w:r>
      <w:r w:rsidRPr="003F18ED">
        <w:rPr>
          <w:rFonts w:ascii="Calibri" w:hAnsi="Calibri"/>
          <w:noProof/>
          <w:sz w:val="22"/>
        </w:rPr>
        <w:tab/>
        <w:t xml:space="preserve">Cosnes J, Beaugerie L, Carbonnel F, Gendre JP. Smoking cessation and the course of Crohn’s disease: an intervention study. </w:t>
      </w:r>
      <w:r w:rsidRPr="003F18ED">
        <w:rPr>
          <w:rFonts w:ascii="Calibri" w:hAnsi="Calibri"/>
          <w:i/>
          <w:iCs/>
          <w:noProof/>
          <w:sz w:val="22"/>
        </w:rPr>
        <w:t>Gastroenterology</w:t>
      </w:r>
      <w:r w:rsidRPr="003F18ED">
        <w:rPr>
          <w:rFonts w:ascii="Calibri" w:hAnsi="Calibri"/>
          <w:noProof/>
          <w:sz w:val="22"/>
        </w:rPr>
        <w:t>. 2001;120(5):1093-1099. doi:10.1053/gast.2001.23231.</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18. </w:t>
      </w:r>
      <w:r w:rsidRPr="003F18ED">
        <w:rPr>
          <w:rFonts w:ascii="Calibri" w:hAnsi="Calibri"/>
          <w:noProof/>
          <w:sz w:val="22"/>
        </w:rPr>
        <w:tab/>
        <w:t xml:space="preserve">Nunes T, Etchevers MJ, García-Sánchez V, et al. Impact of Smoking Cessation on the Clinical Course of Crohn’s Disease Under Current Therapeutic Algorithms: A Multicenter Prospective Study. </w:t>
      </w:r>
      <w:r w:rsidRPr="003F18ED">
        <w:rPr>
          <w:rFonts w:ascii="Calibri" w:hAnsi="Calibri"/>
          <w:i/>
          <w:iCs/>
          <w:noProof/>
          <w:sz w:val="22"/>
        </w:rPr>
        <w:t>Am J Gastroenterol</w:t>
      </w:r>
      <w:r w:rsidRPr="003F18ED">
        <w:rPr>
          <w:rFonts w:ascii="Calibri" w:hAnsi="Calibri"/>
          <w:noProof/>
          <w:sz w:val="22"/>
        </w:rPr>
        <w:t>. 2016;(November 2015):1-9. doi:10.1038/ajg.2015.401.</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19. </w:t>
      </w:r>
      <w:r w:rsidRPr="003F18ED">
        <w:rPr>
          <w:rFonts w:ascii="Calibri" w:hAnsi="Calibri"/>
          <w:noProof/>
          <w:sz w:val="22"/>
        </w:rPr>
        <w:tab/>
        <w:t xml:space="preserve">Herrett E, Gallagher AM, Bhaskaran K, et al. Data Resource Profile: Clinical Practice Research Datalink (CPRD). </w:t>
      </w:r>
      <w:r w:rsidRPr="003F18ED">
        <w:rPr>
          <w:rFonts w:ascii="Calibri" w:hAnsi="Calibri"/>
          <w:i/>
          <w:iCs/>
          <w:noProof/>
          <w:sz w:val="22"/>
        </w:rPr>
        <w:t>Int J Epidemiol</w:t>
      </w:r>
      <w:r w:rsidRPr="003F18ED">
        <w:rPr>
          <w:rFonts w:ascii="Calibri" w:hAnsi="Calibri"/>
          <w:noProof/>
          <w:sz w:val="22"/>
        </w:rPr>
        <w:t>. 2015;44(3):827-836. doi:10.1093/ije/dyv098.</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20. </w:t>
      </w:r>
      <w:r w:rsidRPr="003F18ED">
        <w:rPr>
          <w:rFonts w:ascii="Calibri" w:hAnsi="Calibri"/>
          <w:noProof/>
          <w:sz w:val="22"/>
        </w:rPr>
        <w:tab/>
        <w:t xml:space="preserve">Lewis JD, Brensinger C, Bilker WB, Strom BL. Validity and completeness of the General Practice Research Database for studies of inflammatory bowel disease. </w:t>
      </w:r>
      <w:r w:rsidRPr="003F18ED">
        <w:rPr>
          <w:rFonts w:ascii="Calibri" w:hAnsi="Calibri"/>
          <w:i/>
          <w:iCs/>
          <w:noProof/>
          <w:sz w:val="22"/>
        </w:rPr>
        <w:t>Pharmacoepidemiol Drug Saf</w:t>
      </w:r>
      <w:r w:rsidRPr="003F18ED">
        <w:rPr>
          <w:rFonts w:ascii="Calibri" w:hAnsi="Calibri"/>
          <w:noProof/>
          <w:sz w:val="22"/>
        </w:rPr>
        <w:t>. 2002;11(3):211-218. doi:10.1002/pds.698.</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21. </w:t>
      </w:r>
      <w:r w:rsidRPr="003F18ED">
        <w:rPr>
          <w:rFonts w:ascii="Calibri" w:hAnsi="Calibri"/>
          <w:noProof/>
          <w:sz w:val="22"/>
        </w:rPr>
        <w:tab/>
        <w:t xml:space="preserve">Lewis JD, Bilker WB, Brensinger C, Deren JJ, Vaughn DJ, Strom BL. Inflammatory bowel disease is not associated with an increased risk of lymphoma. </w:t>
      </w:r>
      <w:r w:rsidRPr="003F18ED">
        <w:rPr>
          <w:rFonts w:ascii="Calibri" w:hAnsi="Calibri"/>
          <w:i/>
          <w:iCs/>
          <w:noProof/>
          <w:sz w:val="22"/>
        </w:rPr>
        <w:t>Gastroenterology</w:t>
      </w:r>
      <w:r w:rsidRPr="003F18ED">
        <w:rPr>
          <w:rFonts w:ascii="Calibri" w:hAnsi="Calibri"/>
          <w:noProof/>
          <w:sz w:val="22"/>
        </w:rPr>
        <w:t>. 2001;121(5):1080-1087. doi:10.1053/gast.2001.28703.</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22. </w:t>
      </w:r>
      <w:r w:rsidRPr="003F18ED">
        <w:rPr>
          <w:rFonts w:ascii="Calibri" w:hAnsi="Calibri"/>
          <w:noProof/>
          <w:sz w:val="22"/>
        </w:rPr>
        <w:tab/>
        <w:t xml:space="preserve">Lewis JD, Aberra FN, Lichtenstein GR, Bilker WB, Brensinger C, Strom BL. Seasonal Variation in Flares of Inflammatory Bowel Disease. </w:t>
      </w:r>
      <w:r w:rsidRPr="003F18ED">
        <w:rPr>
          <w:rFonts w:ascii="Calibri" w:hAnsi="Calibri"/>
          <w:i/>
          <w:iCs/>
          <w:noProof/>
          <w:sz w:val="22"/>
        </w:rPr>
        <w:t>Gastroenterology</w:t>
      </w:r>
      <w:r w:rsidRPr="003F18ED">
        <w:rPr>
          <w:rFonts w:ascii="Calibri" w:hAnsi="Calibri"/>
          <w:noProof/>
          <w:sz w:val="22"/>
        </w:rPr>
        <w:t>. 2004;126(3):665-673. doi:10.1053/j.gastro.2003.12.003.</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23. </w:t>
      </w:r>
      <w:r w:rsidRPr="003F18ED">
        <w:rPr>
          <w:rFonts w:ascii="Calibri" w:hAnsi="Calibri"/>
          <w:noProof/>
          <w:sz w:val="22"/>
        </w:rPr>
        <w:tab/>
        <w:t xml:space="preserve">Van Staal TP, Card T, Logan RF, et al. 5-Aminosalicylate use and colorectal cancer risk in inflammatory bowel disease: a large epidemiological study. </w:t>
      </w:r>
      <w:r w:rsidRPr="003F18ED">
        <w:rPr>
          <w:rFonts w:ascii="Calibri" w:hAnsi="Calibri"/>
          <w:i/>
          <w:iCs/>
          <w:noProof/>
          <w:sz w:val="22"/>
        </w:rPr>
        <w:t>Gut</w:t>
      </w:r>
      <w:r w:rsidRPr="003F18ED">
        <w:rPr>
          <w:rFonts w:ascii="Calibri" w:hAnsi="Calibri"/>
          <w:noProof/>
          <w:sz w:val="22"/>
        </w:rPr>
        <w:t>. 2005;54(11):1573-1578. doi:10.1136/gut.2005.070896.</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24. </w:t>
      </w:r>
      <w:r w:rsidRPr="003F18ED">
        <w:rPr>
          <w:rFonts w:ascii="Calibri" w:hAnsi="Calibri"/>
          <w:noProof/>
          <w:sz w:val="22"/>
        </w:rPr>
        <w:tab/>
        <w:t xml:space="preserve">Armstrong RG, West J, Card TR. Risk of cancer in inflammatory bowel disease treated with azathioprine: a UK population-based case-control study. </w:t>
      </w:r>
      <w:r w:rsidRPr="003F18ED">
        <w:rPr>
          <w:rFonts w:ascii="Calibri" w:hAnsi="Calibri"/>
          <w:i/>
          <w:iCs/>
          <w:noProof/>
          <w:sz w:val="22"/>
        </w:rPr>
        <w:t>Am J Gastroenterol</w:t>
      </w:r>
      <w:r w:rsidRPr="003F18ED">
        <w:rPr>
          <w:rFonts w:ascii="Calibri" w:hAnsi="Calibri"/>
          <w:noProof/>
          <w:sz w:val="22"/>
        </w:rPr>
        <w:t>. 2010;105(7):1604-1609. doi:10.1038/ajg.2009.745.</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25. </w:t>
      </w:r>
      <w:r w:rsidRPr="003F18ED">
        <w:rPr>
          <w:rFonts w:ascii="Calibri" w:hAnsi="Calibri"/>
          <w:noProof/>
          <w:sz w:val="22"/>
        </w:rPr>
        <w:tab/>
        <w:t xml:space="preserve">Boggon R, Timmis A, Hemingway H, Raju S, Malvestiti F, Van Staa T. Smoking cessation interventions following acute coronary syndrome: A missed opportunity? </w:t>
      </w:r>
      <w:r w:rsidRPr="003F18ED">
        <w:rPr>
          <w:rFonts w:ascii="Calibri" w:hAnsi="Calibri"/>
          <w:i/>
          <w:iCs/>
          <w:noProof/>
          <w:sz w:val="22"/>
        </w:rPr>
        <w:t>Eur J Prev Cardiol</w:t>
      </w:r>
      <w:r w:rsidRPr="003F18ED">
        <w:rPr>
          <w:rFonts w:ascii="Calibri" w:hAnsi="Calibri"/>
          <w:noProof/>
          <w:sz w:val="22"/>
        </w:rPr>
        <w:t>. 2014;21(6):767-773. doi:10.1177/2047487312460517.Smoking.</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lastRenderedPageBreak/>
        <w:t xml:space="preserve">26. </w:t>
      </w:r>
      <w:r w:rsidRPr="003F18ED">
        <w:rPr>
          <w:rFonts w:ascii="Calibri" w:hAnsi="Calibri"/>
          <w:noProof/>
          <w:sz w:val="22"/>
        </w:rPr>
        <w:tab/>
        <w:t xml:space="preserve">Dhalwani NN, Tata LJ, Coleman T, Fleming KM, Szatkowski L. Completeness of Maternal Smoking Status Recording during Pregnancy in United Kingdom Primary Care Data. </w:t>
      </w:r>
      <w:r w:rsidRPr="003F18ED">
        <w:rPr>
          <w:rFonts w:ascii="Calibri" w:hAnsi="Calibri"/>
          <w:i/>
          <w:iCs/>
          <w:noProof/>
          <w:sz w:val="22"/>
        </w:rPr>
        <w:t>PLoS One</w:t>
      </w:r>
      <w:r w:rsidRPr="003F18ED">
        <w:rPr>
          <w:rFonts w:ascii="Calibri" w:hAnsi="Calibri"/>
          <w:noProof/>
          <w:sz w:val="22"/>
        </w:rPr>
        <w:t>. 2013;8(9). doi:10.1371/journal.pone.0072218.</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27. </w:t>
      </w:r>
      <w:r w:rsidRPr="003F18ED">
        <w:rPr>
          <w:rFonts w:ascii="Calibri" w:hAnsi="Calibri"/>
          <w:noProof/>
          <w:sz w:val="22"/>
        </w:rPr>
        <w:tab/>
        <w:t xml:space="preserve">Alonso A, Logroscino G, Jick SS, Hernán M a. Association of smoking with amyotrophic lateral sclerosis risk and survival in men and women: a prospective study. </w:t>
      </w:r>
      <w:r w:rsidRPr="003F18ED">
        <w:rPr>
          <w:rFonts w:ascii="Calibri" w:hAnsi="Calibri"/>
          <w:i/>
          <w:iCs/>
          <w:noProof/>
          <w:sz w:val="22"/>
        </w:rPr>
        <w:t>BMC Neurol</w:t>
      </w:r>
      <w:r w:rsidRPr="003F18ED">
        <w:rPr>
          <w:rFonts w:ascii="Calibri" w:hAnsi="Calibri"/>
          <w:noProof/>
          <w:sz w:val="22"/>
        </w:rPr>
        <w:t>. 2010;10(1):6. doi:10.1186/1471-2377-10-6.</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28. </w:t>
      </w:r>
      <w:r w:rsidRPr="003F18ED">
        <w:rPr>
          <w:rFonts w:ascii="Calibri" w:hAnsi="Calibri"/>
          <w:noProof/>
          <w:sz w:val="22"/>
        </w:rPr>
        <w:tab/>
        <w:t xml:space="preserve">Millett C, Gray J, Saxena S, Netuveli G, Majeed A. Impact of a pay-for-performance incentive on support for smoking cessation and on smoking prevalence among people with diabetes. </w:t>
      </w:r>
      <w:r w:rsidRPr="003F18ED">
        <w:rPr>
          <w:rFonts w:ascii="Calibri" w:hAnsi="Calibri"/>
          <w:i/>
          <w:iCs/>
          <w:noProof/>
          <w:sz w:val="22"/>
        </w:rPr>
        <w:t>CMAJ</w:t>
      </w:r>
      <w:r w:rsidRPr="003F18ED">
        <w:rPr>
          <w:rFonts w:ascii="Calibri" w:hAnsi="Calibri"/>
          <w:noProof/>
          <w:sz w:val="22"/>
        </w:rPr>
        <w:t>. 2007;176(12):1705-1710. doi:10.1503/cmaj.061556.</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29. </w:t>
      </w:r>
      <w:r w:rsidRPr="003F18ED">
        <w:rPr>
          <w:rFonts w:ascii="Calibri" w:hAnsi="Calibri"/>
          <w:noProof/>
          <w:sz w:val="22"/>
        </w:rPr>
        <w:tab/>
        <w:t xml:space="preserve">Chatu S, Saxena S, Subramanian V, et al. The Impact of Timing and Duration of Thiopurine Treatment on First Intestinal Resection in Crohn’s Disease: National UK Population-Based Study 1989-2010. </w:t>
      </w:r>
      <w:r w:rsidRPr="003F18ED">
        <w:rPr>
          <w:rFonts w:ascii="Calibri" w:hAnsi="Calibri"/>
          <w:i/>
          <w:iCs/>
          <w:noProof/>
          <w:sz w:val="22"/>
        </w:rPr>
        <w:t>Am J Gastroenterol</w:t>
      </w:r>
      <w:r w:rsidRPr="003F18ED">
        <w:rPr>
          <w:rFonts w:ascii="Calibri" w:hAnsi="Calibri"/>
          <w:noProof/>
          <w:sz w:val="22"/>
        </w:rPr>
        <w:t>. 2014;109(3):409-416. doi:10.1038/ajg.2013.462.</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30. </w:t>
      </w:r>
      <w:r w:rsidRPr="003F18ED">
        <w:rPr>
          <w:rFonts w:ascii="Calibri" w:hAnsi="Calibri"/>
          <w:noProof/>
          <w:sz w:val="22"/>
        </w:rPr>
        <w:tab/>
        <w:t xml:space="preserve">Chhaya V, Saxena S, Cecil E, et al. The impact of timing and duration of thiopurine treatment on colectomy in ulcerative colitis: a national population-based study of incident cases between 1989-2009. </w:t>
      </w:r>
      <w:r w:rsidRPr="003F18ED">
        <w:rPr>
          <w:rFonts w:ascii="Calibri" w:hAnsi="Calibri"/>
          <w:i/>
          <w:iCs/>
          <w:noProof/>
          <w:sz w:val="22"/>
        </w:rPr>
        <w:t>Aliment Pharmacol Ther</w:t>
      </w:r>
      <w:r w:rsidRPr="003F18ED">
        <w:rPr>
          <w:rFonts w:ascii="Calibri" w:hAnsi="Calibri"/>
          <w:noProof/>
          <w:sz w:val="22"/>
        </w:rPr>
        <w:t>. 2015;41(1):87-98. doi:10.1111/apt.13017.</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31. </w:t>
      </w:r>
      <w:r w:rsidRPr="003F18ED">
        <w:rPr>
          <w:rFonts w:ascii="Calibri" w:hAnsi="Calibri"/>
          <w:noProof/>
          <w:sz w:val="22"/>
        </w:rPr>
        <w:tab/>
        <w:t xml:space="preserve">Chhaya V, Pollok RCG, Cecil E, et al. Impact of early thiopurines on surgery in 2770 children and young people diagnosed with inflammatory bowel disease: a national population-based study. </w:t>
      </w:r>
      <w:r w:rsidRPr="003F18ED">
        <w:rPr>
          <w:rFonts w:ascii="Calibri" w:hAnsi="Calibri"/>
          <w:i/>
          <w:iCs/>
          <w:noProof/>
          <w:sz w:val="22"/>
        </w:rPr>
        <w:t>Aliment Pharmacol Ther</w:t>
      </w:r>
      <w:r w:rsidRPr="003F18ED">
        <w:rPr>
          <w:rFonts w:ascii="Calibri" w:hAnsi="Calibri"/>
          <w:noProof/>
          <w:sz w:val="22"/>
        </w:rPr>
        <w:t>. 2015;42(8):990-999. doi:10.1111/apt.13361.</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32. </w:t>
      </w:r>
      <w:r w:rsidRPr="003F18ED">
        <w:rPr>
          <w:rFonts w:ascii="Calibri" w:hAnsi="Calibri"/>
          <w:noProof/>
          <w:sz w:val="22"/>
        </w:rPr>
        <w:tab/>
        <w:t xml:space="preserve">Chhaya V, Saxena S, Cecil E, et al. Impact of Timing and Duration of Thiopurine Treatment on First Perianal Surgery in Crohn's Disease. </w:t>
      </w:r>
      <w:r w:rsidRPr="003F18ED">
        <w:rPr>
          <w:rFonts w:ascii="Calibri" w:hAnsi="Calibri"/>
          <w:i/>
          <w:iCs/>
          <w:noProof/>
          <w:sz w:val="22"/>
        </w:rPr>
        <w:t>Inflamm Bowel Dis</w:t>
      </w:r>
      <w:r w:rsidRPr="003F18ED">
        <w:rPr>
          <w:rFonts w:ascii="Calibri" w:hAnsi="Calibri"/>
          <w:noProof/>
          <w:sz w:val="22"/>
        </w:rPr>
        <w:t>. 2015;21(0):385-391. doi:10.1097/MIB.0000000000000290.</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33. </w:t>
      </w:r>
      <w:r w:rsidRPr="003F18ED">
        <w:rPr>
          <w:rFonts w:ascii="Calibri" w:hAnsi="Calibri"/>
          <w:noProof/>
          <w:sz w:val="22"/>
        </w:rPr>
        <w:tab/>
        <w:t xml:space="preserve">Chhaya V, Saxena S, Cecil E, et al. Steroid dependency and trends in prescribing for inflammatory bowel disease: a 20-year national population-based study. </w:t>
      </w:r>
      <w:r w:rsidRPr="003F18ED">
        <w:rPr>
          <w:rFonts w:ascii="Calibri" w:hAnsi="Calibri"/>
          <w:i/>
          <w:iCs/>
          <w:noProof/>
          <w:sz w:val="22"/>
        </w:rPr>
        <w:t>Aliment Pharmacol Ther</w:t>
      </w:r>
      <w:r w:rsidRPr="003F18ED">
        <w:rPr>
          <w:rFonts w:ascii="Calibri" w:hAnsi="Calibri"/>
          <w:noProof/>
          <w:sz w:val="22"/>
        </w:rPr>
        <w:t>. 2016;44(5):482-494. doi:10.1111/apt.13700.</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34. </w:t>
      </w:r>
      <w:r w:rsidRPr="003F18ED">
        <w:rPr>
          <w:rFonts w:ascii="Calibri" w:hAnsi="Calibri"/>
          <w:noProof/>
          <w:sz w:val="22"/>
        </w:rPr>
        <w:tab/>
        <w:t xml:space="preserve">Booth H, Prevost A, Gulliford M. Validity of smoking prevalence estimates from primary care electronic health records compared with national population survey data for England, 2007 to 2011. </w:t>
      </w:r>
      <w:r w:rsidRPr="003F18ED">
        <w:rPr>
          <w:rFonts w:ascii="Calibri" w:hAnsi="Calibri"/>
          <w:i/>
          <w:iCs/>
          <w:noProof/>
          <w:sz w:val="22"/>
        </w:rPr>
        <w:t>Pharmacoepidemiol Drug Saf Dec;22(12)</w:t>
      </w:r>
      <w:r w:rsidRPr="003F18ED">
        <w:rPr>
          <w:rFonts w:ascii="Calibri" w:hAnsi="Calibri"/>
          <w:noProof/>
          <w:sz w:val="22"/>
        </w:rPr>
        <w:t>. 2013;22(12):1357-1361.</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35. </w:t>
      </w:r>
      <w:r w:rsidRPr="003F18ED">
        <w:rPr>
          <w:rFonts w:ascii="Calibri" w:hAnsi="Calibri"/>
          <w:noProof/>
          <w:sz w:val="22"/>
        </w:rPr>
        <w:tab/>
        <w:t xml:space="preserve">Grainge MJ, West J, Card TR. Venous thromboembolism during active disease and remission in inflammatory bowel disease: a cohort study. </w:t>
      </w:r>
      <w:r w:rsidRPr="003F18ED">
        <w:rPr>
          <w:rFonts w:ascii="Calibri" w:hAnsi="Calibri"/>
          <w:i/>
          <w:iCs/>
          <w:noProof/>
          <w:sz w:val="22"/>
        </w:rPr>
        <w:t>Lancet</w:t>
      </w:r>
      <w:r w:rsidRPr="003F18ED">
        <w:rPr>
          <w:rFonts w:ascii="Calibri" w:hAnsi="Calibri"/>
          <w:noProof/>
          <w:sz w:val="22"/>
        </w:rPr>
        <w:t>. 2010;375(9715):657-663. doi:10.1016/S0140-6736(09)61963-2.</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36. </w:t>
      </w:r>
      <w:r w:rsidRPr="003F18ED">
        <w:rPr>
          <w:rFonts w:ascii="Calibri" w:hAnsi="Calibri"/>
          <w:noProof/>
          <w:sz w:val="22"/>
        </w:rPr>
        <w:tab/>
        <w:t xml:space="preserve">Van Assche G, Dignass A, Reinisch W, et al. The second European evidence-based Consensus on the diagnosis and management of Crohn’s disease: Definitions and diagnosis. </w:t>
      </w:r>
      <w:r w:rsidRPr="003F18ED">
        <w:rPr>
          <w:rFonts w:ascii="Calibri" w:hAnsi="Calibri"/>
          <w:i/>
          <w:iCs/>
          <w:noProof/>
          <w:sz w:val="22"/>
        </w:rPr>
        <w:t>J Crohn’s Colitis</w:t>
      </w:r>
      <w:r w:rsidRPr="003F18ED">
        <w:rPr>
          <w:rFonts w:ascii="Calibri" w:hAnsi="Calibri"/>
          <w:noProof/>
          <w:sz w:val="22"/>
        </w:rPr>
        <w:t>. 2010;4(1):63-101. doi:10.1016/j.crohns.2009.09.009.</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37. </w:t>
      </w:r>
      <w:r w:rsidRPr="003F18ED">
        <w:rPr>
          <w:rFonts w:ascii="Calibri" w:hAnsi="Calibri"/>
          <w:noProof/>
          <w:sz w:val="22"/>
        </w:rPr>
        <w:tab/>
        <w:t xml:space="preserve">Gelbmann CM, Rogler G, Gross V, et al. Prior bowel resections, perianal disease, and a high initial Crohn’s Disease Activity Index are associated with corticosteroid resistance in active Crohn's disease. </w:t>
      </w:r>
      <w:r w:rsidRPr="003F18ED">
        <w:rPr>
          <w:rFonts w:ascii="Calibri" w:hAnsi="Calibri"/>
          <w:i/>
          <w:iCs/>
          <w:noProof/>
          <w:sz w:val="22"/>
        </w:rPr>
        <w:t>Am J Gastroenterol</w:t>
      </w:r>
      <w:r w:rsidRPr="003F18ED">
        <w:rPr>
          <w:rFonts w:ascii="Calibri" w:hAnsi="Calibri"/>
          <w:noProof/>
          <w:sz w:val="22"/>
        </w:rPr>
        <w:t>. 2002;97(6):1438-1445. doi:10.1016/S0002-9270(02)04041-8.</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lastRenderedPageBreak/>
        <w:t xml:space="preserve">38. </w:t>
      </w:r>
      <w:r w:rsidRPr="003F18ED">
        <w:rPr>
          <w:rFonts w:ascii="Calibri" w:hAnsi="Calibri"/>
          <w:noProof/>
          <w:sz w:val="22"/>
        </w:rPr>
        <w:tab/>
        <w:t xml:space="preserve">Brown P, Clark T, Dowson G, et al. Relationship of Body Mass Index to Clinical Outcomes after Infliximab Therapy in Patients with Crohn’s Disease. </w:t>
      </w:r>
      <w:r w:rsidRPr="003F18ED">
        <w:rPr>
          <w:rFonts w:ascii="Calibri" w:hAnsi="Calibri"/>
          <w:i/>
          <w:iCs/>
          <w:noProof/>
          <w:sz w:val="22"/>
        </w:rPr>
        <w:t>J Crohns Colitis</w:t>
      </w:r>
      <w:r w:rsidRPr="003F18ED">
        <w:rPr>
          <w:rFonts w:ascii="Calibri" w:hAnsi="Calibri"/>
          <w:noProof/>
          <w:sz w:val="22"/>
        </w:rPr>
        <w:t>. 2016;10(10):1144-1150. doi:10.1093/ecco-jcc/jjw079. Epub 2016 Mar 19.</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39. </w:t>
      </w:r>
      <w:r w:rsidRPr="003F18ED">
        <w:rPr>
          <w:rFonts w:ascii="Calibri" w:hAnsi="Calibri"/>
          <w:noProof/>
          <w:sz w:val="22"/>
        </w:rPr>
        <w:tab/>
        <w:t xml:space="preserve">Do smoking rates vary between more and less advantaged areas? </w:t>
      </w:r>
      <w:r w:rsidRPr="003F18ED">
        <w:rPr>
          <w:rFonts w:ascii="Calibri" w:hAnsi="Calibri"/>
          <w:i/>
          <w:iCs/>
          <w:noProof/>
          <w:sz w:val="22"/>
        </w:rPr>
        <w:t>Off Natl Stat</w:t>
      </w:r>
      <w:r w:rsidRPr="003F18ED">
        <w:rPr>
          <w:rFonts w:ascii="Calibri" w:hAnsi="Calibri"/>
          <w:noProof/>
          <w:sz w:val="22"/>
        </w:rPr>
        <w:t>. www.ons.gov.uk/ons/rel/disability-and-health-measurement/do-smoking-rates-vary-between-more-and-less-advantaged-areas-/2012/sty-smoking-rates.html. Accessed February 28, 2017.</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40. </w:t>
      </w:r>
      <w:r w:rsidRPr="003F18ED">
        <w:rPr>
          <w:rFonts w:ascii="Calibri" w:hAnsi="Calibri"/>
          <w:noProof/>
          <w:sz w:val="22"/>
        </w:rPr>
        <w:tab/>
        <w:t xml:space="preserve">Teruel C, Garrido E, Mesonero F. Diagnosis and management of functional symptoms in inflammatory bowel disease in remission. </w:t>
      </w:r>
      <w:r w:rsidRPr="003F18ED">
        <w:rPr>
          <w:rFonts w:ascii="Calibri" w:hAnsi="Calibri"/>
          <w:i/>
          <w:iCs/>
          <w:noProof/>
          <w:sz w:val="22"/>
        </w:rPr>
        <w:t>World J Gastrointest Pharmacol Ther</w:t>
      </w:r>
      <w:r w:rsidRPr="003F18ED">
        <w:rPr>
          <w:rFonts w:ascii="Calibri" w:hAnsi="Calibri"/>
          <w:noProof/>
          <w:sz w:val="22"/>
        </w:rPr>
        <w:t>. 2016;Feb 6;7(1):78-90. doi:10.4292/wjgpt.v7.i1.78.</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41. </w:t>
      </w:r>
      <w:r w:rsidRPr="003F18ED">
        <w:rPr>
          <w:rFonts w:ascii="Calibri" w:hAnsi="Calibri"/>
          <w:noProof/>
          <w:sz w:val="22"/>
        </w:rPr>
        <w:tab/>
        <w:t xml:space="preserve">Audrain-McGovern J, Leventhal A, Strong D. The Role of Depression in the Uptake and Maintenance of Cigarette Smoking. </w:t>
      </w:r>
      <w:r w:rsidRPr="003F18ED">
        <w:rPr>
          <w:rFonts w:ascii="Calibri" w:hAnsi="Calibri"/>
          <w:i/>
          <w:iCs/>
          <w:noProof/>
          <w:sz w:val="22"/>
        </w:rPr>
        <w:t>Int Rev Neurobiol</w:t>
      </w:r>
      <w:r w:rsidRPr="003F18ED">
        <w:rPr>
          <w:rFonts w:ascii="Calibri" w:hAnsi="Calibri"/>
          <w:noProof/>
          <w:sz w:val="22"/>
        </w:rPr>
        <w:t>. 2015;124:209-243. doi:10.1016/bs.irn.2015.07.004.</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42. </w:t>
      </w:r>
      <w:r w:rsidRPr="003F18ED">
        <w:rPr>
          <w:rFonts w:ascii="Calibri" w:hAnsi="Calibri"/>
          <w:noProof/>
          <w:sz w:val="22"/>
        </w:rPr>
        <w:tab/>
        <w:t xml:space="preserve">Beaugerie L, Seksik P, Nion-Larmurier I, Gendre JP, Cosnes J. Predictors of crohn’s disease. </w:t>
      </w:r>
      <w:r w:rsidRPr="003F18ED">
        <w:rPr>
          <w:rFonts w:ascii="Calibri" w:hAnsi="Calibri"/>
          <w:i/>
          <w:iCs/>
          <w:noProof/>
          <w:sz w:val="22"/>
        </w:rPr>
        <w:t>Gastroenterology</w:t>
      </w:r>
      <w:r w:rsidRPr="003F18ED">
        <w:rPr>
          <w:rFonts w:ascii="Calibri" w:hAnsi="Calibri"/>
          <w:noProof/>
          <w:sz w:val="22"/>
        </w:rPr>
        <w:t>. 2006;130(3):650-656. doi:10.1053/j.gastro.2005.12.019.</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43. </w:t>
      </w:r>
      <w:r w:rsidRPr="003F18ED">
        <w:rPr>
          <w:rFonts w:ascii="Calibri" w:hAnsi="Calibri"/>
          <w:noProof/>
          <w:sz w:val="22"/>
        </w:rPr>
        <w:tab/>
        <w:t xml:space="preserve">Alexakis C, Kumar S, Saxena S, Pollok R. Systematic review and meta-analysis: the impact of a depressive state on disease course in adult inflammatory bowel disease. </w:t>
      </w:r>
      <w:r w:rsidRPr="003F18ED">
        <w:rPr>
          <w:rFonts w:ascii="Calibri" w:hAnsi="Calibri"/>
          <w:i/>
          <w:iCs/>
          <w:noProof/>
          <w:sz w:val="22"/>
        </w:rPr>
        <w:t>Aliment Pharmacol Ther</w:t>
      </w:r>
      <w:r w:rsidRPr="003F18ED">
        <w:rPr>
          <w:rFonts w:ascii="Calibri" w:hAnsi="Calibri"/>
          <w:noProof/>
          <w:sz w:val="22"/>
        </w:rPr>
        <w:t>. 2017;(January):1-11. doi:10.1111/apt.14171.</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44. </w:t>
      </w:r>
      <w:r w:rsidRPr="003F18ED">
        <w:rPr>
          <w:rFonts w:ascii="Calibri" w:hAnsi="Calibri"/>
          <w:noProof/>
          <w:sz w:val="22"/>
        </w:rPr>
        <w:tab/>
        <w:t xml:space="preserve">Gomollón F, Dignass A, Annese V, et al. 3rd European Evidence-based Consensus on the Diagnosis and Management of Crohn’s Disease 2016: Part 1: Diagnosis and Medical Management on behalf of ECCO. </w:t>
      </w:r>
      <w:r w:rsidRPr="003F18ED">
        <w:rPr>
          <w:rFonts w:ascii="Calibri" w:hAnsi="Calibri"/>
          <w:i/>
          <w:iCs/>
          <w:noProof/>
          <w:sz w:val="22"/>
        </w:rPr>
        <w:t>J Crohn’s Colitis</w:t>
      </w:r>
      <w:r w:rsidRPr="003F18ED">
        <w:rPr>
          <w:rFonts w:ascii="Calibri" w:hAnsi="Calibri"/>
          <w:noProof/>
          <w:sz w:val="22"/>
        </w:rPr>
        <w:t>. 2016:1-23. doi:10.1093/ecco-jcc/jjw168.</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45. </w:t>
      </w:r>
      <w:r w:rsidRPr="003F18ED">
        <w:rPr>
          <w:rFonts w:ascii="Calibri" w:hAnsi="Calibri"/>
          <w:noProof/>
          <w:sz w:val="22"/>
        </w:rPr>
        <w:tab/>
        <w:t xml:space="preserve">Rutgeerts PJ. Review article : the limitations of corticosteroid therapy in Crohn ’ s disease. </w:t>
      </w:r>
      <w:r w:rsidRPr="003F18ED">
        <w:rPr>
          <w:rFonts w:ascii="Calibri" w:hAnsi="Calibri"/>
          <w:i/>
          <w:iCs/>
          <w:noProof/>
          <w:sz w:val="22"/>
        </w:rPr>
        <w:t>Ailm Pharmacol Ther</w:t>
      </w:r>
      <w:r w:rsidRPr="003F18ED">
        <w:rPr>
          <w:rFonts w:ascii="Calibri" w:hAnsi="Calibri"/>
          <w:noProof/>
          <w:sz w:val="22"/>
        </w:rPr>
        <w:t>. 2001;15:1515-1525.</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46. </w:t>
      </w:r>
      <w:r w:rsidRPr="003F18ED">
        <w:rPr>
          <w:rFonts w:ascii="Calibri" w:hAnsi="Calibri"/>
          <w:noProof/>
          <w:sz w:val="22"/>
        </w:rPr>
        <w:tab/>
        <w:t xml:space="preserve">Lakatos PL, Czegledi Z, Szamosi T, et al. Perianal disease, small bowel disease, smoking, prior steroid or early azathioprine/biological therapy are predictors of disease behavior change in patients with Crohn’s disease. </w:t>
      </w:r>
      <w:r w:rsidRPr="003F18ED">
        <w:rPr>
          <w:rFonts w:ascii="Calibri" w:hAnsi="Calibri"/>
          <w:i/>
          <w:iCs/>
          <w:noProof/>
          <w:sz w:val="22"/>
        </w:rPr>
        <w:t>World J Gastroenterol</w:t>
      </w:r>
      <w:r w:rsidRPr="003F18ED">
        <w:rPr>
          <w:rFonts w:ascii="Calibri" w:hAnsi="Calibri"/>
          <w:noProof/>
          <w:sz w:val="22"/>
        </w:rPr>
        <w:t>. 2009;15(28):3504-3510. doi:10.3748/wjg.15.3504.</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47. </w:t>
      </w:r>
      <w:r w:rsidRPr="003F18ED">
        <w:rPr>
          <w:rFonts w:ascii="Calibri" w:hAnsi="Calibri"/>
          <w:noProof/>
          <w:sz w:val="22"/>
        </w:rPr>
        <w:tab/>
        <w:t xml:space="preserve">Domènech E, Carrión S, Garcia-Planella E, et al. Smoking status and response to thiopurines in steroid-dependent inflammatory bowel disease. </w:t>
      </w:r>
      <w:r w:rsidRPr="003F18ED">
        <w:rPr>
          <w:rFonts w:ascii="Calibri" w:hAnsi="Calibri"/>
          <w:i/>
          <w:iCs/>
          <w:noProof/>
          <w:sz w:val="22"/>
        </w:rPr>
        <w:t>Inflamm Bowel Dis</w:t>
      </w:r>
      <w:r w:rsidRPr="003F18ED">
        <w:rPr>
          <w:rFonts w:ascii="Calibri" w:hAnsi="Calibri"/>
          <w:noProof/>
          <w:sz w:val="22"/>
        </w:rPr>
        <w:t>. 2011;17(4):971-975. doi:10.1002/ibd.21456.</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48. </w:t>
      </w:r>
      <w:r w:rsidRPr="003F18ED">
        <w:rPr>
          <w:rFonts w:ascii="Calibri" w:hAnsi="Calibri"/>
          <w:noProof/>
          <w:sz w:val="22"/>
        </w:rPr>
        <w:tab/>
        <w:t xml:space="preserve">Moon CM, Park DI, Kim ER, et al. Clinical features and predictors of clinical outcomes in Korean patients with Crohn’s disease: a Korean association for the study of intestinal diseases multicenter study. </w:t>
      </w:r>
      <w:r w:rsidRPr="003F18ED">
        <w:rPr>
          <w:rFonts w:ascii="Calibri" w:hAnsi="Calibri"/>
          <w:i/>
          <w:iCs/>
          <w:noProof/>
          <w:sz w:val="22"/>
        </w:rPr>
        <w:t>J Gastroenterol Hepatol</w:t>
      </w:r>
      <w:r w:rsidRPr="003F18ED">
        <w:rPr>
          <w:rFonts w:ascii="Calibri" w:hAnsi="Calibri"/>
          <w:noProof/>
          <w:sz w:val="22"/>
        </w:rPr>
        <w:t>. 2014;29:74-82. doi:10.1111/jgh.12369 [doi].</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49. </w:t>
      </w:r>
      <w:r w:rsidRPr="003F18ED">
        <w:rPr>
          <w:rFonts w:ascii="Calibri" w:hAnsi="Calibri"/>
          <w:noProof/>
          <w:sz w:val="22"/>
        </w:rPr>
        <w:tab/>
        <w:t xml:space="preserve">Fidler J, Ferguson SG, Brown J, Stapleton J, West R. How does rate of smoking cessation vary by age, gender and social grade? Findings from a population survey in England. </w:t>
      </w:r>
      <w:r w:rsidRPr="003F18ED">
        <w:rPr>
          <w:rFonts w:ascii="Calibri" w:hAnsi="Calibri"/>
          <w:i/>
          <w:iCs/>
          <w:noProof/>
          <w:sz w:val="22"/>
        </w:rPr>
        <w:t>Addiction</w:t>
      </w:r>
      <w:r w:rsidRPr="003F18ED">
        <w:rPr>
          <w:rFonts w:ascii="Calibri" w:hAnsi="Calibri"/>
          <w:noProof/>
          <w:sz w:val="22"/>
        </w:rPr>
        <w:t>. 2013;108(9):1680-1685. doi:10.1111/add.12241.</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50. </w:t>
      </w:r>
      <w:r w:rsidRPr="003F18ED">
        <w:rPr>
          <w:rFonts w:ascii="Calibri" w:hAnsi="Calibri"/>
          <w:noProof/>
          <w:sz w:val="22"/>
        </w:rPr>
        <w:tab/>
        <w:t>Public Health England. Smoking prevalence in adults: Opinions and lifestyle survey 2014. 2014. http://content.digital.nhs.uk/catalogue/PUB20781/stat-smok-eng-2016-rep.pdf. Accessed May 17, 2017.</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lastRenderedPageBreak/>
        <w:t xml:space="preserve">51. </w:t>
      </w:r>
      <w:r w:rsidRPr="003F18ED">
        <w:rPr>
          <w:rFonts w:ascii="Calibri" w:hAnsi="Calibri"/>
          <w:noProof/>
          <w:sz w:val="22"/>
        </w:rPr>
        <w:tab/>
        <w:t xml:space="preserve">Elton P, Campbell P. Smoking prevalence in a north-west town following the introduction of Smoke-free England. </w:t>
      </w:r>
      <w:r w:rsidRPr="003F18ED">
        <w:rPr>
          <w:rFonts w:ascii="Calibri" w:hAnsi="Calibri"/>
          <w:i/>
          <w:iCs/>
          <w:noProof/>
          <w:sz w:val="22"/>
        </w:rPr>
        <w:t>J Public Heal (Oxf) 2008 Dec;30(4)415-20</w:t>
      </w:r>
      <w:r w:rsidRPr="003F18ED">
        <w:rPr>
          <w:rFonts w:ascii="Calibri" w:hAnsi="Calibri"/>
          <w:noProof/>
          <w:sz w:val="22"/>
        </w:rPr>
        <w:t>. 2008;30(415-20).</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52. </w:t>
      </w:r>
      <w:r w:rsidRPr="003F18ED">
        <w:rPr>
          <w:rFonts w:ascii="Calibri" w:hAnsi="Calibri"/>
          <w:noProof/>
          <w:sz w:val="22"/>
        </w:rPr>
        <w:tab/>
        <w:t xml:space="preserve">Ananthakrishnan AN. Environmental risk factors for inflammatory bowel disease. </w:t>
      </w:r>
      <w:r w:rsidRPr="003F18ED">
        <w:rPr>
          <w:rFonts w:ascii="Calibri" w:hAnsi="Calibri"/>
          <w:i/>
          <w:iCs/>
          <w:noProof/>
          <w:sz w:val="22"/>
        </w:rPr>
        <w:t>Gastroenterol Hepatol (N Y)</w:t>
      </w:r>
      <w:r w:rsidRPr="003F18ED">
        <w:rPr>
          <w:rFonts w:ascii="Calibri" w:hAnsi="Calibri"/>
          <w:noProof/>
          <w:sz w:val="22"/>
        </w:rPr>
        <w:t>. 2013;9(6):367-374. http://www.pubmedcentral.nih.gov/articlerender.fcgi?artid=3736793&amp;tool=pmcentrez&amp;rendertype=abstract.</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53. </w:t>
      </w:r>
      <w:r w:rsidRPr="003F18ED">
        <w:rPr>
          <w:rFonts w:ascii="Calibri" w:hAnsi="Calibri"/>
          <w:noProof/>
          <w:sz w:val="22"/>
        </w:rPr>
        <w:tab/>
        <w:t xml:space="preserve">Van den Elsen LW, Poyntz HC, Weyrich LS, Young W, Forbes-Blom EE. Embracing the gut microbiota: the new frontier for inflammatory and infectious diseases. </w:t>
      </w:r>
      <w:r w:rsidRPr="003F18ED">
        <w:rPr>
          <w:rFonts w:ascii="Calibri" w:hAnsi="Calibri"/>
          <w:i/>
          <w:iCs/>
          <w:noProof/>
          <w:sz w:val="22"/>
        </w:rPr>
        <w:t>Clin Transl Immunol</w:t>
      </w:r>
      <w:r w:rsidRPr="003F18ED">
        <w:rPr>
          <w:rFonts w:ascii="Calibri" w:hAnsi="Calibri"/>
          <w:noProof/>
          <w:sz w:val="22"/>
        </w:rPr>
        <w:t>. 2017;6(1):e125. doi:10.1038/cti.2016.91.</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54. </w:t>
      </w:r>
      <w:r w:rsidRPr="003F18ED">
        <w:rPr>
          <w:rFonts w:ascii="Calibri" w:hAnsi="Calibri"/>
          <w:noProof/>
          <w:sz w:val="22"/>
        </w:rPr>
        <w:tab/>
        <w:t xml:space="preserve">Benjamin JL, Hedin CRH, Koutsoumpas A, et al. Smokers with active Crohn’s disease have a clinically relevant dysbiosis of the gastrointestinal microbiota. </w:t>
      </w:r>
      <w:r w:rsidRPr="003F18ED">
        <w:rPr>
          <w:rFonts w:ascii="Calibri" w:hAnsi="Calibri"/>
          <w:i/>
          <w:iCs/>
          <w:noProof/>
          <w:sz w:val="22"/>
        </w:rPr>
        <w:t>Inflamm Bowel Dis</w:t>
      </w:r>
      <w:r w:rsidRPr="003F18ED">
        <w:rPr>
          <w:rFonts w:ascii="Calibri" w:hAnsi="Calibri"/>
          <w:noProof/>
          <w:sz w:val="22"/>
        </w:rPr>
        <w:t>. 2012;18(6):1092-1100. doi:10.1002/ibd.21864.</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55. </w:t>
      </w:r>
      <w:r w:rsidRPr="003F18ED">
        <w:rPr>
          <w:rFonts w:ascii="Calibri" w:hAnsi="Calibri"/>
          <w:noProof/>
          <w:sz w:val="22"/>
        </w:rPr>
        <w:tab/>
        <w:t xml:space="preserve">Eliakim R, Fan QX, Babyatsky MW. Chronic nicotine administration differentially alters jejunal and colonic inflammation in interleukin-10 deficient mice. </w:t>
      </w:r>
      <w:r w:rsidRPr="003F18ED">
        <w:rPr>
          <w:rFonts w:ascii="Calibri" w:hAnsi="Calibri"/>
          <w:i/>
          <w:iCs/>
          <w:noProof/>
          <w:sz w:val="22"/>
        </w:rPr>
        <w:t>Eur J Gastroenterol Hepatol</w:t>
      </w:r>
      <w:r w:rsidRPr="003F18ED">
        <w:rPr>
          <w:rFonts w:ascii="Calibri" w:hAnsi="Calibri"/>
          <w:noProof/>
          <w:sz w:val="22"/>
        </w:rPr>
        <w:t>. 2002;14(6):607-614. doi:10.1097/00042737-200206000-00005.</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56. </w:t>
      </w:r>
      <w:r w:rsidRPr="003F18ED">
        <w:rPr>
          <w:rFonts w:ascii="Calibri" w:hAnsi="Calibri"/>
          <w:noProof/>
          <w:sz w:val="22"/>
        </w:rPr>
        <w:tab/>
        <w:t xml:space="preserve">Bergeron V, Grondin V, Rajca S, et al. Current smoking differentially affects blood mononuclear cells from patients with Crohn’s disease and ulcerative colitis: relevance to its adverse role in the disease. </w:t>
      </w:r>
      <w:r w:rsidRPr="003F18ED">
        <w:rPr>
          <w:rFonts w:ascii="Calibri" w:hAnsi="Calibri"/>
          <w:i/>
          <w:iCs/>
          <w:noProof/>
          <w:sz w:val="22"/>
        </w:rPr>
        <w:t>Inflamm Bowel Dis</w:t>
      </w:r>
      <w:r w:rsidRPr="003F18ED">
        <w:rPr>
          <w:rFonts w:ascii="Calibri" w:hAnsi="Calibri"/>
          <w:noProof/>
          <w:sz w:val="22"/>
        </w:rPr>
        <w:t>. 2012;18(6):1101-1111. doi:10.1002/ibd.21889.</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57. </w:t>
      </w:r>
      <w:r w:rsidRPr="003F18ED">
        <w:rPr>
          <w:rFonts w:ascii="Calibri" w:hAnsi="Calibri"/>
          <w:noProof/>
          <w:sz w:val="22"/>
        </w:rPr>
        <w:tab/>
        <w:t xml:space="preserve">Zuo L, Li Y, Wang H, et al. Cigarette smoking is associated with intestinal barrier dysfunction in the small intestine but not in the large intestine of mice. </w:t>
      </w:r>
      <w:r w:rsidRPr="003F18ED">
        <w:rPr>
          <w:rFonts w:ascii="Calibri" w:hAnsi="Calibri"/>
          <w:i/>
          <w:iCs/>
          <w:noProof/>
          <w:sz w:val="22"/>
        </w:rPr>
        <w:t>J Crohn’s Colitis</w:t>
      </w:r>
      <w:r w:rsidRPr="003F18ED">
        <w:rPr>
          <w:rFonts w:ascii="Calibri" w:hAnsi="Calibri"/>
          <w:noProof/>
          <w:sz w:val="22"/>
        </w:rPr>
        <w:t>. 2014;8(12):1710-1722. doi:10.1016/j.crohns.2014.08.008.</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58. </w:t>
      </w:r>
      <w:r w:rsidRPr="003F18ED">
        <w:rPr>
          <w:rFonts w:ascii="Calibri" w:hAnsi="Calibri"/>
          <w:noProof/>
          <w:sz w:val="22"/>
        </w:rPr>
        <w:tab/>
        <w:t xml:space="preserve">Narula N, Fedorak RN. Does smoking reduce infliximab’s effectiveness against Crohn's disease? </w:t>
      </w:r>
      <w:r w:rsidRPr="003F18ED">
        <w:rPr>
          <w:rFonts w:ascii="Calibri" w:hAnsi="Calibri"/>
          <w:i/>
          <w:iCs/>
          <w:noProof/>
          <w:sz w:val="22"/>
        </w:rPr>
        <w:t>Can J Gastroenterol</w:t>
      </w:r>
      <w:r w:rsidRPr="003F18ED">
        <w:rPr>
          <w:rFonts w:ascii="Calibri" w:hAnsi="Calibri"/>
          <w:noProof/>
          <w:sz w:val="22"/>
        </w:rPr>
        <w:t>. 2009;23(2):121-125.</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59. </w:t>
      </w:r>
      <w:r w:rsidRPr="003F18ED">
        <w:rPr>
          <w:rFonts w:ascii="Calibri" w:hAnsi="Calibri"/>
          <w:noProof/>
          <w:sz w:val="22"/>
        </w:rPr>
        <w:tab/>
        <w:t xml:space="preserve">Warren J, Falster M, Fox D, Jorm L. Factors influencing adherence in long-term use of statins. </w:t>
      </w:r>
      <w:r w:rsidRPr="003F18ED">
        <w:rPr>
          <w:rFonts w:ascii="Calibri" w:hAnsi="Calibri"/>
          <w:i/>
          <w:iCs/>
          <w:noProof/>
          <w:sz w:val="22"/>
        </w:rPr>
        <w:t>Pharmacoepidemiol Drug Saf</w:t>
      </w:r>
      <w:r w:rsidRPr="003F18ED">
        <w:rPr>
          <w:rFonts w:ascii="Calibri" w:hAnsi="Calibri"/>
          <w:noProof/>
          <w:sz w:val="22"/>
        </w:rPr>
        <w:t>. 2013;22(12):1298-1307.</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60. </w:t>
      </w:r>
      <w:r w:rsidRPr="003F18ED">
        <w:rPr>
          <w:rFonts w:ascii="Calibri" w:hAnsi="Calibri"/>
          <w:noProof/>
          <w:sz w:val="22"/>
        </w:rPr>
        <w:tab/>
        <w:t xml:space="preserve">Lewis JD, Brensinger C. Agreement between GPRD smoking data: A survey of general practitioners and a population-based survey. </w:t>
      </w:r>
      <w:r w:rsidRPr="003F18ED">
        <w:rPr>
          <w:rFonts w:ascii="Calibri" w:hAnsi="Calibri"/>
          <w:i/>
          <w:iCs/>
          <w:noProof/>
          <w:sz w:val="22"/>
        </w:rPr>
        <w:t>Pharmacoepidemiol Drug Saf</w:t>
      </w:r>
      <w:r w:rsidRPr="003F18ED">
        <w:rPr>
          <w:rFonts w:ascii="Calibri" w:hAnsi="Calibri"/>
          <w:noProof/>
          <w:sz w:val="22"/>
        </w:rPr>
        <w:t>. 2004;13(7):437-441. doi:10.1002/pds.902.</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61. </w:t>
      </w:r>
      <w:r w:rsidRPr="003F18ED">
        <w:rPr>
          <w:rFonts w:ascii="Calibri" w:hAnsi="Calibri"/>
          <w:noProof/>
          <w:sz w:val="22"/>
        </w:rPr>
        <w:tab/>
        <w:t xml:space="preserve">Bardhan KD, Simmonds N, Royston C, Dhar a., Edwards CM. A United Kingdom inflammatory bowel disease database: Making the effort worthwhile. </w:t>
      </w:r>
      <w:r w:rsidRPr="003F18ED">
        <w:rPr>
          <w:rFonts w:ascii="Calibri" w:hAnsi="Calibri"/>
          <w:i/>
          <w:iCs/>
          <w:noProof/>
          <w:sz w:val="22"/>
        </w:rPr>
        <w:t>J Crohn’s Colitis</w:t>
      </w:r>
      <w:r w:rsidRPr="003F18ED">
        <w:rPr>
          <w:rFonts w:ascii="Calibri" w:hAnsi="Calibri"/>
          <w:noProof/>
          <w:sz w:val="22"/>
        </w:rPr>
        <w:t>. 2010;4(4):405-412. doi:10.1016/j.crohns.2010.01.003.</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62. </w:t>
      </w:r>
      <w:r w:rsidRPr="003F18ED">
        <w:rPr>
          <w:rFonts w:ascii="Calibri" w:hAnsi="Calibri"/>
          <w:noProof/>
          <w:sz w:val="22"/>
        </w:rPr>
        <w:tab/>
        <w:t>Royal College of Physicians. National clinical audit of biological therapies - UK Inflammatory Bowel Disease (IBD) audit. 2015;(September). https://www.rcplondon.ac.uk/projects/outputs/national-clinical-audit-report-biological-therapies-adult-report-2015. Accessed March 3, 2017.</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63. </w:t>
      </w:r>
      <w:r w:rsidRPr="003F18ED">
        <w:rPr>
          <w:rFonts w:ascii="Calibri" w:hAnsi="Calibri"/>
          <w:noProof/>
          <w:sz w:val="22"/>
        </w:rPr>
        <w:tab/>
        <w:t xml:space="preserve">De Bie C, Ballet V, Hendriks N, et al. Smoking behaviour and knowledge of the health effects of smoking in patients with inflammatory bowel disease. </w:t>
      </w:r>
      <w:r w:rsidRPr="003F18ED">
        <w:rPr>
          <w:rFonts w:ascii="Calibri" w:hAnsi="Calibri"/>
          <w:i/>
          <w:iCs/>
          <w:noProof/>
          <w:sz w:val="22"/>
        </w:rPr>
        <w:t>Aliment Pharmacol Ther</w:t>
      </w:r>
      <w:r w:rsidRPr="003F18ED">
        <w:rPr>
          <w:rFonts w:ascii="Calibri" w:hAnsi="Calibri"/>
          <w:noProof/>
          <w:sz w:val="22"/>
        </w:rPr>
        <w:t>. 2015;42(11-12):1294-1302. doi:10.1111/apt.13423.</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lastRenderedPageBreak/>
        <w:t xml:space="preserve">64. </w:t>
      </w:r>
      <w:r w:rsidRPr="003F18ED">
        <w:rPr>
          <w:rFonts w:ascii="Calibri" w:hAnsi="Calibri"/>
          <w:noProof/>
          <w:sz w:val="22"/>
        </w:rPr>
        <w:tab/>
        <w:t xml:space="preserve">Ducharme-Bénard S, Côté-Daigneault J, Lemoyne M, et al. Patients With Inflammatory Bowel Disease Are Unaware of the Impact of Smoking on Their Disease. </w:t>
      </w:r>
      <w:r w:rsidRPr="003F18ED">
        <w:rPr>
          <w:rFonts w:ascii="Calibri" w:hAnsi="Calibri"/>
          <w:i/>
          <w:iCs/>
          <w:noProof/>
          <w:sz w:val="22"/>
        </w:rPr>
        <w:t>J Clin Gastroenterol</w:t>
      </w:r>
      <w:r w:rsidRPr="003F18ED">
        <w:rPr>
          <w:rFonts w:ascii="Calibri" w:hAnsi="Calibri"/>
          <w:noProof/>
          <w:sz w:val="22"/>
        </w:rPr>
        <w:t>. 2016;50(6):490-497. doi:26196475.</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65. </w:t>
      </w:r>
      <w:r w:rsidRPr="003F18ED">
        <w:rPr>
          <w:rFonts w:ascii="Calibri" w:hAnsi="Calibri"/>
          <w:noProof/>
          <w:sz w:val="22"/>
        </w:rPr>
        <w:tab/>
        <w:t xml:space="preserve">Nunes T, Etchevers MJ, Merino O, et al. High smoking cessation rate in Crohn’s disease patients after physician advice - The TABACROHN Study. </w:t>
      </w:r>
      <w:r w:rsidRPr="003F18ED">
        <w:rPr>
          <w:rFonts w:ascii="Calibri" w:hAnsi="Calibri"/>
          <w:i/>
          <w:iCs/>
          <w:noProof/>
          <w:sz w:val="22"/>
        </w:rPr>
        <w:t>J Crohn’s Colitis</w:t>
      </w:r>
      <w:r w:rsidRPr="003F18ED">
        <w:rPr>
          <w:rFonts w:ascii="Calibri" w:hAnsi="Calibri"/>
          <w:noProof/>
          <w:sz w:val="22"/>
        </w:rPr>
        <w:t>. 2013;7(3):202-207. doi:10.1016/j.crohns.2012.04.011.</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66. </w:t>
      </w:r>
      <w:r w:rsidRPr="003F18ED">
        <w:rPr>
          <w:rFonts w:ascii="Calibri" w:hAnsi="Calibri"/>
          <w:noProof/>
          <w:sz w:val="22"/>
        </w:rPr>
        <w:tab/>
        <w:t xml:space="preserve">Song E, Kim G, Seo M, et al. Assessment of factors associated with smoking cessation at diagnosis or during follow-up of Crohn’s disease. </w:t>
      </w:r>
      <w:r w:rsidRPr="003F18ED">
        <w:rPr>
          <w:rFonts w:ascii="Calibri" w:hAnsi="Calibri"/>
          <w:i/>
          <w:iCs/>
          <w:noProof/>
          <w:sz w:val="22"/>
        </w:rPr>
        <w:t>J Gastroenterol Hepatol</w:t>
      </w:r>
      <w:r w:rsidRPr="003F18ED">
        <w:rPr>
          <w:rFonts w:ascii="Calibri" w:hAnsi="Calibri"/>
          <w:noProof/>
          <w:sz w:val="22"/>
        </w:rPr>
        <w:t>. 2017;5(26).</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67. </w:t>
      </w:r>
      <w:r w:rsidRPr="003F18ED">
        <w:rPr>
          <w:rFonts w:ascii="Calibri" w:hAnsi="Calibri"/>
          <w:noProof/>
          <w:sz w:val="22"/>
        </w:rPr>
        <w:tab/>
        <w:t xml:space="preserve">Coward S, Heitman S, Clement F, et al. Funding a smoking cessation program for Crohn’s disease: an economic evaluation. </w:t>
      </w:r>
      <w:r w:rsidRPr="003F18ED">
        <w:rPr>
          <w:rFonts w:ascii="Calibri" w:hAnsi="Calibri"/>
          <w:i/>
          <w:iCs/>
          <w:noProof/>
          <w:sz w:val="22"/>
        </w:rPr>
        <w:t>Am J Gastroenterol 2015 Mar;110(3)368-77</w:t>
      </w:r>
      <w:r w:rsidRPr="003F18ED">
        <w:rPr>
          <w:rFonts w:ascii="Calibri" w:hAnsi="Calibri"/>
          <w:noProof/>
          <w:sz w:val="22"/>
        </w:rPr>
        <w:t>. 2015;110(3):368-377.</w:t>
      </w:r>
    </w:p>
    <w:p w:rsidR="003F18ED" w:rsidRPr="003F18ED" w:rsidRDefault="003F18ED">
      <w:pPr>
        <w:pStyle w:val="NormalWeb"/>
        <w:ind w:left="640" w:hanging="640"/>
        <w:divId w:val="700671459"/>
        <w:rPr>
          <w:rFonts w:ascii="Calibri" w:hAnsi="Calibri"/>
          <w:noProof/>
          <w:sz w:val="22"/>
        </w:rPr>
      </w:pPr>
      <w:r w:rsidRPr="003F18ED">
        <w:rPr>
          <w:rFonts w:ascii="Calibri" w:hAnsi="Calibri"/>
          <w:noProof/>
          <w:sz w:val="22"/>
        </w:rPr>
        <w:t xml:space="preserve">68. </w:t>
      </w:r>
      <w:r w:rsidRPr="003F18ED">
        <w:rPr>
          <w:rFonts w:ascii="Calibri" w:hAnsi="Calibri"/>
          <w:noProof/>
          <w:sz w:val="22"/>
        </w:rPr>
        <w:tab/>
        <w:t xml:space="preserve">Bernert JJ, McGuffey J, Morrison M, Pirkle J. Comparison of serum and salivary cotinine measurements by a sensitive high-performance liquid chromatography-tandem mass spectrometry method as an indicator of exposure to tobacco smoke among smokers and nonsmokers. </w:t>
      </w:r>
      <w:r w:rsidRPr="003F18ED">
        <w:rPr>
          <w:rFonts w:ascii="Calibri" w:hAnsi="Calibri"/>
          <w:i/>
          <w:iCs/>
          <w:noProof/>
          <w:sz w:val="22"/>
        </w:rPr>
        <w:t>J Anal Toxicol</w:t>
      </w:r>
      <w:r w:rsidRPr="003F18ED">
        <w:rPr>
          <w:rFonts w:ascii="Calibri" w:hAnsi="Calibri"/>
          <w:noProof/>
          <w:sz w:val="22"/>
        </w:rPr>
        <w:t xml:space="preserve">. 2000;24(5):333-339. </w:t>
      </w:r>
    </w:p>
    <w:p w:rsidR="00804D8E" w:rsidRDefault="00AE13D9" w:rsidP="003F18ED">
      <w:pPr>
        <w:pStyle w:val="NormalWeb"/>
        <w:ind w:left="640" w:hanging="640"/>
        <w:divId w:val="1113011271"/>
      </w:pPr>
      <w:r>
        <w:fldChar w:fldCharType="end"/>
      </w:r>
    </w:p>
    <w:p w:rsidR="00AC6F26" w:rsidRDefault="00AC6F26" w:rsidP="00304057">
      <w:pPr>
        <w:spacing w:line="480" w:lineRule="auto"/>
      </w:pPr>
      <w:r>
        <w:br w:type="page"/>
      </w:r>
    </w:p>
    <w:p w:rsidR="0090293C" w:rsidRDefault="00470177" w:rsidP="0090293C">
      <w:pPr>
        <w:pStyle w:val="Heading1"/>
        <w:spacing w:line="480" w:lineRule="auto"/>
        <w:rPr>
          <w:rFonts w:asciiTheme="minorHAnsi" w:hAnsiTheme="minorHAnsi"/>
        </w:rPr>
      </w:pPr>
      <w:r w:rsidRPr="00470177">
        <w:rPr>
          <w:rFonts w:asciiTheme="minorHAnsi" w:hAnsiTheme="minorHAnsi"/>
        </w:rPr>
        <w:lastRenderedPageBreak/>
        <w:t>Table and figure legends</w:t>
      </w:r>
    </w:p>
    <w:p w:rsidR="0090293C" w:rsidRPr="0090293C" w:rsidRDefault="0090293C" w:rsidP="0090293C">
      <w:pPr>
        <w:spacing w:line="480" w:lineRule="auto"/>
        <w:rPr>
          <w:b/>
        </w:rPr>
      </w:pPr>
      <w:r w:rsidRPr="0090293C">
        <w:rPr>
          <w:b/>
        </w:rPr>
        <w:t>Figure 1:</w:t>
      </w:r>
    </w:p>
    <w:p w:rsidR="0090293C" w:rsidRDefault="0090293C" w:rsidP="0090293C">
      <w:pPr>
        <w:jc w:val="both"/>
        <w:rPr>
          <w:sz w:val="20"/>
          <w:szCs w:val="20"/>
        </w:rPr>
      </w:pPr>
      <w:r w:rsidRPr="00C7416D">
        <w:rPr>
          <w:b/>
          <w:sz w:val="20"/>
          <w:szCs w:val="20"/>
        </w:rPr>
        <w:t>IBD</w:t>
      </w:r>
      <w:r w:rsidRPr="00C7416D">
        <w:rPr>
          <w:sz w:val="20"/>
          <w:szCs w:val="20"/>
        </w:rPr>
        <w:t xml:space="preserve"> - inflammatory bowel disease</w:t>
      </w:r>
    </w:p>
    <w:p w:rsidR="0090293C" w:rsidRDefault="0090293C" w:rsidP="0090293C">
      <w:pPr>
        <w:jc w:val="both"/>
        <w:rPr>
          <w:sz w:val="20"/>
          <w:szCs w:val="20"/>
        </w:rPr>
      </w:pPr>
      <w:r w:rsidRPr="00C7416D">
        <w:rPr>
          <w:b/>
          <w:sz w:val="20"/>
          <w:szCs w:val="20"/>
        </w:rPr>
        <w:t>CPRD</w:t>
      </w:r>
      <w:r w:rsidRPr="00C7416D">
        <w:rPr>
          <w:sz w:val="20"/>
          <w:szCs w:val="20"/>
        </w:rPr>
        <w:t xml:space="preserve"> - Clinical Practice Research </w:t>
      </w:r>
      <w:proofErr w:type="spellStart"/>
      <w:r w:rsidRPr="00C7416D">
        <w:rPr>
          <w:sz w:val="20"/>
          <w:szCs w:val="20"/>
        </w:rPr>
        <w:t>Datalink</w:t>
      </w:r>
      <w:proofErr w:type="spellEnd"/>
    </w:p>
    <w:p w:rsidR="0090293C" w:rsidRPr="00C7416D" w:rsidRDefault="0090293C" w:rsidP="0090293C">
      <w:pPr>
        <w:jc w:val="both"/>
        <w:rPr>
          <w:sz w:val="20"/>
          <w:szCs w:val="20"/>
        </w:rPr>
      </w:pPr>
      <w:r w:rsidRPr="00C7416D">
        <w:rPr>
          <w:b/>
          <w:sz w:val="20"/>
          <w:szCs w:val="20"/>
        </w:rPr>
        <w:t>UTS</w:t>
      </w:r>
      <w:r w:rsidRPr="00C7416D">
        <w:rPr>
          <w:sz w:val="20"/>
          <w:szCs w:val="20"/>
        </w:rPr>
        <w:t xml:space="preserve"> - Up to Standard</w:t>
      </w:r>
    </w:p>
    <w:p w:rsidR="0090293C" w:rsidRDefault="0090293C" w:rsidP="0090293C">
      <w:pPr>
        <w:jc w:val="both"/>
        <w:rPr>
          <w:sz w:val="20"/>
          <w:szCs w:val="20"/>
        </w:rPr>
      </w:pPr>
      <w:r w:rsidRPr="00C7416D">
        <w:rPr>
          <w:b/>
          <w:sz w:val="20"/>
          <w:szCs w:val="20"/>
        </w:rPr>
        <w:t>QOF</w:t>
      </w:r>
      <w:r w:rsidRPr="00C7416D">
        <w:rPr>
          <w:sz w:val="20"/>
          <w:szCs w:val="20"/>
        </w:rPr>
        <w:t xml:space="preserve"> - </w:t>
      </w:r>
      <w:r>
        <w:rPr>
          <w:sz w:val="20"/>
          <w:szCs w:val="20"/>
        </w:rPr>
        <w:t xml:space="preserve">UK </w:t>
      </w:r>
      <w:r w:rsidRPr="00C7416D">
        <w:rPr>
          <w:sz w:val="20"/>
          <w:szCs w:val="20"/>
        </w:rPr>
        <w:t>Quality Outcomes and Framework</w:t>
      </w:r>
      <w:r>
        <w:rPr>
          <w:sz w:val="20"/>
          <w:szCs w:val="20"/>
        </w:rPr>
        <w:t xml:space="preserve"> introduced to GPs in 2004</w:t>
      </w:r>
    </w:p>
    <w:p w:rsidR="0090293C" w:rsidRDefault="0090293C" w:rsidP="0090293C">
      <w:pPr>
        <w:jc w:val="both"/>
        <w:rPr>
          <w:sz w:val="20"/>
          <w:szCs w:val="20"/>
        </w:rPr>
      </w:pPr>
      <w:r w:rsidRPr="00C7416D">
        <w:rPr>
          <w:b/>
          <w:sz w:val="20"/>
          <w:szCs w:val="20"/>
        </w:rPr>
        <w:t>UC</w:t>
      </w:r>
      <w:r w:rsidRPr="00C7416D">
        <w:rPr>
          <w:sz w:val="20"/>
          <w:szCs w:val="20"/>
        </w:rPr>
        <w:t xml:space="preserve"> - Ulcerative Colitis</w:t>
      </w:r>
    </w:p>
    <w:p w:rsidR="0090293C" w:rsidRPr="00C7416D" w:rsidRDefault="0090293C" w:rsidP="0090293C">
      <w:pPr>
        <w:jc w:val="both"/>
        <w:rPr>
          <w:sz w:val="20"/>
          <w:szCs w:val="20"/>
        </w:rPr>
      </w:pPr>
      <w:r w:rsidRPr="00C7416D">
        <w:rPr>
          <w:b/>
          <w:sz w:val="20"/>
          <w:szCs w:val="20"/>
        </w:rPr>
        <w:t>CD</w:t>
      </w:r>
      <w:r w:rsidRPr="00C7416D">
        <w:rPr>
          <w:sz w:val="20"/>
          <w:szCs w:val="20"/>
        </w:rPr>
        <w:t xml:space="preserve"> - </w:t>
      </w:r>
      <w:proofErr w:type="spellStart"/>
      <w:r w:rsidRPr="00C7416D">
        <w:rPr>
          <w:sz w:val="20"/>
          <w:szCs w:val="20"/>
        </w:rPr>
        <w:t>Crohn's</w:t>
      </w:r>
      <w:proofErr w:type="spellEnd"/>
      <w:r w:rsidRPr="00C7416D">
        <w:rPr>
          <w:sz w:val="20"/>
          <w:szCs w:val="20"/>
        </w:rPr>
        <w:t xml:space="preserve"> disease</w:t>
      </w:r>
    </w:p>
    <w:p w:rsidR="0090293C" w:rsidRDefault="0090293C" w:rsidP="0090293C">
      <w:pPr>
        <w:spacing w:line="480" w:lineRule="auto"/>
      </w:pPr>
    </w:p>
    <w:p w:rsidR="0090293C" w:rsidRDefault="0090293C" w:rsidP="0090293C">
      <w:pPr>
        <w:spacing w:line="480" w:lineRule="auto"/>
        <w:rPr>
          <w:b/>
        </w:rPr>
      </w:pPr>
      <w:r w:rsidRPr="0090293C">
        <w:rPr>
          <w:b/>
        </w:rPr>
        <w:t>Figure 2:</w:t>
      </w:r>
    </w:p>
    <w:p w:rsidR="0090293C" w:rsidRDefault="0090293C" w:rsidP="0090293C">
      <w:pPr>
        <w:jc w:val="both"/>
        <w:rPr>
          <w:sz w:val="20"/>
          <w:szCs w:val="20"/>
        </w:rPr>
      </w:pPr>
      <w:r>
        <w:rPr>
          <w:sz w:val="20"/>
          <w:szCs w:val="20"/>
        </w:rPr>
        <w:t>Bar height indicate % of smokers at CD diagnosis by each age category. Actual number of smokers in each group displayed in base of individual bars.</w:t>
      </w:r>
    </w:p>
    <w:p w:rsidR="0090293C" w:rsidRPr="00C7416D" w:rsidRDefault="0090293C" w:rsidP="0090293C">
      <w:pPr>
        <w:jc w:val="both"/>
        <w:rPr>
          <w:sz w:val="20"/>
          <w:szCs w:val="20"/>
        </w:rPr>
      </w:pPr>
      <w:r w:rsidRPr="00C7416D">
        <w:rPr>
          <w:sz w:val="20"/>
          <w:szCs w:val="20"/>
        </w:rPr>
        <w:t>* p=0.02 for across era comparison for proportion of smokers at CD diagnosis in Montreal A2 category. No significant differences in A1 or A3 categories</w:t>
      </w:r>
      <w:r>
        <w:rPr>
          <w:sz w:val="20"/>
          <w:szCs w:val="20"/>
        </w:rPr>
        <w:t xml:space="preserve"> across era. Note in Era 1 and Era 5, there were no smokers in the A1 group.</w:t>
      </w:r>
    </w:p>
    <w:p w:rsidR="0090293C" w:rsidRPr="00C7416D" w:rsidRDefault="0090293C" w:rsidP="0090293C">
      <w:pPr>
        <w:jc w:val="both"/>
        <w:rPr>
          <w:sz w:val="20"/>
          <w:szCs w:val="20"/>
        </w:rPr>
      </w:pPr>
      <w:r>
        <w:rPr>
          <w:sz w:val="20"/>
          <w:szCs w:val="20"/>
        </w:rPr>
        <w:t>Era 1: 2005-06 (inclusive)</w:t>
      </w:r>
      <w:r w:rsidRPr="00C7416D">
        <w:rPr>
          <w:sz w:val="20"/>
          <w:szCs w:val="20"/>
        </w:rPr>
        <w:t>, Era 2:</w:t>
      </w:r>
      <w:r>
        <w:rPr>
          <w:sz w:val="20"/>
          <w:szCs w:val="20"/>
        </w:rPr>
        <w:t xml:space="preserve"> 2007-08</w:t>
      </w:r>
      <w:r w:rsidRPr="00C7416D">
        <w:rPr>
          <w:sz w:val="20"/>
          <w:szCs w:val="20"/>
        </w:rPr>
        <w:t>, Era 3:</w:t>
      </w:r>
      <w:r>
        <w:rPr>
          <w:sz w:val="20"/>
          <w:szCs w:val="20"/>
        </w:rPr>
        <w:t xml:space="preserve"> 2009-10</w:t>
      </w:r>
      <w:r w:rsidRPr="00C7416D">
        <w:rPr>
          <w:sz w:val="20"/>
          <w:szCs w:val="20"/>
        </w:rPr>
        <w:t>, Era 4:</w:t>
      </w:r>
      <w:r>
        <w:rPr>
          <w:sz w:val="20"/>
          <w:szCs w:val="20"/>
        </w:rPr>
        <w:t xml:space="preserve"> 2001-12, Era 5: 20</w:t>
      </w:r>
      <w:r w:rsidRPr="00C7416D">
        <w:rPr>
          <w:sz w:val="20"/>
          <w:szCs w:val="20"/>
        </w:rPr>
        <w:t>13</w:t>
      </w:r>
      <w:r>
        <w:rPr>
          <w:sz w:val="20"/>
          <w:szCs w:val="20"/>
        </w:rPr>
        <w:t>-14</w:t>
      </w:r>
    </w:p>
    <w:p w:rsidR="0090293C" w:rsidRDefault="0090293C" w:rsidP="0090293C">
      <w:pPr>
        <w:jc w:val="both"/>
        <w:rPr>
          <w:sz w:val="20"/>
          <w:szCs w:val="20"/>
        </w:rPr>
      </w:pPr>
      <w:r>
        <w:rPr>
          <w:sz w:val="20"/>
          <w:szCs w:val="20"/>
        </w:rPr>
        <w:t>A1 - age at diagnosis &lt;17 years</w:t>
      </w:r>
    </w:p>
    <w:p w:rsidR="0090293C" w:rsidRDefault="0090293C" w:rsidP="0090293C">
      <w:pPr>
        <w:jc w:val="both"/>
        <w:rPr>
          <w:sz w:val="20"/>
          <w:szCs w:val="20"/>
        </w:rPr>
      </w:pPr>
      <w:r w:rsidRPr="00C7416D">
        <w:rPr>
          <w:sz w:val="20"/>
          <w:szCs w:val="20"/>
        </w:rPr>
        <w:t>A2 -</w:t>
      </w:r>
      <w:r>
        <w:rPr>
          <w:sz w:val="20"/>
          <w:szCs w:val="20"/>
        </w:rPr>
        <w:t xml:space="preserve"> age at diagnosis 17-40 years</w:t>
      </w:r>
    </w:p>
    <w:p w:rsidR="0090293C" w:rsidRPr="00C7416D" w:rsidRDefault="0090293C" w:rsidP="0090293C">
      <w:pPr>
        <w:jc w:val="both"/>
        <w:rPr>
          <w:sz w:val="20"/>
          <w:szCs w:val="20"/>
        </w:rPr>
      </w:pPr>
      <w:r w:rsidRPr="00C7416D">
        <w:rPr>
          <w:sz w:val="20"/>
          <w:szCs w:val="20"/>
        </w:rPr>
        <w:t xml:space="preserve">A3 - </w:t>
      </w:r>
      <w:r>
        <w:rPr>
          <w:sz w:val="20"/>
          <w:szCs w:val="20"/>
        </w:rPr>
        <w:t>age at diagnosis</w:t>
      </w:r>
      <w:r w:rsidRPr="00C7416D">
        <w:rPr>
          <w:sz w:val="20"/>
          <w:szCs w:val="20"/>
        </w:rPr>
        <w:t xml:space="preserve"> &gt;40 years</w:t>
      </w:r>
    </w:p>
    <w:p w:rsidR="0090293C" w:rsidRDefault="0090293C" w:rsidP="0090293C">
      <w:pPr>
        <w:spacing w:line="480" w:lineRule="auto"/>
        <w:rPr>
          <w:b/>
        </w:rPr>
      </w:pPr>
    </w:p>
    <w:p w:rsidR="0090293C" w:rsidRDefault="0090293C" w:rsidP="0090293C">
      <w:pPr>
        <w:spacing w:line="480" w:lineRule="auto"/>
        <w:rPr>
          <w:b/>
        </w:rPr>
      </w:pPr>
      <w:r>
        <w:rPr>
          <w:b/>
        </w:rPr>
        <w:t>Figure 3:</w:t>
      </w:r>
    </w:p>
    <w:p w:rsidR="0090293C" w:rsidRDefault="0090293C" w:rsidP="0090293C">
      <w:pPr>
        <w:spacing w:line="480" w:lineRule="auto"/>
        <w:rPr>
          <w:sz w:val="20"/>
          <w:szCs w:val="20"/>
        </w:rPr>
      </w:pPr>
      <w:r>
        <w:rPr>
          <w:b/>
          <w:sz w:val="20"/>
          <w:szCs w:val="20"/>
        </w:rPr>
        <w:t xml:space="preserve">CS - </w:t>
      </w:r>
      <w:r>
        <w:rPr>
          <w:sz w:val="20"/>
          <w:szCs w:val="20"/>
        </w:rPr>
        <w:t xml:space="preserve">corticosteroid   </w:t>
      </w:r>
      <w:r w:rsidRPr="00C7416D">
        <w:rPr>
          <w:b/>
          <w:sz w:val="20"/>
          <w:szCs w:val="20"/>
        </w:rPr>
        <w:t>IBD</w:t>
      </w:r>
      <w:r w:rsidRPr="00C7416D">
        <w:rPr>
          <w:sz w:val="20"/>
          <w:szCs w:val="20"/>
        </w:rPr>
        <w:t xml:space="preserve"> - inflammatory bowel disease   </w:t>
      </w:r>
      <w:r w:rsidRPr="00C7416D">
        <w:rPr>
          <w:b/>
          <w:sz w:val="20"/>
          <w:szCs w:val="20"/>
        </w:rPr>
        <w:t>CD</w:t>
      </w:r>
      <w:r w:rsidRPr="00C7416D">
        <w:rPr>
          <w:sz w:val="20"/>
          <w:szCs w:val="20"/>
        </w:rPr>
        <w:t xml:space="preserve"> - </w:t>
      </w:r>
      <w:proofErr w:type="spellStart"/>
      <w:r w:rsidRPr="00C7416D">
        <w:rPr>
          <w:sz w:val="20"/>
          <w:szCs w:val="20"/>
        </w:rPr>
        <w:t>Crohn's</w:t>
      </w:r>
      <w:proofErr w:type="spellEnd"/>
      <w:r w:rsidRPr="00C7416D">
        <w:rPr>
          <w:sz w:val="20"/>
          <w:szCs w:val="20"/>
        </w:rPr>
        <w:t xml:space="preserve"> disease</w:t>
      </w:r>
    </w:p>
    <w:p w:rsidR="0090293C" w:rsidRDefault="0090293C" w:rsidP="0090293C">
      <w:pPr>
        <w:spacing w:line="480" w:lineRule="auto"/>
        <w:rPr>
          <w:b/>
        </w:rPr>
      </w:pPr>
      <w:r w:rsidRPr="0090293C">
        <w:rPr>
          <w:b/>
        </w:rPr>
        <w:t>Figure 4:</w:t>
      </w:r>
    </w:p>
    <w:p w:rsidR="0090293C" w:rsidRDefault="0090293C" w:rsidP="0090293C">
      <w:pPr>
        <w:spacing w:line="480" w:lineRule="auto"/>
        <w:rPr>
          <w:sz w:val="20"/>
          <w:szCs w:val="20"/>
        </w:rPr>
      </w:pPr>
      <w:r w:rsidRPr="00C7416D">
        <w:rPr>
          <w:b/>
          <w:sz w:val="20"/>
          <w:szCs w:val="20"/>
        </w:rPr>
        <w:t>IBD</w:t>
      </w:r>
      <w:r w:rsidRPr="00C7416D">
        <w:rPr>
          <w:sz w:val="20"/>
          <w:szCs w:val="20"/>
        </w:rPr>
        <w:t xml:space="preserve"> - inflammatory bowel disease   </w:t>
      </w:r>
      <w:r w:rsidRPr="00C7416D">
        <w:rPr>
          <w:b/>
          <w:sz w:val="20"/>
          <w:szCs w:val="20"/>
        </w:rPr>
        <w:t>CD</w:t>
      </w:r>
      <w:r w:rsidRPr="00C7416D">
        <w:rPr>
          <w:sz w:val="20"/>
          <w:szCs w:val="20"/>
        </w:rPr>
        <w:t xml:space="preserve"> - </w:t>
      </w:r>
      <w:proofErr w:type="spellStart"/>
      <w:r w:rsidRPr="00C7416D">
        <w:rPr>
          <w:sz w:val="20"/>
          <w:szCs w:val="20"/>
        </w:rPr>
        <w:t>Crohn's</w:t>
      </w:r>
      <w:proofErr w:type="spellEnd"/>
      <w:r w:rsidRPr="00C7416D">
        <w:rPr>
          <w:sz w:val="20"/>
          <w:szCs w:val="20"/>
        </w:rPr>
        <w:t xml:space="preserve"> disease</w:t>
      </w:r>
    </w:p>
    <w:p w:rsidR="0090293C" w:rsidRDefault="0090293C" w:rsidP="0090293C">
      <w:pPr>
        <w:spacing w:line="480" w:lineRule="auto"/>
        <w:rPr>
          <w:b/>
        </w:rPr>
      </w:pPr>
    </w:p>
    <w:p w:rsidR="00470177" w:rsidRDefault="0090293C" w:rsidP="0090293C">
      <w:pPr>
        <w:spacing w:line="480" w:lineRule="auto"/>
        <w:rPr>
          <w:b/>
        </w:rPr>
      </w:pPr>
      <w:r>
        <w:rPr>
          <w:b/>
        </w:rPr>
        <w:lastRenderedPageBreak/>
        <w:t>Table 1:</w:t>
      </w:r>
    </w:p>
    <w:p w:rsidR="0090293C" w:rsidRDefault="0090293C" w:rsidP="0090293C">
      <w:pPr>
        <w:jc w:val="both"/>
        <w:rPr>
          <w:sz w:val="18"/>
          <w:szCs w:val="18"/>
        </w:rPr>
      </w:pPr>
      <w:r>
        <w:rPr>
          <w:sz w:val="18"/>
          <w:szCs w:val="18"/>
        </w:rPr>
        <w:t>a - Age at diagnosis categories as per Montreal classification (A1 &lt;17 years, A2 17-40, A3 &gt;40 years)</w:t>
      </w:r>
    </w:p>
    <w:p w:rsidR="0090293C" w:rsidRDefault="0090293C" w:rsidP="0090293C">
      <w:pPr>
        <w:jc w:val="both"/>
        <w:rPr>
          <w:sz w:val="18"/>
          <w:szCs w:val="18"/>
        </w:rPr>
      </w:pPr>
      <w:r>
        <w:rPr>
          <w:sz w:val="18"/>
          <w:szCs w:val="18"/>
        </w:rPr>
        <w:t xml:space="preserve">b - BMI (Body Mass index) - calculated as the closest BMI recording within one year of </w:t>
      </w:r>
      <w:proofErr w:type="spellStart"/>
      <w:r>
        <w:rPr>
          <w:sz w:val="18"/>
          <w:szCs w:val="18"/>
        </w:rPr>
        <w:t>Crohn's</w:t>
      </w:r>
      <w:proofErr w:type="spellEnd"/>
      <w:r>
        <w:rPr>
          <w:sz w:val="18"/>
          <w:szCs w:val="18"/>
        </w:rPr>
        <w:t xml:space="preserve"> diagnosis. Data available for 58% of patients</w:t>
      </w:r>
    </w:p>
    <w:p w:rsidR="0090293C" w:rsidRDefault="0090293C" w:rsidP="0090293C">
      <w:pPr>
        <w:jc w:val="both"/>
        <w:rPr>
          <w:sz w:val="18"/>
          <w:szCs w:val="18"/>
        </w:rPr>
      </w:pPr>
      <w:r>
        <w:rPr>
          <w:sz w:val="18"/>
          <w:szCs w:val="18"/>
        </w:rPr>
        <w:t>c - IMD (Index of Multiple Deprivation)</w:t>
      </w:r>
    </w:p>
    <w:p w:rsidR="0090293C" w:rsidRDefault="0090293C" w:rsidP="0090293C">
      <w:pPr>
        <w:jc w:val="both"/>
        <w:rPr>
          <w:sz w:val="18"/>
          <w:szCs w:val="18"/>
        </w:rPr>
      </w:pPr>
      <w:r>
        <w:rPr>
          <w:sz w:val="18"/>
          <w:szCs w:val="18"/>
        </w:rPr>
        <w:t>d - IBS (Irritable Bowel Syndrome) - co-diagnosis considered as any patient with a defined Read code for IBS in records</w:t>
      </w:r>
    </w:p>
    <w:p w:rsidR="0090293C" w:rsidRDefault="0090293C" w:rsidP="0090293C">
      <w:pPr>
        <w:jc w:val="both"/>
        <w:rPr>
          <w:sz w:val="18"/>
          <w:szCs w:val="18"/>
        </w:rPr>
      </w:pPr>
      <w:r>
        <w:rPr>
          <w:sz w:val="18"/>
          <w:szCs w:val="18"/>
        </w:rPr>
        <w:t>e - Co-diagnosis of depression considered if patient had any Read code for depressive illness in CPRD record</w:t>
      </w:r>
    </w:p>
    <w:p w:rsidR="0090293C" w:rsidRDefault="0090293C" w:rsidP="0090293C">
      <w:pPr>
        <w:jc w:val="both"/>
        <w:rPr>
          <w:sz w:val="18"/>
          <w:szCs w:val="18"/>
        </w:rPr>
      </w:pPr>
      <w:r>
        <w:rPr>
          <w:sz w:val="18"/>
          <w:szCs w:val="18"/>
        </w:rPr>
        <w:t>f - BI (</w:t>
      </w:r>
      <w:proofErr w:type="spellStart"/>
      <w:r>
        <w:rPr>
          <w:sz w:val="18"/>
          <w:szCs w:val="18"/>
        </w:rPr>
        <w:t>Beaugerie</w:t>
      </w:r>
      <w:proofErr w:type="spellEnd"/>
      <w:r>
        <w:rPr>
          <w:sz w:val="18"/>
          <w:szCs w:val="18"/>
        </w:rPr>
        <w:t xml:space="preserve"> index) - BI score of 2 or more associated with disabling disease course. Please see methodology for detailed description of the indices</w:t>
      </w:r>
    </w:p>
    <w:p w:rsidR="0090293C" w:rsidRDefault="0090293C" w:rsidP="0090293C">
      <w:pPr>
        <w:jc w:val="both"/>
        <w:rPr>
          <w:sz w:val="18"/>
          <w:szCs w:val="18"/>
        </w:rPr>
      </w:pPr>
    </w:p>
    <w:p w:rsidR="0090293C" w:rsidRDefault="0090293C" w:rsidP="0090293C">
      <w:pPr>
        <w:jc w:val="both"/>
        <w:rPr>
          <w:b/>
        </w:rPr>
      </w:pPr>
      <w:r w:rsidRPr="0090293C">
        <w:rPr>
          <w:b/>
        </w:rPr>
        <w:t>Table 2:</w:t>
      </w:r>
    </w:p>
    <w:p w:rsidR="0090293C" w:rsidRPr="00F85350" w:rsidRDefault="0090293C" w:rsidP="0090293C">
      <w:pPr>
        <w:jc w:val="both"/>
        <w:rPr>
          <w:sz w:val="20"/>
          <w:szCs w:val="20"/>
        </w:rPr>
      </w:pPr>
      <w:r w:rsidRPr="00F85350">
        <w:rPr>
          <w:sz w:val="20"/>
          <w:szCs w:val="20"/>
        </w:rPr>
        <w:t xml:space="preserve">* a steroid flare was considered as the first steroid prescription (after a </w:t>
      </w:r>
      <w:proofErr w:type="spellStart"/>
      <w:r w:rsidRPr="00F85350">
        <w:rPr>
          <w:sz w:val="20"/>
          <w:szCs w:val="20"/>
        </w:rPr>
        <w:t>Crohn's</w:t>
      </w:r>
      <w:proofErr w:type="spellEnd"/>
      <w:r w:rsidRPr="00F85350">
        <w:rPr>
          <w:sz w:val="20"/>
          <w:szCs w:val="20"/>
        </w:rPr>
        <w:t xml:space="preserve"> diagnosis) and any other prescription for oral steroids following a 4 month time free of steroid prescription</w:t>
      </w:r>
    </w:p>
    <w:p w:rsidR="0090293C" w:rsidRDefault="0090293C" w:rsidP="0090293C">
      <w:pPr>
        <w:jc w:val="both"/>
        <w:rPr>
          <w:sz w:val="20"/>
          <w:szCs w:val="20"/>
        </w:rPr>
      </w:pPr>
      <w:r w:rsidRPr="00F85350">
        <w:rPr>
          <w:sz w:val="20"/>
          <w:szCs w:val="20"/>
        </w:rPr>
        <w:t>** steroid dependency calculated as any patient with a repeat steroid prescription within 3 months of the end of a previous steroid prescription or patients with steroid prescriptions for greater than 3 months</w:t>
      </w:r>
    </w:p>
    <w:p w:rsidR="00F836EA" w:rsidRDefault="00F836EA" w:rsidP="0090293C">
      <w:pPr>
        <w:jc w:val="both"/>
        <w:rPr>
          <w:sz w:val="18"/>
          <w:szCs w:val="18"/>
        </w:rPr>
      </w:pPr>
    </w:p>
    <w:p w:rsidR="00F836EA" w:rsidRDefault="00265E07" w:rsidP="0090293C">
      <w:pPr>
        <w:jc w:val="both"/>
        <w:rPr>
          <w:b/>
        </w:rPr>
      </w:pPr>
      <w:r>
        <w:rPr>
          <w:b/>
        </w:rPr>
        <w:t>Table 3</w:t>
      </w:r>
      <w:r w:rsidR="00F836EA">
        <w:rPr>
          <w:b/>
        </w:rPr>
        <w:t>:</w:t>
      </w:r>
    </w:p>
    <w:p w:rsidR="00F836EA" w:rsidRPr="00294753" w:rsidRDefault="00784E97" w:rsidP="00F836EA">
      <w:pPr>
        <w:jc w:val="both"/>
        <w:rPr>
          <w:b/>
          <w:sz w:val="24"/>
          <w:szCs w:val="24"/>
        </w:rPr>
      </w:pPr>
      <w:r>
        <w:rPr>
          <w:sz w:val="18"/>
          <w:szCs w:val="18"/>
        </w:rPr>
        <w:t>Multi</w:t>
      </w:r>
      <w:r w:rsidR="00F836EA">
        <w:rPr>
          <w:sz w:val="18"/>
          <w:szCs w:val="18"/>
        </w:rPr>
        <w:t>variate analysis</w:t>
      </w:r>
      <w:r>
        <w:rPr>
          <w:sz w:val="18"/>
          <w:szCs w:val="18"/>
        </w:rPr>
        <w:t xml:space="preserve"> includes all covariates of </w:t>
      </w:r>
      <w:proofErr w:type="spellStart"/>
      <w:r>
        <w:rPr>
          <w:sz w:val="18"/>
          <w:szCs w:val="18"/>
        </w:rPr>
        <w:t>uni</w:t>
      </w:r>
      <w:r w:rsidR="00F836EA">
        <w:rPr>
          <w:sz w:val="18"/>
          <w:szCs w:val="18"/>
        </w:rPr>
        <w:t>variate</w:t>
      </w:r>
      <w:proofErr w:type="spellEnd"/>
      <w:r w:rsidR="00F836EA">
        <w:rPr>
          <w:sz w:val="18"/>
          <w:szCs w:val="18"/>
        </w:rPr>
        <w:t xml:space="preserve"> analysis. Only significan</w:t>
      </w:r>
      <w:r>
        <w:rPr>
          <w:sz w:val="18"/>
          <w:szCs w:val="18"/>
        </w:rPr>
        <w:t>t hazard ratios shown for multi</w:t>
      </w:r>
      <w:r w:rsidR="00F836EA">
        <w:rPr>
          <w:sz w:val="18"/>
          <w:szCs w:val="18"/>
        </w:rPr>
        <w:t>variate analysis</w:t>
      </w:r>
    </w:p>
    <w:p w:rsidR="00F836EA" w:rsidRDefault="00F836EA" w:rsidP="00F836EA">
      <w:pPr>
        <w:jc w:val="both"/>
        <w:rPr>
          <w:sz w:val="18"/>
          <w:szCs w:val="18"/>
        </w:rPr>
      </w:pPr>
      <w:r w:rsidRPr="00BB2DFF">
        <w:rPr>
          <w:b/>
          <w:sz w:val="18"/>
          <w:szCs w:val="18"/>
        </w:rPr>
        <w:t>HR</w:t>
      </w:r>
      <w:r>
        <w:rPr>
          <w:sz w:val="18"/>
          <w:szCs w:val="18"/>
        </w:rPr>
        <w:t xml:space="preserve"> - Hazard ratio   </w:t>
      </w:r>
      <w:r w:rsidRPr="00BB2DFF">
        <w:rPr>
          <w:b/>
          <w:sz w:val="18"/>
          <w:szCs w:val="18"/>
        </w:rPr>
        <w:t>CI</w:t>
      </w:r>
      <w:r>
        <w:rPr>
          <w:sz w:val="18"/>
          <w:szCs w:val="18"/>
        </w:rPr>
        <w:t xml:space="preserve"> - Confidence Interval   </w:t>
      </w:r>
      <w:r w:rsidRPr="00BB2DFF">
        <w:rPr>
          <w:b/>
          <w:sz w:val="18"/>
          <w:szCs w:val="18"/>
        </w:rPr>
        <w:t>IBD</w:t>
      </w:r>
      <w:r>
        <w:rPr>
          <w:sz w:val="18"/>
          <w:szCs w:val="18"/>
        </w:rPr>
        <w:t xml:space="preserve"> - Inflammatory Bowel Disease  </w:t>
      </w:r>
      <w:r w:rsidRPr="00BB2DFF">
        <w:rPr>
          <w:b/>
          <w:sz w:val="18"/>
          <w:szCs w:val="18"/>
        </w:rPr>
        <w:t>BMI</w:t>
      </w:r>
      <w:r>
        <w:rPr>
          <w:sz w:val="18"/>
          <w:szCs w:val="18"/>
        </w:rPr>
        <w:t xml:space="preserve"> - Body Mass Index   </w:t>
      </w:r>
      <w:r w:rsidRPr="00BB2DFF">
        <w:rPr>
          <w:b/>
          <w:sz w:val="18"/>
          <w:szCs w:val="18"/>
        </w:rPr>
        <w:t>IMD</w:t>
      </w:r>
      <w:r>
        <w:rPr>
          <w:sz w:val="18"/>
          <w:szCs w:val="18"/>
        </w:rPr>
        <w:t xml:space="preserve"> - index of multiple depravity   </w:t>
      </w:r>
      <w:r w:rsidRPr="00BB2DFF">
        <w:rPr>
          <w:b/>
          <w:sz w:val="18"/>
          <w:szCs w:val="18"/>
        </w:rPr>
        <w:t>IBS</w:t>
      </w:r>
      <w:r>
        <w:rPr>
          <w:sz w:val="18"/>
          <w:szCs w:val="18"/>
        </w:rPr>
        <w:t xml:space="preserve"> - irritable bowel syndrome   </w:t>
      </w:r>
      <w:r w:rsidRPr="00BB2DFF">
        <w:rPr>
          <w:b/>
          <w:sz w:val="18"/>
          <w:szCs w:val="18"/>
        </w:rPr>
        <w:t>5-ASA</w:t>
      </w:r>
      <w:r>
        <w:rPr>
          <w:sz w:val="18"/>
          <w:szCs w:val="18"/>
        </w:rPr>
        <w:t xml:space="preserve"> - 5-aminosalicylates   </w:t>
      </w:r>
      <w:r w:rsidRPr="00BB2DFF">
        <w:rPr>
          <w:b/>
          <w:sz w:val="18"/>
          <w:szCs w:val="18"/>
        </w:rPr>
        <w:t>TP</w:t>
      </w:r>
      <w:r>
        <w:rPr>
          <w:sz w:val="18"/>
          <w:szCs w:val="18"/>
        </w:rPr>
        <w:t xml:space="preserve"> - </w:t>
      </w:r>
      <w:proofErr w:type="spellStart"/>
      <w:r>
        <w:rPr>
          <w:sz w:val="18"/>
          <w:szCs w:val="18"/>
        </w:rPr>
        <w:t>Thiopurine</w:t>
      </w:r>
      <w:proofErr w:type="spellEnd"/>
      <w:r>
        <w:rPr>
          <w:sz w:val="18"/>
          <w:szCs w:val="18"/>
        </w:rPr>
        <w:t xml:space="preserve">   </w:t>
      </w:r>
      <w:r w:rsidRPr="00BB2DFF">
        <w:rPr>
          <w:b/>
          <w:sz w:val="18"/>
          <w:szCs w:val="18"/>
        </w:rPr>
        <w:t>BI</w:t>
      </w:r>
      <w:r>
        <w:rPr>
          <w:sz w:val="18"/>
          <w:szCs w:val="18"/>
        </w:rPr>
        <w:t xml:space="preserve"> -  </w:t>
      </w:r>
      <w:proofErr w:type="spellStart"/>
      <w:r>
        <w:rPr>
          <w:sz w:val="18"/>
          <w:szCs w:val="18"/>
        </w:rPr>
        <w:t>Beaugerie</w:t>
      </w:r>
      <w:proofErr w:type="spellEnd"/>
      <w:r>
        <w:rPr>
          <w:sz w:val="18"/>
          <w:szCs w:val="18"/>
        </w:rPr>
        <w:t xml:space="preserve"> Index </w:t>
      </w:r>
    </w:p>
    <w:p w:rsidR="00F836EA" w:rsidRDefault="00F836EA" w:rsidP="00F836EA">
      <w:pPr>
        <w:jc w:val="both"/>
        <w:rPr>
          <w:sz w:val="18"/>
          <w:szCs w:val="18"/>
        </w:rPr>
      </w:pPr>
      <w:r>
        <w:rPr>
          <w:sz w:val="18"/>
          <w:szCs w:val="18"/>
        </w:rPr>
        <w:t>a - smoker at diagnosis defined as any patient with Read codes for active smoking within the year preceding IBD diagnosis</w:t>
      </w:r>
    </w:p>
    <w:p w:rsidR="00F836EA" w:rsidRDefault="00F836EA" w:rsidP="00F836EA">
      <w:pPr>
        <w:jc w:val="both"/>
        <w:rPr>
          <w:sz w:val="18"/>
          <w:szCs w:val="18"/>
        </w:rPr>
      </w:pPr>
      <w:r>
        <w:rPr>
          <w:sz w:val="18"/>
          <w:szCs w:val="18"/>
        </w:rPr>
        <w:t>b - Age categories as per Montreal classification (A1 &lt;17 years, A2 17-40, A3 &gt;40 years)</w:t>
      </w:r>
    </w:p>
    <w:p w:rsidR="00F836EA" w:rsidRDefault="00F836EA" w:rsidP="00F836EA">
      <w:pPr>
        <w:jc w:val="both"/>
        <w:rPr>
          <w:sz w:val="18"/>
          <w:szCs w:val="18"/>
        </w:rPr>
      </w:pPr>
      <w:r>
        <w:rPr>
          <w:sz w:val="18"/>
          <w:szCs w:val="18"/>
        </w:rPr>
        <w:t>c - Era 1: 2005-06 (inclusive), Era 2: 2007-08, Era 3: 2009-10, Era 4: 2011-12, Era 5: 2013-14</w:t>
      </w:r>
    </w:p>
    <w:p w:rsidR="00F836EA" w:rsidRDefault="00F836EA" w:rsidP="00F836EA">
      <w:pPr>
        <w:jc w:val="both"/>
        <w:rPr>
          <w:sz w:val="18"/>
          <w:szCs w:val="18"/>
        </w:rPr>
      </w:pPr>
      <w:r>
        <w:rPr>
          <w:sz w:val="18"/>
          <w:szCs w:val="18"/>
        </w:rPr>
        <w:t>d - calculated as the closest recorded BMI to date of IBD diagnosis, one year either side of IBD diagnosis</w:t>
      </w:r>
    </w:p>
    <w:p w:rsidR="00F836EA" w:rsidRDefault="00F836EA" w:rsidP="00F836EA">
      <w:pPr>
        <w:jc w:val="both"/>
        <w:rPr>
          <w:sz w:val="18"/>
          <w:szCs w:val="18"/>
        </w:rPr>
      </w:pPr>
      <w:r>
        <w:rPr>
          <w:sz w:val="18"/>
          <w:szCs w:val="18"/>
        </w:rPr>
        <w:t>e - IMD upper includes IMD categories 1 and 2 (versus IMD category 3,4 and 5)</w:t>
      </w:r>
    </w:p>
    <w:p w:rsidR="00F836EA" w:rsidRDefault="00F836EA" w:rsidP="00F836EA">
      <w:pPr>
        <w:jc w:val="both"/>
        <w:rPr>
          <w:sz w:val="18"/>
          <w:szCs w:val="18"/>
        </w:rPr>
      </w:pPr>
      <w:r>
        <w:rPr>
          <w:sz w:val="18"/>
          <w:szCs w:val="18"/>
        </w:rPr>
        <w:t>f - IBS co-diagnosis defined as any patient with a Read code for IBS before or after IBD diagnosis. Depression defined as any patient with a Read code for depression before or after IBD diagnosis</w:t>
      </w:r>
    </w:p>
    <w:p w:rsidR="00F836EA" w:rsidRDefault="00F836EA" w:rsidP="00F836EA">
      <w:pPr>
        <w:jc w:val="both"/>
        <w:rPr>
          <w:sz w:val="18"/>
          <w:szCs w:val="18"/>
        </w:rPr>
      </w:pPr>
      <w:r>
        <w:rPr>
          <w:sz w:val="18"/>
          <w:szCs w:val="18"/>
        </w:rPr>
        <w:t>g - exposure of 5-ASA or TP medications defined as any patients with at least one or more prescription for either 5-ASA of TP after IBD diagnosis</w:t>
      </w:r>
    </w:p>
    <w:p w:rsidR="00F836EA" w:rsidRDefault="00F836EA" w:rsidP="00F836EA">
      <w:pPr>
        <w:jc w:val="both"/>
        <w:rPr>
          <w:sz w:val="18"/>
          <w:szCs w:val="18"/>
        </w:rPr>
      </w:pPr>
      <w:r>
        <w:rPr>
          <w:sz w:val="18"/>
          <w:szCs w:val="18"/>
        </w:rPr>
        <w:t xml:space="preserve">h - BI 2+ - </w:t>
      </w:r>
      <w:proofErr w:type="spellStart"/>
      <w:r>
        <w:rPr>
          <w:sz w:val="18"/>
          <w:szCs w:val="18"/>
        </w:rPr>
        <w:t>Beaugerie</w:t>
      </w:r>
      <w:proofErr w:type="spellEnd"/>
      <w:r>
        <w:rPr>
          <w:sz w:val="18"/>
          <w:szCs w:val="18"/>
        </w:rPr>
        <w:t xml:space="preserve"> Index score of 2+  -  please refer to methodology for exact details of these definitions</w:t>
      </w:r>
    </w:p>
    <w:p w:rsidR="0090293C" w:rsidRPr="0090293C" w:rsidRDefault="0090293C" w:rsidP="0090293C">
      <w:pPr>
        <w:jc w:val="both"/>
        <w:rPr>
          <w:sz w:val="18"/>
          <w:szCs w:val="18"/>
        </w:rPr>
      </w:pPr>
      <w:r>
        <w:rPr>
          <w:b/>
        </w:rPr>
        <w:br w:type="page"/>
      </w:r>
    </w:p>
    <w:p w:rsidR="00AC6F26" w:rsidRDefault="00AC6F26" w:rsidP="00304057">
      <w:pPr>
        <w:pStyle w:val="Heading1"/>
        <w:spacing w:line="480" w:lineRule="auto"/>
        <w:rPr>
          <w:rFonts w:asciiTheme="minorHAnsi" w:hAnsiTheme="minorHAnsi"/>
        </w:rPr>
      </w:pPr>
      <w:r w:rsidRPr="00751480">
        <w:rPr>
          <w:rFonts w:asciiTheme="minorHAnsi" w:hAnsiTheme="minorHAnsi"/>
        </w:rPr>
        <w:lastRenderedPageBreak/>
        <w:t>Figures</w:t>
      </w:r>
    </w:p>
    <w:p w:rsidR="00C7416D" w:rsidRPr="00C7416D" w:rsidRDefault="00C7416D" w:rsidP="00304057">
      <w:pPr>
        <w:jc w:val="center"/>
        <w:rPr>
          <w:b/>
        </w:rPr>
      </w:pPr>
      <w:r w:rsidRPr="00AE4025">
        <w:rPr>
          <w:b/>
        </w:rPr>
        <w:t>Figure 1: schematic of  cohort construction</w:t>
      </w:r>
      <w:r w:rsidR="002C7916">
        <w:rPr>
          <w:b/>
        </w:rPr>
        <w:t xml:space="preserve"> for incident cases of </w:t>
      </w:r>
      <w:proofErr w:type="spellStart"/>
      <w:r w:rsidR="002C7916">
        <w:rPr>
          <w:b/>
        </w:rPr>
        <w:t>Crohn's</w:t>
      </w:r>
      <w:proofErr w:type="spellEnd"/>
      <w:r w:rsidR="002C7916">
        <w:rPr>
          <w:b/>
        </w:rPr>
        <w:t xml:space="preserve"> disea</w:t>
      </w:r>
      <w:r w:rsidR="00470177">
        <w:rPr>
          <w:b/>
        </w:rPr>
        <w:t>se</w:t>
      </w:r>
    </w:p>
    <w:p w:rsidR="00751480" w:rsidRDefault="00751480" w:rsidP="00304057">
      <w:pPr>
        <w:spacing w:line="480" w:lineRule="auto"/>
      </w:pPr>
      <w:r>
        <w:rPr>
          <w:noProof/>
          <w:lang w:eastAsia="en-GB"/>
        </w:rPr>
        <w:drawing>
          <wp:inline distT="0" distB="0" distL="0" distR="0">
            <wp:extent cx="6701987" cy="5048250"/>
            <wp:effectExtent l="19050" t="0" r="3613" b="0"/>
            <wp:docPr id="6" name="Picture 6" descr="C:\Users\Christopher\Documents\Chris's Files\Work\OOPE\Research\IBD + smoking\Journal paper\Mach 1\Results and figures\Cohort contruction smokers CD  POST QOF 12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topher\Documents\Chris's Files\Work\OOPE\Research\IBD + smoking\Journal paper\Mach 1\Results and figures\Cohort contruction smokers CD  POST QOF 1200DPI.tif"/>
                    <pic:cNvPicPr>
                      <a:picLocks noChangeAspect="1" noChangeArrowheads="1"/>
                    </pic:cNvPicPr>
                  </pic:nvPicPr>
                  <pic:blipFill>
                    <a:blip r:embed="rId8" cstate="print"/>
                    <a:srcRect/>
                    <a:stretch>
                      <a:fillRect/>
                    </a:stretch>
                  </pic:blipFill>
                  <pic:spPr bwMode="auto">
                    <a:xfrm>
                      <a:off x="0" y="0"/>
                      <a:ext cx="6702521" cy="5048652"/>
                    </a:xfrm>
                    <a:prstGeom prst="rect">
                      <a:avLst/>
                    </a:prstGeom>
                    <a:noFill/>
                    <a:ln w="9525">
                      <a:noFill/>
                      <a:miter lim="800000"/>
                      <a:headEnd/>
                      <a:tailEnd/>
                    </a:ln>
                  </pic:spPr>
                </pic:pic>
              </a:graphicData>
            </a:graphic>
          </wp:inline>
        </w:drawing>
      </w:r>
    </w:p>
    <w:p w:rsidR="00B1456D" w:rsidRDefault="00AE4025" w:rsidP="00304057">
      <w:pPr>
        <w:jc w:val="both"/>
        <w:rPr>
          <w:sz w:val="20"/>
          <w:szCs w:val="20"/>
        </w:rPr>
      </w:pPr>
      <w:r w:rsidRPr="00C7416D">
        <w:rPr>
          <w:b/>
          <w:sz w:val="20"/>
          <w:szCs w:val="20"/>
        </w:rPr>
        <w:t>IBD</w:t>
      </w:r>
      <w:r w:rsidRPr="00C7416D">
        <w:rPr>
          <w:sz w:val="20"/>
          <w:szCs w:val="20"/>
        </w:rPr>
        <w:t xml:space="preserve"> - inflammatory bowel disease</w:t>
      </w:r>
    </w:p>
    <w:p w:rsidR="00B1456D" w:rsidRDefault="00AE4025" w:rsidP="00304057">
      <w:pPr>
        <w:jc w:val="both"/>
        <w:rPr>
          <w:sz w:val="20"/>
          <w:szCs w:val="20"/>
        </w:rPr>
      </w:pPr>
      <w:r w:rsidRPr="00C7416D">
        <w:rPr>
          <w:b/>
          <w:sz w:val="20"/>
          <w:szCs w:val="20"/>
        </w:rPr>
        <w:t>CPRD</w:t>
      </w:r>
      <w:r w:rsidRPr="00C7416D">
        <w:rPr>
          <w:sz w:val="20"/>
          <w:szCs w:val="20"/>
        </w:rPr>
        <w:t xml:space="preserve"> - Clinical Practice Research </w:t>
      </w:r>
      <w:proofErr w:type="spellStart"/>
      <w:r w:rsidRPr="00C7416D">
        <w:rPr>
          <w:sz w:val="20"/>
          <w:szCs w:val="20"/>
        </w:rPr>
        <w:t>Datalink</w:t>
      </w:r>
      <w:proofErr w:type="spellEnd"/>
    </w:p>
    <w:p w:rsidR="00751480" w:rsidRPr="00C7416D" w:rsidRDefault="00AE4025" w:rsidP="00304057">
      <w:pPr>
        <w:jc w:val="both"/>
        <w:rPr>
          <w:sz w:val="20"/>
          <w:szCs w:val="20"/>
        </w:rPr>
      </w:pPr>
      <w:r w:rsidRPr="00C7416D">
        <w:rPr>
          <w:b/>
          <w:sz w:val="20"/>
          <w:szCs w:val="20"/>
        </w:rPr>
        <w:t>UTS</w:t>
      </w:r>
      <w:r w:rsidRPr="00C7416D">
        <w:rPr>
          <w:sz w:val="20"/>
          <w:szCs w:val="20"/>
        </w:rPr>
        <w:t xml:space="preserve"> - Up to Standard</w:t>
      </w:r>
    </w:p>
    <w:p w:rsidR="00B1456D" w:rsidRDefault="00AE4025" w:rsidP="00304057">
      <w:pPr>
        <w:jc w:val="both"/>
        <w:rPr>
          <w:sz w:val="20"/>
          <w:szCs w:val="20"/>
        </w:rPr>
      </w:pPr>
      <w:r w:rsidRPr="00C7416D">
        <w:rPr>
          <w:b/>
          <w:sz w:val="20"/>
          <w:szCs w:val="20"/>
        </w:rPr>
        <w:t>QOF</w:t>
      </w:r>
      <w:r w:rsidRPr="00C7416D">
        <w:rPr>
          <w:sz w:val="20"/>
          <w:szCs w:val="20"/>
        </w:rPr>
        <w:t xml:space="preserve"> - </w:t>
      </w:r>
      <w:r w:rsidR="00B1456D">
        <w:rPr>
          <w:sz w:val="20"/>
          <w:szCs w:val="20"/>
        </w:rPr>
        <w:t xml:space="preserve">UK </w:t>
      </w:r>
      <w:r w:rsidRPr="00C7416D">
        <w:rPr>
          <w:sz w:val="20"/>
          <w:szCs w:val="20"/>
        </w:rPr>
        <w:t>Quality Outcomes and Framework</w:t>
      </w:r>
      <w:r w:rsidR="00B1456D">
        <w:rPr>
          <w:sz w:val="20"/>
          <w:szCs w:val="20"/>
        </w:rPr>
        <w:t xml:space="preserve"> introduced to GPs in 2004</w:t>
      </w:r>
    </w:p>
    <w:p w:rsidR="00B1456D" w:rsidRDefault="00AE4025" w:rsidP="00304057">
      <w:pPr>
        <w:jc w:val="both"/>
        <w:rPr>
          <w:sz w:val="20"/>
          <w:szCs w:val="20"/>
        </w:rPr>
      </w:pPr>
      <w:r w:rsidRPr="00C7416D">
        <w:rPr>
          <w:b/>
          <w:sz w:val="20"/>
          <w:szCs w:val="20"/>
        </w:rPr>
        <w:t>UC</w:t>
      </w:r>
      <w:r w:rsidRPr="00C7416D">
        <w:rPr>
          <w:sz w:val="20"/>
          <w:szCs w:val="20"/>
        </w:rPr>
        <w:t xml:space="preserve"> - Ulcerative Colitis</w:t>
      </w:r>
    </w:p>
    <w:p w:rsidR="00AE4025" w:rsidRPr="00C7416D" w:rsidRDefault="00AE4025" w:rsidP="00304057">
      <w:pPr>
        <w:jc w:val="both"/>
        <w:rPr>
          <w:sz w:val="20"/>
          <w:szCs w:val="20"/>
        </w:rPr>
      </w:pPr>
      <w:r w:rsidRPr="00C7416D">
        <w:rPr>
          <w:b/>
          <w:sz w:val="20"/>
          <w:szCs w:val="20"/>
        </w:rPr>
        <w:t>CD</w:t>
      </w:r>
      <w:r w:rsidRPr="00C7416D">
        <w:rPr>
          <w:sz w:val="20"/>
          <w:szCs w:val="20"/>
        </w:rPr>
        <w:t xml:space="preserve"> - </w:t>
      </w:r>
      <w:proofErr w:type="spellStart"/>
      <w:r w:rsidRPr="00C7416D">
        <w:rPr>
          <w:sz w:val="20"/>
          <w:szCs w:val="20"/>
        </w:rPr>
        <w:t>Crohn's</w:t>
      </w:r>
      <w:proofErr w:type="spellEnd"/>
      <w:r w:rsidRPr="00C7416D">
        <w:rPr>
          <w:sz w:val="20"/>
          <w:szCs w:val="20"/>
        </w:rPr>
        <w:t xml:space="preserve"> disease</w:t>
      </w:r>
    </w:p>
    <w:p w:rsidR="00485299" w:rsidRDefault="00485299" w:rsidP="00304057">
      <w:pPr>
        <w:spacing w:line="480" w:lineRule="auto"/>
      </w:pPr>
      <w:r>
        <w:br w:type="page"/>
      </w:r>
    </w:p>
    <w:p w:rsidR="00485299" w:rsidRPr="00A93ACB" w:rsidRDefault="00485299" w:rsidP="00304057">
      <w:pPr>
        <w:jc w:val="center"/>
        <w:rPr>
          <w:b/>
        </w:rPr>
      </w:pPr>
      <w:r w:rsidRPr="00A93ACB">
        <w:rPr>
          <w:b/>
        </w:rPr>
        <w:lastRenderedPageBreak/>
        <w:t xml:space="preserve">Figure 2: </w:t>
      </w:r>
      <w:r w:rsidR="0060438D">
        <w:rPr>
          <w:b/>
        </w:rPr>
        <w:t>Smoking prevalence at diagnosis of CD patients by Montreal age category and year of CD diagnosis</w:t>
      </w:r>
    </w:p>
    <w:p w:rsidR="00485299" w:rsidRDefault="00DF107A" w:rsidP="00304057">
      <w:pPr>
        <w:spacing w:line="480" w:lineRule="auto"/>
      </w:pPr>
      <w:r w:rsidRPr="00DF107A">
        <w:rPr>
          <w:noProof/>
          <w:lang w:eastAsia="en-GB"/>
        </w:rPr>
        <w:drawing>
          <wp:inline distT="0" distB="0" distL="0" distR="0">
            <wp:extent cx="5676900" cy="3333750"/>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F107A" w:rsidRDefault="00DF107A" w:rsidP="00304057">
      <w:pPr>
        <w:jc w:val="both"/>
        <w:rPr>
          <w:sz w:val="20"/>
          <w:szCs w:val="20"/>
        </w:rPr>
      </w:pPr>
      <w:r>
        <w:rPr>
          <w:sz w:val="20"/>
          <w:szCs w:val="20"/>
        </w:rPr>
        <w:t>Bar height indicate % of smokers at CD diagnosis by each age category. Actual number of smokers in each group displayed in base of individual bars.</w:t>
      </w:r>
    </w:p>
    <w:p w:rsidR="00485299" w:rsidRPr="00C7416D" w:rsidRDefault="00485299" w:rsidP="00304057">
      <w:pPr>
        <w:jc w:val="both"/>
        <w:rPr>
          <w:sz w:val="20"/>
          <w:szCs w:val="20"/>
        </w:rPr>
      </w:pPr>
      <w:r w:rsidRPr="00C7416D">
        <w:rPr>
          <w:sz w:val="20"/>
          <w:szCs w:val="20"/>
        </w:rPr>
        <w:t>* p=0.02 for across era comparison for proportion of smokers at CD diagnosis in Montreal A2 category. No significant differences in A1 or A3 categories</w:t>
      </w:r>
      <w:r w:rsidR="00DF107A">
        <w:rPr>
          <w:sz w:val="20"/>
          <w:szCs w:val="20"/>
        </w:rPr>
        <w:t xml:space="preserve"> across era.</w:t>
      </w:r>
      <w:r w:rsidRPr="00C7416D">
        <w:rPr>
          <w:sz w:val="20"/>
          <w:szCs w:val="20"/>
        </w:rPr>
        <w:t>.</w:t>
      </w:r>
      <w:r w:rsidR="002C7916">
        <w:rPr>
          <w:sz w:val="20"/>
          <w:szCs w:val="20"/>
        </w:rPr>
        <w:t xml:space="preserve"> Note in Era 1 and Era 5, there were no smokers in the A1 group.</w:t>
      </w:r>
    </w:p>
    <w:p w:rsidR="00485299" w:rsidRPr="00C7416D" w:rsidRDefault="0060438D" w:rsidP="00304057">
      <w:pPr>
        <w:jc w:val="both"/>
        <w:rPr>
          <w:sz w:val="20"/>
          <w:szCs w:val="20"/>
        </w:rPr>
      </w:pPr>
      <w:r>
        <w:rPr>
          <w:sz w:val="20"/>
          <w:szCs w:val="20"/>
        </w:rPr>
        <w:t>Era 1: 2005-06 (inclusive)</w:t>
      </w:r>
      <w:r w:rsidR="00485299" w:rsidRPr="00C7416D">
        <w:rPr>
          <w:sz w:val="20"/>
          <w:szCs w:val="20"/>
        </w:rPr>
        <w:t>, Era 2:</w:t>
      </w:r>
      <w:r>
        <w:rPr>
          <w:sz w:val="20"/>
          <w:szCs w:val="20"/>
        </w:rPr>
        <w:t xml:space="preserve"> 2007-08</w:t>
      </w:r>
      <w:r w:rsidR="00485299" w:rsidRPr="00C7416D">
        <w:rPr>
          <w:sz w:val="20"/>
          <w:szCs w:val="20"/>
        </w:rPr>
        <w:t>, Era 3:</w:t>
      </w:r>
      <w:r>
        <w:rPr>
          <w:sz w:val="20"/>
          <w:szCs w:val="20"/>
        </w:rPr>
        <w:t xml:space="preserve"> 2009-10</w:t>
      </w:r>
      <w:r w:rsidR="00485299" w:rsidRPr="00C7416D">
        <w:rPr>
          <w:sz w:val="20"/>
          <w:szCs w:val="20"/>
        </w:rPr>
        <w:t>, Era 4:</w:t>
      </w:r>
      <w:r>
        <w:rPr>
          <w:sz w:val="20"/>
          <w:szCs w:val="20"/>
        </w:rPr>
        <w:t xml:space="preserve"> 2001-12, Era 5: 20</w:t>
      </w:r>
      <w:r w:rsidR="00485299" w:rsidRPr="00C7416D">
        <w:rPr>
          <w:sz w:val="20"/>
          <w:szCs w:val="20"/>
        </w:rPr>
        <w:t>13</w:t>
      </w:r>
      <w:r>
        <w:rPr>
          <w:sz w:val="20"/>
          <w:szCs w:val="20"/>
        </w:rPr>
        <w:t>-14</w:t>
      </w:r>
    </w:p>
    <w:p w:rsidR="0060438D" w:rsidRDefault="0060438D" w:rsidP="00304057">
      <w:pPr>
        <w:jc w:val="both"/>
        <w:rPr>
          <w:sz w:val="20"/>
          <w:szCs w:val="20"/>
        </w:rPr>
      </w:pPr>
      <w:r>
        <w:rPr>
          <w:sz w:val="20"/>
          <w:szCs w:val="20"/>
        </w:rPr>
        <w:t>A1 - age at diagnosis &lt;17 years</w:t>
      </w:r>
    </w:p>
    <w:p w:rsidR="0060438D" w:rsidRDefault="00485299" w:rsidP="00304057">
      <w:pPr>
        <w:jc w:val="both"/>
        <w:rPr>
          <w:sz w:val="20"/>
          <w:szCs w:val="20"/>
        </w:rPr>
      </w:pPr>
      <w:r w:rsidRPr="00C7416D">
        <w:rPr>
          <w:sz w:val="20"/>
          <w:szCs w:val="20"/>
        </w:rPr>
        <w:t>A2 -</w:t>
      </w:r>
      <w:r w:rsidR="0060438D">
        <w:rPr>
          <w:sz w:val="20"/>
          <w:szCs w:val="20"/>
        </w:rPr>
        <w:t xml:space="preserve"> age at diagnosis 17-40 years</w:t>
      </w:r>
    </w:p>
    <w:p w:rsidR="00485299" w:rsidRPr="00C7416D" w:rsidRDefault="00485299" w:rsidP="00304057">
      <w:pPr>
        <w:jc w:val="both"/>
        <w:rPr>
          <w:sz w:val="20"/>
          <w:szCs w:val="20"/>
        </w:rPr>
      </w:pPr>
      <w:r w:rsidRPr="00C7416D">
        <w:rPr>
          <w:sz w:val="20"/>
          <w:szCs w:val="20"/>
        </w:rPr>
        <w:t xml:space="preserve">A3 - </w:t>
      </w:r>
      <w:r w:rsidR="0060438D">
        <w:rPr>
          <w:sz w:val="20"/>
          <w:szCs w:val="20"/>
        </w:rPr>
        <w:t>age at diagnosis</w:t>
      </w:r>
      <w:r w:rsidRPr="00C7416D">
        <w:rPr>
          <w:sz w:val="20"/>
          <w:szCs w:val="20"/>
        </w:rPr>
        <w:t xml:space="preserve"> &gt;40 years</w:t>
      </w:r>
    </w:p>
    <w:p w:rsidR="00485299" w:rsidRDefault="00485299" w:rsidP="00304057">
      <w:pPr>
        <w:spacing w:line="480" w:lineRule="auto"/>
      </w:pPr>
      <w:r>
        <w:br w:type="page"/>
      </w:r>
    </w:p>
    <w:p w:rsidR="00C7416D" w:rsidRPr="00C7416D" w:rsidRDefault="00C7416D" w:rsidP="00304057">
      <w:pPr>
        <w:jc w:val="center"/>
        <w:rPr>
          <w:b/>
        </w:rPr>
      </w:pPr>
      <w:r>
        <w:rPr>
          <w:b/>
        </w:rPr>
        <w:lastRenderedPageBreak/>
        <w:t>Figure 3: KM c</w:t>
      </w:r>
      <w:r w:rsidR="00447E86">
        <w:rPr>
          <w:b/>
        </w:rPr>
        <w:t>urves showing probability of</w:t>
      </w:r>
      <w:r>
        <w:rPr>
          <w:b/>
        </w:rPr>
        <w:t xml:space="preserve"> oral CS exposure in patients with </w:t>
      </w:r>
      <w:proofErr w:type="spellStart"/>
      <w:r>
        <w:rPr>
          <w:b/>
        </w:rPr>
        <w:t>Crohn's</w:t>
      </w:r>
      <w:proofErr w:type="spellEnd"/>
      <w:r>
        <w:rPr>
          <w:b/>
        </w:rPr>
        <w:t xml:space="preserve"> disease given diagnosis smoking status</w:t>
      </w:r>
    </w:p>
    <w:p w:rsidR="00485299" w:rsidRDefault="009202CC" w:rsidP="00304057">
      <w:pPr>
        <w:spacing w:line="480" w:lineRule="auto"/>
        <w:jc w:val="center"/>
      </w:pPr>
      <w:r>
        <w:rPr>
          <w:noProof/>
          <w:lang w:eastAsia="en-GB"/>
        </w:rPr>
        <w:drawing>
          <wp:inline distT="0" distB="0" distL="0" distR="0">
            <wp:extent cx="5731510" cy="4170882"/>
            <wp:effectExtent l="19050" t="0" r="2540" b="0"/>
            <wp:docPr id="1" name="Picture 1" descr="C:\Users\Christopher\Documents\Chris's Files\Work\OOPE\Research\IBD + smoking\Journal paper\Mach 3\CD smoking CS Mach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pher\Documents\Chris's Files\Work\OOPE\Research\IBD + smoking\Journal paper\Mach 3\CD smoking CS Mach 3.tif"/>
                    <pic:cNvPicPr>
                      <a:picLocks noChangeAspect="1" noChangeArrowheads="1"/>
                    </pic:cNvPicPr>
                  </pic:nvPicPr>
                  <pic:blipFill>
                    <a:blip r:embed="rId10" cstate="print"/>
                    <a:srcRect/>
                    <a:stretch>
                      <a:fillRect/>
                    </a:stretch>
                  </pic:blipFill>
                  <pic:spPr bwMode="auto">
                    <a:xfrm>
                      <a:off x="0" y="0"/>
                      <a:ext cx="5731510" cy="4170882"/>
                    </a:xfrm>
                    <a:prstGeom prst="rect">
                      <a:avLst/>
                    </a:prstGeom>
                    <a:noFill/>
                    <a:ln w="9525">
                      <a:noFill/>
                      <a:miter lim="800000"/>
                      <a:headEnd/>
                      <a:tailEnd/>
                    </a:ln>
                  </pic:spPr>
                </pic:pic>
              </a:graphicData>
            </a:graphic>
          </wp:inline>
        </w:drawing>
      </w:r>
    </w:p>
    <w:p w:rsidR="009202CC" w:rsidRDefault="009202CC" w:rsidP="00304057">
      <w:pPr>
        <w:spacing w:line="480" w:lineRule="auto"/>
        <w:jc w:val="center"/>
        <w:rPr>
          <w:sz w:val="20"/>
          <w:szCs w:val="20"/>
        </w:rPr>
      </w:pPr>
      <w:r>
        <w:rPr>
          <w:b/>
          <w:sz w:val="20"/>
          <w:szCs w:val="20"/>
        </w:rPr>
        <w:t xml:space="preserve">CS - </w:t>
      </w:r>
      <w:r>
        <w:rPr>
          <w:sz w:val="20"/>
          <w:szCs w:val="20"/>
        </w:rPr>
        <w:t xml:space="preserve">corticosteroid   </w:t>
      </w:r>
      <w:r w:rsidR="00C7416D" w:rsidRPr="00C7416D">
        <w:rPr>
          <w:b/>
          <w:sz w:val="20"/>
          <w:szCs w:val="20"/>
        </w:rPr>
        <w:t>IBD</w:t>
      </w:r>
      <w:r w:rsidR="00C7416D" w:rsidRPr="00C7416D">
        <w:rPr>
          <w:sz w:val="20"/>
          <w:szCs w:val="20"/>
        </w:rPr>
        <w:t xml:space="preserve"> - inflammatory bowel disease   </w:t>
      </w:r>
      <w:r w:rsidR="00C7416D" w:rsidRPr="00C7416D">
        <w:rPr>
          <w:b/>
          <w:sz w:val="20"/>
          <w:szCs w:val="20"/>
        </w:rPr>
        <w:t>CD</w:t>
      </w:r>
      <w:r w:rsidR="00C7416D" w:rsidRPr="00C7416D">
        <w:rPr>
          <w:sz w:val="20"/>
          <w:szCs w:val="20"/>
        </w:rPr>
        <w:t xml:space="preserve"> - </w:t>
      </w:r>
      <w:proofErr w:type="spellStart"/>
      <w:r w:rsidR="00C7416D" w:rsidRPr="00C7416D">
        <w:rPr>
          <w:sz w:val="20"/>
          <w:szCs w:val="20"/>
        </w:rPr>
        <w:t>Crohn's</w:t>
      </w:r>
      <w:proofErr w:type="spellEnd"/>
      <w:r w:rsidR="00C7416D" w:rsidRPr="00C7416D">
        <w:rPr>
          <w:sz w:val="20"/>
          <w:szCs w:val="20"/>
        </w:rPr>
        <w:t xml:space="preserve"> disease</w:t>
      </w:r>
    </w:p>
    <w:p w:rsidR="009202CC" w:rsidRDefault="009202CC">
      <w:pPr>
        <w:rPr>
          <w:sz w:val="20"/>
          <w:szCs w:val="20"/>
        </w:rPr>
      </w:pPr>
      <w:r>
        <w:rPr>
          <w:sz w:val="20"/>
          <w:szCs w:val="20"/>
        </w:rPr>
        <w:br w:type="page"/>
      </w:r>
    </w:p>
    <w:p w:rsidR="00447E86" w:rsidRPr="00C7416D" w:rsidRDefault="00447E86" w:rsidP="00447E86">
      <w:pPr>
        <w:jc w:val="center"/>
        <w:rPr>
          <w:b/>
        </w:rPr>
      </w:pPr>
      <w:r>
        <w:rPr>
          <w:b/>
        </w:rPr>
        <w:lastRenderedPageBreak/>
        <w:t xml:space="preserve">Figure 4: KM curves showing probability </w:t>
      </w:r>
      <w:r w:rsidR="00527CC1">
        <w:rPr>
          <w:b/>
        </w:rPr>
        <w:t xml:space="preserve">of </w:t>
      </w:r>
      <w:r>
        <w:rPr>
          <w:b/>
        </w:rPr>
        <w:t xml:space="preserve">first intestinal surgery in patients with </w:t>
      </w:r>
      <w:proofErr w:type="spellStart"/>
      <w:r>
        <w:rPr>
          <w:b/>
        </w:rPr>
        <w:t>Crohn's</w:t>
      </w:r>
      <w:proofErr w:type="spellEnd"/>
      <w:r>
        <w:rPr>
          <w:b/>
        </w:rPr>
        <w:t xml:space="preserve"> disease given diagnosis smoking status</w:t>
      </w:r>
    </w:p>
    <w:p w:rsidR="00447E86" w:rsidRDefault="009202CC" w:rsidP="00304057">
      <w:pPr>
        <w:spacing w:line="480" w:lineRule="auto"/>
        <w:jc w:val="center"/>
        <w:rPr>
          <w:sz w:val="20"/>
          <w:szCs w:val="20"/>
        </w:rPr>
      </w:pPr>
      <w:r>
        <w:rPr>
          <w:noProof/>
          <w:sz w:val="20"/>
          <w:szCs w:val="20"/>
          <w:lang w:eastAsia="en-GB"/>
        </w:rPr>
        <w:drawing>
          <wp:inline distT="0" distB="0" distL="0" distR="0">
            <wp:extent cx="5731510" cy="4170882"/>
            <wp:effectExtent l="19050" t="0" r="2540" b="0"/>
            <wp:docPr id="3" name="Picture 2" descr="C:\Users\Christopher\Documents\Chris's Files\Work\OOPE\Research\IBD + smoking\Journal paper\Mach 3\CD smoking IR Mach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pher\Documents\Chris's Files\Work\OOPE\Research\IBD + smoking\Journal paper\Mach 3\CD smoking IR Mach 3.tif"/>
                    <pic:cNvPicPr>
                      <a:picLocks noChangeAspect="1" noChangeArrowheads="1"/>
                    </pic:cNvPicPr>
                  </pic:nvPicPr>
                  <pic:blipFill>
                    <a:blip r:embed="rId11" cstate="print"/>
                    <a:srcRect/>
                    <a:stretch>
                      <a:fillRect/>
                    </a:stretch>
                  </pic:blipFill>
                  <pic:spPr bwMode="auto">
                    <a:xfrm>
                      <a:off x="0" y="0"/>
                      <a:ext cx="5731510" cy="4170882"/>
                    </a:xfrm>
                    <a:prstGeom prst="rect">
                      <a:avLst/>
                    </a:prstGeom>
                    <a:noFill/>
                    <a:ln w="9525">
                      <a:noFill/>
                      <a:miter lim="800000"/>
                      <a:headEnd/>
                      <a:tailEnd/>
                    </a:ln>
                  </pic:spPr>
                </pic:pic>
              </a:graphicData>
            </a:graphic>
          </wp:inline>
        </w:drawing>
      </w:r>
    </w:p>
    <w:p w:rsidR="00305440" w:rsidRDefault="009202CC" w:rsidP="009202CC">
      <w:pPr>
        <w:spacing w:line="480" w:lineRule="auto"/>
        <w:jc w:val="center"/>
        <w:rPr>
          <w:sz w:val="20"/>
          <w:szCs w:val="20"/>
        </w:rPr>
      </w:pPr>
      <w:r w:rsidRPr="00C7416D">
        <w:rPr>
          <w:b/>
          <w:sz w:val="20"/>
          <w:szCs w:val="20"/>
        </w:rPr>
        <w:t>IBD</w:t>
      </w:r>
      <w:r w:rsidRPr="00C7416D">
        <w:rPr>
          <w:sz w:val="20"/>
          <w:szCs w:val="20"/>
        </w:rPr>
        <w:t xml:space="preserve"> - inflammatory bowel disease   </w:t>
      </w:r>
      <w:r w:rsidRPr="00C7416D">
        <w:rPr>
          <w:b/>
          <w:sz w:val="20"/>
          <w:szCs w:val="20"/>
        </w:rPr>
        <w:t>CD</w:t>
      </w:r>
      <w:r w:rsidRPr="00C7416D">
        <w:rPr>
          <w:sz w:val="20"/>
          <w:szCs w:val="20"/>
        </w:rPr>
        <w:t xml:space="preserve"> - </w:t>
      </w:r>
      <w:proofErr w:type="spellStart"/>
      <w:r w:rsidRPr="00C7416D">
        <w:rPr>
          <w:sz w:val="20"/>
          <w:szCs w:val="20"/>
        </w:rPr>
        <w:t>Crohn's</w:t>
      </w:r>
      <w:proofErr w:type="spellEnd"/>
      <w:r w:rsidRPr="00C7416D">
        <w:rPr>
          <w:sz w:val="20"/>
          <w:szCs w:val="20"/>
        </w:rPr>
        <w:t xml:space="preserve"> disease</w:t>
      </w:r>
    </w:p>
    <w:p w:rsidR="00305440" w:rsidRDefault="00305440">
      <w:pPr>
        <w:rPr>
          <w:sz w:val="20"/>
          <w:szCs w:val="20"/>
        </w:rPr>
      </w:pPr>
      <w:r>
        <w:rPr>
          <w:sz w:val="20"/>
          <w:szCs w:val="20"/>
        </w:rPr>
        <w:br w:type="page"/>
      </w:r>
    </w:p>
    <w:p w:rsidR="009202CC" w:rsidRDefault="00305440" w:rsidP="009202CC">
      <w:pPr>
        <w:spacing w:line="480" w:lineRule="auto"/>
        <w:jc w:val="center"/>
        <w:rPr>
          <w:b/>
        </w:rPr>
      </w:pPr>
      <w:r w:rsidRPr="00305440">
        <w:rPr>
          <w:b/>
        </w:rPr>
        <w:lastRenderedPageBreak/>
        <w:t xml:space="preserve">Figure 5: Bar chart comparing CS-dependency between quitters and persistent smokers amongst patients with CD </w:t>
      </w:r>
    </w:p>
    <w:p w:rsidR="00305440" w:rsidRPr="00305440" w:rsidRDefault="00305440" w:rsidP="009202CC">
      <w:pPr>
        <w:spacing w:line="480" w:lineRule="auto"/>
        <w:jc w:val="center"/>
        <w:rPr>
          <w:b/>
        </w:rPr>
      </w:pPr>
      <w:r>
        <w:rPr>
          <w:b/>
          <w:noProof/>
          <w:lang w:eastAsia="en-GB"/>
        </w:rPr>
        <w:drawing>
          <wp:inline distT="0" distB="0" distL="0" distR="0">
            <wp:extent cx="5731510" cy="4169008"/>
            <wp:effectExtent l="19050" t="0" r="2540" b="0"/>
            <wp:docPr id="2" name="Picture 1" descr="C:\Users\Christopher\Documents\Chris's Files\Work\OOPE\Research\IBD + smoking\Journal paper\Smoking Cessation\Mach 1\Smoker Quitters vs continuous CS dep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pher\Documents\Chris's Files\Work\OOPE\Research\IBD + smoking\Journal paper\Smoking Cessation\Mach 1\Smoker Quitters vs continuous CS depend.tif"/>
                    <pic:cNvPicPr>
                      <a:picLocks noChangeAspect="1" noChangeArrowheads="1"/>
                    </pic:cNvPicPr>
                  </pic:nvPicPr>
                  <pic:blipFill>
                    <a:blip r:embed="rId12" cstate="print"/>
                    <a:srcRect/>
                    <a:stretch>
                      <a:fillRect/>
                    </a:stretch>
                  </pic:blipFill>
                  <pic:spPr bwMode="auto">
                    <a:xfrm>
                      <a:off x="0" y="0"/>
                      <a:ext cx="5731510" cy="4169008"/>
                    </a:xfrm>
                    <a:prstGeom prst="rect">
                      <a:avLst/>
                    </a:prstGeom>
                    <a:noFill/>
                    <a:ln w="9525">
                      <a:noFill/>
                      <a:miter lim="800000"/>
                      <a:headEnd/>
                      <a:tailEnd/>
                    </a:ln>
                  </pic:spPr>
                </pic:pic>
              </a:graphicData>
            </a:graphic>
          </wp:inline>
        </w:drawing>
      </w:r>
    </w:p>
    <w:p w:rsidR="001B21C2" w:rsidRDefault="001B21C2">
      <w:pPr>
        <w:rPr>
          <w:sz w:val="20"/>
          <w:szCs w:val="20"/>
        </w:rPr>
      </w:pPr>
      <w:r>
        <w:rPr>
          <w:sz w:val="20"/>
          <w:szCs w:val="20"/>
        </w:rPr>
        <w:t>legend:</w:t>
      </w:r>
    </w:p>
    <w:p w:rsidR="00CA5906" w:rsidRDefault="00CA5906">
      <w:pPr>
        <w:rPr>
          <w:sz w:val="20"/>
          <w:szCs w:val="20"/>
        </w:rPr>
      </w:pPr>
      <w:r>
        <w:rPr>
          <w:sz w:val="20"/>
          <w:szCs w:val="20"/>
        </w:rPr>
        <w:t>Q</w:t>
      </w:r>
      <w:r w:rsidR="001B21C2">
        <w:rPr>
          <w:sz w:val="20"/>
          <w:szCs w:val="20"/>
        </w:rPr>
        <w:t>uitters</w:t>
      </w:r>
      <w:r>
        <w:rPr>
          <w:sz w:val="20"/>
          <w:szCs w:val="20"/>
        </w:rPr>
        <w:t xml:space="preserve">  - CD patients who were smokers at diagnosis but had subsequent Read codes in the two years following diagnosis indicating they were ex or non-smokers</w:t>
      </w:r>
    </w:p>
    <w:p w:rsidR="00527CC1" w:rsidRDefault="00CA5906">
      <w:pPr>
        <w:rPr>
          <w:sz w:val="20"/>
          <w:szCs w:val="20"/>
        </w:rPr>
      </w:pPr>
      <w:r>
        <w:rPr>
          <w:sz w:val="20"/>
          <w:szCs w:val="20"/>
        </w:rPr>
        <w:t>Persistent smokers - CD patients who were smokers at diagnosis</w:t>
      </w:r>
      <w:r w:rsidRPr="00CA5906">
        <w:rPr>
          <w:sz w:val="20"/>
          <w:szCs w:val="20"/>
        </w:rPr>
        <w:t xml:space="preserve"> </w:t>
      </w:r>
      <w:r>
        <w:rPr>
          <w:sz w:val="20"/>
          <w:szCs w:val="20"/>
        </w:rPr>
        <w:t>and had subsequent Read codes in the two years following diagnosis indicating they were still smokers</w:t>
      </w:r>
    </w:p>
    <w:p w:rsidR="00527CC1" w:rsidRDefault="00527CC1">
      <w:pPr>
        <w:rPr>
          <w:sz w:val="20"/>
          <w:szCs w:val="20"/>
        </w:rPr>
      </w:pPr>
      <w:r>
        <w:rPr>
          <w:sz w:val="20"/>
          <w:szCs w:val="20"/>
        </w:rPr>
        <w:br w:type="page"/>
      </w:r>
    </w:p>
    <w:p w:rsidR="00527CC1" w:rsidRDefault="00527CC1">
      <w:pPr>
        <w:rPr>
          <w:b/>
        </w:rPr>
      </w:pPr>
      <w:r w:rsidRPr="00527CC1">
        <w:rPr>
          <w:b/>
        </w:rPr>
        <w:lastRenderedPageBreak/>
        <w:t>Figure 6:</w:t>
      </w:r>
      <w:r w:rsidR="00CA5906" w:rsidRPr="00527CC1">
        <w:rPr>
          <w:b/>
        </w:rPr>
        <w:t xml:space="preserve"> </w:t>
      </w:r>
      <w:r w:rsidRPr="00527CC1">
        <w:rPr>
          <w:b/>
        </w:rPr>
        <w:t xml:space="preserve">KM curves showing probability of first intestinal surgery in patients with </w:t>
      </w:r>
      <w:proofErr w:type="spellStart"/>
      <w:r w:rsidRPr="00527CC1">
        <w:rPr>
          <w:b/>
        </w:rPr>
        <w:t>Crohn's</w:t>
      </w:r>
      <w:proofErr w:type="spellEnd"/>
      <w:r w:rsidRPr="00527CC1">
        <w:rPr>
          <w:b/>
        </w:rPr>
        <w:t xml:space="preserve"> disease: 'quitters' versus 'persistent smokers' </w:t>
      </w:r>
    </w:p>
    <w:p w:rsidR="00527CC1" w:rsidRDefault="00527CC1" w:rsidP="00527CC1">
      <w:pPr>
        <w:jc w:val="center"/>
        <w:rPr>
          <w:b/>
        </w:rPr>
      </w:pPr>
      <w:r>
        <w:rPr>
          <w:b/>
          <w:noProof/>
          <w:lang w:eastAsia="en-GB"/>
        </w:rPr>
        <w:drawing>
          <wp:inline distT="0" distB="0" distL="0" distR="0">
            <wp:extent cx="5238750" cy="3810582"/>
            <wp:effectExtent l="19050" t="0" r="0" b="0"/>
            <wp:docPr id="5" name="Picture 2" descr="C:\Users\Christopher\Documents\Chris's Files\Work\OOPE\Research\IBD + smoking\Journal paper\Smoking Cessation\Mach 1\KM quitters vs persist CD I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pher\Documents\Chris's Files\Work\OOPE\Research\IBD + smoking\Journal paper\Smoking Cessation\Mach 1\KM quitters vs persist CD IR.tif"/>
                    <pic:cNvPicPr>
                      <a:picLocks noChangeAspect="1" noChangeArrowheads="1"/>
                    </pic:cNvPicPr>
                  </pic:nvPicPr>
                  <pic:blipFill>
                    <a:blip r:embed="rId13" cstate="print"/>
                    <a:srcRect/>
                    <a:stretch>
                      <a:fillRect/>
                    </a:stretch>
                  </pic:blipFill>
                  <pic:spPr bwMode="auto">
                    <a:xfrm>
                      <a:off x="0" y="0"/>
                      <a:ext cx="5238750" cy="3810582"/>
                    </a:xfrm>
                    <a:prstGeom prst="rect">
                      <a:avLst/>
                    </a:prstGeom>
                    <a:noFill/>
                    <a:ln w="9525">
                      <a:noFill/>
                      <a:miter lim="800000"/>
                      <a:headEnd/>
                      <a:tailEnd/>
                    </a:ln>
                  </pic:spPr>
                </pic:pic>
              </a:graphicData>
            </a:graphic>
          </wp:inline>
        </w:drawing>
      </w:r>
      <w:r w:rsidRPr="00527CC1">
        <w:rPr>
          <w:b/>
        </w:rPr>
        <w:t xml:space="preserve"> </w:t>
      </w:r>
    </w:p>
    <w:p w:rsidR="00527CC1" w:rsidRDefault="00527CC1" w:rsidP="00527CC1">
      <w:pPr>
        <w:rPr>
          <w:sz w:val="20"/>
          <w:szCs w:val="20"/>
        </w:rPr>
      </w:pPr>
      <w:r>
        <w:rPr>
          <w:sz w:val="20"/>
          <w:szCs w:val="20"/>
        </w:rPr>
        <w:t>legend:</w:t>
      </w:r>
    </w:p>
    <w:p w:rsidR="00527CC1" w:rsidRDefault="00527CC1" w:rsidP="00527CC1">
      <w:pPr>
        <w:rPr>
          <w:sz w:val="20"/>
          <w:szCs w:val="20"/>
        </w:rPr>
      </w:pPr>
      <w:r>
        <w:rPr>
          <w:sz w:val="20"/>
          <w:szCs w:val="20"/>
        </w:rPr>
        <w:t>Quitters  - CD patients who were smokers at diagnosis but had subsequent Read codes in the two years following diagnosis indicating they were ex or non-smokers</w:t>
      </w:r>
    </w:p>
    <w:p w:rsidR="00527CC1" w:rsidRDefault="00527CC1" w:rsidP="00527CC1">
      <w:pPr>
        <w:rPr>
          <w:sz w:val="20"/>
          <w:szCs w:val="20"/>
        </w:rPr>
      </w:pPr>
      <w:r>
        <w:rPr>
          <w:sz w:val="20"/>
          <w:szCs w:val="20"/>
        </w:rPr>
        <w:t>Persistent smokers - CD patients who were smokers at diagnosis</w:t>
      </w:r>
      <w:r w:rsidRPr="00CA5906">
        <w:rPr>
          <w:sz w:val="20"/>
          <w:szCs w:val="20"/>
        </w:rPr>
        <w:t xml:space="preserve"> </w:t>
      </w:r>
      <w:r>
        <w:rPr>
          <w:sz w:val="20"/>
          <w:szCs w:val="20"/>
        </w:rPr>
        <w:t>and had subsequent Read codes in the two years following diagnosis indicating they were still smokers</w:t>
      </w:r>
    </w:p>
    <w:p w:rsidR="00305440" w:rsidRPr="00527CC1" w:rsidRDefault="00305440" w:rsidP="00527CC1">
      <w:pPr>
        <w:rPr>
          <w:b/>
        </w:rPr>
      </w:pPr>
      <w:r w:rsidRPr="00527CC1">
        <w:rPr>
          <w:b/>
        </w:rPr>
        <w:br w:type="page"/>
      </w:r>
    </w:p>
    <w:p w:rsidR="009202CC" w:rsidRDefault="009202CC">
      <w:pPr>
        <w:rPr>
          <w:sz w:val="20"/>
          <w:szCs w:val="20"/>
        </w:rPr>
      </w:pPr>
    </w:p>
    <w:p w:rsidR="00C7416D" w:rsidRDefault="00C7416D" w:rsidP="00304057">
      <w:pPr>
        <w:pStyle w:val="Heading1"/>
        <w:spacing w:line="480" w:lineRule="auto"/>
        <w:rPr>
          <w:rFonts w:asciiTheme="minorHAnsi" w:hAnsiTheme="minorHAnsi"/>
        </w:rPr>
      </w:pPr>
      <w:r w:rsidRPr="00C7416D">
        <w:rPr>
          <w:rFonts w:asciiTheme="minorHAnsi" w:hAnsiTheme="minorHAnsi"/>
        </w:rPr>
        <w:t>Tables</w:t>
      </w:r>
    </w:p>
    <w:p w:rsidR="002C7916" w:rsidRPr="002C7916" w:rsidRDefault="002C7916" w:rsidP="002C7916">
      <w:pPr>
        <w:jc w:val="center"/>
        <w:rPr>
          <w:b/>
        </w:rPr>
      </w:pPr>
      <w:r>
        <w:rPr>
          <w:b/>
        </w:rPr>
        <w:t>Table 1:</w:t>
      </w:r>
      <w:r w:rsidRPr="00971ED3">
        <w:rPr>
          <w:b/>
        </w:rPr>
        <w:t xml:space="preserve"> baseline characteristics</w:t>
      </w:r>
      <w:r>
        <w:rPr>
          <w:b/>
        </w:rPr>
        <w:t xml:space="preserve"> of cohort</w:t>
      </w:r>
    </w:p>
    <w:tbl>
      <w:tblPr>
        <w:tblStyle w:val="TableGrid"/>
        <w:tblW w:w="0" w:type="auto"/>
        <w:jc w:val="center"/>
        <w:tblLook w:val="04A0"/>
      </w:tblPr>
      <w:tblGrid>
        <w:gridCol w:w="2002"/>
        <w:gridCol w:w="2003"/>
        <w:gridCol w:w="2005"/>
        <w:gridCol w:w="2005"/>
      </w:tblGrid>
      <w:tr w:rsidR="002C7916" w:rsidTr="002C7916">
        <w:trPr>
          <w:trHeight w:val="1010"/>
          <w:jc w:val="center"/>
        </w:trPr>
        <w:tc>
          <w:tcPr>
            <w:tcW w:w="2002" w:type="dxa"/>
            <w:tcBorders>
              <w:top w:val="nil"/>
              <w:left w:val="nil"/>
              <w:bottom w:val="single" w:sz="18" w:space="0" w:color="auto"/>
              <w:right w:val="single" w:sz="4" w:space="0" w:color="auto"/>
            </w:tcBorders>
          </w:tcPr>
          <w:p w:rsidR="002C7916" w:rsidRDefault="002C7916" w:rsidP="002C7916">
            <w:pPr>
              <w:spacing w:line="276" w:lineRule="auto"/>
              <w:jc w:val="center"/>
            </w:pPr>
          </w:p>
        </w:tc>
        <w:tc>
          <w:tcPr>
            <w:tcW w:w="2003" w:type="dxa"/>
            <w:tcBorders>
              <w:top w:val="single" w:sz="4" w:space="0" w:color="auto"/>
              <w:left w:val="single" w:sz="4" w:space="0" w:color="auto"/>
              <w:bottom w:val="single" w:sz="18" w:space="0" w:color="auto"/>
            </w:tcBorders>
          </w:tcPr>
          <w:p w:rsidR="002C7916" w:rsidRPr="001D15AB" w:rsidRDefault="002C7916" w:rsidP="002C7916">
            <w:pPr>
              <w:spacing w:line="276" w:lineRule="auto"/>
              <w:jc w:val="center"/>
              <w:rPr>
                <w:b/>
                <w:sz w:val="18"/>
                <w:szCs w:val="18"/>
              </w:rPr>
            </w:pPr>
            <w:r>
              <w:rPr>
                <w:b/>
                <w:sz w:val="18"/>
                <w:szCs w:val="18"/>
              </w:rPr>
              <w:t xml:space="preserve">Smoker at </w:t>
            </w:r>
            <w:proofErr w:type="spellStart"/>
            <w:r>
              <w:rPr>
                <w:b/>
                <w:sz w:val="18"/>
                <w:szCs w:val="18"/>
              </w:rPr>
              <w:t>Crohn's</w:t>
            </w:r>
            <w:proofErr w:type="spellEnd"/>
            <w:r w:rsidRPr="001D15AB">
              <w:rPr>
                <w:b/>
                <w:sz w:val="18"/>
                <w:szCs w:val="18"/>
              </w:rPr>
              <w:t xml:space="preserve"> diagnosis</w:t>
            </w:r>
          </w:p>
          <w:p w:rsidR="002C7916" w:rsidRPr="001D15AB" w:rsidRDefault="002C7916" w:rsidP="002C7916">
            <w:pPr>
              <w:spacing w:line="276" w:lineRule="auto"/>
              <w:jc w:val="center"/>
              <w:rPr>
                <w:b/>
                <w:sz w:val="18"/>
                <w:szCs w:val="18"/>
              </w:rPr>
            </w:pPr>
            <w:r>
              <w:rPr>
                <w:b/>
                <w:sz w:val="18"/>
                <w:szCs w:val="18"/>
              </w:rPr>
              <w:t>(</w:t>
            </w:r>
            <w:r w:rsidRPr="001D15AB">
              <w:rPr>
                <w:b/>
                <w:sz w:val="18"/>
                <w:szCs w:val="18"/>
              </w:rPr>
              <w:t>n=1121</w:t>
            </w:r>
            <w:r>
              <w:rPr>
                <w:b/>
                <w:sz w:val="18"/>
                <w:szCs w:val="18"/>
              </w:rPr>
              <w:t>)</w:t>
            </w:r>
          </w:p>
        </w:tc>
        <w:tc>
          <w:tcPr>
            <w:tcW w:w="2005" w:type="dxa"/>
            <w:tcBorders>
              <w:top w:val="single" w:sz="4" w:space="0" w:color="auto"/>
              <w:bottom w:val="single" w:sz="18" w:space="0" w:color="auto"/>
            </w:tcBorders>
          </w:tcPr>
          <w:p w:rsidR="002C7916" w:rsidRPr="001D15AB" w:rsidRDefault="002C7916" w:rsidP="002C7916">
            <w:pPr>
              <w:spacing w:line="276" w:lineRule="auto"/>
              <w:jc w:val="center"/>
              <w:rPr>
                <w:b/>
                <w:sz w:val="18"/>
                <w:szCs w:val="18"/>
              </w:rPr>
            </w:pPr>
            <w:r>
              <w:rPr>
                <w:b/>
                <w:sz w:val="18"/>
                <w:szCs w:val="18"/>
              </w:rPr>
              <w:t xml:space="preserve">Non-smoker at </w:t>
            </w:r>
            <w:proofErr w:type="spellStart"/>
            <w:r>
              <w:rPr>
                <w:b/>
                <w:sz w:val="18"/>
                <w:szCs w:val="18"/>
              </w:rPr>
              <w:t>Crohn's</w:t>
            </w:r>
            <w:proofErr w:type="spellEnd"/>
            <w:r w:rsidRPr="001D15AB">
              <w:rPr>
                <w:b/>
                <w:sz w:val="18"/>
                <w:szCs w:val="18"/>
              </w:rPr>
              <w:t xml:space="preserve"> diagnosis</w:t>
            </w:r>
          </w:p>
          <w:p w:rsidR="002C7916" w:rsidRPr="001D15AB" w:rsidRDefault="002C7916" w:rsidP="002C7916">
            <w:pPr>
              <w:spacing w:line="276" w:lineRule="auto"/>
              <w:jc w:val="center"/>
              <w:rPr>
                <w:b/>
                <w:sz w:val="18"/>
                <w:szCs w:val="18"/>
              </w:rPr>
            </w:pPr>
            <w:r>
              <w:rPr>
                <w:b/>
                <w:sz w:val="18"/>
                <w:szCs w:val="18"/>
              </w:rPr>
              <w:t>(</w:t>
            </w:r>
            <w:r w:rsidRPr="001D15AB">
              <w:rPr>
                <w:b/>
                <w:sz w:val="18"/>
                <w:szCs w:val="18"/>
              </w:rPr>
              <w:t>n=2432</w:t>
            </w:r>
            <w:r>
              <w:rPr>
                <w:b/>
                <w:sz w:val="18"/>
                <w:szCs w:val="18"/>
              </w:rPr>
              <w:t>)</w:t>
            </w:r>
          </w:p>
        </w:tc>
        <w:tc>
          <w:tcPr>
            <w:tcW w:w="2005" w:type="dxa"/>
            <w:tcBorders>
              <w:top w:val="single" w:sz="4" w:space="0" w:color="auto"/>
              <w:bottom w:val="single" w:sz="18" w:space="0" w:color="auto"/>
            </w:tcBorders>
          </w:tcPr>
          <w:p w:rsidR="002C7916" w:rsidRPr="001D15AB" w:rsidRDefault="002C7916" w:rsidP="002C7916">
            <w:pPr>
              <w:spacing w:line="276" w:lineRule="auto"/>
              <w:jc w:val="center"/>
              <w:rPr>
                <w:b/>
                <w:sz w:val="18"/>
                <w:szCs w:val="18"/>
              </w:rPr>
            </w:pPr>
            <w:r w:rsidRPr="001D15AB">
              <w:rPr>
                <w:b/>
                <w:sz w:val="18"/>
                <w:szCs w:val="18"/>
              </w:rPr>
              <w:t>p-value</w:t>
            </w:r>
          </w:p>
        </w:tc>
      </w:tr>
      <w:tr w:rsidR="002C7916" w:rsidTr="002C7916">
        <w:trPr>
          <w:trHeight w:val="499"/>
          <w:jc w:val="center"/>
        </w:trPr>
        <w:tc>
          <w:tcPr>
            <w:tcW w:w="2002" w:type="dxa"/>
            <w:tcBorders>
              <w:top w:val="single" w:sz="18" w:space="0" w:color="auto"/>
              <w:right w:val="single" w:sz="4" w:space="0" w:color="auto"/>
            </w:tcBorders>
          </w:tcPr>
          <w:p w:rsidR="002C7916" w:rsidRPr="008E0CA4" w:rsidRDefault="002C7916" w:rsidP="002C7916">
            <w:pPr>
              <w:spacing w:line="276" w:lineRule="auto"/>
              <w:rPr>
                <w:b/>
                <w:sz w:val="18"/>
                <w:szCs w:val="18"/>
              </w:rPr>
            </w:pPr>
            <w:r w:rsidRPr="008E0CA4">
              <w:rPr>
                <w:b/>
                <w:sz w:val="18"/>
                <w:szCs w:val="18"/>
              </w:rPr>
              <w:t>Sex</w:t>
            </w:r>
          </w:p>
          <w:p w:rsidR="002C7916" w:rsidRPr="00FD04EB" w:rsidRDefault="002C7916" w:rsidP="002C7916">
            <w:pPr>
              <w:spacing w:line="276" w:lineRule="auto"/>
              <w:rPr>
                <w:sz w:val="18"/>
                <w:szCs w:val="18"/>
              </w:rPr>
            </w:pPr>
            <w:r>
              <w:rPr>
                <w:sz w:val="18"/>
                <w:szCs w:val="18"/>
              </w:rPr>
              <w:t xml:space="preserve">   % male</w:t>
            </w:r>
          </w:p>
        </w:tc>
        <w:tc>
          <w:tcPr>
            <w:tcW w:w="2003" w:type="dxa"/>
            <w:tcBorders>
              <w:top w:val="single" w:sz="18" w:space="0" w:color="auto"/>
              <w:left w:val="single" w:sz="4" w:space="0" w:color="auto"/>
            </w:tcBorders>
          </w:tcPr>
          <w:p w:rsidR="002C7916" w:rsidRDefault="002C7916" w:rsidP="002C7916">
            <w:pPr>
              <w:spacing w:line="276" w:lineRule="auto"/>
              <w:jc w:val="center"/>
              <w:rPr>
                <w:sz w:val="18"/>
                <w:szCs w:val="18"/>
              </w:rPr>
            </w:pPr>
          </w:p>
          <w:p w:rsidR="002C7916" w:rsidRPr="00FD04EB" w:rsidRDefault="002C7916" w:rsidP="002C7916">
            <w:pPr>
              <w:spacing w:line="276" w:lineRule="auto"/>
              <w:jc w:val="center"/>
              <w:rPr>
                <w:sz w:val="18"/>
                <w:szCs w:val="18"/>
              </w:rPr>
            </w:pPr>
            <w:r>
              <w:rPr>
                <w:sz w:val="18"/>
                <w:szCs w:val="18"/>
              </w:rPr>
              <w:t>42.5</w:t>
            </w:r>
          </w:p>
        </w:tc>
        <w:tc>
          <w:tcPr>
            <w:tcW w:w="2005" w:type="dxa"/>
            <w:tcBorders>
              <w:top w:val="single" w:sz="18" w:space="0" w:color="auto"/>
            </w:tcBorders>
          </w:tcPr>
          <w:p w:rsidR="002C7916" w:rsidRDefault="002C7916" w:rsidP="002C7916">
            <w:pPr>
              <w:spacing w:line="276" w:lineRule="auto"/>
              <w:jc w:val="center"/>
              <w:rPr>
                <w:sz w:val="18"/>
                <w:szCs w:val="18"/>
              </w:rPr>
            </w:pPr>
          </w:p>
          <w:p w:rsidR="002C7916" w:rsidRPr="00FD04EB" w:rsidRDefault="002C7916" w:rsidP="002C7916">
            <w:pPr>
              <w:spacing w:line="276" w:lineRule="auto"/>
              <w:jc w:val="center"/>
              <w:rPr>
                <w:sz w:val="18"/>
                <w:szCs w:val="18"/>
              </w:rPr>
            </w:pPr>
            <w:r>
              <w:rPr>
                <w:sz w:val="18"/>
                <w:szCs w:val="18"/>
              </w:rPr>
              <w:t>47.0</w:t>
            </w:r>
          </w:p>
        </w:tc>
        <w:tc>
          <w:tcPr>
            <w:tcW w:w="2005" w:type="dxa"/>
            <w:tcBorders>
              <w:top w:val="single" w:sz="18" w:space="0" w:color="auto"/>
            </w:tcBorders>
          </w:tcPr>
          <w:p w:rsidR="002C7916" w:rsidRDefault="002C7916" w:rsidP="002C7916">
            <w:pPr>
              <w:spacing w:line="276" w:lineRule="auto"/>
              <w:jc w:val="center"/>
              <w:rPr>
                <w:sz w:val="18"/>
                <w:szCs w:val="18"/>
              </w:rPr>
            </w:pPr>
          </w:p>
          <w:p w:rsidR="002C7916" w:rsidRPr="009E3657" w:rsidRDefault="002C7916" w:rsidP="002C7916">
            <w:pPr>
              <w:spacing w:line="276" w:lineRule="auto"/>
              <w:jc w:val="center"/>
              <w:rPr>
                <w:b/>
                <w:sz w:val="18"/>
                <w:szCs w:val="18"/>
              </w:rPr>
            </w:pPr>
            <w:r w:rsidRPr="009E3657">
              <w:rPr>
                <w:b/>
                <w:sz w:val="18"/>
                <w:szCs w:val="18"/>
              </w:rPr>
              <w:t>0.01</w:t>
            </w:r>
          </w:p>
        </w:tc>
      </w:tr>
      <w:tr w:rsidR="002C7916" w:rsidTr="002C7916">
        <w:trPr>
          <w:trHeight w:val="1247"/>
          <w:jc w:val="center"/>
        </w:trPr>
        <w:tc>
          <w:tcPr>
            <w:tcW w:w="2002" w:type="dxa"/>
            <w:tcBorders>
              <w:right w:val="single" w:sz="4" w:space="0" w:color="auto"/>
            </w:tcBorders>
          </w:tcPr>
          <w:p w:rsidR="002C7916" w:rsidRPr="001B6A24" w:rsidRDefault="002C7916" w:rsidP="002C7916">
            <w:pPr>
              <w:spacing w:line="276" w:lineRule="auto"/>
              <w:rPr>
                <w:sz w:val="18"/>
                <w:szCs w:val="18"/>
              </w:rPr>
            </w:pPr>
            <w:r w:rsidRPr="008E0CA4">
              <w:rPr>
                <w:b/>
                <w:sz w:val="18"/>
                <w:szCs w:val="18"/>
              </w:rPr>
              <w:t xml:space="preserve">Age at </w:t>
            </w:r>
            <w:proofErr w:type="spellStart"/>
            <w:r w:rsidRPr="008E0CA4">
              <w:rPr>
                <w:b/>
                <w:sz w:val="18"/>
                <w:szCs w:val="18"/>
              </w:rPr>
              <w:t>diagnosis</w:t>
            </w:r>
            <w:r>
              <w:rPr>
                <w:sz w:val="18"/>
                <w:szCs w:val="18"/>
                <w:vertAlign w:val="superscript"/>
              </w:rPr>
              <w:t>a</w:t>
            </w:r>
            <w:proofErr w:type="spellEnd"/>
            <w:r>
              <w:rPr>
                <w:sz w:val="18"/>
                <w:szCs w:val="18"/>
              </w:rPr>
              <w:t xml:space="preserve"> </w:t>
            </w:r>
            <w:r w:rsidRPr="001B6A24">
              <w:rPr>
                <w:b/>
                <w:sz w:val="18"/>
                <w:szCs w:val="18"/>
              </w:rPr>
              <w:t>(%)</w:t>
            </w:r>
          </w:p>
          <w:p w:rsidR="002C7916" w:rsidRDefault="002C7916" w:rsidP="002C7916">
            <w:pPr>
              <w:spacing w:line="276" w:lineRule="auto"/>
              <w:rPr>
                <w:sz w:val="18"/>
                <w:szCs w:val="18"/>
              </w:rPr>
            </w:pPr>
            <w:r>
              <w:rPr>
                <w:sz w:val="18"/>
                <w:szCs w:val="18"/>
              </w:rPr>
              <w:t xml:space="preserve">    A1</w:t>
            </w:r>
          </w:p>
          <w:p w:rsidR="002C7916" w:rsidRDefault="002C7916" w:rsidP="002C7916">
            <w:pPr>
              <w:spacing w:line="276" w:lineRule="auto"/>
              <w:rPr>
                <w:sz w:val="18"/>
                <w:szCs w:val="18"/>
              </w:rPr>
            </w:pPr>
            <w:r>
              <w:rPr>
                <w:sz w:val="18"/>
                <w:szCs w:val="18"/>
              </w:rPr>
              <w:t xml:space="preserve">    A2</w:t>
            </w:r>
          </w:p>
          <w:p w:rsidR="002C7916" w:rsidRPr="00FD04EB" w:rsidRDefault="002C7916" w:rsidP="002C7916">
            <w:pPr>
              <w:spacing w:line="276" w:lineRule="auto"/>
              <w:rPr>
                <w:sz w:val="18"/>
                <w:szCs w:val="18"/>
              </w:rPr>
            </w:pPr>
            <w:r>
              <w:rPr>
                <w:sz w:val="18"/>
                <w:szCs w:val="18"/>
              </w:rPr>
              <w:t xml:space="preserve">    A3</w:t>
            </w:r>
          </w:p>
        </w:tc>
        <w:tc>
          <w:tcPr>
            <w:tcW w:w="2003" w:type="dxa"/>
            <w:tcBorders>
              <w:left w:val="single" w:sz="4" w:space="0" w:color="auto"/>
            </w:tcBorders>
          </w:tcPr>
          <w:p w:rsidR="002C7916" w:rsidRDefault="002C7916" w:rsidP="002C7916">
            <w:pPr>
              <w:spacing w:line="276" w:lineRule="auto"/>
              <w:jc w:val="center"/>
              <w:rPr>
                <w:sz w:val="18"/>
                <w:szCs w:val="18"/>
              </w:rPr>
            </w:pPr>
          </w:p>
          <w:p w:rsidR="002C7916" w:rsidRDefault="002C7916" w:rsidP="002C7916">
            <w:pPr>
              <w:spacing w:line="276" w:lineRule="auto"/>
              <w:jc w:val="center"/>
              <w:rPr>
                <w:sz w:val="18"/>
                <w:szCs w:val="18"/>
              </w:rPr>
            </w:pPr>
            <w:r>
              <w:rPr>
                <w:sz w:val="18"/>
                <w:szCs w:val="18"/>
              </w:rPr>
              <w:t>0.5</w:t>
            </w:r>
          </w:p>
          <w:p w:rsidR="002C7916" w:rsidRDefault="002C7916" w:rsidP="002C7916">
            <w:pPr>
              <w:spacing w:line="276" w:lineRule="auto"/>
              <w:jc w:val="center"/>
              <w:rPr>
                <w:sz w:val="18"/>
                <w:szCs w:val="18"/>
              </w:rPr>
            </w:pPr>
            <w:r>
              <w:rPr>
                <w:sz w:val="18"/>
                <w:szCs w:val="18"/>
              </w:rPr>
              <w:t>44.8</w:t>
            </w:r>
          </w:p>
          <w:p w:rsidR="002C7916" w:rsidRPr="00FD04EB" w:rsidRDefault="002C7916" w:rsidP="002C7916">
            <w:pPr>
              <w:spacing w:line="276" w:lineRule="auto"/>
              <w:jc w:val="center"/>
              <w:rPr>
                <w:sz w:val="18"/>
                <w:szCs w:val="18"/>
              </w:rPr>
            </w:pPr>
            <w:r>
              <w:rPr>
                <w:sz w:val="18"/>
                <w:szCs w:val="18"/>
              </w:rPr>
              <w:t>54.8</w:t>
            </w:r>
          </w:p>
        </w:tc>
        <w:tc>
          <w:tcPr>
            <w:tcW w:w="2005" w:type="dxa"/>
          </w:tcPr>
          <w:p w:rsidR="002C7916" w:rsidRDefault="002C7916" w:rsidP="002C7916">
            <w:pPr>
              <w:spacing w:line="276" w:lineRule="auto"/>
              <w:jc w:val="center"/>
              <w:rPr>
                <w:sz w:val="18"/>
                <w:szCs w:val="18"/>
              </w:rPr>
            </w:pPr>
          </w:p>
          <w:p w:rsidR="002C7916" w:rsidRDefault="002C7916" w:rsidP="002C7916">
            <w:pPr>
              <w:spacing w:line="276" w:lineRule="auto"/>
              <w:jc w:val="center"/>
              <w:rPr>
                <w:sz w:val="18"/>
                <w:szCs w:val="18"/>
              </w:rPr>
            </w:pPr>
            <w:r>
              <w:rPr>
                <w:sz w:val="18"/>
                <w:szCs w:val="18"/>
              </w:rPr>
              <w:t>3.2</w:t>
            </w:r>
          </w:p>
          <w:p w:rsidR="002C7916" w:rsidRDefault="002C7916" w:rsidP="002C7916">
            <w:pPr>
              <w:spacing w:line="276" w:lineRule="auto"/>
              <w:jc w:val="center"/>
              <w:rPr>
                <w:sz w:val="18"/>
                <w:szCs w:val="18"/>
              </w:rPr>
            </w:pPr>
            <w:r>
              <w:rPr>
                <w:sz w:val="18"/>
                <w:szCs w:val="18"/>
              </w:rPr>
              <w:t>43.4</w:t>
            </w:r>
          </w:p>
          <w:p w:rsidR="002C7916" w:rsidRPr="00FD04EB" w:rsidRDefault="002C7916" w:rsidP="002C7916">
            <w:pPr>
              <w:spacing w:line="276" w:lineRule="auto"/>
              <w:jc w:val="center"/>
              <w:rPr>
                <w:sz w:val="18"/>
                <w:szCs w:val="18"/>
              </w:rPr>
            </w:pPr>
            <w:r>
              <w:rPr>
                <w:sz w:val="18"/>
                <w:szCs w:val="18"/>
              </w:rPr>
              <w:t>53.4</w:t>
            </w:r>
          </w:p>
        </w:tc>
        <w:tc>
          <w:tcPr>
            <w:tcW w:w="2005" w:type="dxa"/>
          </w:tcPr>
          <w:p w:rsidR="002C7916" w:rsidRDefault="002C7916" w:rsidP="002C7916">
            <w:pPr>
              <w:spacing w:line="276" w:lineRule="auto"/>
              <w:jc w:val="center"/>
              <w:rPr>
                <w:sz w:val="18"/>
                <w:szCs w:val="18"/>
              </w:rPr>
            </w:pPr>
          </w:p>
          <w:p w:rsidR="002C7916" w:rsidRPr="009E3657" w:rsidRDefault="002C7916" w:rsidP="002C7916">
            <w:pPr>
              <w:spacing w:line="276" w:lineRule="auto"/>
              <w:jc w:val="center"/>
              <w:rPr>
                <w:b/>
                <w:sz w:val="18"/>
                <w:szCs w:val="18"/>
              </w:rPr>
            </w:pPr>
            <w:r>
              <w:rPr>
                <w:b/>
                <w:sz w:val="18"/>
                <w:szCs w:val="18"/>
              </w:rPr>
              <w:t>&lt;</w:t>
            </w:r>
            <w:r w:rsidRPr="009E3657">
              <w:rPr>
                <w:b/>
                <w:sz w:val="18"/>
                <w:szCs w:val="18"/>
              </w:rPr>
              <w:t>0.0001</w:t>
            </w:r>
          </w:p>
          <w:p w:rsidR="002C7916" w:rsidRDefault="002C7916" w:rsidP="002C7916">
            <w:pPr>
              <w:spacing w:line="276" w:lineRule="auto"/>
              <w:jc w:val="center"/>
              <w:rPr>
                <w:sz w:val="18"/>
                <w:szCs w:val="18"/>
              </w:rPr>
            </w:pPr>
            <w:r>
              <w:rPr>
                <w:sz w:val="18"/>
                <w:szCs w:val="18"/>
              </w:rPr>
              <w:t>0.45</w:t>
            </w:r>
          </w:p>
          <w:p w:rsidR="002C7916" w:rsidRPr="00FD04EB" w:rsidRDefault="002C7916" w:rsidP="002C7916">
            <w:pPr>
              <w:spacing w:line="276" w:lineRule="auto"/>
              <w:jc w:val="center"/>
              <w:rPr>
                <w:sz w:val="18"/>
                <w:szCs w:val="18"/>
              </w:rPr>
            </w:pPr>
            <w:r>
              <w:rPr>
                <w:sz w:val="18"/>
                <w:szCs w:val="18"/>
              </w:rPr>
              <w:t>0.44</w:t>
            </w:r>
          </w:p>
        </w:tc>
      </w:tr>
      <w:tr w:rsidR="002C7916" w:rsidTr="002C7916">
        <w:trPr>
          <w:trHeight w:val="1508"/>
          <w:jc w:val="center"/>
        </w:trPr>
        <w:tc>
          <w:tcPr>
            <w:tcW w:w="2002" w:type="dxa"/>
            <w:tcBorders>
              <w:right w:val="single" w:sz="4" w:space="0" w:color="auto"/>
            </w:tcBorders>
          </w:tcPr>
          <w:p w:rsidR="002C7916" w:rsidRPr="001B6A24" w:rsidRDefault="002C7916" w:rsidP="002C7916">
            <w:pPr>
              <w:spacing w:line="276" w:lineRule="auto"/>
              <w:rPr>
                <w:b/>
                <w:sz w:val="18"/>
                <w:szCs w:val="18"/>
              </w:rPr>
            </w:pPr>
            <w:r w:rsidRPr="008E0CA4">
              <w:rPr>
                <w:b/>
                <w:sz w:val="18"/>
                <w:szCs w:val="18"/>
              </w:rPr>
              <w:t xml:space="preserve">BMI category at </w:t>
            </w:r>
            <w:proofErr w:type="spellStart"/>
            <w:r w:rsidRPr="008E0CA4">
              <w:rPr>
                <w:b/>
                <w:sz w:val="18"/>
                <w:szCs w:val="18"/>
              </w:rPr>
              <w:t>diagnosis</w:t>
            </w:r>
            <w:r>
              <w:rPr>
                <w:sz w:val="18"/>
                <w:szCs w:val="18"/>
                <w:vertAlign w:val="superscript"/>
              </w:rPr>
              <w:t>b</w:t>
            </w:r>
            <w:proofErr w:type="spellEnd"/>
            <w:r>
              <w:rPr>
                <w:sz w:val="18"/>
                <w:szCs w:val="18"/>
              </w:rPr>
              <w:t xml:space="preserve"> </w:t>
            </w:r>
            <w:r>
              <w:rPr>
                <w:b/>
                <w:sz w:val="18"/>
                <w:szCs w:val="18"/>
              </w:rPr>
              <w:t>(%)</w:t>
            </w:r>
          </w:p>
          <w:p w:rsidR="002C7916" w:rsidRDefault="002C7916" w:rsidP="002C7916">
            <w:pPr>
              <w:spacing w:line="276" w:lineRule="auto"/>
              <w:rPr>
                <w:sz w:val="18"/>
                <w:szCs w:val="18"/>
              </w:rPr>
            </w:pPr>
            <w:r>
              <w:rPr>
                <w:sz w:val="18"/>
                <w:szCs w:val="18"/>
              </w:rPr>
              <w:t xml:space="preserve">   Underweight</w:t>
            </w:r>
          </w:p>
          <w:p w:rsidR="002C7916" w:rsidRDefault="002C7916" w:rsidP="002C7916">
            <w:pPr>
              <w:spacing w:line="276" w:lineRule="auto"/>
              <w:rPr>
                <w:sz w:val="18"/>
                <w:szCs w:val="18"/>
              </w:rPr>
            </w:pPr>
            <w:r>
              <w:rPr>
                <w:sz w:val="18"/>
                <w:szCs w:val="18"/>
              </w:rPr>
              <w:t xml:space="preserve">   Normal</w:t>
            </w:r>
          </w:p>
          <w:p w:rsidR="002C7916" w:rsidRDefault="002C7916" w:rsidP="002C7916">
            <w:pPr>
              <w:spacing w:line="276" w:lineRule="auto"/>
              <w:rPr>
                <w:sz w:val="18"/>
                <w:szCs w:val="18"/>
              </w:rPr>
            </w:pPr>
            <w:r>
              <w:rPr>
                <w:sz w:val="18"/>
                <w:szCs w:val="18"/>
              </w:rPr>
              <w:t xml:space="preserve">   Overweight</w:t>
            </w:r>
          </w:p>
          <w:p w:rsidR="002C7916" w:rsidRPr="00FD04EB" w:rsidRDefault="002C7916" w:rsidP="002C7916">
            <w:pPr>
              <w:spacing w:line="276" w:lineRule="auto"/>
              <w:rPr>
                <w:sz w:val="18"/>
                <w:szCs w:val="18"/>
              </w:rPr>
            </w:pPr>
            <w:r>
              <w:rPr>
                <w:sz w:val="18"/>
                <w:szCs w:val="18"/>
              </w:rPr>
              <w:t xml:space="preserve">   Obese</w:t>
            </w:r>
          </w:p>
        </w:tc>
        <w:tc>
          <w:tcPr>
            <w:tcW w:w="2003" w:type="dxa"/>
            <w:tcBorders>
              <w:left w:val="single" w:sz="4" w:space="0" w:color="auto"/>
            </w:tcBorders>
          </w:tcPr>
          <w:p w:rsidR="002C7916" w:rsidRDefault="002C7916" w:rsidP="002C7916">
            <w:pPr>
              <w:spacing w:line="276" w:lineRule="auto"/>
              <w:jc w:val="center"/>
              <w:rPr>
                <w:sz w:val="18"/>
                <w:szCs w:val="18"/>
              </w:rPr>
            </w:pPr>
          </w:p>
          <w:p w:rsidR="002C7916" w:rsidRDefault="002C7916" w:rsidP="002C7916">
            <w:pPr>
              <w:spacing w:line="276" w:lineRule="auto"/>
              <w:jc w:val="center"/>
              <w:rPr>
                <w:sz w:val="18"/>
                <w:szCs w:val="18"/>
              </w:rPr>
            </w:pPr>
          </w:p>
          <w:p w:rsidR="002C7916" w:rsidRDefault="002C7916" w:rsidP="002C7916">
            <w:pPr>
              <w:spacing w:line="276" w:lineRule="auto"/>
              <w:jc w:val="center"/>
              <w:rPr>
                <w:sz w:val="18"/>
                <w:szCs w:val="18"/>
              </w:rPr>
            </w:pPr>
            <w:r>
              <w:rPr>
                <w:sz w:val="18"/>
                <w:szCs w:val="18"/>
              </w:rPr>
              <w:t>7.2</w:t>
            </w:r>
          </w:p>
          <w:p w:rsidR="002C7916" w:rsidRDefault="002C7916" w:rsidP="002C7916">
            <w:pPr>
              <w:spacing w:line="276" w:lineRule="auto"/>
              <w:jc w:val="center"/>
              <w:rPr>
                <w:sz w:val="18"/>
                <w:szCs w:val="18"/>
              </w:rPr>
            </w:pPr>
            <w:r>
              <w:rPr>
                <w:sz w:val="18"/>
                <w:szCs w:val="18"/>
              </w:rPr>
              <w:t>45.8</w:t>
            </w:r>
          </w:p>
          <w:p w:rsidR="002C7916" w:rsidRDefault="002C7916" w:rsidP="002C7916">
            <w:pPr>
              <w:spacing w:line="276" w:lineRule="auto"/>
              <w:jc w:val="center"/>
              <w:rPr>
                <w:sz w:val="18"/>
                <w:szCs w:val="18"/>
              </w:rPr>
            </w:pPr>
            <w:r>
              <w:rPr>
                <w:sz w:val="18"/>
                <w:szCs w:val="18"/>
              </w:rPr>
              <w:t>29.5</w:t>
            </w:r>
          </w:p>
          <w:p w:rsidR="002C7916" w:rsidRPr="00FD04EB" w:rsidRDefault="002C7916" w:rsidP="002C7916">
            <w:pPr>
              <w:spacing w:line="276" w:lineRule="auto"/>
              <w:jc w:val="center"/>
              <w:rPr>
                <w:sz w:val="18"/>
                <w:szCs w:val="18"/>
              </w:rPr>
            </w:pPr>
            <w:r>
              <w:rPr>
                <w:sz w:val="18"/>
                <w:szCs w:val="18"/>
              </w:rPr>
              <w:t>17.4</w:t>
            </w:r>
          </w:p>
        </w:tc>
        <w:tc>
          <w:tcPr>
            <w:tcW w:w="2005" w:type="dxa"/>
          </w:tcPr>
          <w:p w:rsidR="002C7916" w:rsidRDefault="002C7916" w:rsidP="002C7916">
            <w:pPr>
              <w:spacing w:line="276" w:lineRule="auto"/>
              <w:jc w:val="center"/>
              <w:rPr>
                <w:sz w:val="18"/>
                <w:szCs w:val="18"/>
              </w:rPr>
            </w:pPr>
          </w:p>
          <w:p w:rsidR="002C7916" w:rsidRDefault="002C7916" w:rsidP="002C7916">
            <w:pPr>
              <w:spacing w:line="276" w:lineRule="auto"/>
              <w:jc w:val="center"/>
              <w:rPr>
                <w:sz w:val="18"/>
                <w:szCs w:val="18"/>
              </w:rPr>
            </w:pPr>
          </w:p>
          <w:p w:rsidR="002C7916" w:rsidRDefault="002C7916" w:rsidP="002C7916">
            <w:pPr>
              <w:spacing w:line="276" w:lineRule="auto"/>
              <w:jc w:val="center"/>
              <w:rPr>
                <w:sz w:val="18"/>
                <w:szCs w:val="18"/>
              </w:rPr>
            </w:pPr>
            <w:r>
              <w:rPr>
                <w:sz w:val="18"/>
                <w:szCs w:val="18"/>
              </w:rPr>
              <w:t>7.3</w:t>
            </w:r>
          </w:p>
          <w:p w:rsidR="002C7916" w:rsidRDefault="002C7916" w:rsidP="002C7916">
            <w:pPr>
              <w:spacing w:line="276" w:lineRule="auto"/>
              <w:jc w:val="center"/>
              <w:rPr>
                <w:sz w:val="18"/>
                <w:szCs w:val="18"/>
              </w:rPr>
            </w:pPr>
            <w:r>
              <w:rPr>
                <w:sz w:val="18"/>
                <w:szCs w:val="18"/>
              </w:rPr>
              <w:t>44.5</w:t>
            </w:r>
          </w:p>
          <w:p w:rsidR="002C7916" w:rsidRDefault="002C7916" w:rsidP="002C7916">
            <w:pPr>
              <w:spacing w:line="276" w:lineRule="auto"/>
              <w:jc w:val="center"/>
              <w:rPr>
                <w:sz w:val="18"/>
                <w:szCs w:val="18"/>
              </w:rPr>
            </w:pPr>
            <w:r>
              <w:rPr>
                <w:sz w:val="18"/>
                <w:szCs w:val="18"/>
              </w:rPr>
              <w:t>29.0</w:t>
            </w:r>
          </w:p>
          <w:p w:rsidR="002C7916" w:rsidRPr="00FD04EB" w:rsidRDefault="002C7916" w:rsidP="002C7916">
            <w:pPr>
              <w:spacing w:line="276" w:lineRule="auto"/>
              <w:jc w:val="center"/>
              <w:rPr>
                <w:sz w:val="18"/>
                <w:szCs w:val="18"/>
              </w:rPr>
            </w:pPr>
            <w:r>
              <w:rPr>
                <w:sz w:val="18"/>
                <w:szCs w:val="18"/>
              </w:rPr>
              <w:t>19.2</w:t>
            </w:r>
          </w:p>
        </w:tc>
        <w:tc>
          <w:tcPr>
            <w:tcW w:w="2005" w:type="dxa"/>
          </w:tcPr>
          <w:p w:rsidR="002C7916" w:rsidRDefault="002C7916" w:rsidP="002C7916">
            <w:pPr>
              <w:spacing w:line="276" w:lineRule="auto"/>
              <w:jc w:val="center"/>
              <w:rPr>
                <w:sz w:val="18"/>
                <w:szCs w:val="18"/>
              </w:rPr>
            </w:pPr>
          </w:p>
          <w:p w:rsidR="002C7916" w:rsidRDefault="002C7916" w:rsidP="002C7916">
            <w:pPr>
              <w:spacing w:line="276" w:lineRule="auto"/>
              <w:jc w:val="center"/>
              <w:rPr>
                <w:sz w:val="18"/>
                <w:szCs w:val="18"/>
              </w:rPr>
            </w:pPr>
          </w:p>
          <w:p w:rsidR="002C7916" w:rsidRDefault="002C7916" w:rsidP="002C7916">
            <w:pPr>
              <w:spacing w:line="276" w:lineRule="auto"/>
              <w:jc w:val="center"/>
              <w:rPr>
                <w:sz w:val="18"/>
                <w:szCs w:val="18"/>
              </w:rPr>
            </w:pPr>
            <w:r>
              <w:rPr>
                <w:sz w:val="18"/>
                <w:szCs w:val="18"/>
              </w:rPr>
              <w:t>0.93</w:t>
            </w:r>
          </w:p>
          <w:p w:rsidR="002C7916" w:rsidRDefault="002C7916" w:rsidP="002C7916">
            <w:pPr>
              <w:spacing w:line="276" w:lineRule="auto"/>
              <w:jc w:val="center"/>
              <w:rPr>
                <w:sz w:val="18"/>
                <w:szCs w:val="18"/>
              </w:rPr>
            </w:pPr>
            <w:r>
              <w:rPr>
                <w:sz w:val="18"/>
                <w:szCs w:val="18"/>
              </w:rPr>
              <w:t>0.57</w:t>
            </w:r>
          </w:p>
          <w:p w:rsidR="002C7916" w:rsidRDefault="002C7916" w:rsidP="002C7916">
            <w:pPr>
              <w:spacing w:line="276" w:lineRule="auto"/>
              <w:jc w:val="center"/>
              <w:rPr>
                <w:sz w:val="18"/>
                <w:szCs w:val="18"/>
              </w:rPr>
            </w:pPr>
            <w:r>
              <w:rPr>
                <w:sz w:val="18"/>
                <w:szCs w:val="18"/>
              </w:rPr>
              <w:t>0.80</w:t>
            </w:r>
          </w:p>
          <w:p w:rsidR="002C7916" w:rsidRPr="00FD04EB" w:rsidRDefault="002C7916" w:rsidP="002C7916">
            <w:pPr>
              <w:spacing w:line="276" w:lineRule="auto"/>
              <w:jc w:val="center"/>
              <w:rPr>
                <w:sz w:val="18"/>
                <w:szCs w:val="18"/>
              </w:rPr>
            </w:pPr>
            <w:r>
              <w:rPr>
                <w:sz w:val="18"/>
                <w:szCs w:val="18"/>
              </w:rPr>
              <w:t>0.33</w:t>
            </w:r>
          </w:p>
        </w:tc>
      </w:tr>
      <w:tr w:rsidR="002C7916" w:rsidTr="002C7916">
        <w:trPr>
          <w:trHeight w:val="1508"/>
          <w:jc w:val="center"/>
        </w:trPr>
        <w:tc>
          <w:tcPr>
            <w:tcW w:w="2002" w:type="dxa"/>
            <w:tcBorders>
              <w:right w:val="single" w:sz="4" w:space="0" w:color="auto"/>
            </w:tcBorders>
          </w:tcPr>
          <w:p w:rsidR="002C7916" w:rsidRPr="001B6A24" w:rsidRDefault="002C7916" w:rsidP="002C7916">
            <w:pPr>
              <w:spacing w:line="276" w:lineRule="auto"/>
              <w:rPr>
                <w:b/>
                <w:sz w:val="18"/>
                <w:szCs w:val="18"/>
              </w:rPr>
            </w:pPr>
            <w:r w:rsidRPr="008E0CA4">
              <w:rPr>
                <w:b/>
                <w:sz w:val="18"/>
                <w:szCs w:val="18"/>
              </w:rPr>
              <w:t xml:space="preserve">Social </w:t>
            </w:r>
            <w:proofErr w:type="spellStart"/>
            <w:r>
              <w:rPr>
                <w:b/>
                <w:sz w:val="18"/>
                <w:szCs w:val="18"/>
              </w:rPr>
              <w:t>deprivation</w:t>
            </w:r>
            <w:r>
              <w:rPr>
                <w:sz w:val="18"/>
                <w:szCs w:val="18"/>
                <w:vertAlign w:val="superscript"/>
              </w:rPr>
              <w:t>c</w:t>
            </w:r>
            <w:proofErr w:type="spellEnd"/>
            <w:r>
              <w:rPr>
                <w:sz w:val="18"/>
                <w:szCs w:val="18"/>
              </w:rPr>
              <w:t xml:space="preserve"> </w:t>
            </w:r>
            <w:r>
              <w:rPr>
                <w:b/>
                <w:sz w:val="18"/>
                <w:szCs w:val="18"/>
              </w:rPr>
              <w:t>(%)</w:t>
            </w:r>
          </w:p>
          <w:p w:rsidR="002C7916" w:rsidRDefault="002C7916" w:rsidP="002C7916">
            <w:pPr>
              <w:spacing w:line="276" w:lineRule="auto"/>
              <w:rPr>
                <w:sz w:val="18"/>
                <w:szCs w:val="18"/>
              </w:rPr>
            </w:pPr>
            <w:r>
              <w:rPr>
                <w:sz w:val="18"/>
                <w:szCs w:val="18"/>
              </w:rPr>
              <w:t xml:space="preserve">   IMD 1</w:t>
            </w:r>
          </w:p>
          <w:p w:rsidR="002C7916" w:rsidRDefault="002C7916" w:rsidP="002C7916">
            <w:pPr>
              <w:spacing w:line="276" w:lineRule="auto"/>
              <w:rPr>
                <w:sz w:val="18"/>
                <w:szCs w:val="18"/>
              </w:rPr>
            </w:pPr>
            <w:r>
              <w:rPr>
                <w:sz w:val="18"/>
                <w:szCs w:val="18"/>
              </w:rPr>
              <w:t xml:space="preserve">   IMD 2</w:t>
            </w:r>
          </w:p>
          <w:p w:rsidR="002C7916" w:rsidRDefault="002C7916" w:rsidP="002C7916">
            <w:pPr>
              <w:spacing w:line="276" w:lineRule="auto"/>
              <w:rPr>
                <w:sz w:val="18"/>
                <w:szCs w:val="18"/>
              </w:rPr>
            </w:pPr>
            <w:r>
              <w:rPr>
                <w:sz w:val="18"/>
                <w:szCs w:val="18"/>
              </w:rPr>
              <w:t xml:space="preserve">   IMD 3</w:t>
            </w:r>
          </w:p>
          <w:p w:rsidR="002C7916" w:rsidRDefault="002C7916" w:rsidP="002C7916">
            <w:pPr>
              <w:spacing w:line="276" w:lineRule="auto"/>
              <w:rPr>
                <w:sz w:val="18"/>
                <w:szCs w:val="18"/>
              </w:rPr>
            </w:pPr>
            <w:r>
              <w:rPr>
                <w:sz w:val="18"/>
                <w:szCs w:val="18"/>
              </w:rPr>
              <w:t xml:space="preserve">   IMD 4</w:t>
            </w:r>
          </w:p>
          <w:p w:rsidR="002C7916" w:rsidRPr="00FD04EB" w:rsidRDefault="002C7916" w:rsidP="002C7916">
            <w:pPr>
              <w:spacing w:line="276" w:lineRule="auto"/>
              <w:rPr>
                <w:sz w:val="18"/>
                <w:szCs w:val="18"/>
              </w:rPr>
            </w:pPr>
            <w:r>
              <w:rPr>
                <w:sz w:val="18"/>
                <w:szCs w:val="18"/>
              </w:rPr>
              <w:t xml:space="preserve">   IMD 5</w:t>
            </w:r>
          </w:p>
        </w:tc>
        <w:tc>
          <w:tcPr>
            <w:tcW w:w="2003" w:type="dxa"/>
            <w:tcBorders>
              <w:left w:val="single" w:sz="4" w:space="0" w:color="auto"/>
            </w:tcBorders>
          </w:tcPr>
          <w:p w:rsidR="002C7916" w:rsidRDefault="002C7916" w:rsidP="002C7916">
            <w:pPr>
              <w:spacing w:line="276" w:lineRule="auto"/>
              <w:jc w:val="center"/>
              <w:rPr>
                <w:sz w:val="18"/>
                <w:szCs w:val="18"/>
              </w:rPr>
            </w:pPr>
          </w:p>
          <w:p w:rsidR="002C7916" w:rsidRDefault="002C7916" w:rsidP="002C7916">
            <w:pPr>
              <w:spacing w:line="276" w:lineRule="auto"/>
              <w:jc w:val="center"/>
              <w:rPr>
                <w:sz w:val="18"/>
                <w:szCs w:val="18"/>
              </w:rPr>
            </w:pPr>
            <w:r>
              <w:rPr>
                <w:sz w:val="18"/>
                <w:szCs w:val="18"/>
              </w:rPr>
              <w:t>13.6</w:t>
            </w:r>
          </w:p>
          <w:p w:rsidR="002C7916" w:rsidRDefault="002C7916" w:rsidP="002C7916">
            <w:pPr>
              <w:spacing w:line="276" w:lineRule="auto"/>
              <w:jc w:val="center"/>
              <w:rPr>
                <w:sz w:val="18"/>
                <w:szCs w:val="18"/>
              </w:rPr>
            </w:pPr>
            <w:r>
              <w:rPr>
                <w:sz w:val="18"/>
                <w:szCs w:val="18"/>
              </w:rPr>
              <w:t>21.2</w:t>
            </w:r>
          </w:p>
          <w:p w:rsidR="002C7916" w:rsidRDefault="002C7916" w:rsidP="002C7916">
            <w:pPr>
              <w:spacing w:line="276" w:lineRule="auto"/>
              <w:jc w:val="center"/>
              <w:rPr>
                <w:sz w:val="18"/>
                <w:szCs w:val="18"/>
              </w:rPr>
            </w:pPr>
            <w:r>
              <w:rPr>
                <w:sz w:val="18"/>
                <w:szCs w:val="18"/>
              </w:rPr>
              <w:t>21.8</w:t>
            </w:r>
          </w:p>
          <w:p w:rsidR="002C7916" w:rsidRDefault="002C7916" w:rsidP="002C7916">
            <w:pPr>
              <w:spacing w:line="276" w:lineRule="auto"/>
              <w:jc w:val="center"/>
              <w:rPr>
                <w:sz w:val="18"/>
                <w:szCs w:val="18"/>
              </w:rPr>
            </w:pPr>
            <w:r>
              <w:rPr>
                <w:sz w:val="18"/>
                <w:szCs w:val="18"/>
              </w:rPr>
              <w:t>23.8</w:t>
            </w:r>
          </w:p>
          <w:p w:rsidR="002C7916" w:rsidRPr="00FD04EB" w:rsidRDefault="002C7916" w:rsidP="002C7916">
            <w:pPr>
              <w:spacing w:line="276" w:lineRule="auto"/>
              <w:jc w:val="center"/>
              <w:rPr>
                <w:sz w:val="18"/>
                <w:szCs w:val="18"/>
              </w:rPr>
            </w:pPr>
            <w:r>
              <w:rPr>
                <w:sz w:val="18"/>
                <w:szCs w:val="18"/>
              </w:rPr>
              <w:t>19.5</w:t>
            </w:r>
          </w:p>
        </w:tc>
        <w:tc>
          <w:tcPr>
            <w:tcW w:w="2005" w:type="dxa"/>
          </w:tcPr>
          <w:p w:rsidR="002C7916" w:rsidRDefault="002C7916" w:rsidP="002C7916">
            <w:pPr>
              <w:spacing w:line="276" w:lineRule="auto"/>
              <w:jc w:val="center"/>
              <w:rPr>
                <w:sz w:val="18"/>
                <w:szCs w:val="18"/>
              </w:rPr>
            </w:pPr>
          </w:p>
          <w:p w:rsidR="002C7916" w:rsidRDefault="002C7916" w:rsidP="002C7916">
            <w:pPr>
              <w:spacing w:line="276" w:lineRule="auto"/>
              <w:jc w:val="center"/>
              <w:rPr>
                <w:sz w:val="18"/>
                <w:szCs w:val="18"/>
              </w:rPr>
            </w:pPr>
            <w:r>
              <w:rPr>
                <w:sz w:val="18"/>
                <w:szCs w:val="18"/>
              </w:rPr>
              <w:t>25.3</w:t>
            </w:r>
          </w:p>
          <w:p w:rsidR="002C7916" w:rsidRDefault="002C7916" w:rsidP="002C7916">
            <w:pPr>
              <w:spacing w:line="276" w:lineRule="auto"/>
              <w:jc w:val="center"/>
              <w:rPr>
                <w:sz w:val="18"/>
                <w:szCs w:val="18"/>
              </w:rPr>
            </w:pPr>
            <w:r>
              <w:rPr>
                <w:sz w:val="18"/>
                <w:szCs w:val="18"/>
              </w:rPr>
              <w:t>23.2</w:t>
            </w:r>
          </w:p>
          <w:p w:rsidR="002C7916" w:rsidRDefault="002C7916" w:rsidP="002C7916">
            <w:pPr>
              <w:spacing w:line="276" w:lineRule="auto"/>
              <w:jc w:val="center"/>
              <w:rPr>
                <w:sz w:val="18"/>
                <w:szCs w:val="18"/>
              </w:rPr>
            </w:pPr>
            <w:r>
              <w:rPr>
                <w:sz w:val="18"/>
                <w:szCs w:val="18"/>
              </w:rPr>
              <w:t>19.5</w:t>
            </w:r>
          </w:p>
          <w:p w:rsidR="002C7916" w:rsidRDefault="002C7916" w:rsidP="002C7916">
            <w:pPr>
              <w:spacing w:line="276" w:lineRule="auto"/>
              <w:jc w:val="center"/>
              <w:rPr>
                <w:sz w:val="18"/>
                <w:szCs w:val="18"/>
              </w:rPr>
            </w:pPr>
            <w:r>
              <w:rPr>
                <w:sz w:val="18"/>
                <w:szCs w:val="18"/>
              </w:rPr>
              <w:t>18.2</w:t>
            </w:r>
          </w:p>
          <w:p w:rsidR="002C7916" w:rsidRPr="00FD04EB" w:rsidRDefault="002C7916" w:rsidP="002C7916">
            <w:pPr>
              <w:spacing w:line="276" w:lineRule="auto"/>
              <w:jc w:val="center"/>
              <w:rPr>
                <w:sz w:val="18"/>
                <w:szCs w:val="18"/>
              </w:rPr>
            </w:pPr>
            <w:r>
              <w:rPr>
                <w:sz w:val="18"/>
                <w:szCs w:val="18"/>
              </w:rPr>
              <w:t>13.7</w:t>
            </w:r>
          </w:p>
        </w:tc>
        <w:tc>
          <w:tcPr>
            <w:tcW w:w="2005" w:type="dxa"/>
          </w:tcPr>
          <w:p w:rsidR="002C7916" w:rsidRDefault="002C7916" w:rsidP="002C7916">
            <w:pPr>
              <w:spacing w:line="276" w:lineRule="auto"/>
              <w:jc w:val="center"/>
              <w:rPr>
                <w:sz w:val="18"/>
                <w:szCs w:val="18"/>
              </w:rPr>
            </w:pPr>
          </w:p>
          <w:p w:rsidR="002C7916" w:rsidRPr="009E3657" w:rsidRDefault="002C7916" w:rsidP="002C7916">
            <w:pPr>
              <w:spacing w:line="276" w:lineRule="auto"/>
              <w:jc w:val="center"/>
              <w:rPr>
                <w:b/>
                <w:sz w:val="18"/>
                <w:szCs w:val="18"/>
              </w:rPr>
            </w:pPr>
            <w:r>
              <w:rPr>
                <w:b/>
                <w:sz w:val="18"/>
                <w:szCs w:val="18"/>
              </w:rPr>
              <w:t>&lt;</w:t>
            </w:r>
            <w:r w:rsidRPr="009E3657">
              <w:rPr>
                <w:b/>
                <w:sz w:val="18"/>
                <w:szCs w:val="18"/>
              </w:rPr>
              <w:t>0.0001</w:t>
            </w:r>
          </w:p>
          <w:p w:rsidR="002C7916" w:rsidRDefault="002C7916" w:rsidP="002C7916">
            <w:pPr>
              <w:spacing w:line="276" w:lineRule="auto"/>
              <w:jc w:val="center"/>
              <w:rPr>
                <w:sz w:val="18"/>
                <w:szCs w:val="18"/>
              </w:rPr>
            </w:pPr>
            <w:r>
              <w:rPr>
                <w:sz w:val="18"/>
                <w:szCs w:val="18"/>
              </w:rPr>
              <w:t>0.34</w:t>
            </w:r>
          </w:p>
          <w:p w:rsidR="002C7916" w:rsidRDefault="002C7916" w:rsidP="002C7916">
            <w:pPr>
              <w:spacing w:line="276" w:lineRule="auto"/>
              <w:jc w:val="center"/>
              <w:rPr>
                <w:sz w:val="18"/>
                <w:szCs w:val="18"/>
              </w:rPr>
            </w:pPr>
            <w:r>
              <w:rPr>
                <w:sz w:val="18"/>
                <w:szCs w:val="18"/>
              </w:rPr>
              <w:t>0.22</w:t>
            </w:r>
          </w:p>
          <w:p w:rsidR="002C7916" w:rsidRPr="009E3657" w:rsidRDefault="002C7916" w:rsidP="002C7916">
            <w:pPr>
              <w:spacing w:line="276" w:lineRule="auto"/>
              <w:jc w:val="center"/>
              <w:rPr>
                <w:b/>
                <w:sz w:val="18"/>
                <w:szCs w:val="18"/>
              </w:rPr>
            </w:pPr>
            <w:r w:rsidRPr="009E3657">
              <w:rPr>
                <w:b/>
                <w:sz w:val="18"/>
                <w:szCs w:val="18"/>
              </w:rPr>
              <w:t>0.003</w:t>
            </w:r>
          </w:p>
          <w:p w:rsidR="002C7916" w:rsidRPr="00FD04EB" w:rsidRDefault="002C7916" w:rsidP="002C7916">
            <w:pPr>
              <w:spacing w:line="276" w:lineRule="auto"/>
              <w:jc w:val="center"/>
              <w:rPr>
                <w:sz w:val="18"/>
                <w:szCs w:val="18"/>
              </w:rPr>
            </w:pPr>
            <w:r w:rsidRPr="009E3657">
              <w:rPr>
                <w:b/>
                <w:sz w:val="18"/>
                <w:szCs w:val="18"/>
              </w:rPr>
              <w:t>0.001</w:t>
            </w:r>
          </w:p>
        </w:tc>
      </w:tr>
      <w:tr w:rsidR="002C7916" w:rsidTr="002C7916">
        <w:trPr>
          <w:trHeight w:val="748"/>
          <w:jc w:val="center"/>
        </w:trPr>
        <w:tc>
          <w:tcPr>
            <w:tcW w:w="2002" w:type="dxa"/>
            <w:tcBorders>
              <w:right w:val="single" w:sz="4" w:space="0" w:color="auto"/>
            </w:tcBorders>
          </w:tcPr>
          <w:p w:rsidR="002C7916" w:rsidRPr="008E0CA4" w:rsidRDefault="002C7916" w:rsidP="002C7916">
            <w:pPr>
              <w:spacing w:line="276" w:lineRule="auto"/>
              <w:rPr>
                <w:b/>
                <w:sz w:val="18"/>
                <w:szCs w:val="18"/>
              </w:rPr>
            </w:pPr>
            <w:proofErr w:type="spellStart"/>
            <w:r>
              <w:rPr>
                <w:b/>
                <w:sz w:val="18"/>
                <w:szCs w:val="18"/>
              </w:rPr>
              <w:t>Co</w:t>
            </w:r>
            <w:r w:rsidRPr="008E0CA4">
              <w:rPr>
                <w:b/>
                <w:sz w:val="18"/>
                <w:szCs w:val="18"/>
              </w:rPr>
              <w:t>morbidities</w:t>
            </w:r>
            <w:proofErr w:type="spellEnd"/>
            <w:r>
              <w:rPr>
                <w:b/>
                <w:sz w:val="18"/>
                <w:szCs w:val="18"/>
              </w:rPr>
              <w:t xml:space="preserve"> (%)</w:t>
            </w:r>
          </w:p>
          <w:p w:rsidR="002C7916" w:rsidRPr="001D15AB" w:rsidRDefault="002C7916" w:rsidP="002C7916">
            <w:pPr>
              <w:spacing w:line="276" w:lineRule="auto"/>
              <w:rPr>
                <w:sz w:val="18"/>
                <w:szCs w:val="18"/>
                <w:vertAlign w:val="superscript"/>
              </w:rPr>
            </w:pPr>
            <w:r>
              <w:rPr>
                <w:sz w:val="18"/>
                <w:szCs w:val="18"/>
              </w:rPr>
              <w:t xml:space="preserve">   </w:t>
            </w:r>
            <w:proofErr w:type="spellStart"/>
            <w:r>
              <w:rPr>
                <w:sz w:val="18"/>
                <w:szCs w:val="18"/>
              </w:rPr>
              <w:t>IBS</w:t>
            </w:r>
            <w:r>
              <w:rPr>
                <w:sz w:val="18"/>
                <w:szCs w:val="18"/>
                <w:vertAlign w:val="superscript"/>
              </w:rPr>
              <w:t>d</w:t>
            </w:r>
            <w:proofErr w:type="spellEnd"/>
          </w:p>
          <w:p w:rsidR="002C7916" w:rsidRPr="001D15AB" w:rsidRDefault="002C7916" w:rsidP="002C7916">
            <w:pPr>
              <w:spacing w:line="276" w:lineRule="auto"/>
              <w:rPr>
                <w:sz w:val="18"/>
                <w:szCs w:val="18"/>
                <w:vertAlign w:val="superscript"/>
              </w:rPr>
            </w:pPr>
            <w:r>
              <w:rPr>
                <w:sz w:val="18"/>
                <w:szCs w:val="18"/>
              </w:rPr>
              <w:t xml:space="preserve">   </w:t>
            </w:r>
            <w:proofErr w:type="spellStart"/>
            <w:r>
              <w:rPr>
                <w:sz w:val="18"/>
                <w:szCs w:val="18"/>
              </w:rPr>
              <w:t>Depression</w:t>
            </w:r>
            <w:r>
              <w:rPr>
                <w:sz w:val="18"/>
                <w:szCs w:val="18"/>
                <w:vertAlign w:val="superscript"/>
              </w:rPr>
              <w:t>e</w:t>
            </w:r>
            <w:proofErr w:type="spellEnd"/>
          </w:p>
        </w:tc>
        <w:tc>
          <w:tcPr>
            <w:tcW w:w="2003" w:type="dxa"/>
            <w:tcBorders>
              <w:left w:val="single" w:sz="4" w:space="0" w:color="auto"/>
            </w:tcBorders>
          </w:tcPr>
          <w:p w:rsidR="002C7916" w:rsidRDefault="002C7916" w:rsidP="002C7916">
            <w:pPr>
              <w:spacing w:line="276" w:lineRule="auto"/>
              <w:jc w:val="center"/>
              <w:rPr>
                <w:sz w:val="18"/>
                <w:szCs w:val="18"/>
              </w:rPr>
            </w:pPr>
          </w:p>
          <w:p w:rsidR="002C7916" w:rsidRDefault="002C7916" w:rsidP="002C7916">
            <w:pPr>
              <w:spacing w:line="276" w:lineRule="auto"/>
              <w:jc w:val="center"/>
              <w:rPr>
                <w:sz w:val="18"/>
                <w:szCs w:val="18"/>
              </w:rPr>
            </w:pPr>
            <w:r>
              <w:rPr>
                <w:sz w:val="18"/>
                <w:szCs w:val="18"/>
              </w:rPr>
              <w:t>19.4</w:t>
            </w:r>
          </w:p>
          <w:p w:rsidR="002C7916" w:rsidRPr="00FD04EB" w:rsidRDefault="002C7916" w:rsidP="002C7916">
            <w:pPr>
              <w:spacing w:line="276" w:lineRule="auto"/>
              <w:jc w:val="center"/>
              <w:rPr>
                <w:sz w:val="18"/>
                <w:szCs w:val="18"/>
              </w:rPr>
            </w:pPr>
            <w:r>
              <w:rPr>
                <w:sz w:val="18"/>
                <w:szCs w:val="18"/>
              </w:rPr>
              <w:t>11.3</w:t>
            </w:r>
          </w:p>
        </w:tc>
        <w:tc>
          <w:tcPr>
            <w:tcW w:w="2005" w:type="dxa"/>
          </w:tcPr>
          <w:p w:rsidR="002C7916" w:rsidRDefault="002C7916" w:rsidP="002C7916">
            <w:pPr>
              <w:spacing w:line="276" w:lineRule="auto"/>
              <w:jc w:val="center"/>
              <w:rPr>
                <w:sz w:val="18"/>
                <w:szCs w:val="18"/>
              </w:rPr>
            </w:pPr>
          </w:p>
          <w:p w:rsidR="002C7916" w:rsidRDefault="002C7916" w:rsidP="002C7916">
            <w:pPr>
              <w:spacing w:line="276" w:lineRule="auto"/>
              <w:jc w:val="center"/>
              <w:rPr>
                <w:sz w:val="18"/>
                <w:szCs w:val="18"/>
              </w:rPr>
            </w:pPr>
            <w:r>
              <w:rPr>
                <w:sz w:val="18"/>
                <w:szCs w:val="18"/>
              </w:rPr>
              <w:t>18.4</w:t>
            </w:r>
          </w:p>
          <w:p w:rsidR="002C7916" w:rsidRPr="00FD04EB" w:rsidRDefault="002C7916" w:rsidP="002C7916">
            <w:pPr>
              <w:spacing w:line="276" w:lineRule="auto"/>
              <w:jc w:val="center"/>
              <w:rPr>
                <w:sz w:val="18"/>
                <w:szCs w:val="18"/>
              </w:rPr>
            </w:pPr>
            <w:r>
              <w:rPr>
                <w:sz w:val="18"/>
                <w:szCs w:val="18"/>
              </w:rPr>
              <w:t>7.1</w:t>
            </w:r>
          </w:p>
        </w:tc>
        <w:tc>
          <w:tcPr>
            <w:tcW w:w="2005" w:type="dxa"/>
          </w:tcPr>
          <w:p w:rsidR="002C7916" w:rsidRDefault="002C7916" w:rsidP="002C7916">
            <w:pPr>
              <w:spacing w:line="276" w:lineRule="auto"/>
              <w:jc w:val="center"/>
              <w:rPr>
                <w:sz w:val="18"/>
                <w:szCs w:val="18"/>
              </w:rPr>
            </w:pPr>
          </w:p>
          <w:p w:rsidR="002C7916" w:rsidRDefault="002C7916" w:rsidP="002C7916">
            <w:pPr>
              <w:jc w:val="center"/>
              <w:rPr>
                <w:sz w:val="18"/>
                <w:szCs w:val="18"/>
              </w:rPr>
            </w:pPr>
            <w:r>
              <w:rPr>
                <w:sz w:val="18"/>
                <w:szCs w:val="18"/>
              </w:rPr>
              <w:t>0.51</w:t>
            </w:r>
          </w:p>
          <w:p w:rsidR="002C7916" w:rsidRPr="009E3657" w:rsidRDefault="002C7916" w:rsidP="002C7916">
            <w:pPr>
              <w:jc w:val="center"/>
              <w:rPr>
                <w:b/>
                <w:sz w:val="18"/>
                <w:szCs w:val="18"/>
              </w:rPr>
            </w:pPr>
            <w:r>
              <w:rPr>
                <w:b/>
                <w:sz w:val="18"/>
                <w:szCs w:val="18"/>
              </w:rPr>
              <w:t>&lt;</w:t>
            </w:r>
            <w:r w:rsidRPr="009E3657">
              <w:rPr>
                <w:b/>
                <w:sz w:val="18"/>
                <w:szCs w:val="18"/>
              </w:rPr>
              <w:t>0.0001</w:t>
            </w:r>
          </w:p>
        </w:tc>
      </w:tr>
      <w:tr w:rsidR="002C7916" w:rsidTr="002C7916">
        <w:trPr>
          <w:trHeight w:val="761"/>
          <w:jc w:val="center"/>
        </w:trPr>
        <w:tc>
          <w:tcPr>
            <w:tcW w:w="2002" w:type="dxa"/>
            <w:tcBorders>
              <w:right w:val="single" w:sz="4" w:space="0" w:color="auto"/>
            </w:tcBorders>
          </w:tcPr>
          <w:p w:rsidR="002C7916" w:rsidRPr="001B6A24" w:rsidRDefault="002C7916" w:rsidP="002C7916">
            <w:pPr>
              <w:spacing w:line="276" w:lineRule="auto"/>
              <w:rPr>
                <w:b/>
                <w:sz w:val="18"/>
                <w:szCs w:val="18"/>
              </w:rPr>
            </w:pPr>
            <w:r w:rsidRPr="008E0CA4">
              <w:rPr>
                <w:b/>
                <w:sz w:val="18"/>
                <w:szCs w:val="18"/>
              </w:rPr>
              <w:t xml:space="preserve">Severity </w:t>
            </w:r>
            <w:proofErr w:type="spellStart"/>
            <w:r w:rsidRPr="008E0CA4">
              <w:rPr>
                <w:b/>
                <w:sz w:val="18"/>
                <w:szCs w:val="18"/>
              </w:rPr>
              <w:t>indices</w:t>
            </w:r>
            <w:r>
              <w:rPr>
                <w:sz w:val="18"/>
                <w:szCs w:val="18"/>
                <w:vertAlign w:val="superscript"/>
              </w:rPr>
              <w:t>f</w:t>
            </w:r>
            <w:proofErr w:type="spellEnd"/>
            <w:r>
              <w:rPr>
                <w:b/>
                <w:sz w:val="18"/>
                <w:szCs w:val="18"/>
              </w:rPr>
              <w:t xml:space="preserve"> (%)</w:t>
            </w:r>
          </w:p>
          <w:p w:rsidR="002C7916" w:rsidRDefault="002C7916" w:rsidP="002C7916">
            <w:pPr>
              <w:spacing w:line="276" w:lineRule="auto"/>
              <w:rPr>
                <w:sz w:val="18"/>
                <w:szCs w:val="18"/>
              </w:rPr>
            </w:pPr>
            <w:r>
              <w:rPr>
                <w:sz w:val="18"/>
                <w:szCs w:val="18"/>
              </w:rPr>
              <w:t xml:space="preserve">   BI score     0</w:t>
            </w:r>
          </w:p>
          <w:p w:rsidR="002C7916" w:rsidRDefault="002C7916" w:rsidP="002C7916">
            <w:pPr>
              <w:spacing w:line="276" w:lineRule="auto"/>
              <w:rPr>
                <w:sz w:val="18"/>
                <w:szCs w:val="18"/>
              </w:rPr>
            </w:pPr>
            <w:r>
              <w:rPr>
                <w:sz w:val="18"/>
                <w:szCs w:val="18"/>
                <w:vertAlign w:val="superscript"/>
              </w:rPr>
              <w:t xml:space="preserve">                               </w:t>
            </w:r>
            <w:r>
              <w:rPr>
                <w:sz w:val="18"/>
                <w:szCs w:val="18"/>
              </w:rPr>
              <w:t>1</w:t>
            </w:r>
          </w:p>
          <w:p w:rsidR="002C7916" w:rsidRDefault="002C7916" w:rsidP="002C7916">
            <w:pPr>
              <w:spacing w:line="276" w:lineRule="auto"/>
              <w:rPr>
                <w:sz w:val="18"/>
                <w:szCs w:val="18"/>
              </w:rPr>
            </w:pPr>
            <w:r>
              <w:rPr>
                <w:sz w:val="18"/>
                <w:szCs w:val="18"/>
              </w:rPr>
              <w:t xml:space="preserve">                      2</w:t>
            </w:r>
          </w:p>
          <w:p w:rsidR="002C7916" w:rsidRPr="00FD7CC7" w:rsidRDefault="002C7916" w:rsidP="002C7916">
            <w:pPr>
              <w:spacing w:line="276" w:lineRule="auto"/>
              <w:rPr>
                <w:sz w:val="18"/>
                <w:szCs w:val="18"/>
              </w:rPr>
            </w:pPr>
            <w:r>
              <w:rPr>
                <w:sz w:val="18"/>
                <w:szCs w:val="18"/>
              </w:rPr>
              <w:t xml:space="preserve">                      3</w:t>
            </w:r>
          </w:p>
        </w:tc>
        <w:tc>
          <w:tcPr>
            <w:tcW w:w="2003" w:type="dxa"/>
            <w:tcBorders>
              <w:left w:val="single" w:sz="4" w:space="0" w:color="auto"/>
            </w:tcBorders>
          </w:tcPr>
          <w:p w:rsidR="002C7916" w:rsidRDefault="002C7916" w:rsidP="002C7916">
            <w:pPr>
              <w:spacing w:line="276" w:lineRule="auto"/>
              <w:jc w:val="center"/>
              <w:rPr>
                <w:sz w:val="18"/>
                <w:szCs w:val="18"/>
              </w:rPr>
            </w:pPr>
          </w:p>
          <w:p w:rsidR="002C7916" w:rsidRDefault="002C7916" w:rsidP="002C7916">
            <w:pPr>
              <w:spacing w:line="276" w:lineRule="auto"/>
              <w:jc w:val="center"/>
              <w:rPr>
                <w:sz w:val="18"/>
                <w:szCs w:val="18"/>
              </w:rPr>
            </w:pPr>
            <w:r>
              <w:rPr>
                <w:sz w:val="18"/>
                <w:szCs w:val="18"/>
              </w:rPr>
              <w:t>37.7</w:t>
            </w:r>
          </w:p>
          <w:p w:rsidR="002C7916" w:rsidRDefault="002C7916" w:rsidP="002C7916">
            <w:pPr>
              <w:spacing w:line="276" w:lineRule="auto"/>
              <w:jc w:val="center"/>
              <w:rPr>
                <w:sz w:val="18"/>
                <w:szCs w:val="18"/>
              </w:rPr>
            </w:pPr>
            <w:r>
              <w:rPr>
                <w:sz w:val="18"/>
                <w:szCs w:val="18"/>
              </w:rPr>
              <w:t>42.7</w:t>
            </w:r>
          </w:p>
          <w:p w:rsidR="002C7916" w:rsidRDefault="002C7916" w:rsidP="002C7916">
            <w:pPr>
              <w:spacing w:line="276" w:lineRule="auto"/>
              <w:jc w:val="center"/>
              <w:rPr>
                <w:sz w:val="18"/>
                <w:szCs w:val="18"/>
              </w:rPr>
            </w:pPr>
            <w:r>
              <w:rPr>
                <w:sz w:val="18"/>
                <w:szCs w:val="18"/>
              </w:rPr>
              <w:t>19.3</w:t>
            </w:r>
          </w:p>
          <w:p w:rsidR="002C7916" w:rsidRPr="00FD04EB" w:rsidRDefault="002C7916" w:rsidP="002C7916">
            <w:pPr>
              <w:spacing w:line="276" w:lineRule="auto"/>
              <w:jc w:val="center"/>
              <w:rPr>
                <w:sz w:val="18"/>
                <w:szCs w:val="18"/>
              </w:rPr>
            </w:pPr>
            <w:r>
              <w:rPr>
                <w:sz w:val="18"/>
                <w:szCs w:val="18"/>
              </w:rPr>
              <w:t>0.3</w:t>
            </w:r>
          </w:p>
        </w:tc>
        <w:tc>
          <w:tcPr>
            <w:tcW w:w="2005" w:type="dxa"/>
          </w:tcPr>
          <w:p w:rsidR="002C7916" w:rsidRDefault="002C7916" w:rsidP="002C7916">
            <w:pPr>
              <w:spacing w:line="276" w:lineRule="auto"/>
              <w:jc w:val="center"/>
              <w:rPr>
                <w:sz w:val="18"/>
                <w:szCs w:val="18"/>
              </w:rPr>
            </w:pPr>
          </w:p>
          <w:p w:rsidR="002C7916" w:rsidRDefault="002C7916" w:rsidP="002C7916">
            <w:pPr>
              <w:spacing w:line="276" w:lineRule="auto"/>
              <w:jc w:val="center"/>
              <w:rPr>
                <w:sz w:val="18"/>
                <w:szCs w:val="18"/>
              </w:rPr>
            </w:pPr>
            <w:r>
              <w:rPr>
                <w:sz w:val="18"/>
                <w:szCs w:val="18"/>
              </w:rPr>
              <w:t>39.4</w:t>
            </w:r>
          </w:p>
          <w:p w:rsidR="002C7916" w:rsidRDefault="002C7916" w:rsidP="002C7916">
            <w:pPr>
              <w:spacing w:line="276" w:lineRule="auto"/>
              <w:jc w:val="center"/>
              <w:rPr>
                <w:sz w:val="18"/>
                <w:szCs w:val="18"/>
              </w:rPr>
            </w:pPr>
            <w:r>
              <w:rPr>
                <w:sz w:val="18"/>
                <w:szCs w:val="18"/>
              </w:rPr>
              <w:t>43.9</w:t>
            </w:r>
          </w:p>
          <w:p w:rsidR="002C7916" w:rsidRDefault="002C7916" w:rsidP="002C7916">
            <w:pPr>
              <w:spacing w:line="276" w:lineRule="auto"/>
              <w:jc w:val="center"/>
              <w:rPr>
                <w:sz w:val="18"/>
                <w:szCs w:val="18"/>
              </w:rPr>
            </w:pPr>
            <w:r>
              <w:rPr>
                <w:sz w:val="18"/>
                <w:szCs w:val="18"/>
              </w:rPr>
              <w:t>16.6</w:t>
            </w:r>
          </w:p>
          <w:p w:rsidR="002C7916" w:rsidRPr="00FD04EB" w:rsidRDefault="002C7916" w:rsidP="002C7916">
            <w:pPr>
              <w:spacing w:line="276" w:lineRule="auto"/>
              <w:jc w:val="center"/>
              <w:rPr>
                <w:sz w:val="18"/>
                <w:szCs w:val="18"/>
              </w:rPr>
            </w:pPr>
            <w:r>
              <w:rPr>
                <w:sz w:val="18"/>
                <w:szCs w:val="18"/>
              </w:rPr>
              <w:t>0.2</w:t>
            </w:r>
          </w:p>
        </w:tc>
        <w:tc>
          <w:tcPr>
            <w:tcW w:w="2005" w:type="dxa"/>
          </w:tcPr>
          <w:p w:rsidR="002C7916" w:rsidRDefault="002C7916" w:rsidP="002C7916">
            <w:pPr>
              <w:spacing w:line="276" w:lineRule="auto"/>
              <w:jc w:val="center"/>
              <w:rPr>
                <w:sz w:val="18"/>
                <w:szCs w:val="18"/>
              </w:rPr>
            </w:pPr>
          </w:p>
          <w:p w:rsidR="002C7916" w:rsidRDefault="002C7916" w:rsidP="002C7916">
            <w:pPr>
              <w:spacing w:line="276" w:lineRule="auto"/>
              <w:jc w:val="center"/>
              <w:rPr>
                <w:b/>
                <w:sz w:val="18"/>
                <w:szCs w:val="18"/>
              </w:rPr>
            </w:pPr>
          </w:p>
          <w:p w:rsidR="002C7916" w:rsidRPr="00FD7CC7" w:rsidRDefault="002C7916" w:rsidP="002C7916">
            <w:pPr>
              <w:spacing w:line="276" w:lineRule="auto"/>
              <w:jc w:val="center"/>
              <w:rPr>
                <w:sz w:val="18"/>
                <w:szCs w:val="18"/>
              </w:rPr>
            </w:pPr>
            <w:r w:rsidRPr="00FD7CC7">
              <w:rPr>
                <w:sz w:val="18"/>
                <w:szCs w:val="18"/>
              </w:rPr>
              <w:t>0.27</w:t>
            </w:r>
          </w:p>
        </w:tc>
      </w:tr>
    </w:tbl>
    <w:p w:rsidR="00970569" w:rsidRDefault="00970569" w:rsidP="00970569">
      <w:pPr>
        <w:jc w:val="both"/>
        <w:rPr>
          <w:sz w:val="18"/>
          <w:szCs w:val="18"/>
        </w:rPr>
      </w:pPr>
      <w:r>
        <w:rPr>
          <w:sz w:val="18"/>
          <w:szCs w:val="18"/>
        </w:rPr>
        <w:t>a - Age at diagnosis categories as per Montreal classification (A1 &lt;17 years, A2 17-40, A3 &gt;40 years)</w:t>
      </w:r>
    </w:p>
    <w:p w:rsidR="00970569" w:rsidRDefault="00970569" w:rsidP="00970569">
      <w:pPr>
        <w:jc w:val="both"/>
        <w:rPr>
          <w:sz w:val="18"/>
          <w:szCs w:val="18"/>
        </w:rPr>
      </w:pPr>
      <w:r>
        <w:rPr>
          <w:sz w:val="18"/>
          <w:szCs w:val="18"/>
        </w:rPr>
        <w:t xml:space="preserve">b - BMI (Body Mass index) - calculated as the closest BMI recording within one year of </w:t>
      </w:r>
      <w:proofErr w:type="spellStart"/>
      <w:r>
        <w:rPr>
          <w:sz w:val="18"/>
          <w:szCs w:val="18"/>
        </w:rPr>
        <w:t>Crohn's</w:t>
      </w:r>
      <w:proofErr w:type="spellEnd"/>
      <w:r>
        <w:rPr>
          <w:sz w:val="18"/>
          <w:szCs w:val="18"/>
        </w:rPr>
        <w:t xml:space="preserve"> diagnosis. Data available for 58% of patients</w:t>
      </w:r>
    </w:p>
    <w:p w:rsidR="00970569" w:rsidRDefault="00970569" w:rsidP="00970569">
      <w:pPr>
        <w:jc w:val="both"/>
        <w:rPr>
          <w:sz w:val="18"/>
          <w:szCs w:val="18"/>
        </w:rPr>
      </w:pPr>
      <w:r>
        <w:rPr>
          <w:sz w:val="18"/>
          <w:szCs w:val="18"/>
        </w:rPr>
        <w:t xml:space="preserve">c - IMD </w:t>
      </w:r>
      <w:r w:rsidR="00B1456D">
        <w:rPr>
          <w:sz w:val="18"/>
          <w:szCs w:val="18"/>
        </w:rPr>
        <w:t>(Index of Multiple Deprivation)</w:t>
      </w:r>
    </w:p>
    <w:p w:rsidR="00970569" w:rsidRDefault="00970569" w:rsidP="00970569">
      <w:pPr>
        <w:jc w:val="both"/>
        <w:rPr>
          <w:sz w:val="18"/>
          <w:szCs w:val="18"/>
        </w:rPr>
      </w:pPr>
      <w:r>
        <w:rPr>
          <w:sz w:val="18"/>
          <w:szCs w:val="18"/>
        </w:rPr>
        <w:t>d - IBS (Irritable Bowel Syndrome) - co-diagnosis considered as any patient with a defined Read code for IBS in records</w:t>
      </w:r>
    </w:p>
    <w:p w:rsidR="00970569" w:rsidRDefault="00970569" w:rsidP="00970569">
      <w:pPr>
        <w:jc w:val="both"/>
        <w:rPr>
          <w:sz w:val="18"/>
          <w:szCs w:val="18"/>
        </w:rPr>
      </w:pPr>
      <w:r>
        <w:rPr>
          <w:sz w:val="18"/>
          <w:szCs w:val="18"/>
        </w:rPr>
        <w:t>e - Co-diagnosis of depression considered if patient had any Read code for depressive illness in CPRD record</w:t>
      </w:r>
    </w:p>
    <w:p w:rsidR="00970569" w:rsidRDefault="00970569" w:rsidP="00970569">
      <w:pPr>
        <w:jc w:val="both"/>
        <w:rPr>
          <w:sz w:val="18"/>
          <w:szCs w:val="18"/>
        </w:rPr>
      </w:pPr>
      <w:r>
        <w:rPr>
          <w:sz w:val="18"/>
          <w:szCs w:val="18"/>
        </w:rPr>
        <w:t>f - BI (</w:t>
      </w:r>
      <w:proofErr w:type="spellStart"/>
      <w:r>
        <w:rPr>
          <w:sz w:val="18"/>
          <w:szCs w:val="18"/>
        </w:rPr>
        <w:t>Beaugerie</w:t>
      </w:r>
      <w:proofErr w:type="spellEnd"/>
      <w:r>
        <w:rPr>
          <w:sz w:val="18"/>
          <w:szCs w:val="18"/>
        </w:rPr>
        <w:t xml:space="preserve"> index) - BI score of 2 or more associated with disabling disease course. Please see methodology </w:t>
      </w:r>
      <w:r w:rsidR="00B1456D">
        <w:rPr>
          <w:sz w:val="18"/>
          <w:szCs w:val="18"/>
        </w:rPr>
        <w:t>for detailed description of the</w:t>
      </w:r>
      <w:r>
        <w:rPr>
          <w:sz w:val="18"/>
          <w:szCs w:val="18"/>
        </w:rPr>
        <w:t xml:space="preserve"> indices</w:t>
      </w:r>
    </w:p>
    <w:p w:rsidR="00970569" w:rsidRPr="006B756B" w:rsidRDefault="00970569" w:rsidP="00970569">
      <w:pPr>
        <w:jc w:val="both"/>
        <w:rPr>
          <w:sz w:val="18"/>
          <w:szCs w:val="18"/>
        </w:rPr>
      </w:pPr>
    </w:p>
    <w:p w:rsidR="00C7416D" w:rsidRDefault="00C7416D" w:rsidP="00304057">
      <w:pPr>
        <w:spacing w:line="480" w:lineRule="auto"/>
        <w:rPr>
          <w:sz w:val="18"/>
          <w:szCs w:val="18"/>
        </w:rPr>
      </w:pPr>
    </w:p>
    <w:p w:rsidR="00C7416D" w:rsidRPr="00304057" w:rsidRDefault="00C7416D" w:rsidP="00304057">
      <w:pPr>
        <w:jc w:val="center"/>
        <w:rPr>
          <w:b/>
        </w:rPr>
      </w:pPr>
      <w:r>
        <w:rPr>
          <w:b/>
        </w:rPr>
        <w:lastRenderedPageBreak/>
        <w:t xml:space="preserve">Table 2: </w:t>
      </w:r>
      <w:r w:rsidRPr="005D2F18">
        <w:rPr>
          <w:b/>
        </w:rPr>
        <w:t xml:space="preserve">Steroid flares and steroid dependency in patients with </w:t>
      </w:r>
      <w:proofErr w:type="spellStart"/>
      <w:r w:rsidRPr="005D2F18">
        <w:rPr>
          <w:b/>
        </w:rPr>
        <w:t>Crohn's</w:t>
      </w:r>
      <w:proofErr w:type="spellEnd"/>
      <w:r w:rsidRPr="005D2F18">
        <w:rPr>
          <w:b/>
        </w:rPr>
        <w:t xml:space="preserve"> disease by smoking status at diagnosis</w:t>
      </w:r>
    </w:p>
    <w:tbl>
      <w:tblPr>
        <w:tblStyle w:val="TableGrid"/>
        <w:tblW w:w="0" w:type="auto"/>
        <w:jc w:val="center"/>
        <w:tblInd w:w="-560" w:type="dxa"/>
        <w:tblLook w:val="04A0"/>
      </w:tblPr>
      <w:tblGrid>
        <w:gridCol w:w="2795"/>
        <w:gridCol w:w="1417"/>
        <w:gridCol w:w="2126"/>
        <w:gridCol w:w="1560"/>
      </w:tblGrid>
      <w:tr w:rsidR="00C7416D" w:rsidTr="00970569">
        <w:trPr>
          <w:jc w:val="center"/>
        </w:trPr>
        <w:tc>
          <w:tcPr>
            <w:tcW w:w="2795" w:type="dxa"/>
            <w:tcBorders>
              <w:top w:val="nil"/>
              <w:left w:val="nil"/>
              <w:bottom w:val="single" w:sz="18" w:space="0" w:color="auto"/>
              <w:right w:val="single" w:sz="4" w:space="0" w:color="auto"/>
            </w:tcBorders>
          </w:tcPr>
          <w:p w:rsidR="00C7416D" w:rsidRDefault="00C7416D" w:rsidP="00CB35EF">
            <w:pPr>
              <w:spacing w:line="360" w:lineRule="auto"/>
            </w:pPr>
          </w:p>
        </w:tc>
        <w:tc>
          <w:tcPr>
            <w:tcW w:w="1417" w:type="dxa"/>
            <w:tcBorders>
              <w:left w:val="single" w:sz="4" w:space="0" w:color="auto"/>
              <w:bottom w:val="single" w:sz="18" w:space="0" w:color="auto"/>
            </w:tcBorders>
          </w:tcPr>
          <w:p w:rsidR="00C7416D" w:rsidRPr="00085658" w:rsidRDefault="007B2E59" w:rsidP="00CB35EF">
            <w:pPr>
              <w:spacing w:line="360" w:lineRule="auto"/>
              <w:jc w:val="center"/>
              <w:rPr>
                <w:b/>
              </w:rPr>
            </w:pPr>
            <w:r>
              <w:rPr>
                <w:b/>
              </w:rPr>
              <w:t>s</w:t>
            </w:r>
            <w:r w:rsidR="00C7416D" w:rsidRPr="00085658">
              <w:rPr>
                <w:b/>
              </w:rPr>
              <w:t>moker at diagnosis</w:t>
            </w:r>
          </w:p>
        </w:tc>
        <w:tc>
          <w:tcPr>
            <w:tcW w:w="2126" w:type="dxa"/>
            <w:tcBorders>
              <w:bottom w:val="single" w:sz="18" w:space="0" w:color="auto"/>
            </w:tcBorders>
          </w:tcPr>
          <w:p w:rsidR="00C7416D" w:rsidRPr="00085658" w:rsidRDefault="007B2E59" w:rsidP="00CB35EF">
            <w:pPr>
              <w:spacing w:line="360" w:lineRule="auto"/>
              <w:jc w:val="center"/>
              <w:rPr>
                <w:b/>
              </w:rPr>
            </w:pPr>
            <w:r>
              <w:rPr>
                <w:b/>
              </w:rPr>
              <w:t>n</w:t>
            </w:r>
            <w:r w:rsidR="00C7416D" w:rsidRPr="00085658">
              <w:rPr>
                <w:b/>
              </w:rPr>
              <w:t>on-smoker at diagnosis</w:t>
            </w:r>
          </w:p>
        </w:tc>
        <w:tc>
          <w:tcPr>
            <w:tcW w:w="1560" w:type="dxa"/>
            <w:tcBorders>
              <w:bottom w:val="single" w:sz="18" w:space="0" w:color="auto"/>
            </w:tcBorders>
          </w:tcPr>
          <w:p w:rsidR="00C7416D" w:rsidRPr="00085658" w:rsidRDefault="00C7416D" w:rsidP="00CB35EF">
            <w:pPr>
              <w:spacing w:line="360" w:lineRule="auto"/>
              <w:jc w:val="center"/>
              <w:rPr>
                <w:b/>
              </w:rPr>
            </w:pPr>
            <w:r w:rsidRPr="00085658">
              <w:rPr>
                <w:b/>
              </w:rPr>
              <w:t>p-value</w:t>
            </w:r>
          </w:p>
        </w:tc>
      </w:tr>
      <w:tr w:rsidR="00C7416D" w:rsidTr="00CB35EF">
        <w:trPr>
          <w:jc w:val="center"/>
        </w:trPr>
        <w:tc>
          <w:tcPr>
            <w:tcW w:w="2795" w:type="dxa"/>
            <w:tcBorders>
              <w:top w:val="single" w:sz="18" w:space="0" w:color="auto"/>
              <w:bottom w:val="single" w:sz="18" w:space="0" w:color="auto"/>
              <w:right w:val="single" w:sz="4" w:space="0" w:color="auto"/>
            </w:tcBorders>
          </w:tcPr>
          <w:p w:rsidR="00C7416D" w:rsidRPr="00085658" w:rsidRDefault="007B2E59" w:rsidP="00CB35EF">
            <w:pPr>
              <w:spacing w:line="360" w:lineRule="auto"/>
              <w:rPr>
                <w:b/>
              </w:rPr>
            </w:pPr>
            <w:r>
              <w:rPr>
                <w:b/>
              </w:rPr>
              <w:t>f</w:t>
            </w:r>
            <w:r w:rsidR="00C7416D" w:rsidRPr="00085658">
              <w:rPr>
                <w:b/>
              </w:rPr>
              <w:t>lares/y</w:t>
            </w:r>
            <w:r w:rsidR="00C7416D">
              <w:rPr>
                <w:b/>
              </w:rPr>
              <w:t>ea</w:t>
            </w:r>
            <w:r w:rsidR="00C7416D" w:rsidRPr="00085658">
              <w:rPr>
                <w:b/>
              </w:rPr>
              <w:t>r</w:t>
            </w:r>
            <w:r w:rsidR="00C7416D">
              <w:rPr>
                <w:b/>
              </w:rPr>
              <w:t>*</w:t>
            </w:r>
            <w:r w:rsidR="00970569">
              <w:rPr>
                <w:b/>
              </w:rPr>
              <w:t>(%)</w:t>
            </w:r>
          </w:p>
          <w:p w:rsidR="00C7416D" w:rsidRDefault="00C7416D" w:rsidP="00CB35EF">
            <w:pPr>
              <w:spacing w:line="360" w:lineRule="auto"/>
            </w:pPr>
            <w:r>
              <w:t xml:space="preserve">    0</w:t>
            </w:r>
          </w:p>
          <w:p w:rsidR="00C7416D" w:rsidRDefault="00970569" w:rsidP="00CB35EF">
            <w:pPr>
              <w:spacing w:line="360" w:lineRule="auto"/>
            </w:pPr>
            <w:r>
              <w:t xml:space="preserve">    0-1</w:t>
            </w:r>
          </w:p>
          <w:p w:rsidR="00C7416D" w:rsidRDefault="00C7416D" w:rsidP="00CB35EF">
            <w:pPr>
              <w:spacing w:line="360" w:lineRule="auto"/>
            </w:pPr>
            <w:r>
              <w:t xml:space="preserve">    &gt;1</w:t>
            </w:r>
          </w:p>
        </w:tc>
        <w:tc>
          <w:tcPr>
            <w:tcW w:w="1417" w:type="dxa"/>
            <w:tcBorders>
              <w:top w:val="single" w:sz="18" w:space="0" w:color="auto"/>
              <w:left w:val="single" w:sz="4" w:space="0" w:color="auto"/>
              <w:bottom w:val="single" w:sz="18" w:space="0" w:color="auto"/>
            </w:tcBorders>
          </w:tcPr>
          <w:p w:rsidR="00C7416D" w:rsidRDefault="00C7416D" w:rsidP="00CB35EF">
            <w:pPr>
              <w:spacing w:line="360" w:lineRule="auto"/>
              <w:jc w:val="center"/>
            </w:pPr>
          </w:p>
          <w:p w:rsidR="00C7416D" w:rsidRDefault="00970569" w:rsidP="00CB35EF">
            <w:pPr>
              <w:spacing w:line="360" w:lineRule="auto"/>
              <w:jc w:val="center"/>
            </w:pPr>
            <w:r>
              <w:t>42.9</w:t>
            </w:r>
          </w:p>
          <w:p w:rsidR="00C7416D" w:rsidRDefault="00970569" w:rsidP="00CB35EF">
            <w:pPr>
              <w:spacing w:line="360" w:lineRule="auto"/>
              <w:jc w:val="center"/>
            </w:pPr>
            <w:r>
              <w:t>47.8</w:t>
            </w:r>
          </w:p>
          <w:p w:rsidR="00C7416D" w:rsidRDefault="00970569" w:rsidP="00CB35EF">
            <w:pPr>
              <w:spacing w:line="360" w:lineRule="auto"/>
              <w:jc w:val="center"/>
            </w:pPr>
            <w:r>
              <w:t>9.3</w:t>
            </w:r>
          </w:p>
        </w:tc>
        <w:tc>
          <w:tcPr>
            <w:tcW w:w="2126" w:type="dxa"/>
            <w:tcBorders>
              <w:top w:val="single" w:sz="18" w:space="0" w:color="auto"/>
              <w:bottom w:val="single" w:sz="18" w:space="0" w:color="auto"/>
            </w:tcBorders>
          </w:tcPr>
          <w:p w:rsidR="00C7416D" w:rsidRDefault="00C7416D" w:rsidP="00CB35EF">
            <w:pPr>
              <w:spacing w:line="360" w:lineRule="auto"/>
              <w:jc w:val="center"/>
            </w:pPr>
          </w:p>
          <w:p w:rsidR="00C7416D" w:rsidRDefault="00C7416D" w:rsidP="00CB35EF">
            <w:pPr>
              <w:spacing w:line="360" w:lineRule="auto"/>
              <w:jc w:val="center"/>
            </w:pPr>
            <w:r>
              <w:t>51.</w:t>
            </w:r>
            <w:r w:rsidR="00970569">
              <w:t>4</w:t>
            </w:r>
          </w:p>
          <w:p w:rsidR="00C7416D" w:rsidRDefault="00970569" w:rsidP="00CB35EF">
            <w:pPr>
              <w:spacing w:line="360" w:lineRule="auto"/>
              <w:jc w:val="center"/>
            </w:pPr>
            <w:r>
              <w:t>42.7</w:t>
            </w:r>
          </w:p>
          <w:p w:rsidR="00C7416D" w:rsidRDefault="00970569" w:rsidP="00CB35EF">
            <w:pPr>
              <w:spacing w:line="360" w:lineRule="auto"/>
              <w:jc w:val="center"/>
            </w:pPr>
            <w:r>
              <w:t>6.0</w:t>
            </w:r>
          </w:p>
        </w:tc>
        <w:tc>
          <w:tcPr>
            <w:tcW w:w="1560" w:type="dxa"/>
            <w:tcBorders>
              <w:top w:val="single" w:sz="18" w:space="0" w:color="auto"/>
              <w:bottom w:val="single" w:sz="18" w:space="0" w:color="auto"/>
            </w:tcBorders>
          </w:tcPr>
          <w:p w:rsidR="00C7416D" w:rsidRDefault="00C7416D" w:rsidP="00CB35EF">
            <w:pPr>
              <w:spacing w:line="360" w:lineRule="auto"/>
              <w:jc w:val="center"/>
            </w:pPr>
          </w:p>
          <w:p w:rsidR="00C7416D" w:rsidRPr="00B10BD2" w:rsidRDefault="00C7416D" w:rsidP="00CB35EF">
            <w:pPr>
              <w:spacing w:line="360" w:lineRule="auto"/>
              <w:jc w:val="center"/>
              <w:rPr>
                <w:b/>
              </w:rPr>
            </w:pPr>
            <w:r>
              <w:rPr>
                <w:b/>
              </w:rPr>
              <w:t>&lt;</w:t>
            </w:r>
            <w:r w:rsidRPr="00B10BD2">
              <w:rPr>
                <w:b/>
              </w:rPr>
              <w:t>0.0001</w:t>
            </w:r>
          </w:p>
          <w:p w:rsidR="00C7416D" w:rsidRPr="00B10BD2" w:rsidRDefault="00C7416D" w:rsidP="00CB35EF">
            <w:pPr>
              <w:spacing w:line="360" w:lineRule="auto"/>
              <w:jc w:val="center"/>
              <w:rPr>
                <w:b/>
              </w:rPr>
            </w:pPr>
            <w:r w:rsidRPr="00B10BD2">
              <w:rPr>
                <w:b/>
              </w:rPr>
              <w:t>0.004</w:t>
            </w:r>
          </w:p>
          <w:p w:rsidR="00C7416D" w:rsidRDefault="00C7416D" w:rsidP="00CB35EF">
            <w:pPr>
              <w:spacing w:line="360" w:lineRule="auto"/>
              <w:jc w:val="center"/>
            </w:pPr>
            <w:r>
              <w:rPr>
                <w:b/>
              </w:rPr>
              <w:t>&lt;</w:t>
            </w:r>
            <w:r w:rsidRPr="00B10BD2">
              <w:rPr>
                <w:b/>
              </w:rPr>
              <w:t>0.0001</w:t>
            </w:r>
          </w:p>
        </w:tc>
      </w:tr>
      <w:tr w:rsidR="00C7416D" w:rsidTr="00CB35EF">
        <w:trPr>
          <w:jc w:val="center"/>
        </w:trPr>
        <w:tc>
          <w:tcPr>
            <w:tcW w:w="2795" w:type="dxa"/>
            <w:tcBorders>
              <w:top w:val="single" w:sz="18" w:space="0" w:color="auto"/>
              <w:right w:val="single" w:sz="4" w:space="0" w:color="auto"/>
            </w:tcBorders>
          </w:tcPr>
          <w:p w:rsidR="00CB35EF" w:rsidRDefault="00CB35EF" w:rsidP="00CB35EF">
            <w:pPr>
              <w:spacing w:line="360" w:lineRule="auto"/>
              <w:rPr>
                <w:b/>
              </w:rPr>
            </w:pPr>
          </w:p>
          <w:p w:rsidR="00C7416D" w:rsidRPr="00085658" w:rsidRDefault="007B2E59" w:rsidP="00CB35EF">
            <w:pPr>
              <w:spacing w:line="360" w:lineRule="auto"/>
              <w:rPr>
                <w:b/>
              </w:rPr>
            </w:pPr>
            <w:r>
              <w:rPr>
                <w:b/>
              </w:rPr>
              <w:t>s</w:t>
            </w:r>
            <w:r w:rsidR="00C7416D">
              <w:rPr>
                <w:b/>
              </w:rPr>
              <w:t>teroid dependency**</w:t>
            </w:r>
            <w:r w:rsidR="00970569">
              <w:rPr>
                <w:b/>
              </w:rPr>
              <w:t>(%)</w:t>
            </w:r>
          </w:p>
        </w:tc>
        <w:tc>
          <w:tcPr>
            <w:tcW w:w="1417" w:type="dxa"/>
            <w:tcBorders>
              <w:top w:val="single" w:sz="18" w:space="0" w:color="auto"/>
              <w:left w:val="single" w:sz="4" w:space="0" w:color="auto"/>
            </w:tcBorders>
          </w:tcPr>
          <w:p w:rsidR="00CB35EF" w:rsidRDefault="00CB35EF" w:rsidP="00CB35EF">
            <w:pPr>
              <w:spacing w:line="360" w:lineRule="auto"/>
              <w:jc w:val="center"/>
            </w:pPr>
          </w:p>
          <w:p w:rsidR="00C7416D" w:rsidRDefault="00970569" w:rsidP="00CB35EF">
            <w:pPr>
              <w:spacing w:line="360" w:lineRule="auto"/>
              <w:jc w:val="center"/>
            </w:pPr>
            <w:r>
              <w:t>27.4</w:t>
            </w:r>
          </w:p>
        </w:tc>
        <w:tc>
          <w:tcPr>
            <w:tcW w:w="2126" w:type="dxa"/>
            <w:tcBorders>
              <w:top w:val="single" w:sz="18" w:space="0" w:color="auto"/>
            </w:tcBorders>
          </w:tcPr>
          <w:p w:rsidR="00CB35EF" w:rsidRDefault="00CB35EF" w:rsidP="00CB35EF">
            <w:pPr>
              <w:spacing w:line="360" w:lineRule="auto"/>
              <w:jc w:val="center"/>
            </w:pPr>
          </w:p>
          <w:p w:rsidR="00C7416D" w:rsidRDefault="00970569" w:rsidP="00CB35EF">
            <w:pPr>
              <w:spacing w:line="360" w:lineRule="auto"/>
              <w:jc w:val="center"/>
            </w:pPr>
            <w:r>
              <w:t>20.8</w:t>
            </w:r>
          </w:p>
        </w:tc>
        <w:tc>
          <w:tcPr>
            <w:tcW w:w="1560" w:type="dxa"/>
            <w:tcBorders>
              <w:top w:val="single" w:sz="18" w:space="0" w:color="auto"/>
            </w:tcBorders>
          </w:tcPr>
          <w:p w:rsidR="00CB35EF" w:rsidRDefault="00CB35EF" w:rsidP="00CB35EF">
            <w:pPr>
              <w:spacing w:line="360" w:lineRule="auto"/>
              <w:jc w:val="center"/>
              <w:rPr>
                <w:b/>
              </w:rPr>
            </w:pPr>
          </w:p>
          <w:p w:rsidR="00C7416D" w:rsidRPr="00B10BD2" w:rsidRDefault="00C7416D" w:rsidP="00CB35EF">
            <w:pPr>
              <w:spacing w:line="360" w:lineRule="auto"/>
              <w:jc w:val="center"/>
              <w:rPr>
                <w:b/>
              </w:rPr>
            </w:pPr>
            <w:r>
              <w:rPr>
                <w:b/>
              </w:rPr>
              <w:t>&lt;</w:t>
            </w:r>
            <w:r w:rsidRPr="00B10BD2">
              <w:rPr>
                <w:b/>
              </w:rPr>
              <w:t>0.0001</w:t>
            </w:r>
          </w:p>
        </w:tc>
      </w:tr>
    </w:tbl>
    <w:p w:rsidR="00C7416D" w:rsidRDefault="00C7416D" w:rsidP="00304057">
      <w:pPr>
        <w:spacing w:line="480" w:lineRule="auto"/>
        <w:jc w:val="both"/>
      </w:pPr>
    </w:p>
    <w:p w:rsidR="00C7416D" w:rsidRPr="00F85350" w:rsidRDefault="00C7416D" w:rsidP="00304057">
      <w:pPr>
        <w:jc w:val="both"/>
        <w:rPr>
          <w:sz w:val="20"/>
          <w:szCs w:val="20"/>
        </w:rPr>
      </w:pPr>
      <w:r w:rsidRPr="00F85350">
        <w:rPr>
          <w:sz w:val="20"/>
          <w:szCs w:val="20"/>
        </w:rPr>
        <w:t xml:space="preserve">* a steroid flare was considered as the first steroid prescription (after a </w:t>
      </w:r>
      <w:proofErr w:type="spellStart"/>
      <w:r w:rsidRPr="00F85350">
        <w:rPr>
          <w:sz w:val="20"/>
          <w:szCs w:val="20"/>
        </w:rPr>
        <w:t>Crohn's</w:t>
      </w:r>
      <w:proofErr w:type="spellEnd"/>
      <w:r w:rsidRPr="00F85350">
        <w:rPr>
          <w:sz w:val="20"/>
          <w:szCs w:val="20"/>
        </w:rPr>
        <w:t xml:space="preserve"> diagnosis) and any other prescription for oral steroids following a 4 month time free of steroid prescription</w:t>
      </w:r>
    </w:p>
    <w:p w:rsidR="00C7416D" w:rsidRDefault="00C7416D" w:rsidP="00304057">
      <w:pPr>
        <w:jc w:val="both"/>
        <w:rPr>
          <w:sz w:val="20"/>
          <w:szCs w:val="20"/>
        </w:rPr>
      </w:pPr>
      <w:r w:rsidRPr="00F85350">
        <w:rPr>
          <w:sz w:val="20"/>
          <w:szCs w:val="20"/>
        </w:rPr>
        <w:t>** steroid dependency calculated as any patient with a repeat steroid prescription within 3 months of the end of a previous steroid prescription or patients with steroid prescriptions for greater than 3 months</w:t>
      </w:r>
    </w:p>
    <w:p w:rsidR="009E0D95" w:rsidRDefault="009E0D95" w:rsidP="00304057">
      <w:pPr>
        <w:spacing w:line="480" w:lineRule="auto"/>
        <w:rPr>
          <w:sz w:val="20"/>
          <w:szCs w:val="20"/>
        </w:rPr>
      </w:pPr>
      <w:r>
        <w:rPr>
          <w:sz w:val="20"/>
          <w:szCs w:val="20"/>
        </w:rPr>
        <w:br w:type="page"/>
      </w:r>
    </w:p>
    <w:p w:rsidR="009E0D95" w:rsidRDefault="009E0D95" w:rsidP="00304057">
      <w:pPr>
        <w:jc w:val="center"/>
        <w:rPr>
          <w:b/>
          <w:sz w:val="24"/>
          <w:szCs w:val="24"/>
        </w:rPr>
      </w:pPr>
      <w:r>
        <w:rPr>
          <w:b/>
          <w:sz w:val="24"/>
          <w:szCs w:val="24"/>
        </w:rPr>
        <w:lastRenderedPageBreak/>
        <w:t xml:space="preserve"> </w:t>
      </w:r>
    </w:p>
    <w:p w:rsidR="00294753" w:rsidRDefault="00DA45D1" w:rsidP="00304057">
      <w:pPr>
        <w:jc w:val="center"/>
        <w:rPr>
          <w:b/>
          <w:sz w:val="24"/>
          <w:szCs w:val="24"/>
        </w:rPr>
      </w:pPr>
      <w:r>
        <w:rPr>
          <w:b/>
          <w:sz w:val="24"/>
          <w:szCs w:val="24"/>
        </w:rPr>
        <w:t>Table 3</w:t>
      </w:r>
      <w:r w:rsidR="00F836EA">
        <w:rPr>
          <w:b/>
          <w:sz w:val="24"/>
          <w:szCs w:val="24"/>
        </w:rPr>
        <w:t xml:space="preserve">: </w:t>
      </w:r>
      <w:proofErr w:type="spellStart"/>
      <w:r w:rsidR="00F836EA">
        <w:rPr>
          <w:b/>
          <w:sz w:val="24"/>
          <w:szCs w:val="24"/>
        </w:rPr>
        <w:t>Uni</w:t>
      </w:r>
      <w:r w:rsidR="009E0D95">
        <w:rPr>
          <w:b/>
          <w:sz w:val="24"/>
          <w:szCs w:val="24"/>
        </w:rPr>
        <w:t>variate</w:t>
      </w:r>
      <w:proofErr w:type="spellEnd"/>
      <w:r w:rsidR="009E0D95">
        <w:rPr>
          <w:b/>
          <w:sz w:val="24"/>
          <w:szCs w:val="24"/>
        </w:rPr>
        <w:t xml:space="preserve"> an</w:t>
      </w:r>
      <w:r w:rsidR="00665F18">
        <w:rPr>
          <w:b/>
          <w:sz w:val="24"/>
          <w:szCs w:val="24"/>
        </w:rPr>
        <w:t>d multi</w:t>
      </w:r>
      <w:r w:rsidR="009E0D95">
        <w:rPr>
          <w:b/>
          <w:sz w:val="24"/>
          <w:szCs w:val="24"/>
        </w:rPr>
        <w:t>variate C</w:t>
      </w:r>
      <w:r w:rsidR="009E0D95" w:rsidRPr="00724055">
        <w:rPr>
          <w:b/>
          <w:sz w:val="24"/>
          <w:szCs w:val="24"/>
        </w:rPr>
        <w:t>ox regression ana</w:t>
      </w:r>
      <w:r w:rsidR="009E0D95">
        <w:rPr>
          <w:b/>
          <w:sz w:val="24"/>
          <w:szCs w:val="24"/>
        </w:rPr>
        <w:t xml:space="preserve">lysis </w:t>
      </w:r>
      <w:r w:rsidR="002730C0">
        <w:rPr>
          <w:b/>
          <w:sz w:val="24"/>
          <w:szCs w:val="24"/>
        </w:rPr>
        <w:t>for risk of intestinal surgery</w:t>
      </w:r>
      <w:r w:rsidR="009E0D95">
        <w:rPr>
          <w:b/>
          <w:sz w:val="24"/>
          <w:szCs w:val="24"/>
        </w:rPr>
        <w:t xml:space="preserve"> in patients</w:t>
      </w:r>
      <w:r w:rsidR="00970569">
        <w:rPr>
          <w:b/>
          <w:sz w:val="24"/>
          <w:szCs w:val="24"/>
        </w:rPr>
        <w:t xml:space="preserve"> with </w:t>
      </w:r>
      <w:proofErr w:type="spellStart"/>
      <w:r w:rsidR="00970569">
        <w:rPr>
          <w:b/>
          <w:sz w:val="24"/>
          <w:szCs w:val="24"/>
        </w:rPr>
        <w:t>Crohn's</w:t>
      </w:r>
      <w:proofErr w:type="spellEnd"/>
      <w:r w:rsidR="00970569">
        <w:rPr>
          <w:b/>
          <w:sz w:val="24"/>
          <w:szCs w:val="24"/>
        </w:rPr>
        <w:t xml:space="preserve"> disease</w:t>
      </w:r>
    </w:p>
    <w:tbl>
      <w:tblPr>
        <w:tblStyle w:val="TableGrid"/>
        <w:tblW w:w="0" w:type="auto"/>
        <w:tblLook w:val="04A0"/>
      </w:tblPr>
      <w:tblGrid>
        <w:gridCol w:w="1803"/>
        <w:gridCol w:w="857"/>
        <w:gridCol w:w="1417"/>
        <w:gridCol w:w="1276"/>
        <w:gridCol w:w="992"/>
        <w:gridCol w:w="1425"/>
        <w:gridCol w:w="1472"/>
      </w:tblGrid>
      <w:tr w:rsidR="00970569" w:rsidTr="00240408">
        <w:tc>
          <w:tcPr>
            <w:tcW w:w="1803" w:type="dxa"/>
            <w:vMerge w:val="restart"/>
            <w:tcBorders>
              <w:top w:val="nil"/>
              <w:left w:val="nil"/>
              <w:right w:val="single" w:sz="4" w:space="0" w:color="auto"/>
            </w:tcBorders>
          </w:tcPr>
          <w:p w:rsidR="00970569" w:rsidRDefault="00970569" w:rsidP="00240408"/>
        </w:tc>
        <w:tc>
          <w:tcPr>
            <w:tcW w:w="3550" w:type="dxa"/>
            <w:gridSpan w:val="3"/>
            <w:tcBorders>
              <w:left w:val="single" w:sz="4" w:space="0" w:color="auto"/>
              <w:right w:val="single" w:sz="24" w:space="0" w:color="auto"/>
            </w:tcBorders>
          </w:tcPr>
          <w:p w:rsidR="00970569" w:rsidRDefault="007B2E59" w:rsidP="00240408">
            <w:pPr>
              <w:jc w:val="center"/>
              <w:rPr>
                <w:b/>
              </w:rPr>
            </w:pPr>
            <w:proofErr w:type="spellStart"/>
            <w:r>
              <w:rPr>
                <w:b/>
              </w:rPr>
              <w:t>u</w:t>
            </w:r>
            <w:r w:rsidR="00784E97">
              <w:rPr>
                <w:b/>
              </w:rPr>
              <w:t>ni</w:t>
            </w:r>
            <w:r w:rsidR="00970569">
              <w:rPr>
                <w:b/>
              </w:rPr>
              <w:t>variate</w:t>
            </w:r>
            <w:proofErr w:type="spellEnd"/>
            <w:r w:rsidR="00970569">
              <w:rPr>
                <w:b/>
              </w:rPr>
              <w:t xml:space="preserve"> analysis </w:t>
            </w:r>
          </w:p>
          <w:p w:rsidR="00970569" w:rsidRPr="0065640D" w:rsidRDefault="00970569" w:rsidP="00240408">
            <w:pPr>
              <w:jc w:val="center"/>
              <w:rPr>
                <w:b/>
              </w:rPr>
            </w:pPr>
            <w:r>
              <w:rPr>
                <w:b/>
              </w:rPr>
              <w:t>n=3553</w:t>
            </w:r>
          </w:p>
        </w:tc>
        <w:tc>
          <w:tcPr>
            <w:tcW w:w="3889" w:type="dxa"/>
            <w:gridSpan w:val="3"/>
            <w:tcBorders>
              <w:left w:val="single" w:sz="24" w:space="0" w:color="auto"/>
            </w:tcBorders>
          </w:tcPr>
          <w:p w:rsidR="00970569" w:rsidRDefault="007B2E59" w:rsidP="00240408">
            <w:pPr>
              <w:jc w:val="center"/>
              <w:rPr>
                <w:b/>
              </w:rPr>
            </w:pPr>
            <w:r>
              <w:rPr>
                <w:b/>
              </w:rPr>
              <w:t>m</w:t>
            </w:r>
            <w:r w:rsidR="00784E97">
              <w:rPr>
                <w:b/>
              </w:rPr>
              <w:t>ulti</w:t>
            </w:r>
            <w:r w:rsidR="00970569">
              <w:rPr>
                <w:b/>
              </w:rPr>
              <w:t>variate analysis</w:t>
            </w:r>
          </w:p>
          <w:p w:rsidR="00970569" w:rsidRDefault="00970569" w:rsidP="00240408">
            <w:pPr>
              <w:jc w:val="center"/>
              <w:rPr>
                <w:b/>
              </w:rPr>
            </w:pPr>
            <w:r>
              <w:rPr>
                <w:b/>
              </w:rPr>
              <w:t>n=</w:t>
            </w:r>
            <w:r w:rsidR="001D63D5">
              <w:rPr>
                <w:b/>
              </w:rPr>
              <w:t>3553</w:t>
            </w:r>
          </w:p>
        </w:tc>
      </w:tr>
      <w:tr w:rsidR="00970569" w:rsidTr="00240408">
        <w:tc>
          <w:tcPr>
            <w:tcW w:w="1803" w:type="dxa"/>
            <w:vMerge/>
            <w:tcBorders>
              <w:left w:val="nil"/>
              <w:right w:val="single" w:sz="4" w:space="0" w:color="auto"/>
            </w:tcBorders>
          </w:tcPr>
          <w:p w:rsidR="00970569" w:rsidRDefault="00970569" w:rsidP="00240408"/>
        </w:tc>
        <w:tc>
          <w:tcPr>
            <w:tcW w:w="857" w:type="dxa"/>
            <w:tcBorders>
              <w:left w:val="single" w:sz="4" w:space="0" w:color="auto"/>
            </w:tcBorders>
          </w:tcPr>
          <w:p w:rsidR="00970569" w:rsidRPr="0065640D" w:rsidRDefault="00970569" w:rsidP="00240408">
            <w:pPr>
              <w:jc w:val="center"/>
              <w:rPr>
                <w:b/>
              </w:rPr>
            </w:pPr>
            <w:r w:rsidRPr="0065640D">
              <w:rPr>
                <w:b/>
              </w:rPr>
              <w:t>HR</w:t>
            </w:r>
          </w:p>
        </w:tc>
        <w:tc>
          <w:tcPr>
            <w:tcW w:w="1417" w:type="dxa"/>
          </w:tcPr>
          <w:p w:rsidR="00970569" w:rsidRPr="0065640D" w:rsidRDefault="00970569" w:rsidP="00240408">
            <w:pPr>
              <w:jc w:val="center"/>
              <w:rPr>
                <w:b/>
              </w:rPr>
            </w:pPr>
            <w:r w:rsidRPr="0065640D">
              <w:rPr>
                <w:b/>
              </w:rPr>
              <w:t>95% CI</w:t>
            </w:r>
          </w:p>
        </w:tc>
        <w:tc>
          <w:tcPr>
            <w:tcW w:w="1276" w:type="dxa"/>
            <w:tcBorders>
              <w:right w:val="single" w:sz="24" w:space="0" w:color="auto"/>
            </w:tcBorders>
          </w:tcPr>
          <w:p w:rsidR="00970569" w:rsidRPr="0065640D" w:rsidRDefault="00970569" w:rsidP="00240408">
            <w:pPr>
              <w:jc w:val="center"/>
              <w:rPr>
                <w:b/>
              </w:rPr>
            </w:pPr>
            <w:r w:rsidRPr="0065640D">
              <w:rPr>
                <w:b/>
              </w:rPr>
              <w:t>p value</w:t>
            </w:r>
          </w:p>
        </w:tc>
        <w:tc>
          <w:tcPr>
            <w:tcW w:w="992" w:type="dxa"/>
            <w:tcBorders>
              <w:left w:val="single" w:sz="24" w:space="0" w:color="auto"/>
            </w:tcBorders>
          </w:tcPr>
          <w:p w:rsidR="00970569" w:rsidRPr="0065640D" w:rsidRDefault="00970569" w:rsidP="00240408">
            <w:pPr>
              <w:jc w:val="center"/>
              <w:rPr>
                <w:b/>
              </w:rPr>
            </w:pPr>
            <w:r>
              <w:rPr>
                <w:b/>
              </w:rPr>
              <w:t>HR</w:t>
            </w:r>
          </w:p>
        </w:tc>
        <w:tc>
          <w:tcPr>
            <w:tcW w:w="1425" w:type="dxa"/>
          </w:tcPr>
          <w:p w:rsidR="00970569" w:rsidRPr="0065640D" w:rsidRDefault="00970569" w:rsidP="00240408">
            <w:pPr>
              <w:jc w:val="center"/>
              <w:rPr>
                <w:b/>
              </w:rPr>
            </w:pPr>
            <w:r>
              <w:rPr>
                <w:b/>
              </w:rPr>
              <w:t>95% CI</w:t>
            </w:r>
          </w:p>
        </w:tc>
        <w:tc>
          <w:tcPr>
            <w:tcW w:w="1472" w:type="dxa"/>
          </w:tcPr>
          <w:p w:rsidR="00970569" w:rsidRPr="0065640D" w:rsidRDefault="00970569" w:rsidP="00240408">
            <w:pPr>
              <w:jc w:val="center"/>
              <w:rPr>
                <w:b/>
              </w:rPr>
            </w:pPr>
            <w:r>
              <w:rPr>
                <w:b/>
              </w:rPr>
              <w:t>p value</w:t>
            </w:r>
          </w:p>
        </w:tc>
      </w:tr>
      <w:tr w:rsidR="00970569" w:rsidTr="00240408">
        <w:tc>
          <w:tcPr>
            <w:tcW w:w="1803" w:type="dxa"/>
            <w:tcBorders>
              <w:right w:val="single" w:sz="4" w:space="0" w:color="auto"/>
            </w:tcBorders>
          </w:tcPr>
          <w:p w:rsidR="00970569" w:rsidRPr="00BB2DFF" w:rsidRDefault="00970569" w:rsidP="00240408">
            <w:pPr>
              <w:rPr>
                <w:vertAlign w:val="superscript"/>
              </w:rPr>
            </w:pPr>
            <w:r w:rsidRPr="0065640D">
              <w:rPr>
                <w:b/>
              </w:rPr>
              <w:t xml:space="preserve">Smoking status at </w:t>
            </w:r>
            <w:proofErr w:type="spellStart"/>
            <w:r w:rsidRPr="0065640D">
              <w:rPr>
                <w:b/>
              </w:rPr>
              <w:t>diagnosis</w:t>
            </w:r>
            <w:r>
              <w:rPr>
                <w:vertAlign w:val="superscript"/>
              </w:rPr>
              <w:t>a</w:t>
            </w:r>
            <w:proofErr w:type="spellEnd"/>
          </w:p>
          <w:p w:rsidR="00970569" w:rsidRDefault="00970569" w:rsidP="00240408">
            <w:r>
              <w:t xml:space="preserve">   Smoker</w:t>
            </w:r>
          </w:p>
        </w:tc>
        <w:tc>
          <w:tcPr>
            <w:tcW w:w="857" w:type="dxa"/>
            <w:tcBorders>
              <w:left w:val="single" w:sz="4" w:space="0" w:color="auto"/>
            </w:tcBorders>
          </w:tcPr>
          <w:p w:rsidR="00970569" w:rsidRDefault="00970569" w:rsidP="00240408">
            <w:pPr>
              <w:jc w:val="center"/>
            </w:pPr>
          </w:p>
          <w:p w:rsidR="00970569" w:rsidRDefault="00970569" w:rsidP="00240408">
            <w:pPr>
              <w:jc w:val="center"/>
            </w:pPr>
          </w:p>
          <w:p w:rsidR="00970569" w:rsidRDefault="00970569" w:rsidP="00240408">
            <w:pPr>
              <w:jc w:val="center"/>
            </w:pPr>
            <w:r>
              <w:t>1.42</w:t>
            </w:r>
          </w:p>
        </w:tc>
        <w:tc>
          <w:tcPr>
            <w:tcW w:w="1417" w:type="dxa"/>
          </w:tcPr>
          <w:p w:rsidR="00970569" w:rsidRDefault="00970569" w:rsidP="00240408">
            <w:pPr>
              <w:jc w:val="center"/>
            </w:pPr>
          </w:p>
          <w:p w:rsidR="00970569" w:rsidRDefault="00970569" w:rsidP="00240408">
            <w:pPr>
              <w:jc w:val="center"/>
            </w:pPr>
          </w:p>
          <w:p w:rsidR="00970569" w:rsidRDefault="00970569" w:rsidP="00240408">
            <w:pPr>
              <w:jc w:val="center"/>
            </w:pPr>
            <w:r>
              <w:t>1.09-1.86</w:t>
            </w:r>
          </w:p>
        </w:tc>
        <w:tc>
          <w:tcPr>
            <w:tcW w:w="1276" w:type="dxa"/>
            <w:tcBorders>
              <w:right w:val="single" w:sz="24" w:space="0" w:color="auto"/>
            </w:tcBorders>
          </w:tcPr>
          <w:p w:rsidR="00970569" w:rsidRDefault="00970569" w:rsidP="00240408">
            <w:pPr>
              <w:jc w:val="center"/>
            </w:pPr>
          </w:p>
          <w:p w:rsidR="00970569" w:rsidRDefault="00970569" w:rsidP="00240408">
            <w:pPr>
              <w:jc w:val="center"/>
            </w:pPr>
          </w:p>
          <w:p w:rsidR="00970569" w:rsidRPr="00C54849" w:rsidRDefault="00970569" w:rsidP="00240408">
            <w:pPr>
              <w:jc w:val="center"/>
              <w:rPr>
                <w:b/>
              </w:rPr>
            </w:pPr>
            <w:r w:rsidRPr="00C54849">
              <w:rPr>
                <w:b/>
              </w:rPr>
              <w:t>0.01</w:t>
            </w:r>
          </w:p>
        </w:tc>
        <w:tc>
          <w:tcPr>
            <w:tcW w:w="992" w:type="dxa"/>
            <w:tcBorders>
              <w:left w:val="single" w:sz="24" w:space="0" w:color="auto"/>
            </w:tcBorders>
          </w:tcPr>
          <w:p w:rsidR="00970569" w:rsidRDefault="00970569" w:rsidP="00240408">
            <w:pPr>
              <w:jc w:val="center"/>
            </w:pPr>
          </w:p>
          <w:p w:rsidR="00970569" w:rsidRDefault="00970569" w:rsidP="00240408">
            <w:pPr>
              <w:jc w:val="center"/>
            </w:pPr>
          </w:p>
          <w:p w:rsidR="00970569" w:rsidRDefault="002730C0" w:rsidP="00240408">
            <w:pPr>
              <w:jc w:val="center"/>
            </w:pPr>
            <w:r>
              <w:t>1.64</w:t>
            </w:r>
          </w:p>
        </w:tc>
        <w:tc>
          <w:tcPr>
            <w:tcW w:w="1425" w:type="dxa"/>
          </w:tcPr>
          <w:p w:rsidR="00970569" w:rsidRDefault="00970569" w:rsidP="00240408">
            <w:pPr>
              <w:jc w:val="center"/>
            </w:pPr>
          </w:p>
          <w:p w:rsidR="00970569" w:rsidRDefault="00970569" w:rsidP="00240408">
            <w:pPr>
              <w:jc w:val="center"/>
            </w:pPr>
          </w:p>
          <w:p w:rsidR="00970569" w:rsidRDefault="002730C0" w:rsidP="00240408">
            <w:pPr>
              <w:jc w:val="center"/>
            </w:pPr>
            <w:r>
              <w:t>1.06-2.52</w:t>
            </w:r>
          </w:p>
        </w:tc>
        <w:tc>
          <w:tcPr>
            <w:tcW w:w="1472" w:type="dxa"/>
          </w:tcPr>
          <w:p w:rsidR="00970569" w:rsidRDefault="00970569" w:rsidP="00240408">
            <w:pPr>
              <w:jc w:val="center"/>
            </w:pPr>
          </w:p>
          <w:p w:rsidR="00970569" w:rsidRDefault="00970569" w:rsidP="00240408">
            <w:pPr>
              <w:jc w:val="center"/>
            </w:pPr>
          </w:p>
          <w:p w:rsidR="00970569" w:rsidRPr="00C54849" w:rsidRDefault="00970569" w:rsidP="00240408">
            <w:pPr>
              <w:jc w:val="center"/>
              <w:rPr>
                <w:b/>
              </w:rPr>
            </w:pPr>
            <w:r w:rsidRPr="00C54849">
              <w:rPr>
                <w:b/>
              </w:rPr>
              <w:t>0.0</w:t>
            </w:r>
            <w:r w:rsidR="002730C0">
              <w:rPr>
                <w:b/>
              </w:rPr>
              <w:t>2</w:t>
            </w:r>
          </w:p>
        </w:tc>
      </w:tr>
      <w:tr w:rsidR="00970569" w:rsidTr="00240408">
        <w:tc>
          <w:tcPr>
            <w:tcW w:w="1803" w:type="dxa"/>
            <w:tcBorders>
              <w:right w:val="single" w:sz="4" w:space="0" w:color="auto"/>
            </w:tcBorders>
          </w:tcPr>
          <w:p w:rsidR="00970569" w:rsidRDefault="00970569" w:rsidP="00240408">
            <w:pPr>
              <w:rPr>
                <w:b/>
              </w:rPr>
            </w:pPr>
            <w:r w:rsidRPr="0065640D">
              <w:rPr>
                <w:b/>
              </w:rPr>
              <w:t>Sex</w:t>
            </w:r>
            <w:r>
              <w:rPr>
                <w:b/>
              </w:rPr>
              <w:t xml:space="preserve"> </w:t>
            </w:r>
          </w:p>
          <w:p w:rsidR="00970569" w:rsidRPr="0065640D" w:rsidRDefault="00970569" w:rsidP="00240408">
            <w:pPr>
              <w:rPr>
                <w:b/>
              </w:rPr>
            </w:pPr>
            <w:r w:rsidRPr="00BB2DFF">
              <w:t>(ref to female)</w:t>
            </w:r>
          </w:p>
        </w:tc>
        <w:tc>
          <w:tcPr>
            <w:tcW w:w="857" w:type="dxa"/>
            <w:tcBorders>
              <w:left w:val="single" w:sz="4" w:space="0" w:color="auto"/>
            </w:tcBorders>
          </w:tcPr>
          <w:p w:rsidR="00970569" w:rsidRDefault="00970569" w:rsidP="00240408">
            <w:pPr>
              <w:jc w:val="center"/>
            </w:pPr>
          </w:p>
          <w:p w:rsidR="00970569" w:rsidRDefault="00970569" w:rsidP="00240408">
            <w:pPr>
              <w:jc w:val="center"/>
            </w:pPr>
            <w:r>
              <w:t>0.78</w:t>
            </w:r>
          </w:p>
        </w:tc>
        <w:tc>
          <w:tcPr>
            <w:tcW w:w="1417" w:type="dxa"/>
          </w:tcPr>
          <w:p w:rsidR="00970569" w:rsidRDefault="00970569" w:rsidP="00240408">
            <w:pPr>
              <w:jc w:val="center"/>
            </w:pPr>
          </w:p>
          <w:p w:rsidR="00970569" w:rsidRDefault="00970569" w:rsidP="00240408">
            <w:pPr>
              <w:jc w:val="center"/>
            </w:pPr>
            <w:r>
              <w:t>0.59-1.01</w:t>
            </w:r>
          </w:p>
        </w:tc>
        <w:tc>
          <w:tcPr>
            <w:tcW w:w="1276" w:type="dxa"/>
            <w:tcBorders>
              <w:right w:val="single" w:sz="24" w:space="0" w:color="auto"/>
            </w:tcBorders>
          </w:tcPr>
          <w:p w:rsidR="00970569" w:rsidRDefault="00970569" w:rsidP="00240408">
            <w:pPr>
              <w:jc w:val="center"/>
            </w:pPr>
          </w:p>
          <w:p w:rsidR="00970569" w:rsidRDefault="00970569" w:rsidP="00240408">
            <w:pPr>
              <w:jc w:val="center"/>
            </w:pPr>
            <w:r>
              <w:t>0.07</w:t>
            </w:r>
          </w:p>
        </w:tc>
        <w:tc>
          <w:tcPr>
            <w:tcW w:w="992" w:type="dxa"/>
            <w:tcBorders>
              <w:left w:val="single" w:sz="24" w:space="0" w:color="auto"/>
            </w:tcBorders>
          </w:tcPr>
          <w:p w:rsidR="00970569" w:rsidRDefault="00970569" w:rsidP="00240408">
            <w:pPr>
              <w:jc w:val="center"/>
            </w:pPr>
          </w:p>
          <w:p w:rsidR="00970569" w:rsidRDefault="00970569" w:rsidP="00240408">
            <w:pPr>
              <w:jc w:val="center"/>
            </w:pPr>
            <w:r>
              <w:t>-</w:t>
            </w:r>
          </w:p>
        </w:tc>
        <w:tc>
          <w:tcPr>
            <w:tcW w:w="1425" w:type="dxa"/>
          </w:tcPr>
          <w:p w:rsidR="00970569" w:rsidRDefault="00970569" w:rsidP="00240408">
            <w:pPr>
              <w:jc w:val="center"/>
            </w:pPr>
          </w:p>
          <w:p w:rsidR="00970569" w:rsidRDefault="00970569" w:rsidP="00240408">
            <w:pPr>
              <w:jc w:val="center"/>
            </w:pPr>
            <w:r>
              <w:t>-</w:t>
            </w:r>
          </w:p>
        </w:tc>
        <w:tc>
          <w:tcPr>
            <w:tcW w:w="1472" w:type="dxa"/>
          </w:tcPr>
          <w:p w:rsidR="00970569" w:rsidRDefault="00970569" w:rsidP="00240408">
            <w:pPr>
              <w:jc w:val="center"/>
            </w:pPr>
          </w:p>
          <w:p w:rsidR="00970569" w:rsidRDefault="00970569" w:rsidP="00240408">
            <w:pPr>
              <w:jc w:val="center"/>
            </w:pPr>
            <w:r>
              <w:t>-</w:t>
            </w:r>
          </w:p>
        </w:tc>
      </w:tr>
      <w:tr w:rsidR="00970569" w:rsidTr="00240408">
        <w:tc>
          <w:tcPr>
            <w:tcW w:w="1803" w:type="dxa"/>
            <w:tcBorders>
              <w:right w:val="single" w:sz="4" w:space="0" w:color="auto"/>
            </w:tcBorders>
          </w:tcPr>
          <w:p w:rsidR="00970569" w:rsidRPr="00BB2DFF" w:rsidRDefault="00970569" w:rsidP="00240408">
            <w:pPr>
              <w:rPr>
                <w:vertAlign w:val="superscript"/>
              </w:rPr>
            </w:pPr>
            <w:r>
              <w:rPr>
                <w:b/>
              </w:rPr>
              <w:t>Age at IBD</w:t>
            </w:r>
            <w:r w:rsidRPr="0065640D">
              <w:rPr>
                <w:b/>
              </w:rPr>
              <w:t xml:space="preserve"> </w:t>
            </w:r>
            <w:proofErr w:type="spellStart"/>
            <w:r w:rsidRPr="0065640D">
              <w:rPr>
                <w:b/>
              </w:rPr>
              <w:t>diagnosis</w:t>
            </w:r>
            <w:r>
              <w:rPr>
                <w:vertAlign w:val="superscript"/>
              </w:rPr>
              <w:t>b</w:t>
            </w:r>
            <w:proofErr w:type="spellEnd"/>
          </w:p>
          <w:p w:rsidR="00970569" w:rsidRDefault="00970569" w:rsidP="00240408">
            <w:r>
              <w:t xml:space="preserve">   A1</w:t>
            </w:r>
          </w:p>
          <w:p w:rsidR="00970569" w:rsidRDefault="00970569" w:rsidP="00240408">
            <w:r>
              <w:t xml:space="preserve">   A2</w:t>
            </w:r>
          </w:p>
          <w:p w:rsidR="00970569" w:rsidRDefault="00970569" w:rsidP="00240408">
            <w:r>
              <w:t xml:space="preserve">   A3</w:t>
            </w:r>
          </w:p>
        </w:tc>
        <w:tc>
          <w:tcPr>
            <w:tcW w:w="857" w:type="dxa"/>
            <w:tcBorders>
              <w:left w:val="single" w:sz="4" w:space="0" w:color="auto"/>
            </w:tcBorders>
          </w:tcPr>
          <w:p w:rsidR="00970569" w:rsidRDefault="00970569" w:rsidP="00240408">
            <w:pPr>
              <w:jc w:val="center"/>
            </w:pPr>
          </w:p>
          <w:p w:rsidR="00970569" w:rsidRDefault="00970569" w:rsidP="00240408">
            <w:pPr>
              <w:jc w:val="center"/>
            </w:pPr>
          </w:p>
          <w:p w:rsidR="00970569" w:rsidRDefault="00970569" w:rsidP="00240408">
            <w:pPr>
              <w:jc w:val="center"/>
            </w:pPr>
            <w:r>
              <w:t>1</w:t>
            </w:r>
          </w:p>
          <w:p w:rsidR="00970569" w:rsidRDefault="00970569" w:rsidP="00240408">
            <w:pPr>
              <w:jc w:val="center"/>
            </w:pPr>
            <w:r>
              <w:t>0.56</w:t>
            </w:r>
          </w:p>
          <w:p w:rsidR="00970569" w:rsidRDefault="00970569" w:rsidP="00240408">
            <w:pPr>
              <w:jc w:val="center"/>
            </w:pPr>
            <w:r>
              <w:t>0.34</w:t>
            </w:r>
          </w:p>
        </w:tc>
        <w:tc>
          <w:tcPr>
            <w:tcW w:w="1417" w:type="dxa"/>
          </w:tcPr>
          <w:p w:rsidR="00970569" w:rsidRDefault="00970569" w:rsidP="00240408">
            <w:pPr>
              <w:jc w:val="center"/>
            </w:pPr>
          </w:p>
          <w:p w:rsidR="00970569" w:rsidRDefault="00970569" w:rsidP="00240408">
            <w:pPr>
              <w:jc w:val="center"/>
            </w:pPr>
          </w:p>
          <w:p w:rsidR="00970569" w:rsidRDefault="00970569" w:rsidP="00240408">
            <w:pPr>
              <w:jc w:val="center"/>
            </w:pPr>
            <w:r>
              <w:t>-</w:t>
            </w:r>
          </w:p>
          <w:p w:rsidR="00970569" w:rsidRDefault="00970569" w:rsidP="00240408">
            <w:pPr>
              <w:jc w:val="center"/>
            </w:pPr>
            <w:r>
              <w:t>0.30-1.03</w:t>
            </w:r>
          </w:p>
          <w:p w:rsidR="00970569" w:rsidRDefault="00970569" w:rsidP="00240408">
            <w:pPr>
              <w:jc w:val="center"/>
            </w:pPr>
            <w:r>
              <w:t>0.18-0.64</w:t>
            </w:r>
          </w:p>
        </w:tc>
        <w:tc>
          <w:tcPr>
            <w:tcW w:w="1276" w:type="dxa"/>
            <w:tcBorders>
              <w:right w:val="single" w:sz="24" w:space="0" w:color="auto"/>
            </w:tcBorders>
          </w:tcPr>
          <w:p w:rsidR="00970569" w:rsidRDefault="00970569" w:rsidP="00240408">
            <w:pPr>
              <w:jc w:val="center"/>
            </w:pPr>
          </w:p>
          <w:p w:rsidR="00970569" w:rsidRDefault="00970569" w:rsidP="00240408">
            <w:pPr>
              <w:jc w:val="center"/>
            </w:pPr>
          </w:p>
          <w:p w:rsidR="00970569" w:rsidRPr="00C54849" w:rsidRDefault="00970569" w:rsidP="00240408">
            <w:pPr>
              <w:jc w:val="center"/>
              <w:rPr>
                <w:b/>
              </w:rPr>
            </w:pPr>
            <w:r>
              <w:rPr>
                <w:b/>
              </w:rPr>
              <w:t>-</w:t>
            </w:r>
          </w:p>
          <w:p w:rsidR="00970569" w:rsidRPr="00F50B4F" w:rsidRDefault="00970569" w:rsidP="00240408">
            <w:pPr>
              <w:jc w:val="center"/>
            </w:pPr>
            <w:r w:rsidRPr="00F50B4F">
              <w:t>0.06</w:t>
            </w:r>
          </w:p>
          <w:p w:rsidR="00970569" w:rsidRDefault="00970569" w:rsidP="00240408">
            <w:pPr>
              <w:jc w:val="center"/>
            </w:pPr>
            <w:r>
              <w:rPr>
                <w:b/>
              </w:rPr>
              <w:t>0.001</w:t>
            </w:r>
          </w:p>
        </w:tc>
        <w:tc>
          <w:tcPr>
            <w:tcW w:w="992" w:type="dxa"/>
            <w:tcBorders>
              <w:left w:val="single" w:sz="24" w:space="0" w:color="auto"/>
            </w:tcBorders>
          </w:tcPr>
          <w:p w:rsidR="00970569" w:rsidRDefault="00970569" w:rsidP="00240408">
            <w:pPr>
              <w:jc w:val="center"/>
            </w:pPr>
          </w:p>
          <w:p w:rsidR="00970569" w:rsidRDefault="00970569" w:rsidP="00240408">
            <w:pPr>
              <w:jc w:val="center"/>
            </w:pPr>
          </w:p>
          <w:p w:rsidR="00970569" w:rsidRDefault="00970569" w:rsidP="00240408">
            <w:pPr>
              <w:jc w:val="center"/>
            </w:pPr>
            <w:r>
              <w:t>-</w:t>
            </w:r>
          </w:p>
          <w:p w:rsidR="00970569" w:rsidRDefault="00970569" w:rsidP="00240408">
            <w:pPr>
              <w:jc w:val="center"/>
            </w:pPr>
            <w:r>
              <w:t>-</w:t>
            </w:r>
          </w:p>
          <w:p w:rsidR="00970569" w:rsidRDefault="00970569" w:rsidP="00240408">
            <w:pPr>
              <w:jc w:val="center"/>
            </w:pPr>
            <w:r>
              <w:t>-</w:t>
            </w:r>
          </w:p>
        </w:tc>
        <w:tc>
          <w:tcPr>
            <w:tcW w:w="1425" w:type="dxa"/>
          </w:tcPr>
          <w:p w:rsidR="00970569" w:rsidRDefault="00970569" w:rsidP="00240408">
            <w:pPr>
              <w:jc w:val="center"/>
            </w:pPr>
          </w:p>
          <w:p w:rsidR="00970569" w:rsidRDefault="00970569" w:rsidP="00240408">
            <w:pPr>
              <w:jc w:val="center"/>
            </w:pPr>
          </w:p>
          <w:p w:rsidR="00970569" w:rsidRDefault="00970569" w:rsidP="00240408">
            <w:pPr>
              <w:jc w:val="center"/>
            </w:pPr>
            <w:r>
              <w:t>-</w:t>
            </w:r>
          </w:p>
          <w:p w:rsidR="00970569" w:rsidRDefault="00970569" w:rsidP="00240408">
            <w:pPr>
              <w:jc w:val="center"/>
            </w:pPr>
            <w:r>
              <w:t>-</w:t>
            </w:r>
          </w:p>
          <w:p w:rsidR="00970569" w:rsidRDefault="00970569" w:rsidP="00240408">
            <w:pPr>
              <w:jc w:val="center"/>
            </w:pPr>
            <w:r>
              <w:t>-</w:t>
            </w:r>
          </w:p>
        </w:tc>
        <w:tc>
          <w:tcPr>
            <w:tcW w:w="1472" w:type="dxa"/>
          </w:tcPr>
          <w:p w:rsidR="00970569" w:rsidRDefault="00970569" w:rsidP="00240408">
            <w:pPr>
              <w:jc w:val="center"/>
            </w:pPr>
          </w:p>
          <w:p w:rsidR="00970569" w:rsidRDefault="00970569" w:rsidP="00240408">
            <w:pPr>
              <w:jc w:val="center"/>
            </w:pPr>
          </w:p>
          <w:p w:rsidR="00970569" w:rsidRDefault="00970569" w:rsidP="00240408">
            <w:pPr>
              <w:jc w:val="center"/>
            </w:pPr>
            <w:r>
              <w:t>-</w:t>
            </w:r>
          </w:p>
          <w:p w:rsidR="00970569" w:rsidRDefault="00970569" w:rsidP="00240408">
            <w:pPr>
              <w:jc w:val="center"/>
            </w:pPr>
            <w:r>
              <w:t>-</w:t>
            </w:r>
          </w:p>
          <w:p w:rsidR="00970569" w:rsidRDefault="00970569" w:rsidP="00240408">
            <w:pPr>
              <w:jc w:val="center"/>
            </w:pPr>
            <w:r>
              <w:t>-</w:t>
            </w:r>
          </w:p>
        </w:tc>
      </w:tr>
      <w:tr w:rsidR="00970569" w:rsidTr="00240408">
        <w:tc>
          <w:tcPr>
            <w:tcW w:w="1803" w:type="dxa"/>
            <w:tcBorders>
              <w:right w:val="single" w:sz="4" w:space="0" w:color="auto"/>
            </w:tcBorders>
          </w:tcPr>
          <w:p w:rsidR="00970569" w:rsidRPr="00BB2DFF" w:rsidRDefault="00970569" w:rsidP="00240408">
            <w:pPr>
              <w:rPr>
                <w:vertAlign w:val="superscript"/>
              </w:rPr>
            </w:pPr>
            <w:r>
              <w:rPr>
                <w:b/>
              </w:rPr>
              <w:t xml:space="preserve">Era of IBD </w:t>
            </w:r>
            <w:proofErr w:type="spellStart"/>
            <w:r>
              <w:rPr>
                <w:b/>
              </w:rPr>
              <w:t>diagnosis</w:t>
            </w:r>
            <w:r>
              <w:rPr>
                <w:vertAlign w:val="superscript"/>
              </w:rPr>
              <w:t>c</w:t>
            </w:r>
            <w:proofErr w:type="spellEnd"/>
          </w:p>
          <w:p w:rsidR="00970569" w:rsidRDefault="00970569" w:rsidP="00240408">
            <w:r>
              <w:t xml:space="preserve">   Era 1</w:t>
            </w:r>
          </w:p>
          <w:p w:rsidR="00970569" w:rsidRDefault="00970569" w:rsidP="00240408">
            <w:r>
              <w:t xml:space="preserve">   Era 2</w:t>
            </w:r>
          </w:p>
          <w:p w:rsidR="00970569" w:rsidRDefault="00970569" w:rsidP="00240408">
            <w:r>
              <w:t xml:space="preserve">   Era 3</w:t>
            </w:r>
          </w:p>
          <w:p w:rsidR="00970569" w:rsidRDefault="00970569" w:rsidP="00240408">
            <w:r>
              <w:t xml:space="preserve">   Era 4</w:t>
            </w:r>
          </w:p>
          <w:p w:rsidR="00970569" w:rsidRPr="006E4C21" w:rsidRDefault="00970569" w:rsidP="00240408">
            <w:r>
              <w:t xml:space="preserve">   Era 5</w:t>
            </w:r>
          </w:p>
        </w:tc>
        <w:tc>
          <w:tcPr>
            <w:tcW w:w="857" w:type="dxa"/>
            <w:tcBorders>
              <w:left w:val="single" w:sz="4" w:space="0" w:color="auto"/>
            </w:tcBorders>
          </w:tcPr>
          <w:p w:rsidR="00970569" w:rsidRDefault="00970569" w:rsidP="00240408">
            <w:pPr>
              <w:jc w:val="center"/>
            </w:pPr>
          </w:p>
          <w:p w:rsidR="00970569" w:rsidRDefault="00970569" w:rsidP="00240408">
            <w:pPr>
              <w:jc w:val="center"/>
            </w:pPr>
          </w:p>
          <w:p w:rsidR="00970569" w:rsidRDefault="00585A28" w:rsidP="00240408">
            <w:pPr>
              <w:jc w:val="center"/>
            </w:pPr>
            <w:r>
              <w:t>1</w:t>
            </w:r>
          </w:p>
          <w:p w:rsidR="00585A28" w:rsidRDefault="00585A28" w:rsidP="00240408">
            <w:pPr>
              <w:jc w:val="center"/>
            </w:pPr>
            <w:r>
              <w:t>1.18</w:t>
            </w:r>
          </w:p>
          <w:p w:rsidR="00585A28" w:rsidRDefault="00585A28" w:rsidP="00240408">
            <w:pPr>
              <w:jc w:val="center"/>
            </w:pPr>
            <w:r>
              <w:t>0.88</w:t>
            </w:r>
          </w:p>
          <w:p w:rsidR="00585A28" w:rsidRDefault="00585A28" w:rsidP="00240408">
            <w:pPr>
              <w:jc w:val="center"/>
            </w:pPr>
            <w:r>
              <w:t>0.98</w:t>
            </w:r>
          </w:p>
          <w:p w:rsidR="00585A28" w:rsidRDefault="00585A28" w:rsidP="00240408">
            <w:pPr>
              <w:jc w:val="center"/>
            </w:pPr>
            <w:r>
              <w:t>0.70</w:t>
            </w:r>
          </w:p>
        </w:tc>
        <w:tc>
          <w:tcPr>
            <w:tcW w:w="1417" w:type="dxa"/>
          </w:tcPr>
          <w:p w:rsidR="00970569" w:rsidRDefault="00970569" w:rsidP="00240408">
            <w:pPr>
              <w:jc w:val="center"/>
            </w:pPr>
          </w:p>
          <w:p w:rsidR="00970569" w:rsidRDefault="00970569" w:rsidP="00240408">
            <w:pPr>
              <w:jc w:val="center"/>
            </w:pPr>
          </w:p>
          <w:p w:rsidR="00585A28" w:rsidRDefault="00585A28" w:rsidP="00240408">
            <w:pPr>
              <w:jc w:val="center"/>
            </w:pPr>
            <w:r>
              <w:t>-</w:t>
            </w:r>
          </w:p>
          <w:p w:rsidR="00970569" w:rsidRDefault="00585A28" w:rsidP="00240408">
            <w:pPr>
              <w:jc w:val="center"/>
            </w:pPr>
            <w:r>
              <w:t>0.82-1.71</w:t>
            </w:r>
          </w:p>
          <w:p w:rsidR="00585A28" w:rsidRDefault="00585A28" w:rsidP="00240408">
            <w:pPr>
              <w:jc w:val="center"/>
            </w:pPr>
            <w:r>
              <w:t>0.59-1.32</w:t>
            </w:r>
          </w:p>
          <w:p w:rsidR="00585A28" w:rsidRDefault="00585A28" w:rsidP="00240408">
            <w:pPr>
              <w:jc w:val="center"/>
            </w:pPr>
            <w:r>
              <w:t>0.65-1.48</w:t>
            </w:r>
          </w:p>
          <w:p w:rsidR="00585A28" w:rsidRDefault="00585A28" w:rsidP="00240408">
            <w:pPr>
              <w:jc w:val="center"/>
            </w:pPr>
            <w:r>
              <w:t>0.40-1.21</w:t>
            </w:r>
          </w:p>
        </w:tc>
        <w:tc>
          <w:tcPr>
            <w:tcW w:w="1276" w:type="dxa"/>
            <w:tcBorders>
              <w:right w:val="single" w:sz="24" w:space="0" w:color="auto"/>
            </w:tcBorders>
          </w:tcPr>
          <w:p w:rsidR="00970569" w:rsidRDefault="00970569" w:rsidP="00240408">
            <w:pPr>
              <w:jc w:val="center"/>
            </w:pPr>
          </w:p>
          <w:p w:rsidR="00970569" w:rsidRDefault="00970569" w:rsidP="00240408">
            <w:pPr>
              <w:jc w:val="center"/>
            </w:pPr>
          </w:p>
          <w:p w:rsidR="00585A28" w:rsidRDefault="00585A28" w:rsidP="00240408">
            <w:pPr>
              <w:jc w:val="center"/>
            </w:pPr>
            <w:r>
              <w:t>-</w:t>
            </w:r>
          </w:p>
          <w:p w:rsidR="00970569" w:rsidRDefault="00585A28" w:rsidP="00240408">
            <w:pPr>
              <w:jc w:val="center"/>
            </w:pPr>
            <w:r>
              <w:t>0.37</w:t>
            </w:r>
          </w:p>
          <w:p w:rsidR="00585A28" w:rsidRDefault="00585A28" w:rsidP="00240408">
            <w:pPr>
              <w:jc w:val="center"/>
            </w:pPr>
            <w:r>
              <w:t>0.54</w:t>
            </w:r>
          </w:p>
          <w:p w:rsidR="00585A28" w:rsidRDefault="00585A28" w:rsidP="00240408">
            <w:pPr>
              <w:jc w:val="center"/>
            </w:pPr>
            <w:r>
              <w:t>0.91</w:t>
            </w:r>
          </w:p>
          <w:p w:rsidR="00585A28" w:rsidRDefault="00585A28" w:rsidP="00240408">
            <w:pPr>
              <w:jc w:val="center"/>
            </w:pPr>
            <w:r>
              <w:t>0.23</w:t>
            </w:r>
          </w:p>
        </w:tc>
        <w:tc>
          <w:tcPr>
            <w:tcW w:w="992" w:type="dxa"/>
            <w:tcBorders>
              <w:left w:val="single" w:sz="24" w:space="0" w:color="auto"/>
            </w:tcBorders>
          </w:tcPr>
          <w:p w:rsidR="00970569" w:rsidRDefault="00970569" w:rsidP="00240408">
            <w:pPr>
              <w:jc w:val="center"/>
            </w:pPr>
          </w:p>
          <w:p w:rsidR="00970569" w:rsidRDefault="00970569" w:rsidP="00240408">
            <w:pPr>
              <w:jc w:val="center"/>
            </w:pPr>
          </w:p>
          <w:p w:rsidR="00970569" w:rsidRDefault="00970569" w:rsidP="00240408">
            <w:pPr>
              <w:jc w:val="center"/>
            </w:pPr>
            <w:r>
              <w:t>-</w:t>
            </w:r>
          </w:p>
          <w:p w:rsidR="00970569" w:rsidRDefault="00970569" w:rsidP="00240408">
            <w:pPr>
              <w:jc w:val="center"/>
            </w:pPr>
            <w:r>
              <w:t>-</w:t>
            </w:r>
          </w:p>
          <w:p w:rsidR="00970569" w:rsidRDefault="00970569" w:rsidP="00240408">
            <w:pPr>
              <w:jc w:val="center"/>
            </w:pPr>
            <w:r>
              <w:t>-</w:t>
            </w:r>
          </w:p>
          <w:p w:rsidR="00970569" w:rsidRDefault="00970569" w:rsidP="00240408">
            <w:pPr>
              <w:jc w:val="center"/>
            </w:pPr>
            <w:r>
              <w:t>-</w:t>
            </w:r>
          </w:p>
          <w:p w:rsidR="00970569" w:rsidRDefault="00970569" w:rsidP="00240408">
            <w:pPr>
              <w:jc w:val="center"/>
            </w:pPr>
            <w:r>
              <w:t>-</w:t>
            </w:r>
          </w:p>
        </w:tc>
        <w:tc>
          <w:tcPr>
            <w:tcW w:w="1425" w:type="dxa"/>
          </w:tcPr>
          <w:p w:rsidR="00970569" w:rsidRDefault="00970569" w:rsidP="00240408">
            <w:pPr>
              <w:jc w:val="center"/>
            </w:pPr>
          </w:p>
          <w:p w:rsidR="00970569" w:rsidRDefault="00970569" w:rsidP="00240408">
            <w:pPr>
              <w:jc w:val="center"/>
            </w:pPr>
          </w:p>
          <w:p w:rsidR="00970569" w:rsidRDefault="00970569" w:rsidP="00240408">
            <w:pPr>
              <w:jc w:val="center"/>
            </w:pPr>
            <w:r>
              <w:t>-</w:t>
            </w:r>
          </w:p>
          <w:p w:rsidR="00970569" w:rsidRDefault="00970569" w:rsidP="00240408">
            <w:pPr>
              <w:jc w:val="center"/>
            </w:pPr>
            <w:r>
              <w:t>-</w:t>
            </w:r>
          </w:p>
          <w:p w:rsidR="00970569" w:rsidRDefault="00970569" w:rsidP="00240408">
            <w:pPr>
              <w:jc w:val="center"/>
            </w:pPr>
            <w:r>
              <w:t>-</w:t>
            </w:r>
          </w:p>
          <w:p w:rsidR="00970569" w:rsidRDefault="00970569" w:rsidP="00240408">
            <w:pPr>
              <w:jc w:val="center"/>
            </w:pPr>
            <w:r>
              <w:t>-</w:t>
            </w:r>
          </w:p>
          <w:p w:rsidR="00970569" w:rsidRDefault="00970569" w:rsidP="00240408">
            <w:pPr>
              <w:jc w:val="center"/>
            </w:pPr>
            <w:r>
              <w:t>-</w:t>
            </w:r>
          </w:p>
        </w:tc>
        <w:tc>
          <w:tcPr>
            <w:tcW w:w="1472" w:type="dxa"/>
          </w:tcPr>
          <w:p w:rsidR="00970569" w:rsidRDefault="00970569" w:rsidP="00240408">
            <w:pPr>
              <w:jc w:val="center"/>
            </w:pPr>
          </w:p>
          <w:p w:rsidR="00970569" w:rsidRDefault="00970569" w:rsidP="00240408">
            <w:pPr>
              <w:jc w:val="center"/>
            </w:pPr>
          </w:p>
          <w:p w:rsidR="00970569" w:rsidRDefault="00970569" w:rsidP="00240408">
            <w:pPr>
              <w:jc w:val="center"/>
            </w:pPr>
            <w:r>
              <w:t>-</w:t>
            </w:r>
          </w:p>
          <w:p w:rsidR="00970569" w:rsidRDefault="00970569" w:rsidP="00240408">
            <w:pPr>
              <w:jc w:val="center"/>
            </w:pPr>
            <w:r>
              <w:t>-</w:t>
            </w:r>
          </w:p>
          <w:p w:rsidR="00970569" w:rsidRDefault="00970569" w:rsidP="00240408">
            <w:pPr>
              <w:jc w:val="center"/>
            </w:pPr>
            <w:r>
              <w:t>-</w:t>
            </w:r>
          </w:p>
          <w:p w:rsidR="00970569" w:rsidRDefault="00970569" w:rsidP="00240408">
            <w:pPr>
              <w:jc w:val="center"/>
            </w:pPr>
            <w:r>
              <w:t>-</w:t>
            </w:r>
          </w:p>
          <w:p w:rsidR="00970569" w:rsidRDefault="00970569" w:rsidP="00240408">
            <w:pPr>
              <w:jc w:val="center"/>
            </w:pPr>
            <w:r>
              <w:t>-</w:t>
            </w:r>
          </w:p>
        </w:tc>
      </w:tr>
      <w:tr w:rsidR="00970569" w:rsidTr="00240408">
        <w:tc>
          <w:tcPr>
            <w:tcW w:w="1803" w:type="dxa"/>
            <w:tcBorders>
              <w:right w:val="single" w:sz="4" w:space="0" w:color="auto"/>
            </w:tcBorders>
          </w:tcPr>
          <w:p w:rsidR="00970569" w:rsidRPr="00BB2DFF" w:rsidRDefault="00970569" w:rsidP="00240408">
            <w:pPr>
              <w:rPr>
                <w:vertAlign w:val="superscript"/>
              </w:rPr>
            </w:pPr>
            <w:r w:rsidRPr="0065640D">
              <w:rPr>
                <w:b/>
              </w:rPr>
              <w:t xml:space="preserve">BMI </w:t>
            </w:r>
            <w:proofErr w:type="spellStart"/>
            <w:r w:rsidRPr="0065640D">
              <w:rPr>
                <w:b/>
              </w:rPr>
              <w:t>category</w:t>
            </w:r>
            <w:r>
              <w:rPr>
                <w:vertAlign w:val="superscript"/>
              </w:rPr>
              <w:t>d</w:t>
            </w:r>
            <w:proofErr w:type="spellEnd"/>
          </w:p>
          <w:p w:rsidR="00970569" w:rsidRDefault="00970569" w:rsidP="00240408">
            <w:r>
              <w:t xml:space="preserve">   </w:t>
            </w:r>
            <w:r w:rsidR="002730C0">
              <w:t>Underweight</w:t>
            </w:r>
          </w:p>
          <w:p w:rsidR="002730C0" w:rsidRDefault="002730C0" w:rsidP="00240408">
            <w:r>
              <w:t xml:space="preserve">   Normal</w:t>
            </w:r>
          </w:p>
          <w:p w:rsidR="002730C0" w:rsidRDefault="002730C0" w:rsidP="00240408">
            <w:r>
              <w:t xml:space="preserve">   Overweight</w:t>
            </w:r>
          </w:p>
          <w:p w:rsidR="002730C0" w:rsidRPr="006E4C21" w:rsidRDefault="002730C0" w:rsidP="00240408">
            <w:pPr>
              <w:rPr>
                <w:vertAlign w:val="superscript"/>
              </w:rPr>
            </w:pPr>
            <w:r>
              <w:t xml:space="preserve">   Obese</w:t>
            </w:r>
          </w:p>
        </w:tc>
        <w:tc>
          <w:tcPr>
            <w:tcW w:w="857" w:type="dxa"/>
            <w:tcBorders>
              <w:left w:val="single" w:sz="4" w:space="0" w:color="auto"/>
            </w:tcBorders>
          </w:tcPr>
          <w:p w:rsidR="00970569" w:rsidRDefault="00970569" w:rsidP="00240408">
            <w:pPr>
              <w:jc w:val="center"/>
            </w:pPr>
          </w:p>
          <w:p w:rsidR="002730C0" w:rsidRDefault="00585A28" w:rsidP="00240408">
            <w:pPr>
              <w:jc w:val="center"/>
            </w:pPr>
            <w:r>
              <w:t>0.99</w:t>
            </w:r>
          </w:p>
          <w:p w:rsidR="00585A28" w:rsidRDefault="00585A28" w:rsidP="00240408">
            <w:pPr>
              <w:jc w:val="center"/>
            </w:pPr>
            <w:r>
              <w:t>1</w:t>
            </w:r>
          </w:p>
          <w:p w:rsidR="00585A28" w:rsidRDefault="00585A28" w:rsidP="00240408">
            <w:pPr>
              <w:jc w:val="center"/>
            </w:pPr>
            <w:r>
              <w:t>0.67</w:t>
            </w:r>
          </w:p>
          <w:p w:rsidR="00585A28" w:rsidRDefault="00585A28" w:rsidP="00240408">
            <w:pPr>
              <w:jc w:val="center"/>
            </w:pPr>
            <w:r>
              <w:t>0.70</w:t>
            </w:r>
          </w:p>
        </w:tc>
        <w:tc>
          <w:tcPr>
            <w:tcW w:w="1417" w:type="dxa"/>
          </w:tcPr>
          <w:p w:rsidR="00970569" w:rsidRDefault="00970569" w:rsidP="00240408">
            <w:pPr>
              <w:jc w:val="center"/>
            </w:pPr>
          </w:p>
          <w:p w:rsidR="00970569" w:rsidRDefault="00585A28" w:rsidP="00240408">
            <w:pPr>
              <w:jc w:val="center"/>
            </w:pPr>
            <w:r>
              <w:t>0.54-1.81</w:t>
            </w:r>
          </w:p>
          <w:p w:rsidR="00585A28" w:rsidRDefault="00585A28" w:rsidP="00240408">
            <w:pPr>
              <w:jc w:val="center"/>
            </w:pPr>
            <w:r>
              <w:t>-</w:t>
            </w:r>
          </w:p>
          <w:p w:rsidR="00585A28" w:rsidRDefault="00585A28" w:rsidP="00240408">
            <w:pPr>
              <w:jc w:val="center"/>
            </w:pPr>
            <w:r>
              <w:t>0.45-1.00</w:t>
            </w:r>
          </w:p>
          <w:p w:rsidR="00585A28" w:rsidRDefault="00585A28" w:rsidP="00240408">
            <w:pPr>
              <w:jc w:val="center"/>
            </w:pPr>
            <w:r>
              <w:t>0.44-1.11</w:t>
            </w:r>
          </w:p>
        </w:tc>
        <w:tc>
          <w:tcPr>
            <w:tcW w:w="1276" w:type="dxa"/>
            <w:tcBorders>
              <w:right w:val="single" w:sz="24" w:space="0" w:color="auto"/>
            </w:tcBorders>
          </w:tcPr>
          <w:p w:rsidR="00970569" w:rsidRDefault="00970569" w:rsidP="00240408">
            <w:pPr>
              <w:jc w:val="center"/>
            </w:pPr>
          </w:p>
          <w:p w:rsidR="00970569" w:rsidRDefault="00585A28" w:rsidP="002730C0">
            <w:pPr>
              <w:jc w:val="center"/>
            </w:pPr>
            <w:r>
              <w:t>0.97</w:t>
            </w:r>
          </w:p>
          <w:p w:rsidR="00585A28" w:rsidRDefault="00585A28" w:rsidP="002730C0">
            <w:pPr>
              <w:jc w:val="center"/>
            </w:pPr>
            <w:r>
              <w:t>-</w:t>
            </w:r>
          </w:p>
          <w:p w:rsidR="00585A28" w:rsidRDefault="00585A28" w:rsidP="002730C0">
            <w:pPr>
              <w:jc w:val="center"/>
            </w:pPr>
            <w:r>
              <w:t>0.06</w:t>
            </w:r>
          </w:p>
          <w:p w:rsidR="00585A28" w:rsidRDefault="00585A28" w:rsidP="002730C0">
            <w:pPr>
              <w:jc w:val="center"/>
            </w:pPr>
            <w:r>
              <w:t>0.13</w:t>
            </w:r>
          </w:p>
        </w:tc>
        <w:tc>
          <w:tcPr>
            <w:tcW w:w="992" w:type="dxa"/>
            <w:tcBorders>
              <w:left w:val="single" w:sz="24" w:space="0" w:color="auto"/>
            </w:tcBorders>
          </w:tcPr>
          <w:p w:rsidR="00970569" w:rsidRDefault="00970569" w:rsidP="00240408">
            <w:pPr>
              <w:jc w:val="center"/>
            </w:pPr>
          </w:p>
          <w:p w:rsidR="00970569" w:rsidRDefault="00970569" w:rsidP="00240408">
            <w:pPr>
              <w:jc w:val="center"/>
            </w:pPr>
            <w:r>
              <w:t>-</w:t>
            </w:r>
          </w:p>
          <w:p w:rsidR="002730C0" w:rsidRDefault="002730C0" w:rsidP="00240408">
            <w:pPr>
              <w:jc w:val="center"/>
            </w:pPr>
            <w:r>
              <w:t>-</w:t>
            </w:r>
          </w:p>
          <w:p w:rsidR="002730C0" w:rsidRDefault="002730C0" w:rsidP="00240408">
            <w:pPr>
              <w:jc w:val="center"/>
            </w:pPr>
            <w:r>
              <w:t>-</w:t>
            </w:r>
          </w:p>
          <w:p w:rsidR="002730C0" w:rsidRDefault="002730C0" w:rsidP="00240408">
            <w:pPr>
              <w:jc w:val="center"/>
            </w:pPr>
            <w:r>
              <w:t>-</w:t>
            </w:r>
          </w:p>
        </w:tc>
        <w:tc>
          <w:tcPr>
            <w:tcW w:w="1425" w:type="dxa"/>
          </w:tcPr>
          <w:p w:rsidR="00970569" w:rsidRDefault="00970569" w:rsidP="00240408">
            <w:pPr>
              <w:jc w:val="center"/>
            </w:pPr>
          </w:p>
          <w:p w:rsidR="00970569" w:rsidRDefault="00970569" w:rsidP="00240408">
            <w:pPr>
              <w:jc w:val="center"/>
            </w:pPr>
            <w:r>
              <w:t>-</w:t>
            </w:r>
          </w:p>
          <w:p w:rsidR="002730C0" w:rsidRDefault="002730C0" w:rsidP="00240408">
            <w:pPr>
              <w:jc w:val="center"/>
            </w:pPr>
            <w:r>
              <w:t>-</w:t>
            </w:r>
          </w:p>
          <w:p w:rsidR="002730C0" w:rsidRDefault="002730C0" w:rsidP="00240408">
            <w:pPr>
              <w:jc w:val="center"/>
            </w:pPr>
            <w:r>
              <w:t>-</w:t>
            </w:r>
          </w:p>
          <w:p w:rsidR="002730C0" w:rsidRDefault="002730C0" w:rsidP="00240408">
            <w:pPr>
              <w:jc w:val="center"/>
            </w:pPr>
            <w:r>
              <w:t>-</w:t>
            </w:r>
          </w:p>
        </w:tc>
        <w:tc>
          <w:tcPr>
            <w:tcW w:w="1472" w:type="dxa"/>
          </w:tcPr>
          <w:p w:rsidR="00970569" w:rsidRDefault="00970569" w:rsidP="00240408">
            <w:pPr>
              <w:jc w:val="center"/>
            </w:pPr>
          </w:p>
          <w:p w:rsidR="00970569" w:rsidRDefault="00970569" w:rsidP="00240408">
            <w:pPr>
              <w:jc w:val="center"/>
            </w:pPr>
            <w:r>
              <w:t>-</w:t>
            </w:r>
          </w:p>
          <w:p w:rsidR="002730C0" w:rsidRDefault="002730C0" w:rsidP="00240408">
            <w:pPr>
              <w:jc w:val="center"/>
            </w:pPr>
            <w:r>
              <w:t>-</w:t>
            </w:r>
          </w:p>
          <w:p w:rsidR="002730C0" w:rsidRDefault="002730C0" w:rsidP="00240408">
            <w:pPr>
              <w:jc w:val="center"/>
            </w:pPr>
            <w:r>
              <w:t>-</w:t>
            </w:r>
          </w:p>
          <w:p w:rsidR="002730C0" w:rsidRDefault="002730C0" w:rsidP="00240408">
            <w:pPr>
              <w:jc w:val="center"/>
            </w:pPr>
            <w:r>
              <w:t>-</w:t>
            </w:r>
          </w:p>
        </w:tc>
      </w:tr>
      <w:tr w:rsidR="00970569" w:rsidTr="00240408">
        <w:tc>
          <w:tcPr>
            <w:tcW w:w="1803" w:type="dxa"/>
            <w:tcBorders>
              <w:right w:val="single" w:sz="4" w:space="0" w:color="auto"/>
            </w:tcBorders>
          </w:tcPr>
          <w:p w:rsidR="00970569" w:rsidRPr="00BF7D88" w:rsidRDefault="00970569" w:rsidP="00240408">
            <w:pPr>
              <w:rPr>
                <w:vertAlign w:val="superscript"/>
              </w:rPr>
            </w:pPr>
            <w:r>
              <w:rPr>
                <w:b/>
              </w:rPr>
              <w:t xml:space="preserve">Social </w:t>
            </w:r>
            <w:proofErr w:type="spellStart"/>
            <w:r>
              <w:rPr>
                <w:b/>
              </w:rPr>
              <w:t>deprivation</w:t>
            </w:r>
            <w:r>
              <w:rPr>
                <w:vertAlign w:val="superscript"/>
              </w:rPr>
              <w:t>e</w:t>
            </w:r>
            <w:proofErr w:type="spellEnd"/>
          </w:p>
          <w:p w:rsidR="00970569" w:rsidRPr="00663FBD" w:rsidRDefault="00970569" w:rsidP="00240408">
            <w:r>
              <w:t xml:space="preserve">   IMD upper</w:t>
            </w:r>
          </w:p>
        </w:tc>
        <w:tc>
          <w:tcPr>
            <w:tcW w:w="857" w:type="dxa"/>
            <w:tcBorders>
              <w:left w:val="single" w:sz="4" w:space="0" w:color="auto"/>
            </w:tcBorders>
          </w:tcPr>
          <w:p w:rsidR="00970569" w:rsidRDefault="00970569" w:rsidP="00240408">
            <w:pPr>
              <w:jc w:val="center"/>
            </w:pPr>
          </w:p>
          <w:p w:rsidR="00970569" w:rsidRDefault="00970569" w:rsidP="00240408">
            <w:pPr>
              <w:jc w:val="center"/>
            </w:pPr>
          </w:p>
          <w:p w:rsidR="00970569" w:rsidRDefault="00970569" w:rsidP="00240408">
            <w:pPr>
              <w:jc w:val="center"/>
            </w:pPr>
            <w:r>
              <w:t>0.91</w:t>
            </w:r>
          </w:p>
        </w:tc>
        <w:tc>
          <w:tcPr>
            <w:tcW w:w="1417" w:type="dxa"/>
          </w:tcPr>
          <w:p w:rsidR="00970569" w:rsidRDefault="00970569" w:rsidP="00240408">
            <w:pPr>
              <w:jc w:val="center"/>
            </w:pPr>
          </w:p>
          <w:p w:rsidR="00970569" w:rsidRDefault="00970569" w:rsidP="00240408">
            <w:pPr>
              <w:jc w:val="center"/>
            </w:pPr>
          </w:p>
          <w:p w:rsidR="00970569" w:rsidRDefault="00970569" w:rsidP="00240408">
            <w:pPr>
              <w:jc w:val="center"/>
            </w:pPr>
            <w:r>
              <w:t>0.64-1.28</w:t>
            </w:r>
          </w:p>
        </w:tc>
        <w:tc>
          <w:tcPr>
            <w:tcW w:w="1276" w:type="dxa"/>
            <w:tcBorders>
              <w:right w:val="single" w:sz="24" w:space="0" w:color="auto"/>
            </w:tcBorders>
          </w:tcPr>
          <w:p w:rsidR="00970569" w:rsidRDefault="00970569" w:rsidP="00240408">
            <w:pPr>
              <w:jc w:val="center"/>
            </w:pPr>
          </w:p>
          <w:p w:rsidR="00970569" w:rsidRDefault="00970569" w:rsidP="00240408">
            <w:pPr>
              <w:jc w:val="center"/>
            </w:pPr>
          </w:p>
          <w:p w:rsidR="00970569" w:rsidRDefault="00970569" w:rsidP="00240408">
            <w:pPr>
              <w:jc w:val="center"/>
            </w:pPr>
            <w:r>
              <w:t>0.57</w:t>
            </w:r>
          </w:p>
        </w:tc>
        <w:tc>
          <w:tcPr>
            <w:tcW w:w="992" w:type="dxa"/>
            <w:tcBorders>
              <w:left w:val="single" w:sz="24" w:space="0" w:color="auto"/>
            </w:tcBorders>
          </w:tcPr>
          <w:p w:rsidR="00970569" w:rsidRDefault="00970569" w:rsidP="00240408">
            <w:pPr>
              <w:jc w:val="center"/>
            </w:pPr>
          </w:p>
          <w:p w:rsidR="00970569" w:rsidRDefault="00970569" w:rsidP="00240408">
            <w:pPr>
              <w:jc w:val="center"/>
            </w:pPr>
          </w:p>
          <w:p w:rsidR="00970569" w:rsidRDefault="00970569" w:rsidP="00240408">
            <w:pPr>
              <w:jc w:val="center"/>
            </w:pPr>
            <w:r>
              <w:t>-</w:t>
            </w:r>
          </w:p>
        </w:tc>
        <w:tc>
          <w:tcPr>
            <w:tcW w:w="1425" w:type="dxa"/>
          </w:tcPr>
          <w:p w:rsidR="00970569" w:rsidRDefault="00970569" w:rsidP="00240408">
            <w:pPr>
              <w:jc w:val="center"/>
            </w:pPr>
          </w:p>
          <w:p w:rsidR="00970569" w:rsidRDefault="00970569" w:rsidP="00240408">
            <w:pPr>
              <w:jc w:val="center"/>
            </w:pPr>
          </w:p>
          <w:p w:rsidR="00970569" w:rsidRDefault="00970569" w:rsidP="00240408">
            <w:pPr>
              <w:jc w:val="center"/>
            </w:pPr>
            <w:r>
              <w:t>-</w:t>
            </w:r>
          </w:p>
        </w:tc>
        <w:tc>
          <w:tcPr>
            <w:tcW w:w="1472" w:type="dxa"/>
          </w:tcPr>
          <w:p w:rsidR="00970569" w:rsidRDefault="00970569" w:rsidP="00240408">
            <w:pPr>
              <w:jc w:val="center"/>
            </w:pPr>
          </w:p>
          <w:p w:rsidR="00970569" w:rsidRDefault="00970569" w:rsidP="00240408">
            <w:pPr>
              <w:jc w:val="center"/>
            </w:pPr>
          </w:p>
          <w:p w:rsidR="00970569" w:rsidRDefault="00970569" w:rsidP="00240408">
            <w:pPr>
              <w:jc w:val="center"/>
            </w:pPr>
            <w:r>
              <w:t>-</w:t>
            </w:r>
          </w:p>
        </w:tc>
      </w:tr>
      <w:tr w:rsidR="00970569" w:rsidTr="00240408">
        <w:tc>
          <w:tcPr>
            <w:tcW w:w="1803" w:type="dxa"/>
            <w:tcBorders>
              <w:right w:val="single" w:sz="4" w:space="0" w:color="auto"/>
            </w:tcBorders>
          </w:tcPr>
          <w:p w:rsidR="00970569" w:rsidRPr="00BB2DFF" w:rsidRDefault="00970569" w:rsidP="00240408">
            <w:pPr>
              <w:rPr>
                <w:vertAlign w:val="superscript"/>
              </w:rPr>
            </w:pPr>
            <w:r w:rsidRPr="0065640D">
              <w:rPr>
                <w:b/>
              </w:rPr>
              <w:t>Co-</w:t>
            </w:r>
            <w:proofErr w:type="spellStart"/>
            <w:r w:rsidRPr="0065640D">
              <w:rPr>
                <w:b/>
              </w:rPr>
              <w:t>morbidities</w:t>
            </w:r>
            <w:r>
              <w:rPr>
                <w:vertAlign w:val="superscript"/>
              </w:rPr>
              <w:t>f</w:t>
            </w:r>
            <w:proofErr w:type="spellEnd"/>
          </w:p>
          <w:p w:rsidR="00970569" w:rsidRDefault="00970569" w:rsidP="00240408">
            <w:r>
              <w:t xml:space="preserve">   IBS</w:t>
            </w:r>
          </w:p>
          <w:p w:rsidR="00970569" w:rsidRDefault="00970569" w:rsidP="00240408">
            <w:r>
              <w:t xml:space="preserve">   Depression</w:t>
            </w:r>
          </w:p>
        </w:tc>
        <w:tc>
          <w:tcPr>
            <w:tcW w:w="857" w:type="dxa"/>
            <w:tcBorders>
              <w:left w:val="single" w:sz="4" w:space="0" w:color="auto"/>
            </w:tcBorders>
          </w:tcPr>
          <w:p w:rsidR="00970569" w:rsidRDefault="00970569" w:rsidP="00240408">
            <w:pPr>
              <w:jc w:val="center"/>
            </w:pPr>
          </w:p>
          <w:p w:rsidR="00970569" w:rsidRDefault="00970569" w:rsidP="00240408">
            <w:pPr>
              <w:jc w:val="center"/>
            </w:pPr>
            <w:r>
              <w:t>1.13</w:t>
            </w:r>
          </w:p>
          <w:p w:rsidR="00970569" w:rsidRDefault="00970569" w:rsidP="00240408">
            <w:pPr>
              <w:jc w:val="center"/>
            </w:pPr>
            <w:r>
              <w:t>0.98</w:t>
            </w:r>
          </w:p>
        </w:tc>
        <w:tc>
          <w:tcPr>
            <w:tcW w:w="1417" w:type="dxa"/>
          </w:tcPr>
          <w:p w:rsidR="00970569" w:rsidRDefault="00970569" w:rsidP="00240408">
            <w:pPr>
              <w:jc w:val="center"/>
            </w:pPr>
          </w:p>
          <w:p w:rsidR="00970569" w:rsidRDefault="00970569" w:rsidP="00240408">
            <w:pPr>
              <w:jc w:val="center"/>
            </w:pPr>
            <w:r>
              <w:t>0.82-1.55</w:t>
            </w:r>
          </w:p>
          <w:p w:rsidR="00970569" w:rsidRDefault="00970569" w:rsidP="00240408">
            <w:pPr>
              <w:jc w:val="center"/>
            </w:pPr>
            <w:r>
              <w:t>0.60-1.59</w:t>
            </w:r>
          </w:p>
        </w:tc>
        <w:tc>
          <w:tcPr>
            <w:tcW w:w="1276" w:type="dxa"/>
            <w:tcBorders>
              <w:right w:val="single" w:sz="24" w:space="0" w:color="auto"/>
            </w:tcBorders>
          </w:tcPr>
          <w:p w:rsidR="00970569" w:rsidRDefault="00970569" w:rsidP="00240408">
            <w:pPr>
              <w:jc w:val="center"/>
            </w:pPr>
          </w:p>
          <w:p w:rsidR="00970569" w:rsidRDefault="00970569" w:rsidP="00240408">
            <w:pPr>
              <w:jc w:val="center"/>
            </w:pPr>
            <w:r>
              <w:t>0.47</w:t>
            </w:r>
          </w:p>
          <w:p w:rsidR="00970569" w:rsidRDefault="00970569" w:rsidP="00240408">
            <w:pPr>
              <w:jc w:val="center"/>
            </w:pPr>
            <w:r>
              <w:t>0.93</w:t>
            </w:r>
          </w:p>
        </w:tc>
        <w:tc>
          <w:tcPr>
            <w:tcW w:w="992" w:type="dxa"/>
            <w:tcBorders>
              <w:left w:val="single" w:sz="24" w:space="0" w:color="auto"/>
            </w:tcBorders>
          </w:tcPr>
          <w:p w:rsidR="00970569" w:rsidRDefault="00970569" w:rsidP="00240408">
            <w:pPr>
              <w:jc w:val="center"/>
            </w:pPr>
          </w:p>
          <w:p w:rsidR="00970569" w:rsidRDefault="00970569" w:rsidP="00240408">
            <w:pPr>
              <w:jc w:val="center"/>
            </w:pPr>
            <w:r>
              <w:t>-</w:t>
            </w:r>
          </w:p>
          <w:p w:rsidR="00970569" w:rsidRDefault="00970569" w:rsidP="00240408">
            <w:pPr>
              <w:jc w:val="center"/>
            </w:pPr>
            <w:r>
              <w:t>-</w:t>
            </w:r>
          </w:p>
        </w:tc>
        <w:tc>
          <w:tcPr>
            <w:tcW w:w="1425" w:type="dxa"/>
          </w:tcPr>
          <w:p w:rsidR="00970569" w:rsidRDefault="00970569" w:rsidP="00240408">
            <w:pPr>
              <w:jc w:val="center"/>
            </w:pPr>
          </w:p>
          <w:p w:rsidR="00970569" w:rsidRDefault="00970569" w:rsidP="00240408">
            <w:pPr>
              <w:jc w:val="center"/>
            </w:pPr>
            <w:r>
              <w:t>-</w:t>
            </w:r>
          </w:p>
          <w:p w:rsidR="00970569" w:rsidRDefault="00970569" w:rsidP="00240408">
            <w:pPr>
              <w:jc w:val="center"/>
            </w:pPr>
            <w:r>
              <w:t>-</w:t>
            </w:r>
          </w:p>
        </w:tc>
        <w:tc>
          <w:tcPr>
            <w:tcW w:w="1472" w:type="dxa"/>
          </w:tcPr>
          <w:p w:rsidR="00970569" w:rsidRDefault="00970569" w:rsidP="00240408">
            <w:pPr>
              <w:jc w:val="center"/>
            </w:pPr>
          </w:p>
          <w:p w:rsidR="00970569" w:rsidRDefault="00970569" w:rsidP="00240408">
            <w:pPr>
              <w:jc w:val="center"/>
            </w:pPr>
            <w:r>
              <w:t>-</w:t>
            </w:r>
          </w:p>
          <w:p w:rsidR="00970569" w:rsidRDefault="00970569" w:rsidP="00240408">
            <w:pPr>
              <w:jc w:val="center"/>
            </w:pPr>
            <w:r>
              <w:t>-</w:t>
            </w:r>
          </w:p>
        </w:tc>
      </w:tr>
      <w:tr w:rsidR="00970569" w:rsidTr="00240408">
        <w:tc>
          <w:tcPr>
            <w:tcW w:w="1803" w:type="dxa"/>
            <w:tcBorders>
              <w:right w:val="single" w:sz="4" w:space="0" w:color="auto"/>
            </w:tcBorders>
          </w:tcPr>
          <w:p w:rsidR="00970569" w:rsidRPr="00BB2DFF" w:rsidRDefault="00970569" w:rsidP="00240408">
            <w:pPr>
              <w:rPr>
                <w:vertAlign w:val="superscript"/>
              </w:rPr>
            </w:pPr>
            <w:r w:rsidRPr="0065640D">
              <w:rPr>
                <w:b/>
              </w:rPr>
              <w:t xml:space="preserve">IBD </w:t>
            </w:r>
            <w:proofErr w:type="spellStart"/>
            <w:r w:rsidRPr="0065640D">
              <w:rPr>
                <w:b/>
              </w:rPr>
              <w:t>med</w:t>
            </w:r>
            <w:r>
              <w:rPr>
                <w:b/>
              </w:rPr>
              <w:t>ication</w:t>
            </w:r>
            <w:r>
              <w:rPr>
                <w:vertAlign w:val="superscript"/>
              </w:rPr>
              <w:t>g</w:t>
            </w:r>
            <w:proofErr w:type="spellEnd"/>
          </w:p>
          <w:p w:rsidR="00970569" w:rsidRDefault="00970569" w:rsidP="00240408">
            <w:r>
              <w:t xml:space="preserve">   5-ASA</w:t>
            </w:r>
          </w:p>
          <w:p w:rsidR="00970569" w:rsidRDefault="00970569" w:rsidP="00240408">
            <w:r>
              <w:t xml:space="preserve">   TP</w:t>
            </w:r>
          </w:p>
        </w:tc>
        <w:tc>
          <w:tcPr>
            <w:tcW w:w="857" w:type="dxa"/>
            <w:tcBorders>
              <w:left w:val="single" w:sz="4" w:space="0" w:color="auto"/>
            </w:tcBorders>
          </w:tcPr>
          <w:p w:rsidR="00970569" w:rsidRDefault="00970569" w:rsidP="00240408">
            <w:pPr>
              <w:jc w:val="center"/>
            </w:pPr>
          </w:p>
          <w:p w:rsidR="00970569" w:rsidRDefault="00970569" w:rsidP="00240408">
            <w:pPr>
              <w:jc w:val="center"/>
            </w:pPr>
            <w:r>
              <w:t>0.95</w:t>
            </w:r>
          </w:p>
          <w:p w:rsidR="00970569" w:rsidRDefault="00970569" w:rsidP="00240408">
            <w:pPr>
              <w:jc w:val="center"/>
            </w:pPr>
            <w:r>
              <w:t>2.64</w:t>
            </w:r>
          </w:p>
        </w:tc>
        <w:tc>
          <w:tcPr>
            <w:tcW w:w="1417" w:type="dxa"/>
          </w:tcPr>
          <w:p w:rsidR="00970569" w:rsidRDefault="00970569" w:rsidP="00240408">
            <w:pPr>
              <w:jc w:val="center"/>
            </w:pPr>
          </w:p>
          <w:p w:rsidR="00970569" w:rsidRDefault="00970569" w:rsidP="00240408">
            <w:pPr>
              <w:jc w:val="center"/>
            </w:pPr>
            <w:r>
              <w:t>0.73-1.2</w:t>
            </w:r>
          </w:p>
          <w:p w:rsidR="00970569" w:rsidRDefault="00970569" w:rsidP="00240408">
            <w:pPr>
              <w:jc w:val="center"/>
            </w:pPr>
            <w:r>
              <w:t>2.03-3.44</w:t>
            </w:r>
          </w:p>
        </w:tc>
        <w:tc>
          <w:tcPr>
            <w:tcW w:w="1276" w:type="dxa"/>
            <w:tcBorders>
              <w:right w:val="single" w:sz="24" w:space="0" w:color="auto"/>
            </w:tcBorders>
          </w:tcPr>
          <w:p w:rsidR="00970569" w:rsidRDefault="00970569" w:rsidP="00240408">
            <w:pPr>
              <w:jc w:val="center"/>
            </w:pPr>
          </w:p>
          <w:p w:rsidR="00970569" w:rsidRDefault="00970569" w:rsidP="00240408">
            <w:pPr>
              <w:jc w:val="center"/>
            </w:pPr>
            <w:r>
              <w:t>0.68</w:t>
            </w:r>
          </w:p>
          <w:p w:rsidR="00970569" w:rsidRPr="00C54849" w:rsidRDefault="00970569" w:rsidP="00240408">
            <w:pPr>
              <w:jc w:val="center"/>
              <w:rPr>
                <w:b/>
              </w:rPr>
            </w:pPr>
            <w:r w:rsidRPr="00C54849">
              <w:rPr>
                <w:b/>
              </w:rPr>
              <w:t>&lt;0.0001</w:t>
            </w:r>
          </w:p>
        </w:tc>
        <w:tc>
          <w:tcPr>
            <w:tcW w:w="992" w:type="dxa"/>
            <w:tcBorders>
              <w:left w:val="single" w:sz="24" w:space="0" w:color="auto"/>
            </w:tcBorders>
          </w:tcPr>
          <w:p w:rsidR="00970569" w:rsidRDefault="00970569" w:rsidP="00240408">
            <w:pPr>
              <w:jc w:val="center"/>
            </w:pPr>
          </w:p>
          <w:p w:rsidR="00970569" w:rsidRDefault="00970569" w:rsidP="00240408">
            <w:pPr>
              <w:jc w:val="center"/>
            </w:pPr>
            <w:r>
              <w:t>-</w:t>
            </w:r>
          </w:p>
          <w:p w:rsidR="00970569" w:rsidRDefault="002730C0" w:rsidP="00240408">
            <w:pPr>
              <w:jc w:val="center"/>
            </w:pPr>
            <w:r>
              <w:t>2.72</w:t>
            </w:r>
          </w:p>
        </w:tc>
        <w:tc>
          <w:tcPr>
            <w:tcW w:w="1425" w:type="dxa"/>
          </w:tcPr>
          <w:p w:rsidR="00970569" w:rsidRDefault="00970569" w:rsidP="00240408">
            <w:pPr>
              <w:jc w:val="center"/>
            </w:pPr>
          </w:p>
          <w:p w:rsidR="00970569" w:rsidRDefault="00970569" w:rsidP="00240408">
            <w:pPr>
              <w:jc w:val="center"/>
            </w:pPr>
            <w:r>
              <w:t>-</w:t>
            </w:r>
          </w:p>
          <w:p w:rsidR="00970569" w:rsidRDefault="002730C0" w:rsidP="00240408">
            <w:pPr>
              <w:jc w:val="center"/>
            </w:pPr>
            <w:r>
              <w:t>1.73-4.29</w:t>
            </w:r>
          </w:p>
        </w:tc>
        <w:tc>
          <w:tcPr>
            <w:tcW w:w="1472" w:type="dxa"/>
          </w:tcPr>
          <w:p w:rsidR="00970569" w:rsidRDefault="00970569" w:rsidP="00240408">
            <w:pPr>
              <w:jc w:val="center"/>
            </w:pPr>
          </w:p>
          <w:p w:rsidR="00970569" w:rsidRDefault="00970569" w:rsidP="00240408">
            <w:pPr>
              <w:jc w:val="center"/>
            </w:pPr>
            <w:r>
              <w:t>-</w:t>
            </w:r>
          </w:p>
          <w:p w:rsidR="00970569" w:rsidRPr="00C54849" w:rsidRDefault="00970569" w:rsidP="00240408">
            <w:pPr>
              <w:jc w:val="center"/>
              <w:rPr>
                <w:b/>
              </w:rPr>
            </w:pPr>
            <w:r w:rsidRPr="00C54849">
              <w:rPr>
                <w:b/>
              </w:rPr>
              <w:t>&lt;0.0001</w:t>
            </w:r>
          </w:p>
        </w:tc>
      </w:tr>
      <w:tr w:rsidR="00970569" w:rsidTr="00240408">
        <w:tc>
          <w:tcPr>
            <w:tcW w:w="1803" w:type="dxa"/>
            <w:tcBorders>
              <w:right w:val="single" w:sz="4" w:space="0" w:color="auto"/>
            </w:tcBorders>
          </w:tcPr>
          <w:p w:rsidR="00970569" w:rsidRPr="00BB2DFF" w:rsidRDefault="00970569" w:rsidP="00240408">
            <w:pPr>
              <w:rPr>
                <w:vertAlign w:val="superscript"/>
              </w:rPr>
            </w:pPr>
            <w:r>
              <w:rPr>
                <w:b/>
              </w:rPr>
              <w:t xml:space="preserve">Severity </w:t>
            </w:r>
            <w:proofErr w:type="spellStart"/>
            <w:r>
              <w:rPr>
                <w:b/>
              </w:rPr>
              <w:t>Indices</w:t>
            </w:r>
            <w:r>
              <w:rPr>
                <w:vertAlign w:val="superscript"/>
              </w:rPr>
              <w:t>h</w:t>
            </w:r>
            <w:proofErr w:type="spellEnd"/>
          </w:p>
          <w:p w:rsidR="00970569" w:rsidRPr="005F414C" w:rsidRDefault="00970569" w:rsidP="00240408">
            <w:r>
              <w:t xml:space="preserve">   MBI 2+</w:t>
            </w:r>
          </w:p>
        </w:tc>
        <w:tc>
          <w:tcPr>
            <w:tcW w:w="857" w:type="dxa"/>
            <w:tcBorders>
              <w:left w:val="single" w:sz="4" w:space="0" w:color="auto"/>
            </w:tcBorders>
          </w:tcPr>
          <w:p w:rsidR="00970569" w:rsidRDefault="00970569" w:rsidP="00240408">
            <w:pPr>
              <w:jc w:val="center"/>
            </w:pPr>
          </w:p>
          <w:p w:rsidR="00970569" w:rsidRDefault="00970569" w:rsidP="00240408">
            <w:pPr>
              <w:jc w:val="center"/>
            </w:pPr>
            <w:r>
              <w:t>1.94</w:t>
            </w:r>
          </w:p>
        </w:tc>
        <w:tc>
          <w:tcPr>
            <w:tcW w:w="1417" w:type="dxa"/>
          </w:tcPr>
          <w:p w:rsidR="00970569" w:rsidRDefault="00970569" w:rsidP="00240408">
            <w:pPr>
              <w:jc w:val="center"/>
            </w:pPr>
          </w:p>
          <w:p w:rsidR="00970569" w:rsidRDefault="00970569" w:rsidP="00240408">
            <w:pPr>
              <w:jc w:val="center"/>
            </w:pPr>
            <w:r>
              <w:t>1.45-2.59</w:t>
            </w:r>
          </w:p>
        </w:tc>
        <w:tc>
          <w:tcPr>
            <w:tcW w:w="1276" w:type="dxa"/>
            <w:tcBorders>
              <w:right w:val="single" w:sz="24" w:space="0" w:color="auto"/>
            </w:tcBorders>
          </w:tcPr>
          <w:p w:rsidR="00970569" w:rsidRDefault="00970569" w:rsidP="00240408">
            <w:pPr>
              <w:jc w:val="center"/>
            </w:pPr>
          </w:p>
          <w:p w:rsidR="00970569" w:rsidRPr="00304E40" w:rsidRDefault="00970569" w:rsidP="00240408">
            <w:pPr>
              <w:jc w:val="center"/>
              <w:rPr>
                <w:b/>
              </w:rPr>
            </w:pPr>
            <w:r w:rsidRPr="00C54849">
              <w:rPr>
                <w:b/>
              </w:rPr>
              <w:t>&lt;0.0001</w:t>
            </w:r>
          </w:p>
        </w:tc>
        <w:tc>
          <w:tcPr>
            <w:tcW w:w="992" w:type="dxa"/>
            <w:tcBorders>
              <w:left w:val="single" w:sz="24" w:space="0" w:color="auto"/>
            </w:tcBorders>
          </w:tcPr>
          <w:p w:rsidR="00970569" w:rsidRDefault="00970569" w:rsidP="00240408">
            <w:pPr>
              <w:jc w:val="center"/>
            </w:pPr>
          </w:p>
          <w:p w:rsidR="00970569" w:rsidRDefault="00970569" w:rsidP="00240408">
            <w:pPr>
              <w:jc w:val="center"/>
            </w:pPr>
            <w:r>
              <w:t>-</w:t>
            </w:r>
          </w:p>
        </w:tc>
        <w:tc>
          <w:tcPr>
            <w:tcW w:w="1425" w:type="dxa"/>
          </w:tcPr>
          <w:p w:rsidR="00970569" w:rsidRDefault="00970569" w:rsidP="00240408">
            <w:pPr>
              <w:jc w:val="center"/>
            </w:pPr>
          </w:p>
          <w:p w:rsidR="00970569" w:rsidRDefault="00970569" w:rsidP="00240408">
            <w:pPr>
              <w:jc w:val="center"/>
            </w:pPr>
            <w:r>
              <w:t>-</w:t>
            </w:r>
          </w:p>
        </w:tc>
        <w:tc>
          <w:tcPr>
            <w:tcW w:w="1472" w:type="dxa"/>
          </w:tcPr>
          <w:p w:rsidR="00970569" w:rsidRDefault="00970569" w:rsidP="00240408">
            <w:pPr>
              <w:jc w:val="center"/>
            </w:pPr>
          </w:p>
          <w:p w:rsidR="00970569" w:rsidRDefault="00970569" w:rsidP="00240408">
            <w:pPr>
              <w:jc w:val="center"/>
            </w:pPr>
            <w:r>
              <w:t>-</w:t>
            </w:r>
          </w:p>
        </w:tc>
      </w:tr>
    </w:tbl>
    <w:p w:rsidR="009E0D95" w:rsidRPr="00294753" w:rsidRDefault="00784E97" w:rsidP="00304057">
      <w:pPr>
        <w:jc w:val="both"/>
        <w:rPr>
          <w:b/>
          <w:sz w:val="24"/>
          <w:szCs w:val="24"/>
        </w:rPr>
      </w:pPr>
      <w:r>
        <w:rPr>
          <w:sz w:val="18"/>
          <w:szCs w:val="18"/>
        </w:rPr>
        <w:t>Multi</w:t>
      </w:r>
      <w:r w:rsidR="009E0D95">
        <w:rPr>
          <w:sz w:val="18"/>
          <w:szCs w:val="18"/>
        </w:rPr>
        <w:t>variate analysis in</w:t>
      </w:r>
      <w:r>
        <w:rPr>
          <w:sz w:val="18"/>
          <w:szCs w:val="18"/>
        </w:rPr>
        <w:t xml:space="preserve">cludes all covariates of </w:t>
      </w:r>
      <w:proofErr w:type="spellStart"/>
      <w:r>
        <w:rPr>
          <w:sz w:val="18"/>
          <w:szCs w:val="18"/>
        </w:rPr>
        <w:t>uni</w:t>
      </w:r>
      <w:r w:rsidR="009E0D95">
        <w:rPr>
          <w:sz w:val="18"/>
          <w:szCs w:val="18"/>
        </w:rPr>
        <w:t>variate</w:t>
      </w:r>
      <w:proofErr w:type="spellEnd"/>
      <w:r w:rsidR="009E0D95">
        <w:rPr>
          <w:sz w:val="18"/>
          <w:szCs w:val="18"/>
        </w:rPr>
        <w:t xml:space="preserve"> analysis. Only significan</w:t>
      </w:r>
      <w:r>
        <w:rPr>
          <w:sz w:val="18"/>
          <w:szCs w:val="18"/>
        </w:rPr>
        <w:t>t hazard ratios shown for multi</w:t>
      </w:r>
      <w:r w:rsidR="009E0D95">
        <w:rPr>
          <w:sz w:val="18"/>
          <w:szCs w:val="18"/>
        </w:rPr>
        <w:t>variate analysis</w:t>
      </w:r>
    </w:p>
    <w:p w:rsidR="009E0D95" w:rsidRDefault="009E0D95" w:rsidP="00304057">
      <w:pPr>
        <w:jc w:val="both"/>
        <w:rPr>
          <w:sz w:val="18"/>
          <w:szCs w:val="18"/>
        </w:rPr>
      </w:pPr>
      <w:r w:rsidRPr="00BB2DFF">
        <w:rPr>
          <w:b/>
          <w:sz w:val="18"/>
          <w:szCs w:val="18"/>
        </w:rPr>
        <w:t>HR</w:t>
      </w:r>
      <w:r>
        <w:rPr>
          <w:sz w:val="18"/>
          <w:szCs w:val="18"/>
        </w:rPr>
        <w:t xml:space="preserve"> - Hazard ratio   </w:t>
      </w:r>
      <w:r w:rsidRPr="00BB2DFF">
        <w:rPr>
          <w:b/>
          <w:sz w:val="18"/>
          <w:szCs w:val="18"/>
        </w:rPr>
        <w:t>CI</w:t>
      </w:r>
      <w:r>
        <w:rPr>
          <w:sz w:val="18"/>
          <w:szCs w:val="18"/>
        </w:rPr>
        <w:t xml:space="preserve"> - Confidence Interval   </w:t>
      </w:r>
      <w:r w:rsidRPr="00BB2DFF">
        <w:rPr>
          <w:b/>
          <w:sz w:val="18"/>
          <w:szCs w:val="18"/>
        </w:rPr>
        <w:t>IBD</w:t>
      </w:r>
      <w:r>
        <w:rPr>
          <w:sz w:val="18"/>
          <w:szCs w:val="18"/>
        </w:rPr>
        <w:t xml:space="preserve"> - Inflammatory Bowel Disease  </w:t>
      </w:r>
      <w:r w:rsidRPr="00BB2DFF">
        <w:rPr>
          <w:b/>
          <w:sz w:val="18"/>
          <w:szCs w:val="18"/>
        </w:rPr>
        <w:t>BMI</w:t>
      </w:r>
      <w:r>
        <w:rPr>
          <w:sz w:val="18"/>
          <w:szCs w:val="18"/>
        </w:rPr>
        <w:t xml:space="preserve"> - Body Mass Index   </w:t>
      </w:r>
      <w:r w:rsidRPr="00BB2DFF">
        <w:rPr>
          <w:b/>
          <w:sz w:val="18"/>
          <w:szCs w:val="18"/>
        </w:rPr>
        <w:t>IMD</w:t>
      </w:r>
      <w:r>
        <w:rPr>
          <w:sz w:val="18"/>
          <w:szCs w:val="18"/>
        </w:rPr>
        <w:t xml:space="preserve"> - index of multiple depravity   </w:t>
      </w:r>
      <w:r w:rsidRPr="00BB2DFF">
        <w:rPr>
          <w:b/>
          <w:sz w:val="18"/>
          <w:szCs w:val="18"/>
        </w:rPr>
        <w:t>IBS</w:t>
      </w:r>
      <w:r>
        <w:rPr>
          <w:sz w:val="18"/>
          <w:szCs w:val="18"/>
        </w:rPr>
        <w:t xml:space="preserve"> - irritable bowel syndrome   </w:t>
      </w:r>
      <w:r w:rsidRPr="00BB2DFF">
        <w:rPr>
          <w:b/>
          <w:sz w:val="18"/>
          <w:szCs w:val="18"/>
        </w:rPr>
        <w:t>5-ASA</w:t>
      </w:r>
      <w:r>
        <w:rPr>
          <w:sz w:val="18"/>
          <w:szCs w:val="18"/>
        </w:rPr>
        <w:t xml:space="preserve"> - 5-aminosalicylates   </w:t>
      </w:r>
      <w:r w:rsidRPr="00BB2DFF">
        <w:rPr>
          <w:b/>
          <w:sz w:val="18"/>
          <w:szCs w:val="18"/>
        </w:rPr>
        <w:t>TP</w:t>
      </w:r>
      <w:r>
        <w:rPr>
          <w:sz w:val="18"/>
          <w:szCs w:val="18"/>
        </w:rPr>
        <w:t xml:space="preserve"> - </w:t>
      </w:r>
      <w:proofErr w:type="spellStart"/>
      <w:r>
        <w:rPr>
          <w:sz w:val="18"/>
          <w:szCs w:val="18"/>
        </w:rPr>
        <w:t>Thiopurine</w:t>
      </w:r>
      <w:proofErr w:type="spellEnd"/>
      <w:r>
        <w:rPr>
          <w:sz w:val="18"/>
          <w:szCs w:val="18"/>
        </w:rPr>
        <w:t xml:space="preserve">   </w:t>
      </w:r>
      <w:r w:rsidRPr="00BB2DFF">
        <w:rPr>
          <w:b/>
          <w:sz w:val="18"/>
          <w:szCs w:val="18"/>
        </w:rPr>
        <w:t>BI</w:t>
      </w:r>
      <w:r w:rsidR="00970569">
        <w:rPr>
          <w:sz w:val="18"/>
          <w:szCs w:val="18"/>
        </w:rPr>
        <w:t xml:space="preserve"> - </w:t>
      </w:r>
      <w:r>
        <w:rPr>
          <w:sz w:val="18"/>
          <w:szCs w:val="18"/>
        </w:rPr>
        <w:t xml:space="preserve"> </w:t>
      </w:r>
      <w:proofErr w:type="spellStart"/>
      <w:r>
        <w:rPr>
          <w:sz w:val="18"/>
          <w:szCs w:val="18"/>
        </w:rPr>
        <w:t>Beaugerie</w:t>
      </w:r>
      <w:proofErr w:type="spellEnd"/>
      <w:r>
        <w:rPr>
          <w:sz w:val="18"/>
          <w:szCs w:val="18"/>
        </w:rPr>
        <w:t xml:space="preserve"> Index </w:t>
      </w:r>
    </w:p>
    <w:p w:rsidR="009E0D95" w:rsidRDefault="009E0D95" w:rsidP="00304057">
      <w:pPr>
        <w:jc w:val="both"/>
        <w:rPr>
          <w:sz w:val="18"/>
          <w:szCs w:val="18"/>
        </w:rPr>
      </w:pPr>
      <w:r>
        <w:rPr>
          <w:sz w:val="18"/>
          <w:szCs w:val="18"/>
        </w:rPr>
        <w:t>a - smoker at diagnosis defined as any patient with Read codes for active smoking within the year preceding IBD diagnosis</w:t>
      </w:r>
    </w:p>
    <w:p w:rsidR="009E0D95" w:rsidRDefault="009E0D95" w:rsidP="00304057">
      <w:pPr>
        <w:jc w:val="both"/>
        <w:rPr>
          <w:sz w:val="18"/>
          <w:szCs w:val="18"/>
        </w:rPr>
      </w:pPr>
      <w:r>
        <w:rPr>
          <w:sz w:val="18"/>
          <w:szCs w:val="18"/>
        </w:rPr>
        <w:t>b - Age categories as per Montreal classification (A1 &lt;17 years, A2 17-40, A3 &gt;40 years)</w:t>
      </w:r>
    </w:p>
    <w:p w:rsidR="009E0D95" w:rsidRDefault="009E0D95" w:rsidP="00304057">
      <w:pPr>
        <w:jc w:val="both"/>
        <w:rPr>
          <w:sz w:val="18"/>
          <w:szCs w:val="18"/>
        </w:rPr>
      </w:pPr>
      <w:r>
        <w:rPr>
          <w:sz w:val="18"/>
          <w:szCs w:val="18"/>
        </w:rPr>
        <w:t xml:space="preserve">c - </w:t>
      </w:r>
      <w:r w:rsidR="00ED4CB3">
        <w:rPr>
          <w:sz w:val="18"/>
          <w:szCs w:val="18"/>
        </w:rPr>
        <w:t>Era 1: 2005-06 (inclusive), Era 2: 2007-08, Era 3: 2009-10, Era 4: 2011-12, Era 5: 2013-14</w:t>
      </w:r>
    </w:p>
    <w:p w:rsidR="009E0D95" w:rsidRDefault="009E0D95" w:rsidP="00304057">
      <w:pPr>
        <w:jc w:val="both"/>
        <w:rPr>
          <w:sz w:val="18"/>
          <w:szCs w:val="18"/>
        </w:rPr>
      </w:pPr>
      <w:r>
        <w:rPr>
          <w:sz w:val="18"/>
          <w:szCs w:val="18"/>
        </w:rPr>
        <w:lastRenderedPageBreak/>
        <w:t>d - calculated as the closest recorded BMI to date of IBD diagnosis, one year either side of IBD diagnosis</w:t>
      </w:r>
    </w:p>
    <w:p w:rsidR="009E0D95" w:rsidRDefault="009E0D95" w:rsidP="00304057">
      <w:pPr>
        <w:jc w:val="both"/>
        <w:rPr>
          <w:sz w:val="18"/>
          <w:szCs w:val="18"/>
        </w:rPr>
      </w:pPr>
      <w:r>
        <w:rPr>
          <w:sz w:val="18"/>
          <w:szCs w:val="18"/>
        </w:rPr>
        <w:t>e - IMD upper includes IMD categories 1 and 2 (versus IMD category 3,4 and 5)</w:t>
      </w:r>
    </w:p>
    <w:p w:rsidR="009E0D95" w:rsidRDefault="009E0D95" w:rsidP="00304057">
      <w:pPr>
        <w:jc w:val="both"/>
        <w:rPr>
          <w:sz w:val="18"/>
          <w:szCs w:val="18"/>
        </w:rPr>
      </w:pPr>
      <w:r>
        <w:rPr>
          <w:sz w:val="18"/>
          <w:szCs w:val="18"/>
        </w:rPr>
        <w:t>f - IBS co-diagnosis defined as any patient with a Read code for IBS before or after IBD diagnosis. Depression defined as any patient with a Read code for depression before or after IBD diagnosis</w:t>
      </w:r>
    </w:p>
    <w:p w:rsidR="009E0D95" w:rsidRDefault="009E0D95" w:rsidP="00304057">
      <w:pPr>
        <w:jc w:val="both"/>
        <w:rPr>
          <w:sz w:val="18"/>
          <w:szCs w:val="18"/>
        </w:rPr>
      </w:pPr>
      <w:r>
        <w:rPr>
          <w:sz w:val="18"/>
          <w:szCs w:val="18"/>
        </w:rPr>
        <w:t>g - exposure of 5-ASA or TP medications defined as any patients with at least one or more prescription for either 5-ASA of TP after IBD diagnosis</w:t>
      </w:r>
    </w:p>
    <w:p w:rsidR="009E0D95" w:rsidRDefault="00970569" w:rsidP="00304057">
      <w:pPr>
        <w:jc w:val="both"/>
        <w:rPr>
          <w:sz w:val="18"/>
          <w:szCs w:val="18"/>
        </w:rPr>
      </w:pPr>
      <w:r>
        <w:rPr>
          <w:sz w:val="18"/>
          <w:szCs w:val="18"/>
        </w:rPr>
        <w:t xml:space="preserve">h - </w:t>
      </w:r>
      <w:r w:rsidR="00793D3C">
        <w:rPr>
          <w:sz w:val="18"/>
          <w:szCs w:val="18"/>
        </w:rPr>
        <w:t xml:space="preserve">BI 2+ - </w:t>
      </w:r>
      <w:proofErr w:type="spellStart"/>
      <w:r w:rsidR="00793D3C">
        <w:rPr>
          <w:sz w:val="18"/>
          <w:szCs w:val="18"/>
        </w:rPr>
        <w:t>Beaugerie</w:t>
      </w:r>
      <w:proofErr w:type="spellEnd"/>
      <w:r w:rsidR="00793D3C">
        <w:rPr>
          <w:sz w:val="18"/>
          <w:szCs w:val="18"/>
        </w:rPr>
        <w:t xml:space="preserve"> Index score of 2+  -  please refer to methodology for exact details of these definitions</w:t>
      </w:r>
    </w:p>
    <w:p w:rsidR="009E0D95" w:rsidRPr="009E0D95" w:rsidRDefault="009E0D95" w:rsidP="00304057">
      <w:pPr>
        <w:spacing w:line="480" w:lineRule="auto"/>
        <w:jc w:val="both"/>
        <w:rPr>
          <w:sz w:val="20"/>
          <w:szCs w:val="20"/>
        </w:rPr>
      </w:pPr>
    </w:p>
    <w:sectPr w:rsidR="009E0D95" w:rsidRPr="009E0D95" w:rsidSect="006F52CB">
      <w:headerReference w:type="default" r:id="rId14"/>
      <w:pgSz w:w="11906" w:h="16838"/>
      <w:pgMar w:top="1440" w:right="1440" w:bottom="1440" w:left="1440" w:header="708" w:footer="708"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281" w:rsidRDefault="00437281" w:rsidP="00DD110F">
      <w:pPr>
        <w:spacing w:after="0" w:line="240" w:lineRule="auto"/>
      </w:pPr>
      <w:r>
        <w:separator/>
      </w:r>
    </w:p>
  </w:endnote>
  <w:endnote w:type="continuationSeparator" w:id="0">
    <w:p w:rsidR="00437281" w:rsidRDefault="00437281" w:rsidP="00DD11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terfaceregular">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281" w:rsidRDefault="00437281" w:rsidP="00DD110F">
      <w:pPr>
        <w:spacing w:after="0" w:line="240" w:lineRule="auto"/>
      </w:pPr>
      <w:r>
        <w:separator/>
      </w:r>
    </w:p>
  </w:footnote>
  <w:footnote w:type="continuationSeparator" w:id="0">
    <w:p w:rsidR="00437281" w:rsidRDefault="00437281" w:rsidP="00DD11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51704"/>
      <w:docPartObj>
        <w:docPartGallery w:val="Page Numbers (Top of Page)"/>
        <w:docPartUnique/>
      </w:docPartObj>
    </w:sdtPr>
    <w:sdtContent>
      <w:p w:rsidR="0045206C" w:rsidRDefault="00AE13D9">
        <w:pPr>
          <w:pStyle w:val="Header"/>
          <w:jc w:val="right"/>
        </w:pPr>
        <w:fldSimple w:instr=" PAGE   \* MERGEFORMAT ">
          <w:r w:rsidR="00C21F64">
            <w:rPr>
              <w:noProof/>
            </w:rPr>
            <w:t>1</w:t>
          </w:r>
        </w:fldSimple>
      </w:p>
    </w:sdtContent>
  </w:sdt>
  <w:p w:rsidR="0045206C" w:rsidRDefault="004520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E4249D"/>
    <w:multiLevelType w:val="hybridMultilevel"/>
    <w:tmpl w:val="BE1A6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2CF7814"/>
    <w:multiLevelType w:val="hybridMultilevel"/>
    <w:tmpl w:val="CB1467C6"/>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D4518"/>
    <w:rsid w:val="00000F54"/>
    <w:rsid w:val="00001B01"/>
    <w:rsid w:val="00001F7E"/>
    <w:rsid w:val="00002BA4"/>
    <w:rsid w:val="000079A0"/>
    <w:rsid w:val="000135E6"/>
    <w:rsid w:val="0001799A"/>
    <w:rsid w:val="0002070C"/>
    <w:rsid w:val="000222AA"/>
    <w:rsid w:val="0002241D"/>
    <w:rsid w:val="00024829"/>
    <w:rsid w:val="00024E94"/>
    <w:rsid w:val="000314F9"/>
    <w:rsid w:val="00037339"/>
    <w:rsid w:val="00045EB0"/>
    <w:rsid w:val="00050E4F"/>
    <w:rsid w:val="00050F12"/>
    <w:rsid w:val="00052EA1"/>
    <w:rsid w:val="0007097B"/>
    <w:rsid w:val="000731DA"/>
    <w:rsid w:val="00082E73"/>
    <w:rsid w:val="0008493D"/>
    <w:rsid w:val="0008518A"/>
    <w:rsid w:val="00087962"/>
    <w:rsid w:val="00091E46"/>
    <w:rsid w:val="00092AB4"/>
    <w:rsid w:val="000977D0"/>
    <w:rsid w:val="00097DAA"/>
    <w:rsid w:val="000A0A34"/>
    <w:rsid w:val="000A127F"/>
    <w:rsid w:val="000A3F2B"/>
    <w:rsid w:val="000B11E0"/>
    <w:rsid w:val="000B21E9"/>
    <w:rsid w:val="000B2C81"/>
    <w:rsid w:val="000C202F"/>
    <w:rsid w:val="000C51E9"/>
    <w:rsid w:val="000F2995"/>
    <w:rsid w:val="000F3A69"/>
    <w:rsid w:val="001016A3"/>
    <w:rsid w:val="00112692"/>
    <w:rsid w:val="001140B1"/>
    <w:rsid w:val="001140F7"/>
    <w:rsid w:val="0012489E"/>
    <w:rsid w:val="0013491D"/>
    <w:rsid w:val="001441FB"/>
    <w:rsid w:val="001521D5"/>
    <w:rsid w:val="001523EA"/>
    <w:rsid w:val="00154ACF"/>
    <w:rsid w:val="001556D4"/>
    <w:rsid w:val="00155E6A"/>
    <w:rsid w:val="001632E6"/>
    <w:rsid w:val="0016398C"/>
    <w:rsid w:val="00164C70"/>
    <w:rsid w:val="00167566"/>
    <w:rsid w:val="00171127"/>
    <w:rsid w:val="00173826"/>
    <w:rsid w:val="0017726E"/>
    <w:rsid w:val="001842F1"/>
    <w:rsid w:val="0018549B"/>
    <w:rsid w:val="00193DD2"/>
    <w:rsid w:val="001969A0"/>
    <w:rsid w:val="00197CC5"/>
    <w:rsid w:val="001A391E"/>
    <w:rsid w:val="001B21C2"/>
    <w:rsid w:val="001B5F81"/>
    <w:rsid w:val="001C13C1"/>
    <w:rsid w:val="001C3A67"/>
    <w:rsid w:val="001D265C"/>
    <w:rsid w:val="001D54A9"/>
    <w:rsid w:val="001D63D5"/>
    <w:rsid w:val="001D7380"/>
    <w:rsid w:val="001E1288"/>
    <w:rsid w:val="001E5884"/>
    <w:rsid w:val="001F1169"/>
    <w:rsid w:val="001F3FE4"/>
    <w:rsid w:val="001F59F7"/>
    <w:rsid w:val="00201E3C"/>
    <w:rsid w:val="00204EB2"/>
    <w:rsid w:val="00204FAA"/>
    <w:rsid w:val="00213D12"/>
    <w:rsid w:val="00216220"/>
    <w:rsid w:val="00216CA0"/>
    <w:rsid w:val="00220116"/>
    <w:rsid w:val="00221726"/>
    <w:rsid w:val="002227B5"/>
    <w:rsid w:val="00223F5B"/>
    <w:rsid w:val="0023239F"/>
    <w:rsid w:val="00233233"/>
    <w:rsid w:val="00234273"/>
    <w:rsid w:val="00234FF0"/>
    <w:rsid w:val="00240408"/>
    <w:rsid w:val="00240A07"/>
    <w:rsid w:val="00245B40"/>
    <w:rsid w:val="00247597"/>
    <w:rsid w:val="00252368"/>
    <w:rsid w:val="0025511D"/>
    <w:rsid w:val="0025516D"/>
    <w:rsid w:val="00263AC8"/>
    <w:rsid w:val="00264484"/>
    <w:rsid w:val="00265E07"/>
    <w:rsid w:val="00272DE6"/>
    <w:rsid w:val="002730C0"/>
    <w:rsid w:val="0027466D"/>
    <w:rsid w:val="00281AF6"/>
    <w:rsid w:val="002843CA"/>
    <w:rsid w:val="00294137"/>
    <w:rsid w:val="00294753"/>
    <w:rsid w:val="002A2997"/>
    <w:rsid w:val="002A694A"/>
    <w:rsid w:val="002A70DF"/>
    <w:rsid w:val="002B5295"/>
    <w:rsid w:val="002C23EC"/>
    <w:rsid w:val="002C3159"/>
    <w:rsid w:val="002C7916"/>
    <w:rsid w:val="002D0B5D"/>
    <w:rsid w:val="002D3D5B"/>
    <w:rsid w:val="002D4B8C"/>
    <w:rsid w:val="002D5A42"/>
    <w:rsid w:val="002D76B5"/>
    <w:rsid w:val="002E0A7F"/>
    <w:rsid w:val="002E30E1"/>
    <w:rsid w:val="002E6627"/>
    <w:rsid w:val="002E71B6"/>
    <w:rsid w:val="002F7A5D"/>
    <w:rsid w:val="00301910"/>
    <w:rsid w:val="00304057"/>
    <w:rsid w:val="00305440"/>
    <w:rsid w:val="00312046"/>
    <w:rsid w:val="00312317"/>
    <w:rsid w:val="0031419B"/>
    <w:rsid w:val="00323F99"/>
    <w:rsid w:val="003258A7"/>
    <w:rsid w:val="00354DB2"/>
    <w:rsid w:val="00362D9E"/>
    <w:rsid w:val="00363132"/>
    <w:rsid w:val="00372D39"/>
    <w:rsid w:val="00383315"/>
    <w:rsid w:val="00391BF7"/>
    <w:rsid w:val="00394524"/>
    <w:rsid w:val="003A5B65"/>
    <w:rsid w:val="003A5B7E"/>
    <w:rsid w:val="003A6301"/>
    <w:rsid w:val="003B6653"/>
    <w:rsid w:val="003C26EB"/>
    <w:rsid w:val="003C48E7"/>
    <w:rsid w:val="003E37C8"/>
    <w:rsid w:val="003E3A77"/>
    <w:rsid w:val="003E66B0"/>
    <w:rsid w:val="003F0F69"/>
    <w:rsid w:val="003F18ED"/>
    <w:rsid w:val="003F2E0E"/>
    <w:rsid w:val="003F5AA4"/>
    <w:rsid w:val="00400EDA"/>
    <w:rsid w:val="00404F45"/>
    <w:rsid w:val="00405220"/>
    <w:rsid w:val="00417A0D"/>
    <w:rsid w:val="004347CF"/>
    <w:rsid w:val="00437281"/>
    <w:rsid w:val="004411CF"/>
    <w:rsid w:val="00443E9F"/>
    <w:rsid w:val="00447E86"/>
    <w:rsid w:val="004514EC"/>
    <w:rsid w:val="0045206C"/>
    <w:rsid w:val="004536C5"/>
    <w:rsid w:val="004600E3"/>
    <w:rsid w:val="00461B1B"/>
    <w:rsid w:val="00461EBF"/>
    <w:rsid w:val="004622AD"/>
    <w:rsid w:val="00465E20"/>
    <w:rsid w:val="00470177"/>
    <w:rsid w:val="00470BEE"/>
    <w:rsid w:val="00471BEF"/>
    <w:rsid w:val="0048058E"/>
    <w:rsid w:val="00485299"/>
    <w:rsid w:val="0048792A"/>
    <w:rsid w:val="00490D3C"/>
    <w:rsid w:val="00491115"/>
    <w:rsid w:val="00493059"/>
    <w:rsid w:val="00494849"/>
    <w:rsid w:val="004A1823"/>
    <w:rsid w:val="004A2921"/>
    <w:rsid w:val="004A725D"/>
    <w:rsid w:val="004C1E7F"/>
    <w:rsid w:val="004C39D1"/>
    <w:rsid w:val="004C47B4"/>
    <w:rsid w:val="004D5973"/>
    <w:rsid w:val="004E08FA"/>
    <w:rsid w:val="004E2F83"/>
    <w:rsid w:val="004E6333"/>
    <w:rsid w:val="004E720E"/>
    <w:rsid w:val="004F2C70"/>
    <w:rsid w:val="004F6608"/>
    <w:rsid w:val="0050157D"/>
    <w:rsid w:val="005031CD"/>
    <w:rsid w:val="00505D18"/>
    <w:rsid w:val="00513AAB"/>
    <w:rsid w:val="005153B9"/>
    <w:rsid w:val="005166CA"/>
    <w:rsid w:val="0051716B"/>
    <w:rsid w:val="0052268B"/>
    <w:rsid w:val="005255D1"/>
    <w:rsid w:val="00527CC1"/>
    <w:rsid w:val="00530BCA"/>
    <w:rsid w:val="005330A3"/>
    <w:rsid w:val="00542E61"/>
    <w:rsid w:val="00545964"/>
    <w:rsid w:val="00546054"/>
    <w:rsid w:val="00547680"/>
    <w:rsid w:val="00550853"/>
    <w:rsid w:val="005536F6"/>
    <w:rsid w:val="00556040"/>
    <w:rsid w:val="0055752A"/>
    <w:rsid w:val="0056329D"/>
    <w:rsid w:val="0056588E"/>
    <w:rsid w:val="00565AAD"/>
    <w:rsid w:val="00570633"/>
    <w:rsid w:val="005768F5"/>
    <w:rsid w:val="00577AAD"/>
    <w:rsid w:val="00581B2C"/>
    <w:rsid w:val="00582C50"/>
    <w:rsid w:val="00583E88"/>
    <w:rsid w:val="00584871"/>
    <w:rsid w:val="00585763"/>
    <w:rsid w:val="00585A28"/>
    <w:rsid w:val="00593DCE"/>
    <w:rsid w:val="00595576"/>
    <w:rsid w:val="005957F7"/>
    <w:rsid w:val="005A29DD"/>
    <w:rsid w:val="005A476D"/>
    <w:rsid w:val="005A5FF7"/>
    <w:rsid w:val="005B0054"/>
    <w:rsid w:val="005B0165"/>
    <w:rsid w:val="005C0B15"/>
    <w:rsid w:val="005C7DBA"/>
    <w:rsid w:val="005D1138"/>
    <w:rsid w:val="005D13C7"/>
    <w:rsid w:val="005D3123"/>
    <w:rsid w:val="005E00BE"/>
    <w:rsid w:val="005E3269"/>
    <w:rsid w:val="005E4AFC"/>
    <w:rsid w:val="005F3852"/>
    <w:rsid w:val="005F5D92"/>
    <w:rsid w:val="0060438D"/>
    <w:rsid w:val="00606E1A"/>
    <w:rsid w:val="006131F4"/>
    <w:rsid w:val="00620231"/>
    <w:rsid w:val="00622089"/>
    <w:rsid w:val="00623FD6"/>
    <w:rsid w:val="006416C3"/>
    <w:rsid w:val="006417CC"/>
    <w:rsid w:val="0064622B"/>
    <w:rsid w:val="00646665"/>
    <w:rsid w:val="00647601"/>
    <w:rsid w:val="006559F3"/>
    <w:rsid w:val="00662DEA"/>
    <w:rsid w:val="0066403E"/>
    <w:rsid w:val="00665F18"/>
    <w:rsid w:val="006664BE"/>
    <w:rsid w:val="00675502"/>
    <w:rsid w:val="00684A43"/>
    <w:rsid w:val="0068725A"/>
    <w:rsid w:val="00690683"/>
    <w:rsid w:val="00692A18"/>
    <w:rsid w:val="00693BD6"/>
    <w:rsid w:val="00696450"/>
    <w:rsid w:val="006A5BE7"/>
    <w:rsid w:val="006B743F"/>
    <w:rsid w:val="006B7B34"/>
    <w:rsid w:val="006C7134"/>
    <w:rsid w:val="006C76D0"/>
    <w:rsid w:val="006F10D7"/>
    <w:rsid w:val="006F3662"/>
    <w:rsid w:val="006F52CB"/>
    <w:rsid w:val="006F675C"/>
    <w:rsid w:val="00705849"/>
    <w:rsid w:val="00712B70"/>
    <w:rsid w:val="00726404"/>
    <w:rsid w:val="00734D08"/>
    <w:rsid w:val="00735E84"/>
    <w:rsid w:val="00737D39"/>
    <w:rsid w:val="00743D25"/>
    <w:rsid w:val="00747DF6"/>
    <w:rsid w:val="00750E0B"/>
    <w:rsid w:val="00751480"/>
    <w:rsid w:val="00752D55"/>
    <w:rsid w:val="0075337B"/>
    <w:rsid w:val="007625C4"/>
    <w:rsid w:val="0076520F"/>
    <w:rsid w:val="00772C0D"/>
    <w:rsid w:val="00774FD4"/>
    <w:rsid w:val="007751CF"/>
    <w:rsid w:val="00777555"/>
    <w:rsid w:val="00784E97"/>
    <w:rsid w:val="00785E34"/>
    <w:rsid w:val="00787592"/>
    <w:rsid w:val="007909C8"/>
    <w:rsid w:val="00792B17"/>
    <w:rsid w:val="00793D3C"/>
    <w:rsid w:val="0079473B"/>
    <w:rsid w:val="0079506D"/>
    <w:rsid w:val="007A0C33"/>
    <w:rsid w:val="007A16F9"/>
    <w:rsid w:val="007A616D"/>
    <w:rsid w:val="007B1FB2"/>
    <w:rsid w:val="007B2E59"/>
    <w:rsid w:val="007B50C3"/>
    <w:rsid w:val="007B6423"/>
    <w:rsid w:val="007D37E2"/>
    <w:rsid w:val="007D3967"/>
    <w:rsid w:val="007D757E"/>
    <w:rsid w:val="007E30ED"/>
    <w:rsid w:val="007E3511"/>
    <w:rsid w:val="007E58F6"/>
    <w:rsid w:val="007E7AB2"/>
    <w:rsid w:val="007F11B9"/>
    <w:rsid w:val="008016B4"/>
    <w:rsid w:val="00804D8E"/>
    <w:rsid w:val="00805007"/>
    <w:rsid w:val="0081697A"/>
    <w:rsid w:val="00821A30"/>
    <w:rsid w:val="00833156"/>
    <w:rsid w:val="0083711C"/>
    <w:rsid w:val="00842ADF"/>
    <w:rsid w:val="0087649E"/>
    <w:rsid w:val="008949BC"/>
    <w:rsid w:val="008A0E8C"/>
    <w:rsid w:val="008B0634"/>
    <w:rsid w:val="008B4D4C"/>
    <w:rsid w:val="008C21A1"/>
    <w:rsid w:val="008C5CF1"/>
    <w:rsid w:val="008E0887"/>
    <w:rsid w:val="008E1C6A"/>
    <w:rsid w:val="008E3FE1"/>
    <w:rsid w:val="008E7E11"/>
    <w:rsid w:val="008F3A2F"/>
    <w:rsid w:val="008F3A32"/>
    <w:rsid w:val="008F5F89"/>
    <w:rsid w:val="008F6F9C"/>
    <w:rsid w:val="00900FE5"/>
    <w:rsid w:val="0090293C"/>
    <w:rsid w:val="00907B48"/>
    <w:rsid w:val="00910F7F"/>
    <w:rsid w:val="00911009"/>
    <w:rsid w:val="009202CC"/>
    <w:rsid w:val="00921CDB"/>
    <w:rsid w:val="00926146"/>
    <w:rsid w:val="00931C60"/>
    <w:rsid w:val="009327D4"/>
    <w:rsid w:val="00933BE9"/>
    <w:rsid w:val="00941B5D"/>
    <w:rsid w:val="0095300D"/>
    <w:rsid w:val="009539AA"/>
    <w:rsid w:val="00954071"/>
    <w:rsid w:val="00955FEF"/>
    <w:rsid w:val="009602FB"/>
    <w:rsid w:val="00961255"/>
    <w:rsid w:val="00963FF6"/>
    <w:rsid w:val="00970569"/>
    <w:rsid w:val="009768FD"/>
    <w:rsid w:val="00977C31"/>
    <w:rsid w:val="00977FD3"/>
    <w:rsid w:val="00982E4B"/>
    <w:rsid w:val="00992B7A"/>
    <w:rsid w:val="009961B1"/>
    <w:rsid w:val="0099659A"/>
    <w:rsid w:val="00996A90"/>
    <w:rsid w:val="009973AA"/>
    <w:rsid w:val="00997DA3"/>
    <w:rsid w:val="009A0823"/>
    <w:rsid w:val="009A4148"/>
    <w:rsid w:val="009A47B2"/>
    <w:rsid w:val="009A7212"/>
    <w:rsid w:val="009B03A6"/>
    <w:rsid w:val="009B7FB8"/>
    <w:rsid w:val="009D0748"/>
    <w:rsid w:val="009E004D"/>
    <w:rsid w:val="009E05CB"/>
    <w:rsid w:val="009E05FA"/>
    <w:rsid w:val="009E0D95"/>
    <w:rsid w:val="009F0DDC"/>
    <w:rsid w:val="009F187D"/>
    <w:rsid w:val="009F5C13"/>
    <w:rsid w:val="009F79A9"/>
    <w:rsid w:val="00A0420C"/>
    <w:rsid w:val="00A14DE4"/>
    <w:rsid w:val="00A22744"/>
    <w:rsid w:val="00A25DBA"/>
    <w:rsid w:val="00A32F44"/>
    <w:rsid w:val="00A405D4"/>
    <w:rsid w:val="00A42061"/>
    <w:rsid w:val="00A422EA"/>
    <w:rsid w:val="00A43646"/>
    <w:rsid w:val="00A454CA"/>
    <w:rsid w:val="00A5050D"/>
    <w:rsid w:val="00A561F1"/>
    <w:rsid w:val="00A566BA"/>
    <w:rsid w:val="00A71DEA"/>
    <w:rsid w:val="00A723D7"/>
    <w:rsid w:val="00A72726"/>
    <w:rsid w:val="00A77335"/>
    <w:rsid w:val="00A81B9A"/>
    <w:rsid w:val="00A8410F"/>
    <w:rsid w:val="00A84D8B"/>
    <w:rsid w:val="00A908CB"/>
    <w:rsid w:val="00A9333C"/>
    <w:rsid w:val="00AA2E51"/>
    <w:rsid w:val="00AA5ADE"/>
    <w:rsid w:val="00AA7810"/>
    <w:rsid w:val="00AB2AA5"/>
    <w:rsid w:val="00AB5E1B"/>
    <w:rsid w:val="00AB642D"/>
    <w:rsid w:val="00AC6F26"/>
    <w:rsid w:val="00AD3827"/>
    <w:rsid w:val="00AD3A25"/>
    <w:rsid w:val="00AD463E"/>
    <w:rsid w:val="00AE13D9"/>
    <w:rsid w:val="00AE16F2"/>
    <w:rsid w:val="00AE4025"/>
    <w:rsid w:val="00AE474C"/>
    <w:rsid w:val="00AE65B3"/>
    <w:rsid w:val="00AF631B"/>
    <w:rsid w:val="00AF71B6"/>
    <w:rsid w:val="00AF763D"/>
    <w:rsid w:val="00B00ED0"/>
    <w:rsid w:val="00B10A24"/>
    <w:rsid w:val="00B1456D"/>
    <w:rsid w:val="00B233B9"/>
    <w:rsid w:val="00B24BF2"/>
    <w:rsid w:val="00B36B6A"/>
    <w:rsid w:val="00B370C9"/>
    <w:rsid w:val="00B400B5"/>
    <w:rsid w:val="00B401DA"/>
    <w:rsid w:val="00B409D3"/>
    <w:rsid w:val="00B41339"/>
    <w:rsid w:val="00B438F8"/>
    <w:rsid w:val="00B452D2"/>
    <w:rsid w:val="00B4635D"/>
    <w:rsid w:val="00B5017A"/>
    <w:rsid w:val="00B5362C"/>
    <w:rsid w:val="00B6689F"/>
    <w:rsid w:val="00B73235"/>
    <w:rsid w:val="00B742EE"/>
    <w:rsid w:val="00B82B64"/>
    <w:rsid w:val="00B85420"/>
    <w:rsid w:val="00B90197"/>
    <w:rsid w:val="00B90969"/>
    <w:rsid w:val="00B94F91"/>
    <w:rsid w:val="00BA1D63"/>
    <w:rsid w:val="00BA7005"/>
    <w:rsid w:val="00BB731B"/>
    <w:rsid w:val="00BB796D"/>
    <w:rsid w:val="00BC7CE5"/>
    <w:rsid w:val="00BD35CD"/>
    <w:rsid w:val="00BD728D"/>
    <w:rsid w:val="00BE528C"/>
    <w:rsid w:val="00BF3C34"/>
    <w:rsid w:val="00BF58DB"/>
    <w:rsid w:val="00C01B11"/>
    <w:rsid w:val="00C112C7"/>
    <w:rsid w:val="00C125C3"/>
    <w:rsid w:val="00C21F64"/>
    <w:rsid w:val="00C234E1"/>
    <w:rsid w:val="00C24A82"/>
    <w:rsid w:val="00C33E16"/>
    <w:rsid w:val="00C35839"/>
    <w:rsid w:val="00C40552"/>
    <w:rsid w:val="00C4081B"/>
    <w:rsid w:val="00C45C09"/>
    <w:rsid w:val="00C519F5"/>
    <w:rsid w:val="00C52C97"/>
    <w:rsid w:val="00C5576C"/>
    <w:rsid w:val="00C575BD"/>
    <w:rsid w:val="00C578A6"/>
    <w:rsid w:val="00C630DD"/>
    <w:rsid w:val="00C6548A"/>
    <w:rsid w:val="00C679D6"/>
    <w:rsid w:val="00C70228"/>
    <w:rsid w:val="00C7416D"/>
    <w:rsid w:val="00C751F3"/>
    <w:rsid w:val="00C75974"/>
    <w:rsid w:val="00C77249"/>
    <w:rsid w:val="00C77689"/>
    <w:rsid w:val="00C820F3"/>
    <w:rsid w:val="00C82561"/>
    <w:rsid w:val="00C84D36"/>
    <w:rsid w:val="00C85EFB"/>
    <w:rsid w:val="00C8614E"/>
    <w:rsid w:val="00C91833"/>
    <w:rsid w:val="00C941BF"/>
    <w:rsid w:val="00C94FCC"/>
    <w:rsid w:val="00CA3F36"/>
    <w:rsid w:val="00CA5906"/>
    <w:rsid w:val="00CA78F6"/>
    <w:rsid w:val="00CB35EF"/>
    <w:rsid w:val="00CB71D8"/>
    <w:rsid w:val="00CC1547"/>
    <w:rsid w:val="00CC1633"/>
    <w:rsid w:val="00CC2E74"/>
    <w:rsid w:val="00CC5E8F"/>
    <w:rsid w:val="00CC6C14"/>
    <w:rsid w:val="00CC72D3"/>
    <w:rsid w:val="00CE0956"/>
    <w:rsid w:val="00CE457E"/>
    <w:rsid w:val="00CE4AF4"/>
    <w:rsid w:val="00CE5AFF"/>
    <w:rsid w:val="00CF2BBD"/>
    <w:rsid w:val="00CF6B99"/>
    <w:rsid w:val="00D01BD4"/>
    <w:rsid w:val="00D02487"/>
    <w:rsid w:val="00D02968"/>
    <w:rsid w:val="00D03D6A"/>
    <w:rsid w:val="00D044B7"/>
    <w:rsid w:val="00D05241"/>
    <w:rsid w:val="00D05AB6"/>
    <w:rsid w:val="00D16B05"/>
    <w:rsid w:val="00D17A88"/>
    <w:rsid w:val="00D225C6"/>
    <w:rsid w:val="00D3253F"/>
    <w:rsid w:val="00D32C0C"/>
    <w:rsid w:val="00D339E4"/>
    <w:rsid w:val="00D4415B"/>
    <w:rsid w:val="00D505F8"/>
    <w:rsid w:val="00D52CA8"/>
    <w:rsid w:val="00D81DAE"/>
    <w:rsid w:val="00D81E44"/>
    <w:rsid w:val="00D83ADC"/>
    <w:rsid w:val="00D84BFE"/>
    <w:rsid w:val="00D85555"/>
    <w:rsid w:val="00D94A44"/>
    <w:rsid w:val="00D95DDC"/>
    <w:rsid w:val="00D96B57"/>
    <w:rsid w:val="00D9714E"/>
    <w:rsid w:val="00D97D56"/>
    <w:rsid w:val="00DA0FC5"/>
    <w:rsid w:val="00DA335F"/>
    <w:rsid w:val="00DA45D1"/>
    <w:rsid w:val="00DA5B21"/>
    <w:rsid w:val="00DA60DE"/>
    <w:rsid w:val="00DB1FAE"/>
    <w:rsid w:val="00DD02B5"/>
    <w:rsid w:val="00DD110F"/>
    <w:rsid w:val="00DD1F7B"/>
    <w:rsid w:val="00DD20DE"/>
    <w:rsid w:val="00DD49A0"/>
    <w:rsid w:val="00DE2A24"/>
    <w:rsid w:val="00DF107A"/>
    <w:rsid w:val="00DF295F"/>
    <w:rsid w:val="00DF6879"/>
    <w:rsid w:val="00DF6CD6"/>
    <w:rsid w:val="00E019AE"/>
    <w:rsid w:val="00E02197"/>
    <w:rsid w:val="00E03D45"/>
    <w:rsid w:val="00E100D1"/>
    <w:rsid w:val="00E14E58"/>
    <w:rsid w:val="00E17CE7"/>
    <w:rsid w:val="00E251F1"/>
    <w:rsid w:val="00E25BB9"/>
    <w:rsid w:val="00E26821"/>
    <w:rsid w:val="00E367D2"/>
    <w:rsid w:val="00E416EB"/>
    <w:rsid w:val="00E44A98"/>
    <w:rsid w:val="00E45A13"/>
    <w:rsid w:val="00E50AFF"/>
    <w:rsid w:val="00E5163C"/>
    <w:rsid w:val="00E55211"/>
    <w:rsid w:val="00E60BF7"/>
    <w:rsid w:val="00E61024"/>
    <w:rsid w:val="00E62CC5"/>
    <w:rsid w:val="00E64621"/>
    <w:rsid w:val="00E70C54"/>
    <w:rsid w:val="00E7463B"/>
    <w:rsid w:val="00E7564F"/>
    <w:rsid w:val="00E80181"/>
    <w:rsid w:val="00E84ECF"/>
    <w:rsid w:val="00E91CE2"/>
    <w:rsid w:val="00EA156F"/>
    <w:rsid w:val="00EA30FB"/>
    <w:rsid w:val="00EA3F6E"/>
    <w:rsid w:val="00EA5029"/>
    <w:rsid w:val="00EB3924"/>
    <w:rsid w:val="00EB3C09"/>
    <w:rsid w:val="00EB574C"/>
    <w:rsid w:val="00EC06AB"/>
    <w:rsid w:val="00EC2EAB"/>
    <w:rsid w:val="00EC5A10"/>
    <w:rsid w:val="00EC7854"/>
    <w:rsid w:val="00ED0871"/>
    <w:rsid w:val="00ED4CB3"/>
    <w:rsid w:val="00ED696D"/>
    <w:rsid w:val="00EE5142"/>
    <w:rsid w:val="00F019EC"/>
    <w:rsid w:val="00F1005B"/>
    <w:rsid w:val="00F17B69"/>
    <w:rsid w:val="00F17D84"/>
    <w:rsid w:val="00F21493"/>
    <w:rsid w:val="00F2419F"/>
    <w:rsid w:val="00F260E1"/>
    <w:rsid w:val="00F264E8"/>
    <w:rsid w:val="00F326F4"/>
    <w:rsid w:val="00F34BBB"/>
    <w:rsid w:val="00F352EE"/>
    <w:rsid w:val="00F411C1"/>
    <w:rsid w:val="00F444ED"/>
    <w:rsid w:val="00F4583D"/>
    <w:rsid w:val="00F469A6"/>
    <w:rsid w:val="00F53162"/>
    <w:rsid w:val="00F549A4"/>
    <w:rsid w:val="00F5665F"/>
    <w:rsid w:val="00F578B4"/>
    <w:rsid w:val="00F62348"/>
    <w:rsid w:val="00F658EF"/>
    <w:rsid w:val="00F70D0C"/>
    <w:rsid w:val="00F7321F"/>
    <w:rsid w:val="00F75361"/>
    <w:rsid w:val="00F836EA"/>
    <w:rsid w:val="00F83CD9"/>
    <w:rsid w:val="00F8591F"/>
    <w:rsid w:val="00F86296"/>
    <w:rsid w:val="00FA05BF"/>
    <w:rsid w:val="00FA1912"/>
    <w:rsid w:val="00FA51D0"/>
    <w:rsid w:val="00FC32D8"/>
    <w:rsid w:val="00FD1E10"/>
    <w:rsid w:val="00FD3EAF"/>
    <w:rsid w:val="00FD4518"/>
    <w:rsid w:val="00FD4974"/>
    <w:rsid w:val="00FD5BB3"/>
    <w:rsid w:val="00FD5DC8"/>
    <w:rsid w:val="00FE296F"/>
    <w:rsid w:val="00FE7A8E"/>
    <w:rsid w:val="00FE7B7E"/>
    <w:rsid w:val="00FF3DAF"/>
    <w:rsid w:val="00FF4F4C"/>
    <w:rsid w:val="00FF54B9"/>
    <w:rsid w:val="00FF6C7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269"/>
  </w:style>
  <w:style w:type="paragraph" w:styleId="Heading1">
    <w:name w:val="heading 1"/>
    <w:basedOn w:val="Normal"/>
    <w:next w:val="Normal"/>
    <w:link w:val="Heading1Char"/>
    <w:uiPriority w:val="9"/>
    <w:qFormat/>
    <w:rsid w:val="00A14D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752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D45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451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14D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5752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804D8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7514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480"/>
    <w:rPr>
      <w:rFonts w:ascii="Tahoma" w:hAnsi="Tahoma" w:cs="Tahoma"/>
      <w:sz w:val="16"/>
      <w:szCs w:val="16"/>
    </w:rPr>
  </w:style>
  <w:style w:type="table" w:styleId="TableGrid">
    <w:name w:val="Table Grid"/>
    <w:basedOn w:val="TableNormal"/>
    <w:uiPriority w:val="59"/>
    <w:rsid w:val="00C741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96450"/>
    <w:pPr>
      <w:spacing w:after="0" w:line="240" w:lineRule="auto"/>
    </w:pPr>
  </w:style>
  <w:style w:type="paragraph" w:styleId="DocumentMap">
    <w:name w:val="Document Map"/>
    <w:basedOn w:val="Normal"/>
    <w:link w:val="DocumentMapChar"/>
    <w:uiPriority w:val="99"/>
    <w:semiHidden/>
    <w:unhideWhenUsed/>
    <w:rsid w:val="006964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96450"/>
    <w:rPr>
      <w:rFonts w:ascii="Tahoma" w:hAnsi="Tahoma" w:cs="Tahoma"/>
      <w:sz w:val="16"/>
      <w:szCs w:val="16"/>
    </w:rPr>
  </w:style>
  <w:style w:type="character" w:styleId="CommentReference">
    <w:name w:val="annotation reference"/>
    <w:basedOn w:val="DefaultParagraphFont"/>
    <w:uiPriority w:val="99"/>
    <w:semiHidden/>
    <w:unhideWhenUsed/>
    <w:rsid w:val="009F187D"/>
    <w:rPr>
      <w:sz w:val="16"/>
      <w:szCs w:val="16"/>
    </w:rPr>
  </w:style>
  <w:style w:type="paragraph" w:styleId="CommentText">
    <w:name w:val="annotation text"/>
    <w:basedOn w:val="Normal"/>
    <w:link w:val="CommentTextChar"/>
    <w:uiPriority w:val="99"/>
    <w:semiHidden/>
    <w:unhideWhenUsed/>
    <w:rsid w:val="009F187D"/>
    <w:pPr>
      <w:spacing w:line="240" w:lineRule="auto"/>
    </w:pPr>
    <w:rPr>
      <w:rFonts w:eastAsiaTheme="minorEastAsia"/>
      <w:sz w:val="20"/>
      <w:szCs w:val="20"/>
      <w:lang w:eastAsia="en-GB"/>
    </w:rPr>
  </w:style>
  <w:style w:type="character" w:customStyle="1" w:styleId="CommentTextChar">
    <w:name w:val="Comment Text Char"/>
    <w:basedOn w:val="DefaultParagraphFont"/>
    <w:link w:val="CommentText"/>
    <w:uiPriority w:val="99"/>
    <w:semiHidden/>
    <w:rsid w:val="009F187D"/>
    <w:rPr>
      <w:rFonts w:eastAsiaTheme="minorEastAsia"/>
      <w:sz w:val="20"/>
      <w:szCs w:val="20"/>
      <w:lang w:eastAsia="en-GB"/>
    </w:rPr>
  </w:style>
  <w:style w:type="character" w:styleId="Hyperlink">
    <w:name w:val="Hyperlink"/>
    <w:basedOn w:val="DefaultParagraphFont"/>
    <w:uiPriority w:val="99"/>
    <w:unhideWhenUsed/>
    <w:rsid w:val="002C3159"/>
    <w:rPr>
      <w:color w:val="0000FF" w:themeColor="hyperlink"/>
      <w:u w:val="single"/>
    </w:rPr>
  </w:style>
  <w:style w:type="paragraph" w:styleId="Header">
    <w:name w:val="header"/>
    <w:basedOn w:val="Normal"/>
    <w:link w:val="HeaderChar"/>
    <w:uiPriority w:val="99"/>
    <w:unhideWhenUsed/>
    <w:rsid w:val="00DD11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110F"/>
  </w:style>
  <w:style w:type="paragraph" w:styleId="Footer">
    <w:name w:val="footer"/>
    <w:basedOn w:val="Normal"/>
    <w:link w:val="FooterChar"/>
    <w:uiPriority w:val="99"/>
    <w:semiHidden/>
    <w:unhideWhenUsed/>
    <w:rsid w:val="00DD110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D110F"/>
  </w:style>
  <w:style w:type="paragraph" w:styleId="ListParagraph">
    <w:name w:val="List Paragraph"/>
    <w:basedOn w:val="Normal"/>
    <w:uiPriority w:val="34"/>
    <w:qFormat/>
    <w:rsid w:val="005536F6"/>
    <w:pPr>
      <w:ind w:left="720"/>
      <w:contextualSpacing/>
    </w:pPr>
  </w:style>
  <w:style w:type="character" w:styleId="LineNumber">
    <w:name w:val="line number"/>
    <w:basedOn w:val="DefaultParagraphFont"/>
    <w:uiPriority w:val="99"/>
    <w:semiHidden/>
    <w:unhideWhenUsed/>
    <w:rsid w:val="006F52CB"/>
  </w:style>
</w:styles>
</file>

<file path=word/webSettings.xml><?xml version="1.0" encoding="utf-8"?>
<w:webSettings xmlns:r="http://schemas.openxmlformats.org/officeDocument/2006/relationships" xmlns:w="http://schemas.openxmlformats.org/wordprocessingml/2006/main">
  <w:divs>
    <w:div w:id="651758388">
      <w:bodyDiv w:val="1"/>
      <w:marLeft w:val="0"/>
      <w:marRight w:val="0"/>
      <w:marTop w:val="0"/>
      <w:marBottom w:val="0"/>
      <w:divBdr>
        <w:top w:val="none" w:sz="0" w:space="0" w:color="auto"/>
        <w:left w:val="none" w:sz="0" w:space="0" w:color="auto"/>
        <w:bottom w:val="none" w:sz="0" w:space="0" w:color="auto"/>
        <w:right w:val="none" w:sz="0" w:space="0" w:color="auto"/>
      </w:divBdr>
      <w:divsChild>
        <w:div w:id="1679580580">
          <w:marLeft w:val="0"/>
          <w:marRight w:val="0"/>
          <w:marTop w:val="0"/>
          <w:marBottom w:val="0"/>
          <w:divBdr>
            <w:top w:val="none" w:sz="0" w:space="0" w:color="auto"/>
            <w:left w:val="none" w:sz="0" w:space="0" w:color="auto"/>
            <w:bottom w:val="none" w:sz="0" w:space="0" w:color="auto"/>
            <w:right w:val="none" w:sz="0" w:space="0" w:color="auto"/>
          </w:divBdr>
          <w:divsChild>
            <w:div w:id="1025986689">
              <w:marLeft w:val="0"/>
              <w:marRight w:val="0"/>
              <w:marTop w:val="0"/>
              <w:marBottom w:val="0"/>
              <w:divBdr>
                <w:top w:val="none" w:sz="0" w:space="0" w:color="auto"/>
                <w:left w:val="none" w:sz="0" w:space="0" w:color="auto"/>
                <w:bottom w:val="none" w:sz="0" w:space="0" w:color="auto"/>
                <w:right w:val="none" w:sz="0" w:space="0" w:color="auto"/>
              </w:divBdr>
              <w:divsChild>
                <w:div w:id="1711801435">
                  <w:marLeft w:val="0"/>
                  <w:marRight w:val="0"/>
                  <w:marTop w:val="0"/>
                  <w:marBottom w:val="0"/>
                  <w:divBdr>
                    <w:top w:val="none" w:sz="0" w:space="0" w:color="auto"/>
                    <w:left w:val="none" w:sz="0" w:space="0" w:color="auto"/>
                    <w:bottom w:val="none" w:sz="0" w:space="0" w:color="auto"/>
                    <w:right w:val="none" w:sz="0" w:space="0" w:color="auto"/>
                  </w:divBdr>
                  <w:divsChild>
                    <w:div w:id="1529374346">
                      <w:marLeft w:val="0"/>
                      <w:marRight w:val="0"/>
                      <w:marTop w:val="0"/>
                      <w:marBottom w:val="0"/>
                      <w:divBdr>
                        <w:top w:val="none" w:sz="0" w:space="0" w:color="auto"/>
                        <w:left w:val="none" w:sz="0" w:space="0" w:color="auto"/>
                        <w:bottom w:val="none" w:sz="0" w:space="0" w:color="auto"/>
                        <w:right w:val="none" w:sz="0" w:space="0" w:color="auto"/>
                      </w:divBdr>
                      <w:divsChild>
                        <w:div w:id="1335259369">
                          <w:marLeft w:val="0"/>
                          <w:marRight w:val="0"/>
                          <w:marTop w:val="0"/>
                          <w:marBottom w:val="0"/>
                          <w:divBdr>
                            <w:top w:val="none" w:sz="0" w:space="0" w:color="auto"/>
                            <w:left w:val="none" w:sz="0" w:space="0" w:color="auto"/>
                            <w:bottom w:val="none" w:sz="0" w:space="0" w:color="auto"/>
                            <w:right w:val="none" w:sz="0" w:space="0" w:color="auto"/>
                          </w:divBdr>
                          <w:divsChild>
                            <w:div w:id="162624669">
                              <w:marLeft w:val="0"/>
                              <w:marRight w:val="0"/>
                              <w:marTop w:val="0"/>
                              <w:marBottom w:val="0"/>
                              <w:divBdr>
                                <w:top w:val="none" w:sz="0" w:space="0" w:color="auto"/>
                                <w:left w:val="none" w:sz="0" w:space="0" w:color="auto"/>
                                <w:bottom w:val="none" w:sz="0" w:space="0" w:color="auto"/>
                                <w:right w:val="none" w:sz="0" w:space="0" w:color="auto"/>
                              </w:divBdr>
                              <w:divsChild>
                                <w:div w:id="1218199901">
                                  <w:marLeft w:val="0"/>
                                  <w:marRight w:val="0"/>
                                  <w:marTop w:val="0"/>
                                  <w:marBottom w:val="0"/>
                                  <w:divBdr>
                                    <w:top w:val="none" w:sz="0" w:space="0" w:color="auto"/>
                                    <w:left w:val="none" w:sz="0" w:space="0" w:color="auto"/>
                                    <w:bottom w:val="none" w:sz="0" w:space="0" w:color="auto"/>
                                    <w:right w:val="none" w:sz="0" w:space="0" w:color="auto"/>
                                  </w:divBdr>
                                  <w:divsChild>
                                    <w:div w:id="1721511434">
                                      <w:marLeft w:val="0"/>
                                      <w:marRight w:val="0"/>
                                      <w:marTop w:val="0"/>
                                      <w:marBottom w:val="0"/>
                                      <w:divBdr>
                                        <w:top w:val="none" w:sz="0" w:space="0" w:color="auto"/>
                                        <w:left w:val="none" w:sz="0" w:space="0" w:color="auto"/>
                                        <w:bottom w:val="none" w:sz="0" w:space="0" w:color="auto"/>
                                        <w:right w:val="none" w:sz="0" w:space="0" w:color="auto"/>
                                      </w:divBdr>
                                      <w:divsChild>
                                        <w:div w:id="1973250215">
                                          <w:marLeft w:val="0"/>
                                          <w:marRight w:val="0"/>
                                          <w:marTop w:val="0"/>
                                          <w:marBottom w:val="0"/>
                                          <w:divBdr>
                                            <w:top w:val="none" w:sz="0" w:space="0" w:color="auto"/>
                                            <w:left w:val="none" w:sz="0" w:space="0" w:color="auto"/>
                                            <w:bottom w:val="none" w:sz="0" w:space="0" w:color="auto"/>
                                            <w:right w:val="none" w:sz="0" w:space="0" w:color="auto"/>
                                          </w:divBdr>
                                          <w:divsChild>
                                            <w:div w:id="1926918245">
                                              <w:marLeft w:val="0"/>
                                              <w:marRight w:val="0"/>
                                              <w:marTop w:val="0"/>
                                              <w:marBottom w:val="0"/>
                                              <w:divBdr>
                                                <w:top w:val="none" w:sz="0" w:space="0" w:color="auto"/>
                                                <w:left w:val="none" w:sz="0" w:space="0" w:color="auto"/>
                                                <w:bottom w:val="none" w:sz="0" w:space="0" w:color="auto"/>
                                                <w:right w:val="none" w:sz="0" w:space="0" w:color="auto"/>
                                              </w:divBdr>
                                              <w:divsChild>
                                                <w:div w:id="402677525">
                                                  <w:marLeft w:val="0"/>
                                                  <w:marRight w:val="0"/>
                                                  <w:marTop w:val="0"/>
                                                  <w:marBottom w:val="0"/>
                                                  <w:divBdr>
                                                    <w:top w:val="none" w:sz="0" w:space="0" w:color="auto"/>
                                                    <w:left w:val="none" w:sz="0" w:space="0" w:color="auto"/>
                                                    <w:bottom w:val="none" w:sz="0" w:space="0" w:color="auto"/>
                                                    <w:right w:val="none" w:sz="0" w:space="0" w:color="auto"/>
                                                  </w:divBdr>
                                                  <w:divsChild>
                                                    <w:div w:id="429471085">
                                                      <w:marLeft w:val="0"/>
                                                      <w:marRight w:val="0"/>
                                                      <w:marTop w:val="0"/>
                                                      <w:marBottom w:val="0"/>
                                                      <w:divBdr>
                                                        <w:top w:val="none" w:sz="0" w:space="0" w:color="auto"/>
                                                        <w:left w:val="none" w:sz="0" w:space="0" w:color="auto"/>
                                                        <w:bottom w:val="none" w:sz="0" w:space="0" w:color="auto"/>
                                                        <w:right w:val="none" w:sz="0" w:space="0" w:color="auto"/>
                                                      </w:divBdr>
                                                      <w:divsChild>
                                                        <w:div w:id="2020766033">
                                                          <w:marLeft w:val="0"/>
                                                          <w:marRight w:val="0"/>
                                                          <w:marTop w:val="0"/>
                                                          <w:marBottom w:val="0"/>
                                                          <w:divBdr>
                                                            <w:top w:val="none" w:sz="0" w:space="0" w:color="auto"/>
                                                            <w:left w:val="none" w:sz="0" w:space="0" w:color="auto"/>
                                                            <w:bottom w:val="none" w:sz="0" w:space="0" w:color="auto"/>
                                                            <w:right w:val="none" w:sz="0" w:space="0" w:color="auto"/>
                                                          </w:divBdr>
                                                          <w:divsChild>
                                                            <w:div w:id="961570078">
                                                              <w:marLeft w:val="0"/>
                                                              <w:marRight w:val="0"/>
                                                              <w:marTop w:val="0"/>
                                                              <w:marBottom w:val="0"/>
                                                              <w:divBdr>
                                                                <w:top w:val="none" w:sz="0" w:space="0" w:color="auto"/>
                                                                <w:left w:val="none" w:sz="0" w:space="0" w:color="auto"/>
                                                                <w:bottom w:val="none" w:sz="0" w:space="0" w:color="auto"/>
                                                                <w:right w:val="none" w:sz="0" w:space="0" w:color="auto"/>
                                                              </w:divBdr>
                                                              <w:divsChild>
                                                                <w:div w:id="1770158406">
                                                                  <w:marLeft w:val="0"/>
                                                                  <w:marRight w:val="0"/>
                                                                  <w:marTop w:val="0"/>
                                                                  <w:marBottom w:val="0"/>
                                                                  <w:divBdr>
                                                                    <w:top w:val="none" w:sz="0" w:space="0" w:color="auto"/>
                                                                    <w:left w:val="none" w:sz="0" w:space="0" w:color="auto"/>
                                                                    <w:bottom w:val="none" w:sz="0" w:space="0" w:color="auto"/>
                                                                    <w:right w:val="none" w:sz="0" w:space="0" w:color="auto"/>
                                                                  </w:divBdr>
                                                                  <w:divsChild>
                                                                    <w:div w:id="280455133">
                                                                      <w:marLeft w:val="0"/>
                                                                      <w:marRight w:val="0"/>
                                                                      <w:marTop w:val="0"/>
                                                                      <w:marBottom w:val="0"/>
                                                                      <w:divBdr>
                                                                        <w:top w:val="none" w:sz="0" w:space="0" w:color="auto"/>
                                                                        <w:left w:val="none" w:sz="0" w:space="0" w:color="auto"/>
                                                                        <w:bottom w:val="none" w:sz="0" w:space="0" w:color="auto"/>
                                                                        <w:right w:val="none" w:sz="0" w:space="0" w:color="auto"/>
                                                                      </w:divBdr>
                                                                      <w:divsChild>
                                                                        <w:div w:id="379205239">
                                                                          <w:marLeft w:val="0"/>
                                                                          <w:marRight w:val="0"/>
                                                                          <w:marTop w:val="0"/>
                                                                          <w:marBottom w:val="0"/>
                                                                          <w:divBdr>
                                                                            <w:top w:val="none" w:sz="0" w:space="0" w:color="auto"/>
                                                                            <w:left w:val="none" w:sz="0" w:space="0" w:color="auto"/>
                                                                            <w:bottom w:val="none" w:sz="0" w:space="0" w:color="auto"/>
                                                                            <w:right w:val="none" w:sz="0" w:space="0" w:color="auto"/>
                                                                          </w:divBdr>
                                                                          <w:divsChild>
                                                                            <w:div w:id="125704223">
                                                                              <w:marLeft w:val="0"/>
                                                                              <w:marRight w:val="0"/>
                                                                              <w:marTop w:val="0"/>
                                                                              <w:marBottom w:val="0"/>
                                                                              <w:divBdr>
                                                                                <w:top w:val="none" w:sz="0" w:space="0" w:color="auto"/>
                                                                                <w:left w:val="none" w:sz="0" w:space="0" w:color="auto"/>
                                                                                <w:bottom w:val="none" w:sz="0" w:space="0" w:color="auto"/>
                                                                                <w:right w:val="none" w:sz="0" w:space="0" w:color="auto"/>
                                                                              </w:divBdr>
                                                                              <w:divsChild>
                                                                                <w:div w:id="1845390959">
                                                                                  <w:marLeft w:val="0"/>
                                                                                  <w:marRight w:val="0"/>
                                                                                  <w:marTop w:val="0"/>
                                                                                  <w:marBottom w:val="0"/>
                                                                                  <w:divBdr>
                                                                                    <w:top w:val="none" w:sz="0" w:space="0" w:color="auto"/>
                                                                                    <w:left w:val="none" w:sz="0" w:space="0" w:color="auto"/>
                                                                                    <w:bottom w:val="none" w:sz="0" w:space="0" w:color="auto"/>
                                                                                    <w:right w:val="none" w:sz="0" w:space="0" w:color="auto"/>
                                                                                  </w:divBdr>
                                                                                  <w:divsChild>
                                                                                    <w:div w:id="1448618530">
                                                                                      <w:marLeft w:val="0"/>
                                                                                      <w:marRight w:val="0"/>
                                                                                      <w:marTop w:val="0"/>
                                                                                      <w:marBottom w:val="0"/>
                                                                                      <w:divBdr>
                                                                                        <w:top w:val="none" w:sz="0" w:space="0" w:color="auto"/>
                                                                                        <w:left w:val="none" w:sz="0" w:space="0" w:color="auto"/>
                                                                                        <w:bottom w:val="none" w:sz="0" w:space="0" w:color="auto"/>
                                                                                        <w:right w:val="none" w:sz="0" w:space="0" w:color="auto"/>
                                                                                      </w:divBdr>
                                                                                      <w:divsChild>
                                                                                        <w:div w:id="566500511">
                                                                                          <w:marLeft w:val="0"/>
                                                                                          <w:marRight w:val="0"/>
                                                                                          <w:marTop w:val="0"/>
                                                                                          <w:marBottom w:val="0"/>
                                                                                          <w:divBdr>
                                                                                            <w:top w:val="none" w:sz="0" w:space="0" w:color="auto"/>
                                                                                            <w:left w:val="none" w:sz="0" w:space="0" w:color="auto"/>
                                                                                            <w:bottom w:val="none" w:sz="0" w:space="0" w:color="auto"/>
                                                                                            <w:right w:val="none" w:sz="0" w:space="0" w:color="auto"/>
                                                                                          </w:divBdr>
                                                                                          <w:divsChild>
                                                                                            <w:div w:id="847713924">
                                                                                              <w:marLeft w:val="0"/>
                                                                                              <w:marRight w:val="0"/>
                                                                                              <w:marTop w:val="0"/>
                                                                                              <w:marBottom w:val="0"/>
                                                                                              <w:divBdr>
                                                                                                <w:top w:val="none" w:sz="0" w:space="0" w:color="auto"/>
                                                                                                <w:left w:val="none" w:sz="0" w:space="0" w:color="auto"/>
                                                                                                <w:bottom w:val="none" w:sz="0" w:space="0" w:color="auto"/>
                                                                                                <w:right w:val="none" w:sz="0" w:space="0" w:color="auto"/>
                                                                                              </w:divBdr>
                                                                                              <w:divsChild>
                                                                                                <w:div w:id="922687034">
                                                                                                  <w:marLeft w:val="0"/>
                                                                                                  <w:marRight w:val="0"/>
                                                                                                  <w:marTop w:val="0"/>
                                                                                                  <w:marBottom w:val="0"/>
                                                                                                  <w:divBdr>
                                                                                                    <w:top w:val="none" w:sz="0" w:space="0" w:color="auto"/>
                                                                                                    <w:left w:val="none" w:sz="0" w:space="0" w:color="auto"/>
                                                                                                    <w:bottom w:val="none" w:sz="0" w:space="0" w:color="auto"/>
                                                                                                    <w:right w:val="none" w:sz="0" w:space="0" w:color="auto"/>
                                                                                                  </w:divBdr>
                                                                                                  <w:divsChild>
                                                                                                    <w:div w:id="1986658420">
                                                                                                      <w:marLeft w:val="0"/>
                                                                                                      <w:marRight w:val="0"/>
                                                                                                      <w:marTop w:val="0"/>
                                                                                                      <w:marBottom w:val="0"/>
                                                                                                      <w:divBdr>
                                                                                                        <w:top w:val="none" w:sz="0" w:space="0" w:color="auto"/>
                                                                                                        <w:left w:val="none" w:sz="0" w:space="0" w:color="auto"/>
                                                                                                        <w:bottom w:val="none" w:sz="0" w:space="0" w:color="auto"/>
                                                                                                        <w:right w:val="none" w:sz="0" w:space="0" w:color="auto"/>
                                                                                                      </w:divBdr>
                                                                                                      <w:divsChild>
                                                                                                        <w:div w:id="1596865543">
                                                                                                          <w:marLeft w:val="0"/>
                                                                                                          <w:marRight w:val="0"/>
                                                                                                          <w:marTop w:val="0"/>
                                                                                                          <w:marBottom w:val="0"/>
                                                                                                          <w:divBdr>
                                                                                                            <w:top w:val="none" w:sz="0" w:space="0" w:color="auto"/>
                                                                                                            <w:left w:val="none" w:sz="0" w:space="0" w:color="auto"/>
                                                                                                            <w:bottom w:val="none" w:sz="0" w:space="0" w:color="auto"/>
                                                                                                            <w:right w:val="none" w:sz="0" w:space="0" w:color="auto"/>
                                                                                                          </w:divBdr>
                                                                                                          <w:divsChild>
                                                                                                            <w:div w:id="1423798982">
                                                                                                              <w:marLeft w:val="0"/>
                                                                                                              <w:marRight w:val="0"/>
                                                                                                              <w:marTop w:val="0"/>
                                                                                                              <w:marBottom w:val="0"/>
                                                                                                              <w:divBdr>
                                                                                                                <w:top w:val="none" w:sz="0" w:space="0" w:color="auto"/>
                                                                                                                <w:left w:val="none" w:sz="0" w:space="0" w:color="auto"/>
                                                                                                                <w:bottom w:val="none" w:sz="0" w:space="0" w:color="auto"/>
                                                                                                                <w:right w:val="none" w:sz="0" w:space="0" w:color="auto"/>
                                                                                                              </w:divBdr>
                                                                                                              <w:divsChild>
                                                                                                                <w:div w:id="1569732744">
                                                                                                                  <w:marLeft w:val="0"/>
                                                                                                                  <w:marRight w:val="0"/>
                                                                                                                  <w:marTop w:val="0"/>
                                                                                                                  <w:marBottom w:val="0"/>
                                                                                                                  <w:divBdr>
                                                                                                                    <w:top w:val="none" w:sz="0" w:space="0" w:color="auto"/>
                                                                                                                    <w:left w:val="none" w:sz="0" w:space="0" w:color="auto"/>
                                                                                                                    <w:bottom w:val="none" w:sz="0" w:space="0" w:color="auto"/>
                                                                                                                    <w:right w:val="none" w:sz="0" w:space="0" w:color="auto"/>
                                                                                                                  </w:divBdr>
                                                                                                                  <w:divsChild>
                                                                                                                    <w:div w:id="802848117">
                                                                                                                      <w:marLeft w:val="0"/>
                                                                                                                      <w:marRight w:val="0"/>
                                                                                                                      <w:marTop w:val="0"/>
                                                                                                                      <w:marBottom w:val="0"/>
                                                                                                                      <w:divBdr>
                                                                                                                        <w:top w:val="none" w:sz="0" w:space="0" w:color="auto"/>
                                                                                                                        <w:left w:val="none" w:sz="0" w:space="0" w:color="auto"/>
                                                                                                                        <w:bottom w:val="none" w:sz="0" w:space="0" w:color="auto"/>
                                                                                                                        <w:right w:val="none" w:sz="0" w:space="0" w:color="auto"/>
                                                                                                                      </w:divBdr>
                                                                                                                      <w:divsChild>
                                                                                                                        <w:div w:id="1933735463">
                                                                                                                          <w:marLeft w:val="0"/>
                                                                                                                          <w:marRight w:val="0"/>
                                                                                                                          <w:marTop w:val="0"/>
                                                                                                                          <w:marBottom w:val="0"/>
                                                                                                                          <w:divBdr>
                                                                                                                            <w:top w:val="none" w:sz="0" w:space="0" w:color="auto"/>
                                                                                                                            <w:left w:val="none" w:sz="0" w:space="0" w:color="auto"/>
                                                                                                                            <w:bottom w:val="none" w:sz="0" w:space="0" w:color="auto"/>
                                                                                                                            <w:right w:val="none" w:sz="0" w:space="0" w:color="auto"/>
                                                                                                                          </w:divBdr>
                                                                                                                          <w:divsChild>
                                                                                                                            <w:div w:id="1029644153">
                                                                                                                              <w:marLeft w:val="0"/>
                                                                                                                              <w:marRight w:val="0"/>
                                                                                                                              <w:marTop w:val="0"/>
                                                                                                                              <w:marBottom w:val="0"/>
                                                                                                                              <w:divBdr>
                                                                                                                                <w:top w:val="none" w:sz="0" w:space="0" w:color="auto"/>
                                                                                                                                <w:left w:val="none" w:sz="0" w:space="0" w:color="auto"/>
                                                                                                                                <w:bottom w:val="none" w:sz="0" w:space="0" w:color="auto"/>
                                                                                                                                <w:right w:val="none" w:sz="0" w:space="0" w:color="auto"/>
                                                                                                                              </w:divBdr>
                                                                                                                              <w:divsChild>
                                                                                                                                <w:div w:id="1008556621">
                                                                                                                                  <w:marLeft w:val="0"/>
                                                                                                                                  <w:marRight w:val="0"/>
                                                                                                                                  <w:marTop w:val="0"/>
                                                                                                                                  <w:marBottom w:val="0"/>
                                                                                                                                  <w:divBdr>
                                                                                                                                    <w:top w:val="none" w:sz="0" w:space="0" w:color="auto"/>
                                                                                                                                    <w:left w:val="none" w:sz="0" w:space="0" w:color="auto"/>
                                                                                                                                    <w:bottom w:val="none" w:sz="0" w:space="0" w:color="auto"/>
                                                                                                                                    <w:right w:val="none" w:sz="0" w:space="0" w:color="auto"/>
                                                                                                                                  </w:divBdr>
                                                                                                                                  <w:divsChild>
                                                                                                                                    <w:div w:id="1156652943">
                                                                                                                                      <w:marLeft w:val="0"/>
                                                                                                                                      <w:marRight w:val="0"/>
                                                                                                                                      <w:marTop w:val="0"/>
                                                                                                                                      <w:marBottom w:val="0"/>
                                                                                                                                      <w:divBdr>
                                                                                                                                        <w:top w:val="none" w:sz="0" w:space="0" w:color="auto"/>
                                                                                                                                        <w:left w:val="none" w:sz="0" w:space="0" w:color="auto"/>
                                                                                                                                        <w:bottom w:val="none" w:sz="0" w:space="0" w:color="auto"/>
                                                                                                                                        <w:right w:val="none" w:sz="0" w:space="0" w:color="auto"/>
                                                                                                                                      </w:divBdr>
                                                                                                                                      <w:divsChild>
                                                                                                                                        <w:div w:id="316033234">
                                                                                                                                          <w:marLeft w:val="0"/>
                                                                                                                                          <w:marRight w:val="0"/>
                                                                                                                                          <w:marTop w:val="0"/>
                                                                                                                                          <w:marBottom w:val="0"/>
                                                                                                                                          <w:divBdr>
                                                                                                                                            <w:top w:val="none" w:sz="0" w:space="0" w:color="auto"/>
                                                                                                                                            <w:left w:val="none" w:sz="0" w:space="0" w:color="auto"/>
                                                                                                                                            <w:bottom w:val="none" w:sz="0" w:space="0" w:color="auto"/>
                                                                                                                                            <w:right w:val="none" w:sz="0" w:space="0" w:color="auto"/>
                                                                                                                                          </w:divBdr>
                                                                                                                                          <w:divsChild>
                                                                                                                                            <w:div w:id="89274984">
                                                                                                                                              <w:marLeft w:val="0"/>
                                                                                                                                              <w:marRight w:val="0"/>
                                                                                                                                              <w:marTop w:val="0"/>
                                                                                                                                              <w:marBottom w:val="0"/>
                                                                                                                                              <w:divBdr>
                                                                                                                                                <w:top w:val="none" w:sz="0" w:space="0" w:color="auto"/>
                                                                                                                                                <w:left w:val="none" w:sz="0" w:space="0" w:color="auto"/>
                                                                                                                                                <w:bottom w:val="none" w:sz="0" w:space="0" w:color="auto"/>
                                                                                                                                                <w:right w:val="none" w:sz="0" w:space="0" w:color="auto"/>
                                                                                                                                              </w:divBdr>
                                                                                                                                              <w:divsChild>
                                                                                                                                                <w:div w:id="175193317">
                                                                                                                                                  <w:marLeft w:val="0"/>
                                                                                                                                                  <w:marRight w:val="0"/>
                                                                                                                                                  <w:marTop w:val="0"/>
                                                                                                                                                  <w:marBottom w:val="0"/>
                                                                                                                                                  <w:divBdr>
                                                                                                                                                    <w:top w:val="none" w:sz="0" w:space="0" w:color="auto"/>
                                                                                                                                                    <w:left w:val="none" w:sz="0" w:space="0" w:color="auto"/>
                                                                                                                                                    <w:bottom w:val="none" w:sz="0" w:space="0" w:color="auto"/>
                                                                                                                                                    <w:right w:val="none" w:sz="0" w:space="0" w:color="auto"/>
                                                                                                                                                  </w:divBdr>
                                                                                                                                                  <w:divsChild>
                                                                                                                                                    <w:div w:id="1267738656">
                                                                                                                                                      <w:marLeft w:val="0"/>
                                                                                                                                                      <w:marRight w:val="0"/>
                                                                                                                                                      <w:marTop w:val="0"/>
                                                                                                                                                      <w:marBottom w:val="0"/>
                                                                                                                                                      <w:divBdr>
                                                                                                                                                        <w:top w:val="none" w:sz="0" w:space="0" w:color="auto"/>
                                                                                                                                                        <w:left w:val="none" w:sz="0" w:space="0" w:color="auto"/>
                                                                                                                                                        <w:bottom w:val="none" w:sz="0" w:space="0" w:color="auto"/>
                                                                                                                                                        <w:right w:val="none" w:sz="0" w:space="0" w:color="auto"/>
                                                                                                                                                      </w:divBdr>
                                                                                                                                                      <w:divsChild>
                                                                                                                                                        <w:div w:id="47732018">
                                                                                                                                                          <w:marLeft w:val="0"/>
                                                                                                                                                          <w:marRight w:val="0"/>
                                                                                                                                                          <w:marTop w:val="0"/>
                                                                                                                                                          <w:marBottom w:val="0"/>
                                                                                                                                                          <w:divBdr>
                                                                                                                                                            <w:top w:val="none" w:sz="0" w:space="0" w:color="auto"/>
                                                                                                                                                            <w:left w:val="none" w:sz="0" w:space="0" w:color="auto"/>
                                                                                                                                                            <w:bottom w:val="none" w:sz="0" w:space="0" w:color="auto"/>
                                                                                                                                                            <w:right w:val="none" w:sz="0" w:space="0" w:color="auto"/>
                                                                                                                                                          </w:divBdr>
                                                                                                                                                          <w:divsChild>
                                                                                                                                                            <w:div w:id="872422637">
                                                                                                                                                              <w:marLeft w:val="0"/>
                                                                                                                                                              <w:marRight w:val="0"/>
                                                                                                                                                              <w:marTop w:val="0"/>
                                                                                                                                                              <w:marBottom w:val="0"/>
                                                                                                                                                              <w:divBdr>
                                                                                                                                                                <w:top w:val="none" w:sz="0" w:space="0" w:color="auto"/>
                                                                                                                                                                <w:left w:val="none" w:sz="0" w:space="0" w:color="auto"/>
                                                                                                                                                                <w:bottom w:val="none" w:sz="0" w:space="0" w:color="auto"/>
                                                                                                                                                                <w:right w:val="none" w:sz="0" w:space="0" w:color="auto"/>
                                                                                                                                                              </w:divBdr>
                                                                                                                                                              <w:divsChild>
                                                                                                                                                                <w:div w:id="1652784407">
                                                                                                                                                                  <w:marLeft w:val="0"/>
                                                                                                                                                                  <w:marRight w:val="0"/>
                                                                                                                                                                  <w:marTop w:val="0"/>
                                                                                                                                                                  <w:marBottom w:val="0"/>
                                                                                                                                                                  <w:divBdr>
                                                                                                                                                                    <w:top w:val="none" w:sz="0" w:space="0" w:color="auto"/>
                                                                                                                                                                    <w:left w:val="none" w:sz="0" w:space="0" w:color="auto"/>
                                                                                                                                                                    <w:bottom w:val="none" w:sz="0" w:space="0" w:color="auto"/>
                                                                                                                                                                    <w:right w:val="none" w:sz="0" w:space="0" w:color="auto"/>
                                                                                                                                                                  </w:divBdr>
                                                                                                                                                                  <w:divsChild>
                                                                                                                                                                    <w:div w:id="438527543">
                                                                                                                                                                      <w:marLeft w:val="0"/>
                                                                                                                                                                      <w:marRight w:val="0"/>
                                                                                                                                                                      <w:marTop w:val="0"/>
                                                                                                                                                                      <w:marBottom w:val="0"/>
                                                                                                                                                                      <w:divBdr>
                                                                                                                                                                        <w:top w:val="none" w:sz="0" w:space="0" w:color="auto"/>
                                                                                                                                                                        <w:left w:val="none" w:sz="0" w:space="0" w:color="auto"/>
                                                                                                                                                                        <w:bottom w:val="none" w:sz="0" w:space="0" w:color="auto"/>
                                                                                                                                                                        <w:right w:val="none" w:sz="0" w:space="0" w:color="auto"/>
                                                                                                                                                                      </w:divBdr>
                                                                                                                                                                      <w:divsChild>
                                                                                                                                                                        <w:div w:id="1349596678">
                                                                                                                                                                          <w:marLeft w:val="0"/>
                                                                                                                                                                          <w:marRight w:val="0"/>
                                                                                                                                                                          <w:marTop w:val="0"/>
                                                                                                                                                                          <w:marBottom w:val="0"/>
                                                                                                                                                                          <w:divBdr>
                                                                                                                                                                            <w:top w:val="none" w:sz="0" w:space="0" w:color="auto"/>
                                                                                                                                                                            <w:left w:val="none" w:sz="0" w:space="0" w:color="auto"/>
                                                                                                                                                                            <w:bottom w:val="none" w:sz="0" w:space="0" w:color="auto"/>
                                                                                                                                                                            <w:right w:val="none" w:sz="0" w:space="0" w:color="auto"/>
                                                                                                                                                                          </w:divBdr>
                                                                                                                                                                          <w:divsChild>
                                                                                                                                                                            <w:div w:id="1727411341">
                                                                                                                                                                              <w:marLeft w:val="0"/>
                                                                                                                                                                              <w:marRight w:val="0"/>
                                                                                                                                                                              <w:marTop w:val="0"/>
                                                                                                                                                                              <w:marBottom w:val="0"/>
                                                                                                                                                                              <w:divBdr>
                                                                                                                                                                                <w:top w:val="none" w:sz="0" w:space="0" w:color="auto"/>
                                                                                                                                                                                <w:left w:val="none" w:sz="0" w:space="0" w:color="auto"/>
                                                                                                                                                                                <w:bottom w:val="none" w:sz="0" w:space="0" w:color="auto"/>
                                                                                                                                                                                <w:right w:val="none" w:sz="0" w:space="0" w:color="auto"/>
                                                                                                                                                                              </w:divBdr>
                                                                                                                                                                              <w:divsChild>
                                                                                                                                                                                <w:div w:id="959915861">
                                                                                                                                                                                  <w:marLeft w:val="0"/>
                                                                                                                                                                                  <w:marRight w:val="0"/>
                                                                                                                                                                                  <w:marTop w:val="0"/>
                                                                                                                                                                                  <w:marBottom w:val="0"/>
                                                                                                                                                                                  <w:divBdr>
                                                                                                                                                                                    <w:top w:val="none" w:sz="0" w:space="0" w:color="auto"/>
                                                                                                                                                                                    <w:left w:val="none" w:sz="0" w:space="0" w:color="auto"/>
                                                                                                                                                                                    <w:bottom w:val="none" w:sz="0" w:space="0" w:color="auto"/>
                                                                                                                                                                                    <w:right w:val="none" w:sz="0" w:space="0" w:color="auto"/>
                                                                                                                                                                                  </w:divBdr>
                                                                                                                                                                                  <w:divsChild>
                                                                                                                                                                                    <w:div w:id="735589874">
                                                                                                                                                                                      <w:marLeft w:val="0"/>
                                                                                                                                                                                      <w:marRight w:val="0"/>
                                                                                                                                                                                      <w:marTop w:val="0"/>
                                                                                                                                                                                      <w:marBottom w:val="0"/>
                                                                                                                                                                                      <w:divBdr>
                                                                                                                                                                                        <w:top w:val="none" w:sz="0" w:space="0" w:color="auto"/>
                                                                                                                                                                                        <w:left w:val="none" w:sz="0" w:space="0" w:color="auto"/>
                                                                                                                                                                                        <w:bottom w:val="none" w:sz="0" w:space="0" w:color="auto"/>
                                                                                                                                                                                        <w:right w:val="none" w:sz="0" w:space="0" w:color="auto"/>
                                                                                                                                                                                      </w:divBdr>
                                                                                                                                                                                      <w:divsChild>
                                                                                                                                                                                        <w:div w:id="128204950">
                                                                                                                                                                                          <w:marLeft w:val="0"/>
                                                                                                                                                                                          <w:marRight w:val="0"/>
                                                                                                                                                                                          <w:marTop w:val="0"/>
                                                                                                                                                                                          <w:marBottom w:val="0"/>
                                                                                                                                                                                          <w:divBdr>
                                                                                                                                                                                            <w:top w:val="none" w:sz="0" w:space="0" w:color="auto"/>
                                                                                                                                                                                            <w:left w:val="none" w:sz="0" w:space="0" w:color="auto"/>
                                                                                                                                                                                            <w:bottom w:val="none" w:sz="0" w:space="0" w:color="auto"/>
                                                                                                                                                                                            <w:right w:val="none" w:sz="0" w:space="0" w:color="auto"/>
                                                                                                                                                                                          </w:divBdr>
                                                                                                                                                                                          <w:divsChild>
                                                                                                                                                                                            <w:div w:id="318995607">
                                                                                                                                                                                              <w:marLeft w:val="0"/>
                                                                                                                                                                                              <w:marRight w:val="0"/>
                                                                                                                                                                                              <w:marTop w:val="0"/>
                                                                                                                                                                                              <w:marBottom w:val="0"/>
                                                                                                                                                                                              <w:divBdr>
                                                                                                                                                                                                <w:top w:val="none" w:sz="0" w:space="0" w:color="auto"/>
                                                                                                                                                                                                <w:left w:val="none" w:sz="0" w:space="0" w:color="auto"/>
                                                                                                                                                                                                <w:bottom w:val="none" w:sz="0" w:space="0" w:color="auto"/>
                                                                                                                                                                                                <w:right w:val="none" w:sz="0" w:space="0" w:color="auto"/>
                                                                                                                                                                                              </w:divBdr>
                                                                                                                                                                                              <w:divsChild>
                                                                                                                                                                                                <w:div w:id="1791970370">
                                                                                                                                                                                                  <w:marLeft w:val="0"/>
                                                                                                                                                                                                  <w:marRight w:val="0"/>
                                                                                                                                                                                                  <w:marTop w:val="0"/>
                                                                                                                                                                                                  <w:marBottom w:val="0"/>
                                                                                                                                                                                                  <w:divBdr>
                                                                                                                                                                                                    <w:top w:val="none" w:sz="0" w:space="0" w:color="auto"/>
                                                                                                                                                                                                    <w:left w:val="none" w:sz="0" w:space="0" w:color="auto"/>
                                                                                                                                                                                                    <w:bottom w:val="none" w:sz="0" w:space="0" w:color="auto"/>
                                                                                                                                                                                                    <w:right w:val="none" w:sz="0" w:space="0" w:color="auto"/>
                                                                                                                                                                                                  </w:divBdr>
                                                                                                                                                                                                  <w:divsChild>
                                                                                                                                                                                                    <w:div w:id="191038483">
                                                                                                                                                                                                      <w:marLeft w:val="0"/>
                                                                                                                                                                                                      <w:marRight w:val="0"/>
                                                                                                                                                                                                      <w:marTop w:val="0"/>
                                                                                                                                                                                                      <w:marBottom w:val="0"/>
                                                                                                                                                                                                      <w:divBdr>
                                                                                                                                                                                                        <w:top w:val="none" w:sz="0" w:space="0" w:color="auto"/>
                                                                                                                                                                                                        <w:left w:val="none" w:sz="0" w:space="0" w:color="auto"/>
                                                                                                                                                                                                        <w:bottom w:val="none" w:sz="0" w:space="0" w:color="auto"/>
                                                                                                                                                                                                        <w:right w:val="none" w:sz="0" w:space="0" w:color="auto"/>
                                                                                                                                                                                                      </w:divBdr>
                                                                                                                                                                                                      <w:divsChild>
                                                                                                                                                                                                        <w:div w:id="1210729829">
                                                                                                                                                                                                          <w:marLeft w:val="0"/>
                                                                                                                                                                                                          <w:marRight w:val="0"/>
                                                                                                                                                                                                          <w:marTop w:val="0"/>
                                                                                                                                                                                                          <w:marBottom w:val="0"/>
                                                                                                                                                                                                          <w:divBdr>
                                                                                                                                                                                                            <w:top w:val="none" w:sz="0" w:space="0" w:color="auto"/>
                                                                                                                                                                                                            <w:left w:val="none" w:sz="0" w:space="0" w:color="auto"/>
                                                                                                                                                                                                            <w:bottom w:val="none" w:sz="0" w:space="0" w:color="auto"/>
                                                                                                                                                                                                            <w:right w:val="none" w:sz="0" w:space="0" w:color="auto"/>
                                                                                                                                                                                                          </w:divBdr>
                                                                                                                                                                                                          <w:divsChild>
                                                                                                                                                                                                            <w:div w:id="1873106959">
                                                                                                                                                                                                              <w:marLeft w:val="0"/>
                                                                                                                                                                                                              <w:marRight w:val="0"/>
                                                                                                                                                                                                              <w:marTop w:val="0"/>
                                                                                                                                                                                                              <w:marBottom w:val="0"/>
                                                                                                                                                                                                              <w:divBdr>
                                                                                                                                                                                                                <w:top w:val="none" w:sz="0" w:space="0" w:color="auto"/>
                                                                                                                                                                                                                <w:left w:val="none" w:sz="0" w:space="0" w:color="auto"/>
                                                                                                                                                                                                                <w:bottom w:val="none" w:sz="0" w:space="0" w:color="auto"/>
                                                                                                                                                                                                                <w:right w:val="none" w:sz="0" w:space="0" w:color="auto"/>
                                                                                                                                                                                                              </w:divBdr>
                                                                                                                                                                                                              <w:divsChild>
                                                                                                                                                                                                                <w:div w:id="1724060476">
                                                                                                                                                                                                                  <w:marLeft w:val="0"/>
                                                                                                                                                                                                                  <w:marRight w:val="0"/>
                                                                                                                                                                                                                  <w:marTop w:val="0"/>
                                                                                                                                                                                                                  <w:marBottom w:val="0"/>
                                                                                                                                                                                                                  <w:divBdr>
                                                                                                                                                                                                                    <w:top w:val="none" w:sz="0" w:space="0" w:color="auto"/>
                                                                                                                                                                                                                    <w:left w:val="none" w:sz="0" w:space="0" w:color="auto"/>
                                                                                                                                                                                                                    <w:bottom w:val="none" w:sz="0" w:space="0" w:color="auto"/>
                                                                                                                                                                                                                    <w:right w:val="none" w:sz="0" w:space="0" w:color="auto"/>
                                                                                                                                                                                                                  </w:divBdr>
                                                                                                                                                                                                                  <w:divsChild>
                                                                                                                                                                                                                    <w:div w:id="248542540">
                                                                                                                                                                                                                      <w:marLeft w:val="0"/>
                                                                                                                                                                                                                      <w:marRight w:val="0"/>
                                                                                                                                                                                                                      <w:marTop w:val="0"/>
                                                                                                                                                                                                                      <w:marBottom w:val="0"/>
                                                                                                                                                                                                                      <w:divBdr>
                                                                                                                                                                                                                        <w:top w:val="none" w:sz="0" w:space="0" w:color="auto"/>
                                                                                                                                                                                                                        <w:left w:val="none" w:sz="0" w:space="0" w:color="auto"/>
                                                                                                                                                                                                                        <w:bottom w:val="none" w:sz="0" w:space="0" w:color="auto"/>
                                                                                                                                                                                                                        <w:right w:val="none" w:sz="0" w:space="0" w:color="auto"/>
                                                                                                                                                                                                                      </w:divBdr>
                                                                                                                                                                                                                      <w:divsChild>
                                                                                                                                                                                                                        <w:div w:id="109932296">
                                                                                                                                                                                                                          <w:marLeft w:val="0"/>
                                                                                                                                                                                                                          <w:marRight w:val="0"/>
                                                                                                                                                                                                                          <w:marTop w:val="0"/>
                                                                                                                                                                                                                          <w:marBottom w:val="0"/>
                                                                                                                                                                                                                          <w:divBdr>
                                                                                                                                                                                                                            <w:top w:val="none" w:sz="0" w:space="0" w:color="auto"/>
                                                                                                                                                                                                                            <w:left w:val="none" w:sz="0" w:space="0" w:color="auto"/>
                                                                                                                                                                                                                            <w:bottom w:val="none" w:sz="0" w:space="0" w:color="auto"/>
                                                                                                                                                                                                                            <w:right w:val="none" w:sz="0" w:space="0" w:color="auto"/>
                                                                                                                                                                                                                          </w:divBdr>
                                                                                                                                                                                                                          <w:divsChild>
                                                                                                                                                                                                                            <w:div w:id="421487185">
                                                                                                                                                                                                                              <w:marLeft w:val="0"/>
                                                                                                                                                                                                                              <w:marRight w:val="0"/>
                                                                                                                                                                                                                              <w:marTop w:val="0"/>
                                                                                                                                                                                                                              <w:marBottom w:val="0"/>
                                                                                                                                                                                                                              <w:divBdr>
                                                                                                                                                                                                                                <w:top w:val="none" w:sz="0" w:space="0" w:color="auto"/>
                                                                                                                                                                                                                                <w:left w:val="none" w:sz="0" w:space="0" w:color="auto"/>
                                                                                                                                                                                                                                <w:bottom w:val="none" w:sz="0" w:space="0" w:color="auto"/>
                                                                                                                                                                                                                                <w:right w:val="none" w:sz="0" w:space="0" w:color="auto"/>
                                                                                                                                                                                                                              </w:divBdr>
                                                                                                                                                                                                                              <w:divsChild>
                                                                                                                                                                                                                                <w:div w:id="119037659">
                                                                                                                                                                                                                                  <w:marLeft w:val="0"/>
                                                                                                                                                                                                                                  <w:marRight w:val="0"/>
                                                                                                                                                                                                                                  <w:marTop w:val="0"/>
                                                                                                                                                                                                                                  <w:marBottom w:val="0"/>
                                                                                                                                                                                                                                  <w:divBdr>
                                                                                                                                                                                                                                    <w:top w:val="none" w:sz="0" w:space="0" w:color="auto"/>
                                                                                                                                                                                                                                    <w:left w:val="none" w:sz="0" w:space="0" w:color="auto"/>
                                                                                                                                                                                                                                    <w:bottom w:val="none" w:sz="0" w:space="0" w:color="auto"/>
                                                                                                                                                                                                                                    <w:right w:val="none" w:sz="0" w:space="0" w:color="auto"/>
                                                                                                                                                                                                                                  </w:divBdr>
                                                                                                                                                                                                                                  <w:divsChild>
                                                                                                                                                                                                                                    <w:div w:id="1151604241">
                                                                                                                                                                                                                                      <w:marLeft w:val="0"/>
                                                                                                                                                                                                                                      <w:marRight w:val="0"/>
                                                                                                                                                                                                                                      <w:marTop w:val="0"/>
                                                                                                                                                                                                                                      <w:marBottom w:val="0"/>
                                                                                                                                                                                                                                      <w:divBdr>
                                                                                                                                                                                                                                        <w:top w:val="none" w:sz="0" w:space="0" w:color="auto"/>
                                                                                                                                                                                                                                        <w:left w:val="none" w:sz="0" w:space="0" w:color="auto"/>
                                                                                                                                                                                                                                        <w:bottom w:val="none" w:sz="0" w:space="0" w:color="auto"/>
                                                                                                                                                                                                                                        <w:right w:val="none" w:sz="0" w:space="0" w:color="auto"/>
                                                                                                                                                                                                                                      </w:divBdr>
                                                                                                                                                                                                                                      <w:divsChild>
                                                                                                                                                                                                                                        <w:div w:id="810251753">
                                                                                                                                                                                                                                          <w:marLeft w:val="0"/>
                                                                                                                                                                                                                                          <w:marRight w:val="0"/>
                                                                                                                                                                                                                                          <w:marTop w:val="0"/>
                                                                                                                                                                                                                                          <w:marBottom w:val="0"/>
                                                                                                                                                                                                                                          <w:divBdr>
                                                                                                                                                                                                                                            <w:top w:val="none" w:sz="0" w:space="0" w:color="auto"/>
                                                                                                                                                                                                                                            <w:left w:val="none" w:sz="0" w:space="0" w:color="auto"/>
                                                                                                                                                                                                                                            <w:bottom w:val="none" w:sz="0" w:space="0" w:color="auto"/>
                                                                                                                                                                                                                                            <w:right w:val="none" w:sz="0" w:space="0" w:color="auto"/>
                                                                                                                                                                                                                                          </w:divBdr>
                                                                                                                                                                                                                                          <w:divsChild>
                                                                                                                                                                                                                                            <w:div w:id="913973125">
                                                                                                                                                                                                                                              <w:marLeft w:val="0"/>
                                                                                                                                                                                                                                              <w:marRight w:val="0"/>
                                                                                                                                                                                                                                              <w:marTop w:val="0"/>
                                                                                                                                                                                                                                              <w:marBottom w:val="0"/>
                                                                                                                                                                                                                                              <w:divBdr>
                                                                                                                                                                                                                                                <w:top w:val="none" w:sz="0" w:space="0" w:color="auto"/>
                                                                                                                                                                                                                                                <w:left w:val="none" w:sz="0" w:space="0" w:color="auto"/>
                                                                                                                                                                                                                                                <w:bottom w:val="none" w:sz="0" w:space="0" w:color="auto"/>
                                                                                                                                                                                                                                                <w:right w:val="none" w:sz="0" w:space="0" w:color="auto"/>
                                                                                                                                                                                                                                              </w:divBdr>
                                                                                                                                                                                                                                              <w:divsChild>
                                                                                                                                                                                                                                                <w:div w:id="1940914776">
                                                                                                                                                                                                                                                  <w:marLeft w:val="0"/>
                                                                                                                                                                                                                                                  <w:marRight w:val="0"/>
                                                                                                                                                                                                                                                  <w:marTop w:val="0"/>
                                                                                                                                                                                                                                                  <w:marBottom w:val="0"/>
                                                                                                                                                                                                                                                  <w:divBdr>
                                                                                                                                                                                                                                                    <w:top w:val="none" w:sz="0" w:space="0" w:color="auto"/>
                                                                                                                                                                                                                                                    <w:left w:val="none" w:sz="0" w:space="0" w:color="auto"/>
                                                                                                                                                                                                                                                    <w:bottom w:val="none" w:sz="0" w:space="0" w:color="auto"/>
                                                                                                                                                                                                                                                    <w:right w:val="none" w:sz="0" w:space="0" w:color="auto"/>
                                                                                                                                                                                                                                                  </w:divBdr>
                                                                                                                                                                                                                                                  <w:divsChild>
                                                                                                                                                                                                                                                    <w:div w:id="1715499817">
                                                                                                                                                                                                                                                      <w:marLeft w:val="0"/>
                                                                                                                                                                                                                                                      <w:marRight w:val="0"/>
                                                                                                                                                                                                                                                      <w:marTop w:val="0"/>
                                                                                                                                                                                                                                                      <w:marBottom w:val="0"/>
                                                                                                                                                                                                                                                      <w:divBdr>
                                                                                                                                                                                                                                                        <w:top w:val="none" w:sz="0" w:space="0" w:color="auto"/>
                                                                                                                                                                                                                                                        <w:left w:val="none" w:sz="0" w:space="0" w:color="auto"/>
                                                                                                                                                                                                                                                        <w:bottom w:val="none" w:sz="0" w:space="0" w:color="auto"/>
                                                                                                                                                                                                                                                        <w:right w:val="none" w:sz="0" w:space="0" w:color="auto"/>
                                                                                                                                                                                                                                                      </w:divBdr>
                                                                                                                                                                                                                                                      <w:divsChild>
                                                                                                                                                                                                                                                        <w:div w:id="335963925">
                                                                                                                                                                                                                                                          <w:marLeft w:val="0"/>
                                                                                                                                                                                                                                                          <w:marRight w:val="0"/>
                                                                                                                                                                                                                                                          <w:marTop w:val="0"/>
                                                                                                                                                                                                                                                          <w:marBottom w:val="0"/>
                                                                                                                                                                                                                                                          <w:divBdr>
                                                                                                                                                                                                                                                            <w:top w:val="none" w:sz="0" w:space="0" w:color="auto"/>
                                                                                                                                                                                                                                                            <w:left w:val="none" w:sz="0" w:space="0" w:color="auto"/>
                                                                                                                                                                                                                                                            <w:bottom w:val="none" w:sz="0" w:space="0" w:color="auto"/>
                                                                                                                                                                                                                                                            <w:right w:val="none" w:sz="0" w:space="0" w:color="auto"/>
                                                                                                                                                                                                                                                          </w:divBdr>
                                                                                                                                                                                                                                                          <w:divsChild>
                                                                                                                                                                                                                                                            <w:div w:id="660427917">
                                                                                                                                                                                                                                                              <w:marLeft w:val="0"/>
                                                                                                                                                                                                                                                              <w:marRight w:val="0"/>
                                                                                                                                                                                                                                                              <w:marTop w:val="0"/>
                                                                                                                                                                                                                                                              <w:marBottom w:val="0"/>
                                                                                                                                                                                                                                                              <w:divBdr>
                                                                                                                                                                                                                                                                <w:top w:val="none" w:sz="0" w:space="0" w:color="auto"/>
                                                                                                                                                                                                                                                                <w:left w:val="none" w:sz="0" w:space="0" w:color="auto"/>
                                                                                                                                                                                                                                                                <w:bottom w:val="none" w:sz="0" w:space="0" w:color="auto"/>
                                                                                                                                                                                                                                                                <w:right w:val="none" w:sz="0" w:space="0" w:color="auto"/>
                                                                                                                                                                                                                                                              </w:divBdr>
                                                                                                                                                                                                                                                              <w:divsChild>
                                                                                                                                                                                                                                                                <w:div w:id="307823462">
                                                                                                                                                                                                                                                                  <w:marLeft w:val="0"/>
                                                                                                                                                                                                                                                                  <w:marRight w:val="0"/>
                                                                                                                                                                                                                                                                  <w:marTop w:val="0"/>
                                                                                                                                                                                                                                                                  <w:marBottom w:val="0"/>
                                                                                                                                                                                                                                                                  <w:divBdr>
                                                                                                                                                                                                                                                                    <w:top w:val="none" w:sz="0" w:space="0" w:color="auto"/>
                                                                                                                                                                                                                                                                    <w:left w:val="none" w:sz="0" w:space="0" w:color="auto"/>
                                                                                                                                                                                                                                                                    <w:bottom w:val="none" w:sz="0" w:space="0" w:color="auto"/>
                                                                                                                                                                                                                                                                    <w:right w:val="none" w:sz="0" w:space="0" w:color="auto"/>
                                                                                                                                                                                                                                                                  </w:divBdr>
                                                                                                                                                                                                                                                                  <w:divsChild>
                                                                                                                                                                                                                                                                    <w:div w:id="1516261171">
                                                                                                                                                                                                                                                                      <w:marLeft w:val="0"/>
                                                                                                                                                                                                                                                                      <w:marRight w:val="0"/>
                                                                                                                                                                                                                                                                      <w:marTop w:val="0"/>
                                                                                                                                                                                                                                                                      <w:marBottom w:val="0"/>
                                                                                                                                                                                                                                                                      <w:divBdr>
                                                                                                                                                                                                                                                                        <w:top w:val="none" w:sz="0" w:space="0" w:color="auto"/>
                                                                                                                                                                                                                                                                        <w:left w:val="none" w:sz="0" w:space="0" w:color="auto"/>
                                                                                                                                                                                                                                                                        <w:bottom w:val="none" w:sz="0" w:space="0" w:color="auto"/>
                                                                                                                                                                                                                                                                        <w:right w:val="none" w:sz="0" w:space="0" w:color="auto"/>
                                                                                                                                                                                                                                                                      </w:divBdr>
                                                                                                                                                                                                                                                                      <w:divsChild>
                                                                                                                                                                                                                                                                        <w:div w:id="91710577">
                                                                                                                                                                                                                                                                          <w:marLeft w:val="0"/>
                                                                                                                                                                                                                                                                          <w:marRight w:val="0"/>
                                                                                                                                                                                                                                                                          <w:marTop w:val="0"/>
                                                                                                                                                                                                                                                                          <w:marBottom w:val="0"/>
                                                                                                                                                                                                                                                                          <w:divBdr>
                                                                                                                                                                                                                                                                            <w:top w:val="none" w:sz="0" w:space="0" w:color="auto"/>
                                                                                                                                                                                                                                                                            <w:left w:val="none" w:sz="0" w:space="0" w:color="auto"/>
                                                                                                                                                                                                                                                                            <w:bottom w:val="none" w:sz="0" w:space="0" w:color="auto"/>
                                                                                                                                                                                                                                                                            <w:right w:val="none" w:sz="0" w:space="0" w:color="auto"/>
                                                                                                                                                                                                                                                                          </w:divBdr>
                                                                                                                                                                                                                                                                          <w:divsChild>
                                                                                                                                                                                                                                                                            <w:div w:id="622462219">
                                                                                                                                                                                                                                                                              <w:marLeft w:val="0"/>
                                                                                                                                                                                                                                                                              <w:marRight w:val="0"/>
                                                                                                                                                                                                                                                                              <w:marTop w:val="0"/>
                                                                                                                                                                                                                                                                              <w:marBottom w:val="0"/>
                                                                                                                                                                                                                                                                              <w:divBdr>
                                                                                                                                                                                                                                                                                <w:top w:val="none" w:sz="0" w:space="0" w:color="auto"/>
                                                                                                                                                                                                                                                                                <w:left w:val="none" w:sz="0" w:space="0" w:color="auto"/>
                                                                                                                                                                                                                                                                                <w:bottom w:val="none" w:sz="0" w:space="0" w:color="auto"/>
                                                                                                                                                                                                                                                                                <w:right w:val="none" w:sz="0" w:space="0" w:color="auto"/>
                                                                                                                                                                                                                                                                              </w:divBdr>
                                                                                                                                                                                                                                                                              <w:divsChild>
                                                                                                                                                                                                                                                                                <w:div w:id="1992713817">
                                                                                                                                                                                                                                                                                  <w:marLeft w:val="0"/>
                                                                                                                                                                                                                                                                                  <w:marRight w:val="0"/>
                                                                                                                                                                                                                                                                                  <w:marTop w:val="0"/>
                                                                                                                                                                                                                                                                                  <w:marBottom w:val="0"/>
                                                                                                                                                                                                                                                                                  <w:divBdr>
                                                                                                                                                                                                                                                                                    <w:top w:val="none" w:sz="0" w:space="0" w:color="auto"/>
                                                                                                                                                                                                                                                                                    <w:left w:val="none" w:sz="0" w:space="0" w:color="auto"/>
                                                                                                                                                                                                                                                                                    <w:bottom w:val="none" w:sz="0" w:space="0" w:color="auto"/>
                                                                                                                                                                                                                                                                                    <w:right w:val="none" w:sz="0" w:space="0" w:color="auto"/>
                                                                                                                                                                                                                                                                                  </w:divBdr>
                                                                                                                                                                                                                                                                                  <w:divsChild>
                                                                                                                                                                                                                                                                                    <w:div w:id="1986469976">
                                                                                                                                                                                                                                                                                      <w:marLeft w:val="0"/>
                                                                                                                                                                                                                                                                                      <w:marRight w:val="0"/>
                                                                                                                                                                                                                                                                                      <w:marTop w:val="0"/>
                                                                                                                                                                                                                                                                                      <w:marBottom w:val="0"/>
                                                                                                                                                                                                                                                                                      <w:divBdr>
                                                                                                                                                                                                                                                                                        <w:top w:val="none" w:sz="0" w:space="0" w:color="auto"/>
                                                                                                                                                                                                                                                                                        <w:left w:val="none" w:sz="0" w:space="0" w:color="auto"/>
                                                                                                                                                                                                                                                                                        <w:bottom w:val="none" w:sz="0" w:space="0" w:color="auto"/>
                                                                                                                                                                                                                                                                                        <w:right w:val="none" w:sz="0" w:space="0" w:color="auto"/>
                                                                                                                                                                                                                                                                                      </w:divBdr>
                                                                                                                                                                                                                                                                                      <w:divsChild>
                                                                                                                                                                                                                                                                                        <w:div w:id="1299339893">
                                                                                                                                                                                                                                                                                          <w:marLeft w:val="0"/>
                                                                                                                                                                                                                                                                                          <w:marRight w:val="0"/>
                                                                                                                                                                                                                                                                                          <w:marTop w:val="0"/>
                                                                                                                                                                                                                                                                                          <w:marBottom w:val="0"/>
                                                                                                                                                                                                                                                                                          <w:divBdr>
                                                                                                                                                                                                                                                                                            <w:top w:val="none" w:sz="0" w:space="0" w:color="auto"/>
                                                                                                                                                                                                                                                                                            <w:left w:val="none" w:sz="0" w:space="0" w:color="auto"/>
                                                                                                                                                                                                                                                                                            <w:bottom w:val="none" w:sz="0" w:space="0" w:color="auto"/>
                                                                                                                                                                                                                                                                                            <w:right w:val="none" w:sz="0" w:space="0" w:color="auto"/>
                                                                                                                                                                                                                                                                                          </w:divBdr>
                                                                                                                                                                                                                                                                                          <w:divsChild>
                                                                                                                                                                                                                                                                                            <w:div w:id="1486899038">
                                                                                                                                                                                                                                                                                              <w:marLeft w:val="0"/>
                                                                                                                                                                                                                                                                                              <w:marRight w:val="0"/>
                                                                                                                                                                                                                                                                                              <w:marTop w:val="0"/>
                                                                                                                                                                                                                                                                                              <w:marBottom w:val="0"/>
                                                                                                                                                                                                                                                                                              <w:divBdr>
                                                                                                                                                                                                                                                                                                <w:top w:val="none" w:sz="0" w:space="0" w:color="auto"/>
                                                                                                                                                                                                                                                                                                <w:left w:val="none" w:sz="0" w:space="0" w:color="auto"/>
                                                                                                                                                                                                                                                                                                <w:bottom w:val="none" w:sz="0" w:space="0" w:color="auto"/>
                                                                                                                                                                                                                                                                                                <w:right w:val="none" w:sz="0" w:space="0" w:color="auto"/>
                                                                                                                                                                                                                                                                                              </w:divBdr>
                                                                                                                                                                                                                                                                                              <w:divsChild>
                                                                                                                                                                                                                                                                                                <w:div w:id="1138302113">
                                                                                                                                                                                                                                                                                                  <w:marLeft w:val="0"/>
                                                                                                                                                                                                                                                                                                  <w:marRight w:val="0"/>
                                                                                                                                                                                                                                                                                                  <w:marTop w:val="0"/>
                                                                                                                                                                                                                                                                                                  <w:marBottom w:val="0"/>
                                                                                                                                                                                                                                                                                                  <w:divBdr>
                                                                                                                                                                                                                                                                                                    <w:top w:val="none" w:sz="0" w:space="0" w:color="auto"/>
                                                                                                                                                                                                                                                                                                    <w:left w:val="none" w:sz="0" w:space="0" w:color="auto"/>
                                                                                                                                                                                                                                                                                                    <w:bottom w:val="none" w:sz="0" w:space="0" w:color="auto"/>
                                                                                                                                                                                                                                                                                                    <w:right w:val="none" w:sz="0" w:space="0" w:color="auto"/>
                                                                                                                                                                                                                                                                                                  </w:divBdr>
                                                                                                                                                                                                                                                                                                  <w:divsChild>
                                                                                                                                                                                                                                                                                                    <w:div w:id="1588463878">
                                                                                                                                                                                                                                                                                                      <w:marLeft w:val="0"/>
                                                                                                                                                                                                                                                                                                      <w:marRight w:val="0"/>
                                                                                                                                                                                                                                                                                                      <w:marTop w:val="0"/>
                                                                                                                                                                                                                                                                                                      <w:marBottom w:val="0"/>
                                                                                                                                                                                                                                                                                                      <w:divBdr>
                                                                                                                                                                                                                                                                                                        <w:top w:val="none" w:sz="0" w:space="0" w:color="auto"/>
                                                                                                                                                                                                                                                                                                        <w:left w:val="none" w:sz="0" w:space="0" w:color="auto"/>
                                                                                                                                                                                                                                                                                                        <w:bottom w:val="none" w:sz="0" w:space="0" w:color="auto"/>
                                                                                                                                                                                                                                                                                                        <w:right w:val="none" w:sz="0" w:space="0" w:color="auto"/>
                                                                                                                                                                                                                                                                                                      </w:divBdr>
                                                                                                                                                                                                                                                                                                      <w:divsChild>
                                                                                                                                                                                                                                                                                                        <w:div w:id="1941058618">
                                                                                                                                                                                                                                                                                                          <w:marLeft w:val="0"/>
                                                                                                                                                                                                                                                                                                          <w:marRight w:val="0"/>
                                                                                                                                                                                                                                                                                                          <w:marTop w:val="0"/>
                                                                                                                                                                                                                                                                                                          <w:marBottom w:val="0"/>
                                                                                                                                                                                                                                                                                                          <w:divBdr>
                                                                                                                                                                                                                                                                                                            <w:top w:val="none" w:sz="0" w:space="0" w:color="auto"/>
                                                                                                                                                                                                                                                                                                            <w:left w:val="none" w:sz="0" w:space="0" w:color="auto"/>
                                                                                                                                                                                                                                                                                                            <w:bottom w:val="none" w:sz="0" w:space="0" w:color="auto"/>
                                                                                                                                                                                                                                                                                                            <w:right w:val="none" w:sz="0" w:space="0" w:color="auto"/>
                                                                                                                                                                                                                                                                                                          </w:divBdr>
                                                                                                                                                                                                                                                                                                          <w:divsChild>
                                                                                                                                                                                                                                                                                                            <w:div w:id="1108548376">
                                                                                                                                                                                                                                                                                                              <w:marLeft w:val="0"/>
                                                                                                                                                                                                                                                                                                              <w:marRight w:val="0"/>
                                                                                                                                                                                                                                                                                                              <w:marTop w:val="0"/>
                                                                                                                                                                                                                                                                                                              <w:marBottom w:val="0"/>
                                                                                                                                                                                                                                                                                                              <w:divBdr>
                                                                                                                                                                                                                                                                                                                <w:top w:val="none" w:sz="0" w:space="0" w:color="auto"/>
                                                                                                                                                                                                                                                                                                                <w:left w:val="none" w:sz="0" w:space="0" w:color="auto"/>
                                                                                                                                                                                                                                                                                                                <w:bottom w:val="none" w:sz="0" w:space="0" w:color="auto"/>
                                                                                                                                                                                                                                                                                                                <w:right w:val="none" w:sz="0" w:space="0" w:color="auto"/>
                                                                                                                                                                                                                                                                                                              </w:divBdr>
                                                                                                                                                                                                                                                                                                              <w:divsChild>
                                                                                                                                                                                                                                                                                                                <w:div w:id="1264454658">
                                                                                                                                                                                                                                                                                                                  <w:marLeft w:val="0"/>
                                                                                                                                                                                                                                                                                                                  <w:marRight w:val="0"/>
                                                                                                                                                                                                                                                                                                                  <w:marTop w:val="0"/>
                                                                                                                                                                                                                                                                                                                  <w:marBottom w:val="0"/>
                                                                                                                                                                                                                                                                                                                  <w:divBdr>
                                                                                                                                                                                                                                                                                                                    <w:top w:val="none" w:sz="0" w:space="0" w:color="auto"/>
                                                                                                                                                                                                                                                                                                                    <w:left w:val="none" w:sz="0" w:space="0" w:color="auto"/>
                                                                                                                                                                                                                                                                                                                    <w:bottom w:val="none" w:sz="0" w:space="0" w:color="auto"/>
                                                                                                                                                                                                                                                                                                                    <w:right w:val="none" w:sz="0" w:space="0" w:color="auto"/>
                                                                                                                                                                                                                                                                                                                  </w:divBdr>
                                                                                                                                                                                                                                                                                                                  <w:divsChild>
                                                                                                                                                                                                                                                                                                                    <w:div w:id="1361976964">
                                                                                                                                                                                                                                                                                                                      <w:marLeft w:val="0"/>
                                                                                                                                                                                                                                                                                                                      <w:marRight w:val="0"/>
                                                                                                                                                                                                                                                                                                                      <w:marTop w:val="0"/>
                                                                                                                                                                                                                                                                                                                      <w:marBottom w:val="0"/>
                                                                                                                                                                                                                                                                                                                      <w:divBdr>
                                                                                                                                                                                                                                                                                                                        <w:top w:val="none" w:sz="0" w:space="0" w:color="auto"/>
                                                                                                                                                                                                                                                                                                                        <w:left w:val="none" w:sz="0" w:space="0" w:color="auto"/>
                                                                                                                                                                                                                                                                                                                        <w:bottom w:val="none" w:sz="0" w:space="0" w:color="auto"/>
                                                                                                                                                                                                                                                                                                                        <w:right w:val="none" w:sz="0" w:space="0" w:color="auto"/>
                                                                                                                                                                                                                                                                                                                      </w:divBdr>
                                                                                                                                                                                                                                                                                                                      <w:divsChild>
                                                                                                                                                                                                                                                                                                                        <w:div w:id="526020148">
                                                                                                                                                                                                                                                                                                                          <w:marLeft w:val="0"/>
                                                                                                                                                                                                                                                                                                                          <w:marRight w:val="0"/>
                                                                                                                                                                                                                                                                                                                          <w:marTop w:val="0"/>
                                                                                                                                                                                                                                                                                                                          <w:marBottom w:val="0"/>
                                                                                                                                                                                                                                                                                                                          <w:divBdr>
                                                                                                                                                                                                                                                                                                                            <w:top w:val="none" w:sz="0" w:space="0" w:color="auto"/>
                                                                                                                                                                                                                                                                                                                            <w:left w:val="none" w:sz="0" w:space="0" w:color="auto"/>
                                                                                                                                                                                                                                                                                                                            <w:bottom w:val="none" w:sz="0" w:space="0" w:color="auto"/>
                                                                                                                                                                                                                                                                                                                            <w:right w:val="none" w:sz="0" w:space="0" w:color="auto"/>
                                                                                                                                                                                                                                                                                                                          </w:divBdr>
                                                                                                                                                                                                                                                                                                                          <w:divsChild>
                                                                                                                                                                                                                                                                                                                            <w:div w:id="314185548">
                                                                                                                                                                                                                                                                                                                              <w:marLeft w:val="0"/>
                                                                                                                                                                                                                                                                                                                              <w:marRight w:val="0"/>
                                                                                                                                                                                                                                                                                                                              <w:marTop w:val="0"/>
                                                                                                                                                                                                                                                                                                                              <w:marBottom w:val="0"/>
                                                                                                                                                                                                                                                                                                                              <w:divBdr>
                                                                                                                                                                                                                                                                                                                                <w:top w:val="none" w:sz="0" w:space="0" w:color="auto"/>
                                                                                                                                                                                                                                                                                                                                <w:left w:val="none" w:sz="0" w:space="0" w:color="auto"/>
                                                                                                                                                                                                                                                                                                                                <w:bottom w:val="none" w:sz="0" w:space="0" w:color="auto"/>
                                                                                                                                                                                                                                                                                                                                <w:right w:val="none" w:sz="0" w:space="0" w:color="auto"/>
                                                                                                                                                                                                                                                                                                                              </w:divBdr>
                                                                                                                                                                                                                                                                                                                              <w:divsChild>
                                                                                                                                                                                                                                                                                                                                <w:div w:id="1427381530">
                                                                                                                                                                                                                                                                                                                                  <w:marLeft w:val="0"/>
                                                                                                                                                                                                                                                                                                                                  <w:marRight w:val="0"/>
                                                                                                                                                                                                                                                                                                                                  <w:marTop w:val="0"/>
                                                                                                                                                                                                                                                                                                                                  <w:marBottom w:val="0"/>
                                                                                                                                                                                                                                                                                                                                  <w:divBdr>
                                                                                                                                                                                                                                                                                                                                    <w:top w:val="none" w:sz="0" w:space="0" w:color="auto"/>
                                                                                                                                                                                                                                                                                                                                    <w:left w:val="none" w:sz="0" w:space="0" w:color="auto"/>
                                                                                                                                                                                                                                                                                                                                    <w:bottom w:val="none" w:sz="0" w:space="0" w:color="auto"/>
                                                                                                                                                                                                                                                                                                                                    <w:right w:val="none" w:sz="0" w:space="0" w:color="auto"/>
                                                                                                                                                                                                                                                                                                                                  </w:divBdr>
                                                                                                                                                                                                                                                                                                                                  <w:divsChild>
                                                                                                                                                                                                                                                                                                                                    <w:div w:id="503058509">
                                                                                                                                                                                                                                                                                                                                      <w:marLeft w:val="0"/>
                                                                                                                                                                                                                                                                                                                                      <w:marRight w:val="0"/>
                                                                                                                                                                                                                                                                                                                                      <w:marTop w:val="0"/>
                                                                                                                                                                                                                                                                                                                                      <w:marBottom w:val="0"/>
                                                                                                                                                                                                                                                                                                                                      <w:divBdr>
                                                                                                                                                                                                                                                                                                                                        <w:top w:val="none" w:sz="0" w:space="0" w:color="auto"/>
                                                                                                                                                                                                                                                                                                                                        <w:left w:val="none" w:sz="0" w:space="0" w:color="auto"/>
                                                                                                                                                                                                                                                                                                                                        <w:bottom w:val="none" w:sz="0" w:space="0" w:color="auto"/>
                                                                                                                                                                                                                                                                                                                                        <w:right w:val="none" w:sz="0" w:space="0" w:color="auto"/>
                                                                                                                                                                                                                                                                                                                                      </w:divBdr>
                                                                                                                                                                                                                                                                                                                                      <w:divsChild>
                                                                                                                                                                                                                                                                                                                                        <w:div w:id="1895702287">
                                                                                                                                                                                                                                                                                                                                          <w:marLeft w:val="0"/>
                                                                                                                                                                                                                                                                                                                                          <w:marRight w:val="0"/>
                                                                                                                                                                                                                                                                                                                                          <w:marTop w:val="0"/>
                                                                                                                                                                                                                                                                                                                                          <w:marBottom w:val="0"/>
                                                                                                                                                                                                                                                                                                                                          <w:divBdr>
                                                                                                                                                                                                                                                                                                                                            <w:top w:val="none" w:sz="0" w:space="0" w:color="auto"/>
                                                                                                                                                                                                                                                                                                                                            <w:left w:val="none" w:sz="0" w:space="0" w:color="auto"/>
                                                                                                                                                                                                                                                                                                                                            <w:bottom w:val="none" w:sz="0" w:space="0" w:color="auto"/>
                                                                                                                                                                                                                                                                                                                                            <w:right w:val="none" w:sz="0" w:space="0" w:color="auto"/>
                                                                                                                                                                                                                                                                                                                                          </w:divBdr>
                                                                                                                                                                                                                                                                                                                                          <w:divsChild>
                                                                                                                                                                                                                                                                                                                                            <w:div w:id="1538739303">
                                                                                                                                                                                                                                                                                                                                              <w:marLeft w:val="0"/>
                                                                                                                                                                                                                                                                                                                                              <w:marRight w:val="0"/>
                                                                                                                                                                                                                                                                                                                                              <w:marTop w:val="0"/>
                                                                                                                                                                                                                                                                                                                                              <w:marBottom w:val="0"/>
                                                                                                                                                                                                                                                                                                                                              <w:divBdr>
                                                                                                                                                                                                                                                                                                                                                <w:top w:val="none" w:sz="0" w:space="0" w:color="auto"/>
                                                                                                                                                                                                                                                                                                                                                <w:left w:val="none" w:sz="0" w:space="0" w:color="auto"/>
                                                                                                                                                                                                                                                                                                                                                <w:bottom w:val="none" w:sz="0" w:space="0" w:color="auto"/>
                                                                                                                                                                                                                                                                                                                                                <w:right w:val="none" w:sz="0" w:space="0" w:color="auto"/>
                                                                                                                                                                                                                                                                                                                                              </w:divBdr>
                                                                                                                                                                                                                                                                                                                                              <w:divsChild>
                                                                                                                                                                                                                                                                                                                                                <w:div w:id="768086219">
                                                                                                                                                                                                                                                                                                                                                  <w:marLeft w:val="0"/>
                                                                                                                                                                                                                                                                                                                                                  <w:marRight w:val="0"/>
                                                                                                                                                                                                                                                                                                                                                  <w:marTop w:val="0"/>
                                                                                                                                                                                                                                                                                                                                                  <w:marBottom w:val="0"/>
                                                                                                                                                                                                                                                                                                                                                  <w:divBdr>
                                                                                                                                                                                                                                                                                                                                                    <w:top w:val="none" w:sz="0" w:space="0" w:color="auto"/>
                                                                                                                                                                                                                                                                                                                                                    <w:left w:val="none" w:sz="0" w:space="0" w:color="auto"/>
                                                                                                                                                                                                                                                                                                                                                    <w:bottom w:val="none" w:sz="0" w:space="0" w:color="auto"/>
                                                                                                                                                                                                                                                                                                                                                    <w:right w:val="none" w:sz="0" w:space="0" w:color="auto"/>
                                                                                                                                                                                                                                                                                                                                                  </w:divBdr>
                                                                                                                                                                                                                                                                                                                                                  <w:divsChild>
                                                                                                                                                                                                                                                                                                                                                    <w:div w:id="130827508">
                                                                                                                                                                                                                                                                                                                                                      <w:marLeft w:val="0"/>
                                                                                                                                                                                                                                                                                                                                                      <w:marRight w:val="0"/>
                                                                                                                                                                                                                                                                                                                                                      <w:marTop w:val="0"/>
                                                                                                                                                                                                                                                                                                                                                      <w:marBottom w:val="0"/>
                                                                                                                                                                                                                                                                                                                                                      <w:divBdr>
                                                                                                                                                                                                                                                                                                                                                        <w:top w:val="none" w:sz="0" w:space="0" w:color="auto"/>
                                                                                                                                                                                                                                                                                                                                                        <w:left w:val="none" w:sz="0" w:space="0" w:color="auto"/>
                                                                                                                                                                                                                                                                                                                                                        <w:bottom w:val="none" w:sz="0" w:space="0" w:color="auto"/>
                                                                                                                                                                                                                                                                                                                                                        <w:right w:val="none" w:sz="0" w:space="0" w:color="auto"/>
                                                                                                                                                                                                                                                                                                                                                      </w:divBdr>
                                                                                                                                                                                                                                                                                                                                                      <w:divsChild>
                                                                                                                                                                                                                                                                                                                                                        <w:div w:id="1139372829">
                                                                                                                                                                                                                                                                                                                                                          <w:marLeft w:val="0"/>
                                                                                                                                                                                                                                                                                                                                                          <w:marRight w:val="0"/>
                                                                                                                                                                                                                                                                                                                                                          <w:marTop w:val="0"/>
                                                                                                                                                                                                                                                                                                                                                          <w:marBottom w:val="0"/>
                                                                                                                                                                                                                                                                                                                                                          <w:divBdr>
                                                                                                                                                                                                                                                                                                                                                            <w:top w:val="none" w:sz="0" w:space="0" w:color="auto"/>
                                                                                                                                                                                                                                                                                                                                                            <w:left w:val="none" w:sz="0" w:space="0" w:color="auto"/>
                                                                                                                                                                                                                                                                                                                                                            <w:bottom w:val="none" w:sz="0" w:space="0" w:color="auto"/>
                                                                                                                                                                                                                                                                                                                                                            <w:right w:val="none" w:sz="0" w:space="0" w:color="auto"/>
                                                                                                                                                                                                                                                                                                                                                          </w:divBdr>
                                                                                                                                                                                                                                                                                                                                                          <w:divsChild>
                                                                                                                                                                                                                                                                                                                                                            <w:div w:id="1237548738">
                                                                                                                                                                                                                                                                                                                                                              <w:marLeft w:val="0"/>
                                                                                                                                                                                                                                                                                                                                                              <w:marRight w:val="0"/>
                                                                                                                                                                                                                                                                                                                                                              <w:marTop w:val="0"/>
                                                                                                                                                                                                                                                                                                                                                              <w:marBottom w:val="0"/>
                                                                                                                                                                                                                                                                                                                                                              <w:divBdr>
                                                                                                                                                                                                                                                                                                                                                                <w:top w:val="none" w:sz="0" w:space="0" w:color="auto"/>
                                                                                                                                                                                                                                                                                                                                                                <w:left w:val="none" w:sz="0" w:space="0" w:color="auto"/>
                                                                                                                                                                                                                                                                                                                                                                <w:bottom w:val="none" w:sz="0" w:space="0" w:color="auto"/>
                                                                                                                                                                                                                                                                                                                                                                <w:right w:val="none" w:sz="0" w:space="0" w:color="auto"/>
                                                                                                                                                                                                                                                                                                                                                              </w:divBdr>
                                                                                                                                                                                                                                                                                                                                                              <w:divsChild>
                                                                                                                                                                                                                                                                                                                                                                <w:div w:id="1892691419">
                                                                                                                                                                                                                                                                                                                                                                  <w:marLeft w:val="0"/>
                                                                                                                                                                                                                                                                                                                                                                  <w:marRight w:val="0"/>
                                                                                                                                                                                                                                                                                                                                                                  <w:marTop w:val="0"/>
                                                                                                                                                                                                                                                                                                                                                                  <w:marBottom w:val="0"/>
                                                                                                                                                                                                                                                                                                                                                                  <w:divBdr>
                                                                                                                                                                                                                                                                                                                                                                    <w:top w:val="none" w:sz="0" w:space="0" w:color="auto"/>
                                                                                                                                                                                                                                                                                                                                                                    <w:left w:val="none" w:sz="0" w:space="0" w:color="auto"/>
                                                                                                                                                                                                                                                                                                                                                                    <w:bottom w:val="none" w:sz="0" w:space="0" w:color="auto"/>
                                                                                                                                                                                                                                                                                                                                                                    <w:right w:val="none" w:sz="0" w:space="0" w:color="auto"/>
                                                                                                                                                                                                                                                                                                                                                                  </w:divBdr>
                                                                                                                                                                                                                                                                                                                                                                  <w:divsChild>
                                                                                                                                                                                                                                                                                                                                                                    <w:div w:id="638994787">
                                                                                                                                                                                                                                                                                                                                                                      <w:marLeft w:val="0"/>
                                                                                                                                                                                                                                                                                                                                                                      <w:marRight w:val="0"/>
                                                                                                                                                                                                                                                                                                                                                                      <w:marTop w:val="0"/>
                                                                                                                                                                                                                                                                                                                                                                      <w:marBottom w:val="0"/>
                                                                                                                                                                                                                                                                                                                                                                      <w:divBdr>
                                                                                                                                                                                                                                                                                                                                                                        <w:top w:val="none" w:sz="0" w:space="0" w:color="auto"/>
                                                                                                                                                                                                                                                                                                                                                                        <w:left w:val="none" w:sz="0" w:space="0" w:color="auto"/>
                                                                                                                                                                                                                                                                                                                                                                        <w:bottom w:val="none" w:sz="0" w:space="0" w:color="auto"/>
                                                                                                                                                                                                                                                                                                                                                                        <w:right w:val="none" w:sz="0" w:space="0" w:color="auto"/>
                                                                                                                                                                                                                                                                                                                                                                      </w:divBdr>
                                                                                                                                                                                                                                                                                                                                                                      <w:divsChild>
                                                                                                                                                                                                                                                                                                                                                                        <w:div w:id="1799378194">
                                                                                                                                                                                                                                                                                                                                                                          <w:marLeft w:val="0"/>
                                                                                                                                                                                                                                                                                                                                                                          <w:marRight w:val="0"/>
                                                                                                                                                                                                                                                                                                                                                                          <w:marTop w:val="0"/>
                                                                                                                                                                                                                                                                                                                                                                          <w:marBottom w:val="0"/>
                                                                                                                                                                                                                                                                                                                                                                          <w:divBdr>
                                                                                                                                                                                                                                                                                                                                                                            <w:top w:val="none" w:sz="0" w:space="0" w:color="auto"/>
                                                                                                                                                                                                                                                                                                                                                                            <w:left w:val="none" w:sz="0" w:space="0" w:color="auto"/>
                                                                                                                                                                                                                                                                                                                                                                            <w:bottom w:val="none" w:sz="0" w:space="0" w:color="auto"/>
                                                                                                                                                                                                                                                                                                                                                                            <w:right w:val="none" w:sz="0" w:space="0" w:color="auto"/>
                                                                                                                                                                                                                                                                                                                                                                          </w:divBdr>
                                                                                                                                                                                                                                                                                                                                                                          <w:divsChild>
                                                                                                                                                                                                                                                                                                                                                                            <w:div w:id="150220883">
                                                                                                                                                                                                                                                                                                                                                                              <w:marLeft w:val="0"/>
                                                                                                                                                                                                                                                                                                                                                                              <w:marRight w:val="0"/>
                                                                                                                                                                                                                                                                                                                                                                              <w:marTop w:val="0"/>
                                                                                                                                                                                                                                                                                                                                                                              <w:marBottom w:val="0"/>
                                                                                                                                                                                                                                                                                                                                                                              <w:divBdr>
                                                                                                                                                                                                                                                                                                                                                                                <w:top w:val="none" w:sz="0" w:space="0" w:color="auto"/>
                                                                                                                                                                                                                                                                                                                                                                                <w:left w:val="none" w:sz="0" w:space="0" w:color="auto"/>
                                                                                                                                                                                                                                                                                                                                                                                <w:bottom w:val="none" w:sz="0" w:space="0" w:color="auto"/>
                                                                                                                                                                                                                                                                                                                                                                                <w:right w:val="none" w:sz="0" w:space="0" w:color="auto"/>
                                                                                                                                                                                                                                                                                                                                                                              </w:divBdr>
                                                                                                                                                                                                                                                                                                                                                                              <w:divsChild>
                                                                                                                                                                                                                                                                                                                                                                                <w:div w:id="418530501">
                                                                                                                                                                                                                                                                                                                                                                                  <w:marLeft w:val="0"/>
                                                                                                                                                                                                                                                                                                                                                                                  <w:marRight w:val="0"/>
                                                                                                                                                                                                                                                                                                                                                                                  <w:marTop w:val="0"/>
                                                                                                                                                                                                                                                                                                                                                                                  <w:marBottom w:val="0"/>
                                                                                                                                                                                                                                                                                                                                                                                  <w:divBdr>
                                                                                                                                                                                                                                                                                                                                                                                    <w:top w:val="none" w:sz="0" w:space="0" w:color="auto"/>
                                                                                                                                                                                                                                                                                                                                                                                    <w:left w:val="none" w:sz="0" w:space="0" w:color="auto"/>
                                                                                                                                                                                                                                                                                                                                                                                    <w:bottom w:val="none" w:sz="0" w:space="0" w:color="auto"/>
                                                                                                                                                                                                                                                                                                                                                                                    <w:right w:val="none" w:sz="0" w:space="0" w:color="auto"/>
                                                                                                                                                                                                                                                                                                                                                                                  </w:divBdr>
                                                                                                                                                                                                                                                                                                                                                                                  <w:divsChild>
                                                                                                                                                                                                                                                                                                                                                                                    <w:div w:id="243341000">
                                                                                                                                                                                                                                                                                                                                                                                      <w:marLeft w:val="0"/>
                                                                                                                                                                                                                                                                                                                                                                                      <w:marRight w:val="0"/>
                                                                                                                                                                                                                                                                                                                                                                                      <w:marTop w:val="0"/>
                                                                                                                                                                                                                                                                                                                                                                                      <w:marBottom w:val="0"/>
                                                                                                                                                                                                                                                                                                                                                                                      <w:divBdr>
                                                                                                                                                                                                                                                                                                                                                                                        <w:top w:val="none" w:sz="0" w:space="0" w:color="auto"/>
                                                                                                                                                                                                                                                                                                                                                                                        <w:left w:val="none" w:sz="0" w:space="0" w:color="auto"/>
                                                                                                                                                                                                                                                                                                                                                                                        <w:bottom w:val="none" w:sz="0" w:space="0" w:color="auto"/>
                                                                                                                                                                                                                                                                                                                                                                                        <w:right w:val="none" w:sz="0" w:space="0" w:color="auto"/>
                                                                                                                                                                                                                                                                                                                                                                                      </w:divBdr>
                                                                                                                                                                                                                                                                                                                                                                                      <w:divsChild>
                                                                                                                                                                                                                                                                                                                                                                                        <w:div w:id="1096948802">
                                                                                                                                                                                                                                                                                                                                                                                          <w:marLeft w:val="0"/>
                                                                                                                                                                                                                                                                                                                                                                                          <w:marRight w:val="0"/>
                                                                                                                                                                                                                                                                                                                                                                                          <w:marTop w:val="0"/>
                                                                                                                                                                                                                                                                                                                                                                                          <w:marBottom w:val="0"/>
                                                                                                                                                                                                                                                                                                                                                                                          <w:divBdr>
                                                                                                                                                                                                                                                                                                                                                                                            <w:top w:val="none" w:sz="0" w:space="0" w:color="auto"/>
                                                                                                                                                                                                                                                                                                                                                                                            <w:left w:val="none" w:sz="0" w:space="0" w:color="auto"/>
                                                                                                                                                                                                                                                                                                                                                                                            <w:bottom w:val="none" w:sz="0" w:space="0" w:color="auto"/>
                                                                                                                                                                                                                                                                                                                                                                                            <w:right w:val="none" w:sz="0" w:space="0" w:color="auto"/>
                                                                                                                                                                                                                                                                                                                                                                                          </w:divBdr>
                                                                                                                                                                                                                                                                                                                                                                                          <w:divsChild>
                                                                                                                                                                                                                                                                                                                                                                                            <w:div w:id="1874802455">
                                                                                                                                                                                                                                                                                                                                                                                              <w:marLeft w:val="0"/>
                                                                                                                                                                                                                                                                                                                                                                                              <w:marRight w:val="0"/>
                                                                                                                                                                                                                                                                                                                                                                                              <w:marTop w:val="0"/>
                                                                                                                                                                                                                                                                                                                                                                                              <w:marBottom w:val="0"/>
                                                                                                                                                                                                                                                                                                                                                                                              <w:divBdr>
                                                                                                                                                                                                                                                                                                                                                                                                <w:top w:val="none" w:sz="0" w:space="0" w:color="auto"/>
                                                                                                                                                                                                                                                                                                                                                                                                <w:left w:val="none" w:sz="0" w:space="0" w:color="auto"/>
                                                                                                                                                                                                                                                                                                                                                                                                <w:bottom w:val="none" w:sz="0" w:space="0" w:color="auto"/>
                                                                                                                                                                                                                                                                                                                                                                                                <w:right w:val="none" w:sz="0" w:space="0" w:color="auto"/>
                                                                                                                                                                                                                                                                                                                                                                                              </w:divBdr>
                                                                                                                                                                                                                                                                                                                                                                                              <w:divsChild>
                                                                                                                                                                                                                                                                                                                                                                                                <w:div w:id="1478718055">
                                                                                                                                                                                                                                                                                                                                                                                                  <w:marLeft w:val="0"/>
                                                                                                                                                                                                                                                                                                                                                                                                  <w:marRight w:val="0"/>
                                                                                                                                                                                                                                                                                                                                                                                                  <w:marTop w:val="0"/>
                                                                                                                                                                                                                                                                                                                                                                                                  <w:marBottom w:val="0"/>
                                                                                                                                                                                                                                                                                                                                                                                                  <w:divBdr>
                                                                                                                                                                                                                                                                                                                                                                                                    <w:top w:val="none" w:sz="0" w:space="0" w:color="auto"/>
                                                                                                                                                                                                                                                                                                                                                                                                    <w:left w:val="none" w:sz="0" w:space="0" w:color="auto"/>
                                                                                                                                                                                                                                                                                                                                                                                                    <w:bottom w:val="none" w:sz="0" w:space="0" w:color="auto"/>
                                                                                                                                                                                                                                                                                                                                                                                                    <w:right w:val="none" w:sz="0" w:space="0" w:color="auto"/>
                                                                                                                                                                                                                                                                                                                                                                                                  </w:divBdr>
                                                                                                                                                                                                                                                                                                                                                                                                  <w:divsChild>
                                                                                                                                                                                                                                                                                                                                                                                                    <w:div w:id="454250155">
                                                                                                                                                                                                                                                                                                                                                                                                      <w:marLeft w:val="0"/>
                                                                                                                                                                                                                                                                                                                                                                                                      <w:marRight w:val="0"/>
                                                                                                                                                                                                                                                                                                                                                                                                      <w:marTop w:val="0"/>
                                                                                                                                                                                                                                                                                                                                                                                                      <w:marBottom w:val="0"/>
                                                                                                                                                                                                                                                                                                                                                                                                      <w:divBdr>
                                                                                                                                                                                                                                                                                                                                                                                                        <w:top w:val="none" w:sz="0" w:space="0" w:color="auto"/>
                                                                                                                                                                                                                                                                                                                                                                                                        <w:left w:val="none" w:sz="0" w:space="0" w:color="auto"/>
                                                                                                                                                                                                                                                                                                                                                                                                        <w:bottom w:val="none" w:sz="0" w:space="0" w:color="auto"/>
                                                                                                                                                                                                                                                                                                                                                                                                        <w:right w:val="none" w:sz="0" w:space="0" w:color="auto"/>
                                                                                                                                                                                                                                                                                                                                                                                                      </w:divBdr>
                                                                                                                                                                                                                                                                                                                                                                                                      <w:divsChild>
                                                                                                                                                                                                                                                                                                                                                                                                        <w:div w:id="1660765291">
                                                                                                                                                                                                                                                                                                                                                                                                          <w:marLeft w:val="0"/>
                                                                                                                                                                                                                                                                                                                                                                                                          <w:marRight w:val="0"/>
                                                                                                                                                                                                                                                                                                                                                                                                          <w:marTop w:val="0"/>
                                                                                                                                                                                                                                                                                                                                                                                                          <w:marBottom w:val="0"/>
                                                                                                                                                                                                                                                                                                                                                                                                          <w:divBdr>
                                                                                                                                                                                                                                                                                                                                                                                                            <w:top w:val="none" w:sz="0" w:space="0" w:color="auto"/>
                                                                                                                                                                                                                                                                                                                                                                                                            <w:left w:val="none" w:sz="0" w:space="0" w:color="auto"/>
                                                                                                                                                                                                                                                                                                                                                                                                            <w:bottom w:val="none" w:sz="0" w:space="0" w:color="auto"/>
                                                                                                                                                                                                                                                                                                                                                                                                            <w:right w:val="none" w:sz="0" w:space="0" w:color="auto"/>
                                                                                                                                                                                                                                                                                                                                                                                                          </w:divBdr>
                                                                                                                                                                                                                                                                                                                                                                                                          <w:divsChild>
                                                                                                                                                                                                                                                                                                                                                                                                            <w:div w:id="581988885">
                                                                                                                                                                                                                                                                                                                                                                                                              <w:marLeft w:val="0"/>
                                                                                                                                                                                                                                                                                                                                                                                                              <w:marRight w:val="0"/>
                                                                                                                                                                                                                                                                                                                                                                                                              <w:marTop w:val="0"/>
                                                                                                                                                                                                                                                                                                                                                                                                              <w:marBottom w:val="0"/>
                                                                                                                                                                                                                                                                                                                                                                                                              <w:divBdr>
                                                                                                                                                                                                                                                                                                                                                                                                                <w:top w:val="none" w:sz="0" w:space="0" w:color="auto"/>
                                                                                                                                                                                                                                                                                                                                                                                                                <w:left w:val="none" w:sz="0" w:space="0" w:color="auto"/>
                                                                                                                                                                                                                                                                                                                                                                                                                <w:bottom w:val="none" w:sz="0" w:space="0" w:color="auto"/>
                                                                                                                                                                                                                                                                                                                                                                                                                <w:right w:val="none" w:sz="0" w:space="0" w:color="auto"/>
                                                                                                                                                                                                                                                                                                                                                                                                              </w:divBdr>
                                                                                                                                                                                                                                                                                                                                                                                                              <w:divsChild>
                                                                                                                                                                                                                                                                                                                                                                                                                <w:div w:id="682632742">
                                                                                                                                                                                                                                                                                                                                                                                                                  <w:marLeft w:val="0"/>
                                                                                                                                                                                                                                                                                                                                                                                                                  <w:marRight w:val="0"/>
                                                                                                                                                                                                                                                                                                                                                                                                                  <w:marTop w:val="0"/>
                                                                                                                                                                                                                                                                                                                                                                                                                  <w:marBottom w:val="0"/>
                                                                                                                                                                                                                                                                                                                                                                                                                  <w:divBdr>
                                                                                                                                                                                                                                                                                                                                                                                                                    <w:top w:val="none" w:sz="0" w:space="0" w:color="auto"/>
                                                                                                                                                                                                                                                                                                                                                                                                                    <w:left w:val="none" w:sz="0" w:space="0" w:color="auto"/>
                                                                                                                                                                                                                                                                                                                                                                                                                    <w:bottom w:val="none" w:sz="0" w:space="0" w:color="auto"/>
                                                                                                                                                                                                                                                                                                                                                                                                                    <w:right w:val="none" w:sz="0" w:space="0" w:color="auto"/>
                                                                                                                                                                                                                                                                                                                                                                                                                  </w:divBdr>
                                                                                                                                                                                                                                                                                                                                                                                                                  <w:divsChild>
                                                                                                                                                                                                                                                                                                                                                                                                                    <w:div w:id="69272888">
                                                                                                                                                                                                                                                                                                                                                                                                                      <w:marLeft w:val="0"/>
                                                                                                                                                                                                                                                                                                                                                                                                                      <w:marRight w:val="0"/>
                                                                                                                                                                                                                                                                                                                                                                                                                      <w:marTop w:val="0"/>
                                                                                                                                                                                                                                                                                                                                                                                                                      <w:marBottom w:val="0"/>
                                                                                                                                                                                                                                                                                                                                                                                                                      <w:divBdr>
                                                                                                                                                                                                                                                                                                                                                                                                                        <w:top w:val="none" w:sz="0" w:space="0" w:color="auto"/>
                                                                                                                                                                                                                                                                                                                                                                                                                        <w:left w:val="none" w:sz="0" w:space="0" w:color="auto"/>
                                                                                                                                                                                                                                                                                                                                                                                                                        <w:bottom w:val="none" w:sz="0" w:space="0" w:color="auto"/>
                                                                                                                                                                                                                                                                                                                                                                                                                        <w:right w:val="none" w:sz="0" w:space="0" w:color="auto"/>
                                                                                                                                                                                                                                                                                                                                                                                                                      </w:divBdr>
                                                                                                                                                                                                                                                                                                                                                                                                                      <w:divsChild>
                                                                                                                                                                                                                                                                                                                                                                                                                        <w:div w:id="2079479458">
                                                                                                                                                                                                                                                                                                                                                                                                                          <w:marLeft w:val="0"/>
                                                                                                                                                                                                                                                                                                                                                                                                                          <w:marRight w:val="0"/>
                                                                                                                                                                                                                                                                                                                                                                                                                          <w:marTop w:val="0"/>
                                                                                                                                                                                                                                                                                                                                                                                                                          <w:marBottom w:val="0"/>
                                                                                                                                                                                                                                                                                                                                                                                                                          <w:divBdr>
                                                                                                                                                                                                                                                                                                                                                                                                                            <w:top w:val="none" w:sz="0" w:space="0" w:color="auto"/>
                                                                                                                                                                                                                                                                                                                                                                                                                            <w:left w:val="none" w:sz="0" w:space="0" w:color="auto"/>
                                                                                                                                                                                                                                                                                                                                                                                                                            <w:bottom w:val="none" w:sz="0" w:space="0" w:color="auto"/>
                                                                                                                                                                                                                                                                                                                                                                                                                            <w:right w:val="none" w:sz="0" w:space="0" w:color="auto"/>
                                                                                                                                                                                                                                                                                                                                                                                                                          </w:divBdr>
                                                                                                                                                                                                                                                                                                                                                                                                                          <w:divsChild>
                                                                                                                                                                                                                                                                                                                                                                                                                            <w:div w:id="1495804135">
                                                                                                                                                                                                                                                                                                                                                                                                                              <w:marLeft w:val="0"/>
                                                                                                                                                                                                                                                                                                                                                                                                                              <w:marRight w:val="0"/>
                                                                                                                                                                                                                                                                                                                                                                                                                              <w:marTop w:val="0"/>
                                                                                                                                                                                                                                                                                                                                                                                                                              <w:marBottom w:val="0"/>
                                                                                                                                                                                                                                                                                                                                                                                                                              <w:divBdr>
                                                                                                                                                                                                                                                                                                                                                                                                                                <w:top w:val="none" w:sz="0" w:space="0" w:color="auto"/>
                                                                                                                                                                                                                                                                                                                                                                                                                                <w:left w:val="none" w:sz="0" w:space="0" w:color="auto"/>
                                                                                                                                                                                                                                                                                                                                                                                                                                <w:bottom w:val="none" w:sz="0" w:space="0" w:color="auto"/>
                                                                                                                                                                                                                                                                                                                                                                                                                                <w:right w:val="none" w:sz="0" w:space="0" w:color="auto"/>
                                                                                                                                                                                                                                                                                                                                                                                                                              </w:divBdr>
                                                                                                                                                                                                                                                                                                                                                                                                                              <w:divsChild>
                                                                                                                                                                                                                                                                                                                                                                                                                                <w:div w:id="313148625">
                                                                                                                                                                                                                                                                                                                                                                                                                                  <w:marLeft w:val="0"/>
                                                                                                                                                                                                                                                                                                                                                                                                                                  <w:marRight w:val="0"/>
                                                                                                                                                                                                                                                                                                                                                                                                                                  <w:marTop w:val="0"/>
                                                                                                                                                                                                                                                                                                                                                                                                                                  <w:marBottom w:val="0"/>
                                                                                                                                                                                                                                                                                                                                                                                                                                  <w:divBdr>
                                                                                                                                                                                                                                                                                                                                                                                                                                    <w:top w:val="none" w:sz="0" w:space="0" w:color="auto"/>
                                                                                                                                                                                                                                                                                                                                                                                                                                    <w:left w:val="none" w:sz="0" w:space="0" w:color="auto"/>
                                                                                                                                                                                                                                                                                                                                                                                                                                    <w:bottom w:val="none" w:sz="0" w:space="0" w:color="auto"/>
                                                                                                                                                                                                                                                                                                                                                                                                                                    <w:right w:val="none" w:sz="0" w:space="0" w:color="auto"/>
                                                                                                                                                                                                                                                                                                                                                                                                                                  </w:divBdr>
                                                                                                                                                                                                                                                                                                                                                                                                                                  <w:divsChild>
                                                                                                                                                                                                                                                                                                                                                                                                                                    <w:div w:id="660960686">
                                                                                                                                                                                                                                                                                                                                                                                                                                      <w:marLeft w:val="0"/>
                                                                                                                                                                                                                                                                                                                                                                                                                                      <w:marRight w:val="0"/>
                                                                                                                                                                                                                                                                                                                                                                                                                                      <w:marTop w:val="0"/>
                                                                                                                                                                                                                                                                                                                                                                                                                                      <w:marBottom w:val="0"/>
                                                                                                                                                                                                                                                                                                                                                                                                                                      <w:divBdr>
                                                                                                                                                                                                                                                                                                                                                                                                                                        <w:top w:val="none" w:sz="0" w:space="0" w:color="auto"/>
                                                                                                                                                                                                                                                                                                                                                                                                                                        <w:left w:val="none" w:sz="0" w:space="0" w:color="auto"/>
                                                                                                                                                                                                                                                                                                                                                                                                                                        <w:bottom w:val="none" w:sz="0" w:space="0" w:color="auto"/>
                                                                                                                                                                                                                                                                                                                                                                                                                                        <w:right w:val="none" w:sz="0" w:space="0" w:color="auto"/>
                                                                                                                                                                                                                                                                                                                                                                                                                                      </w:divBdr>
                                                                                                                                                                                                                                                                                                                                                                                                                                      <w:divsChild>
                                                                                                                                                                                                                                                                                                                                                                                                                                        <w:div w:id="1794012350">
                                                                                                                                                                                                                                                                                                                                                                                                                                          <w:marLeft w:val="0"/>
                                                                                                                                                                                                                                                                                                                                                                                                                                          <w:marRight w:val="0"/>
                                                                                                                                                                                                                                                                                                                                                                                                                                          <w:marTop w:val="0"/>
                                                                                                                                                                                                                                                                                                                                                                                                                                          <w:marBottom w:val="0"/>
                                                                                                                                                                                                                                                                                                                                                                                                                                          <w:divBdr>
                                                                                                                                                                                                                                                                                                                                                                                                                                            <w:top w:val="none" w:sz="0" w:space="0" w:color="auto"/>
                                                                                                                                                                                                                                                                                                                                                                                                                                            <w:left w:val="none" w:sz="0" w:space="0" w:color="auto"/>
                                                                                                                                                                                                                                                                                                                                                                                                                                            <w:bottom w:val="none" w:sz="0" w:space="0" w:color="auto"/>
                                                                                                                                                                                                                                                                                                                                                                                                                                            <w:right w:val="none" w:sz="0" w:space="0" w:color="auto"/>
                                                                                                                                                                                                                                                                                                                                                                                                                                          </w:divBdr>
                                                                                                                                                                                                                                                                                                                                                                                                                                          <w:divsChild>
                                                                                                                                                                                                                                                                                                                                                                                                                                            <w:div w:id="322701727">
                                                                                                                                                                                                                                                                                                                                                                                                                                              <w:marLeft w:val="0"/>
                                                                                                                                                                                                                                                                                                                                                                                                                                              <w:marRight w:val="0"/>
                                                                                                                                                                                                                                                                                                                                                                                                                                              <w:marTop w:val="0"/>
                                                                                                                                                                                                                                                                                                                                                                                                                                              <w:marBottom w:val="0"/>
                                                                                                                                                                                                                                                                                                                                                                                                                                              <w:divBdr>
                                                                                                                                                                                                                                                                                                                                                                                                                                                <w:top w:val="none" w:sz="0" w:space="0" w:color="auto"/>
                                                                                                                                                                                                                                                                                                                                                                                                                                                <w:left w:val="none" w:sz="0" w:space="0" w:color="auto"/>
                                                                                                                                                                                                                                                                                                                                                                                                                                                <w:bottom w:val="none" w:sz="0" w:space="0" w:color="auto"/>
                                                                                                                                                                                                                                                                                                                                                                                                                                                <w:right w:val="none" w:sz="0" w:space="0" w:color="auto"/>
                                                                                                                                                                                                                                                                                                                                                                                                                                              </w:divBdr>
                                                                                                                                                                                                                                                                                                                                                                                                                                              <w:divsChild>
                                                                                                                                                                                                                                                                                                                                                                                                                                                <w:div w:id="359012424">
                                                                                                                                                                                                                                                                                                                                                                                                                                                  <w:marLeft w:val="0"/>
                                                                                                                                                                                                                                                                                                                                                                                                                                                  <w:marRight w:val="0"/>
                                                                                                                                                                                                                                                                                                                                                                                                                                                  <w:marTop w:val="0"/>
                                                                                                                                                                                                                                                                                                                                                                                                                                                  <w:marBottom w:val="0"/>
                                                                                                                                                                                                                                                                                                                                                                                                                                                  <w:divBdr>
                                                                                                                                                                                                                                                                                                                                                                                                                                                    <w:top w:val="none" w:sz="0" w:space="0" w:color="auto"/>
                                                                                                                                                                                                                                                                                                                                                                                                                                                    <w:left w:val="none" w:sz="0" w:space="0" w:color="auto"/>
                                                                                                                                                                                                                                                                                                                                                                                                                                                    <w:bottom w:val="none" w:sz="0" w:space="0" w:color="auto"/>
                                                                                                                                                                                                                                                                                                                                                                                                                                                    <w:right w:val="none" w:sz="0" w:space="0" w:color="auto"/>
                                                                                                                                                                                                                                                                                                                                                                                                                                                  </w:divBdr>
                                                                                                                                                                                                                                                                                                                                                                                                                                                  <w:divsChild>
                                                                                                                                                                                                                                                                                                                                                                                                                                                    <w:div w:id="2074309664">
                                                                                                                                                                                                                                                                                                                                                                                                                                                      <w:marLeft w:val="0"/>
                                                                                                                                                                                                                                                                                                                                                                                                                                                      <w:marRight w:val="0"/>
                                                                                                                                                                                                                                                                                                                                                                                                                                                      <w:marTop w:val="0"/>
                                                                                                                                                                                                                                                                                                                                                                                                                                                      <w:marBottom w:val="0"/>
                                                                                                                                                                                                                                                                                                                                                                                                                                                      <w:divBdr>
                                                                                                                                                                                                                                                                                                                                                                                                                                                        <w:top w:val="none" w:sz="0" w:space="0" w:color="auto"/>
                                                                                                                                                                                                                                                                                                                                                                                                                                                        <w:left w:val="none" w:sz="0" w:space="0" w:color="auto"/>
                                                                                                                                                                                                                                                                                                                                                                                                                                                        <w:bottom w:val="none" w:sz="0" w:space="0" w:color="auto"/>
                                                                                                                                                                                                                                                                                                                                                                                                                                                        <w:right w:val="none" w:sz="0" w:space="0" w:color="auto"/>
                                                                                                                                                                                                                                                                                                                                                                                                                                                      </w:divBdr>
                                                                                                                                                                                                                                                                                                                                                                                                                                                      <w:divsChild>
                                                                                                                                                                                                                                                                                                                                                                                                                                                        <w:div w:id="1208444768">
                                                                                                                                                                                                                                                                                                                                                                                                                                                          <w:marLeft w:val="0"/>
                                                                                                                                                                                                                                                                                                                                                                                                                                                          <w:marRight w:val="0"/>
                                                                                                                                                                                                                                                                                                                                                                                                                                                          <w:marTop w:val="0"/>
                                                                                                                                                                                                                                                                                                                                                                                                                                                          <w:marBottom w:val="0"/>
                                                                                                                                                                                                                                                                                                                                                                                                                                                          <w:divBdr>
                                                                                                                                                                                                                                                                                                                                                                                                                                                            <w:top w:val="none" w:sz="0" w:space="0" w:color="auto"/>
                                                                                                                                                                                                                                                                                                                                                                                                                                                            <w:left w:val="none" w:sz="0" w:space="0" w:color="auto"/>
                                                                                                                                                                                                                                                                                                                                                                                                                                                            <w:bottom w:val="none" w:sz="0" w:space="0" w:color="auto"/>
                                                                                                                                                                                                                                                                                                                                                                                                                                                            <w:right w:val="none" w:sz="0" w:space="0" w:color="auto"/>
                                                                                                                                                                                                                                                                                                                                                                                                                                                          </w:divBdr>
                                                                                                                                                                                                                                                                                                                                                                                                                                                          <w:divsChild>
                                                                                                                                                                                                                                                                                                                                                                                                                                                            <w:div w:id="1511598158">
                                                                                                                                                                                                                                                                                                                                                                                                                                                              <w:marLeft w:val="0"/>
                                                                                                                                                                                                                                                                                                                                                                                                                                                              <w:marRight w:val="0"/>
                                                                                                                                                                                                                                                                                                                                                                                                                                                              <w:marTop w:val="0"/>
                                                                                                                                                                                                                                                                                                                                                                                                                                                              <w:marBottom w:val="0"/>
                                                                                                                                                                                                                                                                                                                                                                                                                                                              <w:divBdr>
                                                                                                                                                                                                                                                                                                                                                                                                                                                                <w:top w:val="none" w:sz="0" w:space="0" w:color="auto"/>
                                                                                                                                                                                                                                                                                                                                                                                                                                                                <w:left w:val="none" w:sz="0" w:space="0" w:color="auto"/>
                                                                                                                                                                                                                                                                                                                                                                                                                                                                <w:bottom w:val="none" w:sz="0" w:space="0" w:color="auto"/>
                                                                                                                                                                                                                                                                                                                                                                                                                                                                <w:right w:val="none" w:sz="0" w:space="0" w:color="auto"/>
                                                                                                                                                                                                                                                                                                                                                                                                                                                              </w:divBdr>
                                                                                                                                                                                                                                                                                                                                                                                                                                                              <w:divsChild>
                                                                                                                                                                                                                                                                                                                                                                                                                                                                <w:div w:id="172108381">
                                                                                                                                                                                                                                                                                                                                                                                                                                                                  <w:marLeft w:val="0"/>
                                                                                                                                                                                                                                                                                                                                                                                                                                                                  <w:marRight w:val="0"/>
                                                                                                                                                                                                                                                                                                                                                                                                                                                                  <w:marTop w:val="0"/>
                                                                                                                                                                                                                                                                                                                                                                                                                                                                  <w:marBottom w:val="0"/>
                                                                                                                                                                                                                                                                                                                                                                                                                                                                  <w:divBdr>
                                                                                                                                                                                                                                                                                                                                                                                                                                                                    <w:top w:val="none" w:sz="0" w:space="0" w:color="auto"/>
                                                                                                                                                                                                                                                                                                                                                                                                                                                                    <w:left w:val="none" w:sz="0" w:space="0" w:color="auto"/>
                                                                                                                                                                                                                                                                                                                                                                                                                                                                    <w:bottom w:val="none" w:sz="0" w:space="0" w:color="auto"/>
                                                                                                                                                                                                                                                                                                                                                                                                                                                                    <w:right w:val="none" w:sz="0" w:space="0" w:color="auto"/>
                                                                                                                                                                                                                                                                                                                                                                                                                                                                  </w:divBdr>
                                                                                                                                                                                                                                                                                                                                                                                                                                                                  <w:divsChild>
                                                                                                                                                                                                                                                                                                                                                                                                                                                                    <w:div w:id="1260791817">
                                                                                                                                                                                                                                                                                                                                                                                                                                                                      <w:marLeft w:val="0"/>
                                                                                                                                                                                                                                                                                                                                                                                                                                                                      <w:marRight w:val="0"/>
                                                                                                                                                                                                                                                                                                                                                                                                                                                                      <w:marTop w:val="0"/>
                                                                                                                                                                                                                                                                                                                                                                                                                                                                      <w:marBottom w:val="0"/>
                                                                                                                                                                                                                                                                                                                                                                                                                                                                      <w:divBdr>
                                                                                                                                                                                                                                                                                                                                                                                                                                                                        <w:top w:val="none" w:sz="0" w:space="0" w:color="auto"/>
                                                                                                                                                                                                                                                                                                                                                                                                                                                                        <w:left w:val="none" w:sz="0" w:space="0" w:color="auto"/>
                                                                                                                                                                                                                                                                                                                                                                                                                                                                        <w:bottom w:val="none" w:sz="0" w:space="0" w:color="auto"/>
                                                                                                                                                                                                                                                                                                                                                                                                                                                                        <w:right w:val="none" w:sz="0" w:space="0" w:color="auto"/>
                                                                                                                                                                                                                                                                                                                                                                                                                                                                      </w:divBdr>
                                                                                                                                                                                                                                                                                                                                                                                                                                                                      <w:divsChild>
                                                                                                                                                                                                                                                                                                                                                                                                                                                                        <w:div w:id="711224665">
                                                                                                                                                                                                                                                                                                                                                                                                                                                                          <w:marLeft w:val="0"/>
                                                                                                                                                                                                                                                                                                                                                                                                                                                                          <w:marRight w:val="0"/>
                                                                                                                                                                                                                                                                                                                                                                                                                                                                          <w:marTop w:val="0"/>
                                                                                                                                                                                                                                                                                                                                                                                                                                                                          <w:marBottom w:val="0"/>
                                                                                                                                                                                                                                                                                                                                                                                                                                                                          <w:divBdr>
                                                                                                                                                                                                                                                                                                                                                                                                                                                                            <w:top w:val="none" w:sz="0" w:space="0" w:color="auto"/>
                                                                                                                                                                                                                                                                                                                                                                                                                                                                            <w:left w:val="none" w:sz="0" w:space="0" w:color="auto"/>
                                                                                                                                                                                                                                                                                                                                                                                                                                                                            <w:bottom w:val="none" w:sz="0" w:space="0" w:color="auto"/>
                                                                                                                                                                                                                                                                                                                                                                                                                                                                            <w:right w:val="none" w:sz="0" w:space="0" w:color="auto"/>
                                                                                                                                                                                                                                                                                                                                                                                                                                                                          </w:divBdr>
                                                                                                                                                                                                                                                                                                                                                                                                                                                                          <w:divsChild>
                                                                                                                                                                                                                                                                                                                                                                                                                                                                            <w:div w:id="1547988192">
                                                                                                                                                                                                                                                                                                                                                                                                                                                                              <w:marLeft w:val="0"/>
                                                                                                                                                                                                                                                                                                                                                                                                                                                                              <w:marRight w:val="0"/>
                                                                                                                                                                                                                                                                                                                                                                                                                                                                              <w:marTop w:val="0"/>
                                                                                                                                                                                                                                                                                                                                                                                                                                                                              <w:marBottom w:val="0"/>
                                                                                                                                                                                                                                                                                                                                                                                                                                                                              <w:divBdr>
                                                                                                                                                                                                                                                                                                                                                                                                                                                                                <w:top w:val="none" w:sz="0" w:space="0" w:color="auto"/>
                                                                                                                                                                                                                                                                                                                                                                                                                                                                                <w:left w:val="none" w:sz="0" w:space="0" w:color="auto"/>
                                                                                                                                                                                                                                                                                                                                                                                                                                                                                <w:bottom w:val="none" w:sz="0" w:space="0" w:color="auto"/>
                                                                                                                                                                                                                                                                                                                                                                                                                                                                                <w:right w:val="none" w:sz="0" w:space="0" w:color="auto"/>
                                                                                                                                                                                                                                                                                                                                                                                                                                                                              </w:divBdr>
                                                                                                                                                                                                                                                                                                                                                                                                                                                                              <w:divsChild>
                                                                                                                                                                                                                                                                                                                                                                                                                                                                                <w:div w:id="347099011">
                                                                                                                                                                                                                                                                                                                                                                                                                                                                                  <w:marLeft w:val="0"/>
                                                                                                                                                                                                                                                                                                                                                                                                                                                                                  <w:marRight w:val="0"/>
                                                                                                                                                                                                                                                                                                                                                                                                                                                                                  <w:marTop w:val="0"/>
                                                                                                                                                                                                                                                                                                                                                                                                                                                                                  <w:marBottom w:val="0"/>
                                                                                                                                                                                                                                                                                                                                                                                                                                                                                  <w:divBdr>
                                                                                                                                                                                                                                                                                                                                                                                                                                                                                    <w:top w:val="none" w:sz="0" w:space="0" w:color="auto"/>
                                                                                                                                                                                                                                                                                                                                                                                                                                                                                    <w:left w:val="none" w:sz="0" w:space="0" w:color="auto"/>
                                                                                                                                                                                                                                                                                                                                                                                                                                                                                    <w:bottom w:val="none" w:sz="0" w:space="0" w:color="auto"/>
                                                                                                                                                                                                                                                                                                                                                                                                                                                                                    <w:right w:val="none" w:sz="0" w:space="0" w:color="auto"/>
                                                                                                                                                                                                                                                                                                                                                                                                                                                                                  </w:divBdr>
                                                                                                                                                                                                                                                                                                                                                                                                                                                                                  <w:divsChild>
                                                                                                                                                                                                                                                                                                                                                                                                                                                                                    <w:div w:id="1305358436">
                                                                                                                                                                                                                                                                                                                                                                                                                                                                                      <w:marLeft w:val="0"/>
                                                                                                                                                                                                                                                                                                                                                                                                                                                                                      <w:marRight w:val="0"/>
                                                                                                                                                                                                                                                                                                                                                                                                                                                                                      <w:marTop w:val="0"/>
                                                                                                                                                                                                                                                                                                                                                                                                                                                                                      <w:marBottom w:val="0"/>
                                                                                                                                                                                                                                                                                                                                                                                                                                                                                      <w:divBdr>
                                                                                                                                                                                                                                                                                                                                                                                                                                                                                        <w:top w:val="none" w:sz="0" w:space="0" w:color="auto"/>
                                                                                                                                                                                                                                                                                                                                                                                                                                                                                        <w:left w:val="none" w:sz="0" w:space="0" w:color="auto"/>
                                                                                                                                                                                                                                                                                                                                                                                                                                                                                        <w:bottom w:val="none" w:sz="0" w:space="0" w:color="auto"/>
                                                                                                                                                                                                                                                                                                                                                                                                                                                                                        <w:right w:val="none" w:sz="0" w:space="0" w:color="auto"/>
                                                                                                                                                                                                                                                                                                                                                                                                                                                                                      </w:divBdr>
                                                                                                                                                                                                                                                                                                                                                                                                                                                                                      <w:divsChild>
                                                                                                                                                                                                                                                                                                                                                                                                                                                                                        <w:div w:id="314065502">
                                                                                                                                                                                                                                                                                                                                                                                                                                                                                          <w:marLeft w:val="0"/>
                                                                                                                                                                                                                                                                                                                                                                                                                                                                                          <w:marRight w:val="0"/>
                                                                                                                                                                                                                                                                                                                                                                                                                                                                                          <w:marTop w:val="0"/>
                                                                                                                                                                                                                                                                                                                                                                                                                                                                                          <w:marBottom w:val="0"/>
                                                                                                                                                                                                                                                                                                                                                                                                                                                                                          <w:divBdr>
                                                                                                                                                                                                                                                                                                                                                                                                                                                                                            <w:top w:val="none" w:sz="0" w:space="0" w:color="auto"/>
                                                                                                                                                                                                                                                                                                                                                                                                                                                                                            <w:left w:val="none" w:sz="0" w:space="0" w:color="auto"/>
                                                                                                                                                                                                                                                                                                                                                                                                                                                                                            <w:bottom w:val="none" w:sz="0" w:space="0" w:color="auto"/>
                                                                                                                                                                                                                                                                                                                                                                                                                                                                                            <w:right w:val="none" w:sz="0" w:space="0" w:color="auto"/>
                                                                                                                                                                                                                                                                                                                                                                                                                                                                                          </w:divBdr>
                                                                                                                                                                                                                                                                                                                                                                                                                                                                                          <w:divsChild>
                                                                                                                                                                                                                                                                                                                                                                                                                                                                                            <w:div w:id="1034504807">
                                                                                                                                                                                                                                                                                                                                                                                                                                                                                              <w:marLeft w:val="0"/>
                                                                                                                                                                                                                                                                                                                                                                                                                                                                                              <w:marRight w:val="0"/>
                                                                                                                                                                                                                                                                                                                                                                                                                                                                                              <w:marTop w:val="0"/>
                                                                                                                                                                                                                                                                                                                                                                                                                                                                                              <w:marBottom w:val="0"/>
                                                                                                                                                                                                                                                                                                                                                                                                                                                                                              <w:divBdr>
                                                                                                                                                                                                                                                                                                                                                                                                                                                                                                <w:top w:val="none" w:sz="0" w:space="0" w:color="auto"/>
                                                                                                                                                                                                                                                                                                                                                                                                                                                                                                <w:left w:val="none" w:sz="0" w:space="0" w:color="auto"/>
                                                                                                                                                                                                                                                                                                                                                                                                                                                                                                <w:bottom w:val="none" w:sz="0" w:space="0" w:color="auto"/>
                                                                                                                                                                                                                                                                                                                                                                                                                                                                                                <w:right w:val="none" w:sz="0" w:space="0" w:color="auto"/>
                                                                                                                                                                                                                                                                                                                                                                                                                                                                                              </w:divBdr>
                                                                                                                                                                                                                                                                                                                                                                                                                                                                                              <w:divsChild>
                                                                                                                                                                                                                                                                                                                                                                                                                                                                                                <w:div w:id="2064592698">
                                                                                                                                                                                                                                                                                                                                                                                                                                                                                                  <w:marLeft w:val="0"/>
                                                                                                                                                                                                                                                                                                                                                                                                                                                                                                  <w:marRight w:val="0"/>
                                                                                                                                                                                                                                                                                                                                                                                                                                                                                                  <w:marTop w:val="0"/>
                                                                                                                                                                                                                                                                                                                                                                                                                                                                                                  <w:marBottom w:val="0"/>
                                                                                                                                                                                                                                                                                                                                                                                                                                                                                                  <w:divBdr>
                                                                                                                                                                                                                                                                                                                                                                                                                                                                                                    <w:top w:val="none" w:sz="0" w:space="0" w:color="auto"/>
                                                                                                                                                                                                                                                                                                                                                                                                                                                                                                    <w:left w:val="none" w:sz="0" w:space="0" w:color="auto"/>
                                                                                                                                                                                                                                                                                                                                                                                                                                                                                                    <w:bottom w:val="none" w:sz="0" w:space="0" w:color="auto"/>
                                                                                                                                                                                                                                                                                                                                                                                                                                                                                                    <w:right w:val="none" w:sz="0" w:space="0" w:color="auto"/>
                                                                                                                                                                                                                                                                                                                                                                                                                                                                                                  </w:divBdr>
                                                                                                                                                                                                                                                                                                                                                                                                                                                                                                  <w:divsChild>
                                                                                                                                                                                                                                                                                                                                                                                                                                                                                                    <w:div w:id="1478690176">
                                                                                                                                                                                                                                                                                                                                                                                                                                                                                                      <w:marLeft w:val="0"/>
                                                                                                                                                                                                                                                                                                                                                                                                                                                                                                      <w:marRight w:val="0"/>
                                                                                                                                                                                                                                                                                                                                                                                                                                                                                                      <w:marTop w:val="0"/>
                                                                                                                                                                                                                                                                                                                                                                                                                                                                                                      <w:marBottom w:val="0"/>
                                                                                                                                                                                                                                                                                                                                                                                                                                                                                                      <w:divBdr>
                                                                                                                                                                                                                                                                                                                                                                                                                                                                                                        <w:top w:val="none" w:sz="0" w:space="0" w:color="auto"/>
                                                                                                                                                                                                                                                                                                                                                                                                                                                                                                        <w:left w:val="none" w:sz="0" w:space="0" w:color="auto"/>
                                                                                                                                                                                                                                                                                                                                                                                                                                                                                                        <w:bottom w:val="none" w:sz="0" w:space="0" w:color="auto"/>
                                                                                                                                                                                                                                                                                                                                                                                                                                                                                                        <w:right w:val="none" w:sz="0" w:space="0" w:color="auto"/>
                                                                                                                                                                                                                                                                                                                                                                                                                                                                                                      </w:divBdr>
                                                                                                                                                                                                                                                                                                                                                                                                                                                                                                      <w:divsChild>
                                                                                                                                                                                                                                                                                                                                                                                                                                                                                                        <w:div w:id="240919207">
                                                                                                                                                                                                                                                                                                                                                                                                                                                                                                          <w:marLeft w:val="0"/>
                                                                                                                                                                                                                                                                                                                                                                                                                                                                                                          <w:marRight w:val="0"/>
                                                                                                                                                                                                                                                                                                                                                                                                                                                                                                          <w:marTop w:val="0"/>
                                                                                                                                                                                                                                                                                                                                                                                                                                                                                                          <w:marBottom w:val="0"/>
                                                                                                                                                                                                                                                                                                                                                                                                                                                                                                          <w:divBdr>
                                                                                                                                                                                                                                                                                                                                                                                                                                                                                                            <w:top w:val="none" w:sz="0" w:space="0" w:color="auto"/>
                                                                                                                                                                                                                                                                                                                                                                                                                                                                                                            <w:left w:val="none" w:sz="0" w:space="0" w:color="auto"/>
                                                                                                                                                                                                                                                                                                                                                                                                                                                                                                            <w:bottom w:val="none" w:sz="0" w:space="0" w:color="auto"/>
                                                                                                                                                                                                                                                                                                                                                                                                                                                                                                            <w:right w:val="none" w:sz="0" w:space="0" w:color="auto"/>
                                                                                                                                                                                                                                                                                                                                                                                                                                                                                                          </w:divBdr>
                                                                                                                                                                                                                                                                                                                                                                                                                                                                                                          <w:divsChild>
                                                                                                                                                                                                                                                                                                                                                                                                                                                                                                            <w:div w:id="1092049595">
                                                                                                                                                                                                                                                                                                                                                                                                                                                                                                              <w:marLeft w:val="0"/>
                                                                                                                                                                                                                                                                                                                                                                                                                                                                                                              <w:marRight w:val="0"/>
                                                                                                                                                                                                                                                                                                                                                                                                                                                                                                              <w:marTop w:val="0"/>
                                                                                                                                                                                                                                                                                                                                                                                                                                                                                                              <w:marBottom w:val="0"/>
                                                                                                                                                                                                                                                                                                                                                                                                                                                                                                              <w:divBdr>
                                                                                                                                                                                                                                                                                                                                                                                                                                                                                                                <w:top w:val="none" w:sz="0" w:space="0" w:color="auto"/>
                                                                                                                                                                                                                                                                                                                                                                                                                                                                                                                <w:left w:val="none" w:sz="0" w:space="0" w:color="auto"/>
                                                                                                                                                                                                                                                                                                                                                                                                                                                                                                                <w:bottom w:val="none" w:sz="0" w:space="0" w:color="auto"/>
                                                                                                                                                                                                                                                                                                                                                                                                                                                                                                                <w:right w:val="none" w:sz="0" w:space="0" w:color="auto"/>
                                                                                                                                                                                                                                                                                                                                                                                                                                                                                                              </w:divBdr>
                                                                                                                                                                                                                                                                                                                                                                                                                                                                                                              <w:divsChild>
                                                                                                                                                                                                                                                                                                                                                                                                                                                                                                                <w:div w:id="751005505">
                                                                                                                                                                                                                                                                                                                                                                                                                                                                                                                  <w:marLeft w:val="0"/>
                                                                                                                                                                                                                                                                                                                                                                                                                                                                                                                  <w:marRight w:val="0"/>
                                                                                                                                                                                                                                                                                                                                                                                                                                                                                                                  <w:marTop w:val="0"/>
                                                                                                                                                                                                                                                                                                                                                                                                                                                                                                                  <w:marBottom w:val="0"/>
                                                                                                                                                                                                                                                                                                                                                                                                                                                                                                                  <w:divBdr>
                                                                                                                                                                                                                                                                                                                                                                                                                                                                                                                    <w:top w:val="none" w:sz="0" w:space="0" w:color="auto"/>
                                                                                                                                                                                                                                                                                                                                                                                                                                                                                                                    <w:left w:val="none" w:sz="0" w:space="0" w:color="auto"/>
                                                                                                                                                                                                                                                                                                                                                                                                                                                                                                                    <w:bottom w:val="none" w:sz="0" w:space="0" w:color="auto"/>
                                                                                                                                                                                                                                                                                                                                                                                                                                                                                                                    <w:right w:val="none" w:sz="0" w:space="0" w:color="auto"/>
                                                                                                                                                                                                                                                                                                                                                                                                                                                                                                                  </w:divBdr>
                                                                                                                                                                                                                                                                                                                                                                                                                                                                                                                  <w:divsChild>
                                                                                                                                                                                                                                                                                                                                                                                                                                                                                                                    <w:div w:id="1078593747">
                                                                                                                                                                                                                                                                                                                                                                                                                                                                                                                      <w:marLeft w:val="0"/>
                                                                                                                                                                                                                                                                                                                                                                                                                                                                                                                      <w:marRight w:val="0"/>
                                                                                                                                                                                                                                                                                                                                                                                                                                                                                                                      <w:marTop w:val="0"/>
                                                                                                                                                                                                                                                                                                                                                                                                                                                                                                                      <w:marBottom w:val="0"/>
                                                                                                                                                                                                                                                                                                                                                                                                                                                                                                                      <w:divBdr>
                                                                                                                                                                                                                                                                                                                                                                                                                                                                                                                        <w:top w:val="none" w:sz="0" w:space="0" w:color="auto"/>
                                                                                                                                                                                                                                                                                                                                                                                                                                                                                                                        <w:left w:val="none" w:sz="0" w:space="0" w:color="auto"/>
                                                                                                                                                                                                                                                                                                                                                                                                                                                                                                                        <w:bottom w:val="none" w:sz="0" w:space="0" w:color="auto"/>
                                                                                                                                                                                                                                                                                                                                                                                                                                                                                                                        <w:right w:val="none" w:sz="0" w:space="0" w:color="auto"/>
                                                                                                                                                                                                                                                                                                                                                                                                                                                                                                                      </w:divBdr>
                                                                                                                                                                                                                                                                                                                                                                                                                                                                                                                      <w:divsChild>
                                                                                                                                                                                                                                                                                                                                                                                                                                                                                                                        <w:div w:id="368530182">
                                                                                                                                                                                                                                                                                                                                                                                                                                                                                                                          <w:marLeft w:val="0"/>
                                                                                                                                                                                                                                                                                                                                                                                                                                                                                                                          <w:marRight w:val="0"/>
                                                                                                                                                                                                                                                                                                                                                                                                                                                                                                                          <w:marTop w:val="0"/>
                                                                                                                                                                                                                                                                                                                                                                                                                                                                                                                          <w:marBottom w:val="0"/>
                                                                                                                                                                                                                                                                                                                                                                                                                                                                                                                          <w:divBdr>
                                                                                                                                                                                                                                                                                                                                                                                                                                                                                                                            <w:top w:val="none" w:sz="0" w:space="0" w:color="auto"/>
                                                                                                                                                                                                                                                                                                                                                                                                                                                                                                                            <w:left w:val="none" w:sz="0" w:space="0" w:color="auto"/>
                                                                                                                                                                                                                                                                                                                                                                                                                                                                                                                            <w:bottom w:val="none" w:sz="0" w:space="0" w:color="auto"/>
                                                                                                                                                                                                                                                                                                                                                                                                                                                                                                                            <w:right w:val="none" w:sz="0" w:space="0" w:color="auto"/>
                                                                                                                                                                                                                                                                                                                                                                                                                                                                                                                          </w:divBdr>
                                                                                                                                                                                                                                                                                                                                                                                                                                                                                                                          <w:divsChild>
                                                                                                                                                                                                                                                                                                                                                                                                                                                                                                                            <w:div w:id="1441755643">
                                                                                                                                                                                                                                                                                                                                                                                                                                                                                                                              <w:marLeft w:val="0"/>
                                                                                                                                                                                                                                                                                                                                                                                                                                                                                                                              <w:marRight w:val="0"/>
                                                                                                                                                                                                                                                                                                                                                                                                                                                                                                                              <w:marTop w:val="0"/>
                                                                                                                                                                                                                                                                                                                                                                                                                                                                                                                              <w:marBottom w:val="0"/>
                                                                                                                                                                                                                                                                                                                                                                                                                                                                                                                              <w:divBdr>
                                                                                                                                                                                                                                                                                                                                                                                                                                                                                                                                <w:top w:val="none" w:sz="0" w:space="0" w:color="auto"/>
                                                                                                                                                                                                                                                                                                                                                                                                                                                                                                                                <w:left w:val="none" w:sz="0" w:space="0" w:color="auto"/>
                                                                                                                                                                                                                                                                                                                                                                                                                                                                                                                                <w:bottom w:val="none" w:sz="0" w:space="0" w:color="auto"/>
                                                                                                                                                                                                                                                                                                                                                                                                                                                                                                                                <w:right w:val="none" w:sz="0" w:space="0" w:color="auto"/>
                                                                                                                                                                                                                                                                                                                                                                                                                                                                                                                              </w:divBdr>
                                                                                                                                                                                                                                                                                                                                                                                                                                                                                                                              <w:divsChild>
                                                                                                                                                                                                                                                                                                                                                                                                                                                                                                                                <w:div w:id="661467402">
                                                                                                                                                                                                                                                                                                                                                                                                                                                                                                                                  <w:marLeft w:val="0"/>
                                                                                                                                                                                                                                                                                                                                                                                                                                                                                                                                  <w:marRight w:val="0"/>
                                                                                                                                                                                                                                                                                                                                                                                                                                                                                                                                  <w:marTop w:val="0"/>
                                                                                                                                                                                                                                                                                                                                                                                                                                                                                                                                  <w:marBottom w:val="0"/>
                                                                                                                                                                                                                                                                                                                                                                                                                                                                                                                                  <w:divBdr>
                                                                                                                                                                                                                                                                                                                                                                                                                                                                                                                                    <w:top w:val="none" w:sz="0" w:space="0" w:color="auto"/>
                                                                                                                                                                                                                                                                                                                                                                                                                                                                                                                                    <w:left w:val="none" w:sz="0" w:space="0" w:color="auto"/>
                                                                                                                                                                                                                                                                                                                                                                                                                                                                                                                                    <w:bottom w:val="none" w:sz="0" w:space="0" w:color="auto"/>
                                                                                                                                                                                                                                                                                                                                                                                                                                                                                                                                    <w:right w:val="none" w:sz="0" w:space="0" w:color="auto"/>
                                                                                                                                                                                                                                                                                                                                                                                                                                                                                                                                  </w:divBdr>
                                                                                                                                                                                                                                                                                                                                                                                                                                                                                                                                  <w:divsChild>
                                                                                                                                                                                                                                                                                                                                                                                                                                                                                                                                    <w:div w:id="2102870642">
                                                                                                                                                                                                                                                                                                                                                                                                                                                                                                                                      <w:marLeft w:val="0"/>
                                                                                                                                                                                                                                                                                                                                                                                                                                                                                                                                      <w:marRight w:val="0"/>
                                                                                                                                                                                                                                                                                                                                                                                                                                                                                                                                      <w:marTop w:val="0"/>
                                                                                                                                                                                                                                                                                                                                                                                                                                                                                                                                      <w:marBottom w:val="0"/>
                                                                                                                                                                                                                                                                                                                                                                                                                                                                                                                                      <w:divBdr>
                                                                                                                                                                                                                                                                                                                                                                                                                                                                                                                                        <w:top w:val="none" w:sz="0" w:space="0" w:color="auto"/>
                                                                                                                                                                                                                                                                                                                                                                                                                                                                                                                                        <w:left w:val="none" w:sz="0" w:space="0" w:color="auto"/>
                                                                                                                                                                                                                                                                                                                                                                                                                                                                                                                                        <w:bottom w:val="none" w:sz="0" w:space="0" w:color="auto"/>
                                                                                                                                                                                                                                                                                                                                                                                                                                                                                                                                        <w:right w:val="none" w:sz="0" w:space="0" w:color="auto"/>
                                                                                                                                                                                                                                                                                                                                                                                                                                                                                                                                      </w:divBdr>
                                                                                                                                                                                                                                                                                                                                                                                                                                                                                                                                      <w:divsChild>
                                                                                                                                                                                                                                                                                                                                                                                                                                                                                                                                        <w:div w:id="1652177714">
                                                                                                                                                                                                                                                                                                                                                                                                                                                                                                                                          <w:marLeft w:val="0"/>
                                                                                                                                                                                                                                                                                                                                                                                                                                                                                                                                          <w:marRight w:val="0"/>
                                                                                                                                                                                                                                                                                                                                                                                                                                                                                                                                          <w:marTop w:val="0"/>
                                                                                                                                                                                                                                                                                                                                                                                                                                                                                                                                          <w:marBottom w:val="0"/>
                                                                                                                                                                                                                                                                                                                                                                                                                                                                                                                                          <w:divBdr>
                                                                                                                                                                                                                                                                                                                                                                                                                                                                                                                                            <w:top w:val="none" w:sz="0" w:space="0" w:color="auto"/>
                                                                                                                                                                                                                                                                                                                                                                                                                                                                                                                                            <w:left w:val="none" w:sz="0" w:space="0" w:color="auto"/>
                                                                                                                                                                                                                                                                                                                                                                                                                                                                                                                                            <w:bottom w:val="none" w:sz="0" w:space="0" w:color="auto"/>
                                                                                                                                                                                                                                                                                                                                                                                                                                                                                                                                            <w:right w:val="none" w:sz="0" w:space="0" w:color="auto"/>
                                                                                                                                                                                                                                                                                                                                                                                                                                                                                                                                          </w:divBdr>
                                                                                                                                                                                                                                                                                                                                                                                                                                                                                                                                          <w:divsChild>
                                                                                                                                                                                                                                                                                                                                                                                                                                                                                                                                            <w:div w:id="700399978">
                                                                                                                                                                                                                                                                                                                                                                                                                                                                                                                                              <w:marLeft w:val="0"/>
                                                                                                                                                                                                                                                                                                                                                                                                                                                                                                                                              <w:marRight w:val="0"/>
                                                                                                                                                                                                                                                                                                                                                                                                                                                                                                                                              <w:marTop w:val="0"/>
                                                                                                                                                                                                                                                                                                                                                                                                                                                                                                                                              <w:marBottom w:val="0"/>
                                                                                                                                                                                                                                                                                                                                                                                                                                                                                                                                              <w:divBdr>
                                                                                                                                                                                                                                                                                                                                                                                                                                                                                                                                                <w:top w:val="none" w:sz="0" w:space="0" w:color="auto"/>
                                                                                                                                                                                                                                                                                                                                                                                                                                                                                                                                                <w:left w:val="none" w:sz="0" w:space="0" w:color="auto"/>
                                                                                                                                                                                                                                                                                                                                                                                                                                                                                                                                                <w:bottom w:val="none" w:sz="0" w:space="0" w:color="auto"/>
                                                                                                                                                                                                                                                                                                                                                                                                                                                                                                                                                <w:right w:val="none" w:sz="0" w:space="0" w:color="auto"/>
                                                                                                                                                                                                                                                                                                                                                                                                                                                                                                                                              </w:divBdr>
                                                                                                                                                                                                                                                                                                                                                                                                                                                                                                                                              <w:divsChild>
                                                                                                                                                                                                                                                                                                                                                                                                                                                                                                                                                <w:div w:id="681514710">
                                                                                                                                                                                                                                                                                                                                                                                                                                                                                                                                                  <w:marLeft w:val="0"/>
                                                                                                                                                                                                                                                                                                                                                                                                                                                                                                                                                  <w:marRight w:val="0"/>
                                                                                                                                                                                                                                                                                                                                                                                                                                                                                                                                                  <w:marTop w:val="0"/>
                                                                                                                                                                                                                                                                                                                                                                                                                                                                                                                                                  <w:marBottom w:val="0"/>
                                                                                                                                                                                                                                                                                                                                                                                                                                                                                                                                                  <w:divBdr>
                                                                                                                                                                                                                                                                                                                                                                                                                                                                                                                                                    <w:top w:val="none" w:sz="0" w:space="0" w:color="auto"/>
                                                                                                                                                                                                                                                                                                                                                                                                                                                                                                                                                    <w:left w:val="none" w:sz="0" w:space="0" w:color="auto"/>
                                                                                                                                                                                                                                                                                                                                                                                                                                                                                                                                                    <w:bottom w:val="none" w:sz="0" w:space="0" w:color="auto"/>
                                                                                                                                                                                                                                                                                                                                                                                                                                                                                                                                                    <w:right w:val="none" w:sz="0" w:space="0" w:color="auto"/>
                                                                                                                                                                                                                                                                                                                                                                                                                                                                                                                                                  </w:divBdr>
                                                                                                                                                                                                                                                                                                                                                                                                                                                                                                                                                  <w:divsChild>
                                                                                                                                                                                                                                                                                                                                                                                                                                                                                                                                                    <w:div w:id="263418294">
                                                                                                                                                                                                                                                                                                                                                                                                                                                                                                                                                      <w:marLeft w:val="0"/>
                                                                                                                                                                                                                                                                                                                                                                                                                                                                                                                                                      <w:marRight w:val="0"/>
                                                                                                                                                                                                                                                                                                                                                                                                                                                                                                                                                      <w:marTop w:val="0"/>
                                                                                                                                                                                                                                                                                                                                                                                                                                                                                                                                                      <w:marBottom w:val="0"/>
                                                                                                                                                                                                                                                                                                                                                                                                                                                                                                                                                      <w:divBdr>
                                                                                                                                                                                                                                                                                                                                                                                                                                                                                                                                                        <w:top w:val="none" w:sz="0" w:space="0" w:color="auto"/>
                                                                                                                                                                                                                                                                                                                                                                                                                                                                                                                                                        <w:left w:val="none" w:sz="0" w:space="0" w:color="auto"/>
                                                                                                                                                                                                                                                                                                                                                                                                                                                                                                                                                        <w:bottom w:val="none" w:sz="0" w:space="0" w:color="auto"/>
                                                                                                                                                                                                                                                                                                                                                                                                                                                                                                                                                        <w:right w:val="none" w:sz="0" w:space="0" w:color="auto"/>
                                                                                                                                                                                                                                                                                                                                                                                                                                                                                                                                                      </w:divBdr>
                                                                                                                                                                                                                                                                                                                                                                                                                                                                                                                                                      <w:divsChild>
                                                                                                                                                                                                                                                                                                                                                                                                                                                                                                                                                        <w:div w:id="2078359102">
                                                                                                                                                                                                                                                                                                                                                                                                                                                                                                                                                          <w:marLeft w:val="0"/>
                                                                                                                                                                                                                                                                                                                                                                                                                                                                                                                                                          <w:marRight w:val="0"/>
                                                                                                                                                                                                                                                                                                                                                                                                                                                                                                                                                          <w:marTop w:val="0"/>
                                                                                                                                                                                                                                                                                                                                                                                                                                                                                                                                                          <w:marBottom w:val="0"/>
                                                                                                                                                                                                                                                                                                                                                                                                                                                                                                                                                          <w:divBdr>
                                                                                                                                                                                                                                                                                                                                                                                                                                                                                                                                                            <w:top w:val="none" w:sz="0" w:space="0" w:color="auto"/>
                                                                                                                                                                                                                                                                                                                                                                                                                                                                                                                                                            <w:left w:val="none" w:sz="0" w:space="0" w:color="auto"/>
                                                                                                                                                                                                                                                                                                                                                                                                                                                                                                                                                            <w:bottom w:val="none" w:sz="0" w:space="0" w:color="auto"/>
                                                                                                                                                                                                                                                                                                                                                                                                                                                                                                                                                            <w:right w:val="none" w:sz="0" w:space="0" w:color="auto"/>
                                                                                                                                                                                                                                                                                                                                                                                                                                                                                                                                                          </w:divBdr>
                                                                                                                                                                                                                                                                                                                                                                                                                                                                                                                                                          <w:divsChild>
                                                                                                                                                                                                                                                                                                                                                                                                                                                                                                                                                            <w:div w:id="876433352">
                                                                                                                                                                                                                                                                                                                                                                                                                                                                                                                                                              <w:marLeft w:val="0"/>
                                                                                                                                                                                                                                                                                                                                                                                                                                                                                                                                                              <w:marRight w:val="0"/>
                                                                                                                                                                                                                                                                                                                                                                                                                                                                                                                                                              <w:marTop w:val="0"/>
                                                                                                                                                                                                                                                                                                                                                                                                                                                                                                                                                              <w:marBottom w:val="0"/>
                                                                                                                                                                                                                                                                                                                                                                                                                                                                                                                                                              <w:divBdr>
                                                                                                                                                                                                                                                                                                                                                                                                                                                                                                                                                                <w:top w:val="none" w:sz="0" w:space="0" w:color="auto"/>
                                                                                                                                                                                                                                                                                                                                                                                                                                                                                                                                                                <w:left w:val="none" w:sz="0" w:space="0" w:color="auto"/>
                                                                                                                                                                                                                                                                                                                                                                                                                                                                                                                                                                <w:bottom w:val="none" w:sz="0" w:space="0" w:color="auto"/>
                                                                                                                                                                                                                                                                                                                                                                                                                                                                                                                                                                <w:right w:val="none" w:sz="0" w:space="0" w:color="auto"/>
                                                                                                                                                                                                                                                                                                                                                                                                                                                                                                                                                              </w:divBdr>
                                                                                                                                                                                                                                                                                                                                                                                                                                                                                                                                                              <w:divsChild>
                                                                                                                                                                                                                                                                                                                                                                                                                                                                                                                                                                <w:div w:id="1227569603">
                                                                                                                                                                                                                                                                                                                                                                                                                                                                                                                                                                  <w:marLeft w:val="0"/>
                                                                                                                                                                                                                                                                                                                                                                                                                                                                                                                                                                  <w:marRight w:val="0"/>
                                                                                                                                                                                                                                                                                                                                                                                                                                                                                                                                                                  <w:marTop w:val="0"/>
                                                                                                                                                                                                                                                                                                                                                                                                                                                                                                                                                                  <w:marBottom w:val="0"/>
                                                                                                                                                                                                                                                                                                                                                                                                                                                                                                                                                                  <w:divBdr>
                                                                                                                                                                                                                                                                                                                                                                                                                                                                                                                                                                    <w:top w:val="none" w:sz="0" w:space="0" w:color="auto"/>
                                                                                                                                                                                                                                                                                                                                                                                                                                                                                                                                                                    <w:left w:val="none" w:sz="0" w:space="0" w:color="auto"/>
                                                                                                                                                                                                                                                                                                                                                                                                                                                                                                                                                                    <w:bottom w:val="none" w:sz="0" w:space="0" w:color="auto"/>
                                                                                                                                                                                                                                                                                                                                                                                                                                                                                                                                                                    <w:right w:val="none" w:sz="0" w:space="0" w:color="auto"/>
                                                                                                                                                                                                                                                                                                                                                                                                                                                                                                                                                                  </w:divBdr>
                                                                                                                                                                                                                                                                                                                                                                                                                                                                                                                                                                  <w:divsChild>
                                                                                                                                                                                                                                                                                                                                                                                                                                                                                                                                                                    <w:div w:id="333722816">
                                                                                                                                                                                                                                                                                                                                                                                                                                                                                                                                                                      <w:marLeft w:val="0"/>
                                                                                                                                                                                                                                                                                                                                                                                                                                                                                                                                                                      <w:marRight w:val="0"/>
                                                                                                                                                                                                                                                                                                                                                                                                                                                                                                                                                                      <w:marTop w:val="0"/>
                                                                                                                                                                                                                                                                                                                                                                                                                                                                                                                                                                      <w:marBottom w:val="0"/>
                                                                                                                                                                                                                                                                                                                                                                                                                                                                                                                                                                      <w:divBdr>
                                                                                                                                                                                                                                                                                                                                                                                                                                                                                                                                                                        <w:top w:val="none" w:sz="0" w:space="0" w:color="auto"/>
                                                                                                                                                                                                                                                                                                                                                                                                                                                                                                                                                                        <w:left w:val="none" w:sz="0" w:space="0" w:color="auto"/>
                                                                                                                                                                                                                                                                                                                                                                                                                                                                                                                                                                        <w:bottom w:val="none" w:sz="0" w:space="0" w:color="auto"/>
                                                                                                                                                                                                                                                                                                                                                                                                                                                                                                                                                                        <w:right w:val="none" w:sz="0" w:space="0" w:color="auto"/>
                                                                                                                                                                                                                                                                                                                                                                                                                                                                                                                                                                      </w:divBdr>
                                                                                                                                                                                                                                                                                                                                                                                                                                                                                                                                                                      <w:divsChild>
                                                                                                                                                                                                                                                                                                                                                                                                                                                                                                                                                                        <w:div w:id="769396656">
                                                                                                                                                                                                                                                                                                                                                                                                                                                                                                                                                                          <w:marLeft w:val="0"/>
                                                                                                                                                                                                                                                                                                                                                                                                                                                                                                                                                                          <w:marRight w:val="0"/>
                                                                                                                                                                                                                                                                                                                                                                                                                                                                                                                                                                          <w:marTop w:val="0"/>
                                                                                                                                                                                                                                                                                                                                                                                                                                                                                                                                                                          <w:marBottom w:val="0"/>
                                                                                                                                                                                                                                                                                                                                                                                                                                                                                                                                                                          <w:divBdr>
                                                                                                                                                                                                                                                                                                                                                                                                                                                                                                                                                                            <w:top w:val="none" w:sz="0" w:space="0" w:color="auto"/>
                                                                                                                                                                                                                                                                                                                                                                                                                                                                                                                                                                            <w:left w:val="none" w:sz="0" w:space="0" w:color="auto"/>
                                                                                                                                                                                                                                                                                                                                                                                                                                                                                                                                                                            <w:bottom w:val="none" w:sz="0" w:space="0" w:color="auto"/>
                                                                                                                                                                                                                                                                                                                                                                                                                                                                                                                                                                            <w:right w:val="none" w:sz="0" w:space="0" w:color="auto"/>
                                                                                                                                                                                                                                                                                                                                                                                                                                                                                                                                                                          </w:divBdr>
                                                                                                                                                                                                                                                                                                                                                                                                                                                                                                                                                                          <w:divsChild>
                                                                                                                                                                                                                                                                                                                                                                                                                                                                                                                                                                            <w:div w:id="2012176661">
                                                                                                                                                                                                                                                                                                                                                                                                                                                                                                                                                                              <w:marLeft w:val="0"/>
                                                                                                                                                                                                                                                                                                                                                                                                                                                                                                                                                                              <w:marRight w:val="0"/>
                                                                                                                                                                                                                                                                                                                                                                                                                                                                                                                                                                              <w:marTop w:val="0"/>
                                                                                                                                                                                                                                                                                                                                                                                                                                                                                                                                                                              <w:marBottom w:val="0"/>
                                                                                                                                                                                                                                                                                                                                                                                                                                                                                                                                                                              <w:divBdr>
                                                                                                                                                                                                                                                                                                                                                                                                                                                                                                                                                                                <w:top w:val="none" w:sz="0" w:space="0" w:color="auto"/>
                                                                                                                                                                                                                                                                                                                                                                                                                                                                                                                                                                                <w:left w:val="none" w:sz="0" w:space="0" w:color="auto"/>
                                                                                                                                                                                                                                                                                                                                                                                                                                                                                                                                                                                <w:bottom w:val="none" w:sz="0" w:space="0" w:color="auto"/>
                                                                                                                                                                                                                                                                                                                                                                                                                                                                                                                                                                                <w:right w:val="none" w:sz="0" w:space="0" w:color="auto"/>
                                                                                                                                                                                                                                                                                                                                                                                                                                                                                                                                                                              </w:divBdr>
                                                                                                                                                                                                                                                                                                                                                                                                                                                                                                                                                                              <w:divsChild>
                                                                                                                                                                                                                                                                                                                                                                                                                                                                                                                                                                                <w:div w:id="1333753211">
                                                                                                                                                                                                                                                                                                                                                                                                                                                                                                                                                                                  <w:marLeft w:val="0"/>
                                                                                                                                                                                                                                                                                                                                                                                                                                                                                                                                                                                  <w:marRight w:val="0"/>
                                                                                                                                                                                                                                                                                                                                                                                                                                                                                                                                                                                  <w:marTop w:val="0"/>
                                                                                                                                                                                                                                                                                                                                                                                                                                                                                                                                                                                  <w:marBottom w:val="0"/>
                                                                                                                                                                                                                                                                                                                                                                                                                                                                                                                                                                                  <w:divBdr>
                                                                                                                                                                                                                                                                                                                                                                                                                                                                                                                                                                                    <w:top w:val="none" w:sz="0" w:space="0" w:color="auto"/>
                                                                                                                                                                                                                                                                                                                                                                                                                                                                                                                                                                                    <w:left w:val="none" w:sz="0" w:space="0" w:color="auto"/>
                                                                                                                                                                                                                                                                                                                                                                                                                                                                                                                                                                                    <w:bottom w:val="none" w:sz="0" w:space="0" w:color="auto"/>
                                                                                                                                                                                                                                                                                                                                                                                                                                                                                                                                                                                    <w:right w:val="none" w:sz="0" w:space="0" w:color="auto"/>
                                                                                                                                                                                                                                                                                                                                                                                                                                                                                                                                                                                  </w:divBdr>
                                                                                                                                                                                                                                                                                                                                                                                                                                                                                                                                                                                  <w:divsChild>
                                                                                                                                                                                                                                                                                                                                                                                                                                                                                                                                                                                    <w:div w:id="342053957">
                                                                                                                                                                                                                                                                                                                                                                                                                                                                                                                                                                                      <w:marLeft w:val="0"/>
                                                                                                                                                                                                                                                                                                                                                                                                                                                                                                                                                                                      <w:marRight w:val="0"/>
                                                                                                                                                                                                                                                                                                                                                                                                                                                                                                                                                                                      <w:marTop w:val="0"/>
                                                                                                                                                                                                                                                                                                                                                                                                                                                                                                                                                                                      <w:marBottom w:val="0"/>
                                                                                                                                                                                                                                                                                                                                                                                                                                                                                                                                                                                      <w:divBdr>
                                                                                                                                                                                                                                                                                                                                                                                                                                                                                                                                                                                        <w:top w:val="none" w:sz="0" w:space="0" w:color="auto"/>
                                                                                                                                                                                                                                                                                                                                                                                                                                                                                                                                                                                        <w:left w:val="none" w:sz="0" w:space="0" w:color="auto"/>
                                                                                                                                                                                                                                                                                                                                                                                                                                                                                                                                                                                        <w:bottom w:val="none" w:sz="0" w:space="0" w:color="auto"/>
                                                                                                                                                                                                                                                                                                                                                                                                                                                                                                                                                                                        <w:right w:val="none" w:sz="0" w:space="0" w:color="auto"/>
                                                                                                                                                                                                                                                                                                                                                                                                                                                                                                                                                                                      </w:divBdr>
                                                                                                                                                                                                                                                                                                                                                                                                                                                                                                                                                                                      <w:divsChild>
                                                                                                                                                                                                                                                                                                                                                                                                                                                                                                                                                                                        <w:div w:id="1521117975">
                                                                                                                                                                                                                                                                                                                                                                                                                                                                                                                                                                                          <w:marLeft w:val="0"/>
                                                                                                                                                                                                                                                                                                                                                                                                                                                                                                                                                                                          <w:marRight w:val="0"/>
                                                                                                                                                                                                                                                                                                                                                                                                                                                                                                                                                                                          <w:marTop w:val="0"/>
                                                                                                                                                                                                                                                                                                                                                                                                                                                                                                                                                                                          <w:marBottom w:val="0"/>
                                                                                                                                                                                                                                                                                                                                                                                                                                                                                                                                                                                          <w:divBdr>
                                                                                                                                                                                                                                                                                                                                                                                                                                                                                                                                                                                            <w:top w:val="none" w:sz="0" w:space="0" w:color="auto"/>
                                                                                                                                                                                                                                                                                                                                                                                                                                                                                                                                                                                            <w:left w:val="none" w:sz="0" w:space="0" w:color="auto"/>
                                                                                                                                                                                                                                                                                                                                                                                                                                                                                                                                                                                            <w:bottom w:val="none" w:sz="0" w:space="0" w:color="auto"/>
                                                                                                                                                                                                                                                                                                                                                                                                                                                                                                                                                                                            <w:right w:val="none" w:sz="0" w:space="0" w:color="auto"/>
                                                                                                                                                                                                                                                                                                                                                                                                                                                                                                                                                                                          </w:divBdr>
                                                                                                                                                                                                                                                                                                                                                                                                                                                                                                                                                                                          <w:divsChild>
                                                                                                                                                                                                                                                                                                                                                                                                                                                                                                                                                                                            <w:div w:id="1492064326">
                                                                                                                                                                                                                                                                                                                                                                                                                                                                                                                                                                                              <w:marLeft w:val="0"/>
                                                                                                                                                                                                                                                                                                                                                                                                                                                                                                                                                                                              <w:marRight w:val="0"/>
                                                                                                                                                                                                                                                                                                                                                                                                                                                                                                                                                                                              <w:marTop w:val="0"/>
                                                                                                                                                                                                                                                                                                                                                                                                                                                                                                                                                                                              <w:marBottom w:val="0"/>
                                                                                                                                                                                                                                                                                                                                                                                                                                                                                                                                                                                              <w:divBdr>
                                                                                                                                                                                                                                                                                                                                                                                                                                                                                                                                                                                                <w:top w:val="none" w:sz="0" w:space="0" w:color="auto"/>
                                                                                                                                                                                                                                                                                                                                                                                                                                                                                                                                                                                                <w:left w:val="none" w:sz="0" w:space="0" w:color="auto"/>
                                                                                                                                                                                                                                                                                                                                                                                                                                                                                                                                                                                                <w:bottom w:val="none" w:sz="0" w:space="0" w:color="auto"/>
                                                                                                                                                                                                                                                                                                                                                                                                                                                                                                                                                                                                <w:right w:val="none" w:sz="0" w:space="0" w:color="auto"/>
                                                                                                                                                                                                                                                                                                                                                                                                                                                                                                                                                                                              </w:divBdr>
                                                                                                                                                                                                                                                                                                                                                                                                                                                                                                                                                                                              <w:divsChild>
                                                                                                                                                                                                                                                                                                                                                                                                                                                                                                                                                                                                <w:div w:id="629869212">
                                                                                                                                                                                                                                                                                                                                                                                                                                                                                                                                                                                                  <w:marLeft w:val="0"/>
                                                                                                                                                                                                                                                                                                                                                                                                                                                                                                                                                                                                  <w:marRight w:val="0"/>
                                                                                                                                                                                                                                                                                                                                                                                                                                                                                                                                                                                                  <w:marTop w:val="0"/>
                                                                                                                                                                                                                                                                                                                                                                                                                                                                                                                                                                                                  <w:marBottom w:val="0"/>
                                                                                                                                                                                                                                                                                                                                                                                                                                                                                                                                                                                                  <w:divBdr>
                                                                                                                                                                                                                                                                                                                                                                                                                                                                                                                                                                                                    <w:top w:val="none" w:sz="0" w:space="0" w:color="auto"/>
                                                                                                                                                                                                                                                                                                                                                                                                                                                                                                                                                                                                    <w:left w:val="none" w:sz="0" w:space="0" w:color="auto"/>
                                                                                                                                                                                                                                                                                                                                                                                                                                                                                                                                                                                                    <w:bottom w:val="none" w:sz="0" w:space="0" w:color="auto"/>
                                                                                                                                                                                                                                                                                                                                                                                                                                                                                                                                                                                                    <w:right w:val="none" w:sz="0" w:space="0" w:color="auto"/>
                                                                                                                                                                                                                                                                                                                                                                                                                                                                                                                                                                                                  </w:divBdr>
                                                                                                                                                                                                                                                                                                                                                                                                                                                                                                                                                                                                  <w:divsChild>
                                                                                                                                                                                                                                                                                                                                                                                                                                                                                                                                                                                                    <w:div w:id="1372338663">
                                                                                                                                                                                                                                                                                                                                                                                                                                                                                                                                                                                                      <w:marLeft w:val="0"/>
                                                                                                                                                                                                                                                                                                                                                                                                                                                                                                                                                                                                      <w:marRight w:val="0"/>
                                                                                                                                                                                                                                                                                                                                                                                                                                                                                                                                                                                                      <w:marTop w:val="0"/>
                                                                                                                                                                                                                                                                                                                                                                                                                                                                                                                                                                                                      <w:marBottom w:val="0"/>
                                                                                                                                                                                                                                                                                                                                                                                                                                                                                                                                                                                                      <w:divBdr>
                                                                                                                                                                                                                                                                                                                                                                                                                                                                                                                                                                                                        <w:top w:val="none" w:sz="0" w:space="0" w:color="auto"/>
                                                                                                                                                                                                                                                                                                                                                                                                                                                                                                                                                                                                        <w:left w:val="none" w:sz="0" w:space="0" w:color="auto"/>
                                                                                                                                                                                                                                                                                                                                                                                                                                                                                                                                                                                                        <w:bottom w:val="none" w:sz="0" w:space="0" w:color="auto"/>
                                                                                                                                                                                                                                                                                                                                                                                                                                                                                                                                                                                                        <w:right w:val="none" w:sz="0" w:space="0" w:color="auto"/>
                                                                                                                                                                                                                                                                                                                                                                                                                                                                                                                                                                                                      </w:divBdr>
                                                                                                                                                                                                                                                                                                                                                                                                                                                                                                                                                                                                      <w:divsChild>
                                                                                                                                                                                                                                                                                                                                                                                                                                                                                                                                                                                                        <w:div w:id="1858621655">
                                                                                                                                                                                                                                                                                                                                                                                                                                                                                                                                                                                                          <w:marLeft w:val="0"/>
                                                                                                                                                                                                                                                                                                                                                                                                                                                                                                                                                                                                          <w:marRight w:val="0"/>
                                                                                                                                                                                                                                                                                                                                                                                                                                                                                                                                                                                                          <w:marTop w:val="0"/>
                                                                                                                                                                                                                                                                                                                                                                                                                                                                                                                                                                                                          <w:marBottom w:val="0"/>
                                                                                                                                                                                                                                                                                                                                                                                                                                                                                                                                                                                                          <w:divBdr>
                                                                                                                                                                                                                                                                                                                                                                                                                                                                                                                                                                                                            <w:top w:val="none" w:sz="0" w:space="0" w:color="auto"/>
                                                                                                                                                                                                                                                                                                                                                                                                                                                                                                                                                                                                            <w:left w:val="none" w:sz="0" w:space="0" w:color="auto"/>
                                                                                                                                                                                                                                                                                                                                                                                                                                                                                                                                                                                                            <w:bottom w:val="none" w:sz="0" w:space="0" w:color="auto"/>
                                                                                                                                                                                                                                                                                                                                                                                                                                                                                                                                                                                                            <w:right w:val="none" w:sz="0" w:space="0" w:color="auto"/>
                                                                                                                                                                                                                                                                                                                                                                                                                                                                                                                                                                                                          </w:divBdr>
                                                                                                                                                                                                                                                                                                                                                                                                                                                                                                                                                                                                          <w:divsChild>
                                                                                                                                                                                                                                                                                                                                                                                                                                                                                                                                                                                                            <w:div w:id="896208043">
                                                                                                                                                                                                                                                                                                                                                                                                                                                                                                                                                                                                              <w:marLeft w:val="0"/>
                                                                                                                                                                                                                                                                                                                                                                                                                                                                                                                                                                                                              <w:marRight w:val="0"/>
                                                                                                                                                                                                                                                                                                                                                                                                                                                                                                                                                                                                              <w:marTop w:val="0"/>
                                                                                                                                                                                                                                                                                                                                                                                                                                                                                                                                                                                                              <w:marBottom w:val="0"/>
                                                                                                                                                                                                                                                                                                                                                                                                                                                                                                                                                                                                              <w:divBdr>
                                                                                                                                                                                                                                                                                                                                                                                                                                                                                                                                                                                                                <w:top w:val="none" w:sz="0" w:space="0" w:color="auto"/>
                                                                                                                                                                                                                                                                                                                                                                                                                                                                                                                                                                                                                <w:left w:val="none" w:sz="0" w:space="0" w:color="auto"/>
                                                                                                                                                                                                                                                                                                                                                                                                                                                                                                                                                                                                                <w:bottom w:val="none" w:sz="0" w:space="0" w:color="auto"/>
                                                                                                                                                                                                                                                                                                                                                                                                                                                                                                                                                                                                                <w:right w:val="none" w:sz="0" w:space="0" w:color="auto"/>
                                                                                                                                                                                                                                                                                                                                                                                                                                                                                                                                                                                                              </w:divBdr>
                                                                                                                                                                                                                                                                                                                                                                                                                                                                                                                                                                                                              <w:divsChild>
                                                                                                                                                                                                                                                                                                                                                                                                                                                                                                                                                                                                                <w:div w:id="673337565">
                                                                                                                                                                                                                                                                                                                                                                                                                                                                                                                                                                                                                  <w:marLeft w:val="0"/>
                                                                                                                                                                                                                                                                                                                                                                                                                                                                                                                                                                                                                  <w:marRight w:val="0"/>
                                                                                                                                                                                                                                                                                                                                                                                                                                                                                                                                                                                                                  <w:marTop w:val="0"/>
                                                                                                                                                                                                                                                                                                                                                                                                                                                                                                                                                                                                                  <w:marBottom w:val="0"/>
                                                                                                                                                                                                                                                                                                                                                                                                                                                                                                                                                                                                                  <w:divBdr>
                                                                                                                                                                                                                                                                                                                                                                                                                                                                                                                                                                                                                    <w:top w:val="none" w:sz="0" w:space="0" w:color="auto"/>
                                                                                                                                                                                                                                                                                                                                                                                                                                                                                                                                                                                                                    <w:left w:val="none" w:sz="0" w:space="0" w:color="auto"/>
                                                                                                                                                                                                                                                                                                                                                                                                                                                                                                                                                                                                                    <w:bottom w:val="none" w:sz="0" w:space="0" w:color="auto"/>
                                                                                                                                                                                                                                                                                                                                                                                                                                                                                                                                                                                                                    <w:right w:val="none" w:sz="0" w:space="0" w:color="auto"/>
                                                                                                                                                                                                                                                                                                                                                                                                                                                                                                                                                                                                                  </w:divBdr>
                                                                                                                                                                                                                                                                                                                                                                                                                                                                                                                                                                                                                  <w:divsChild>
                                                                                                                                                                                                                                                                                                                                                                                                                                                                                                                                                                                                                    <w:div w:id="1772816519">
                                                                                                                                                                                                                                                                                                                                                                                                                                                                                                                                                                                                                      <w:marLeft w:val="0"/>
                                                                                                                                                                                                                                                                                                                                                                                                                                                                                                                                                                                                                      <w:marRight w:val="0"/>
                                                                                                                                                                                                                                                                                                                                                                                                                                                                                                                                                                                                                      <w:marTop w:val="0"/>
                                                                                                                                                                                                                                                                                                                                                                                                                                                                                                                                                                                                                      <w:marBottom w:val="0"/>
                                                                                                                                                                                                                                                                                                                                                                                                                                                                                                                                                                                                                      <w:divBdr>
                                                                                                                                                                                                                                                                                                                                                                                                                                                                                                                                                                                                                        <w:top w:val="none" w:sz="0" w:space="0" w:color="auto"/>
                                                                                                                                                                                                                                                                                                                                                                                                                                                                                                                                                                                                                        <w:left w:val="none" w:sz="0" w:space="0" w:color="auto"/>
                                                                                                                                                                                                                                                                                                                                                                                                                                                                                                                                                                                                                        <w:bottom w:val="none" w:sz="0" w:space="0" w:color="auto"/>
                                                                                                                                                                                                                                                                                                                                                                                                                                                                                                                                                                                                                        <w:right w:val="none" w:sz="0" w:space="0" w:color="auto"/>
                                                                                                                                                                                                                                                                                                                                                                                                                                                                                                                                                                                                                      </w:divBdr>
                                                                                                                                                                                                                                                                                                                                                                                                                                                                                                                                                                                                                      <w:divsChild>
                                                                                                                                                                                                                                                                                                                                                                                                                                                                                                                                                                                                                        <w:div w:id="257981536">
                                                                                                                                                                                                                                                                                                                                                                                                                                                                                                                                                                                                                          <w:marLeft w:val="0"/>
                                                                                                                                                                                                                                                                                                                                                                                                                                                                                                                                                                                                                          <w:marRight w:val="0"/>
                                                                                                                                                                                                                                                                                                                                                                                                                                                                                                                                                                                                                          <w:marTop w:val="0"/>
                                                                                                                                                                                                                                                                                                                                                                                                                                                                                                                                                                                                                          <w:marBottom w:val="0"/>
                                                                                                                                                                                                                                                                                                                                                                                                                                                                                                                                                                                                                          <w:divBdr>
                                                                                                                                                                                                                                                                                                                                                                                                                                                                                                                                                                                                                            <w:top w:val="none" w:sz="0" w:space="0" w:color="auto"/>
                                                                                                                                                                                                                                                                                                                                                                                                                                                                                                                                                                                                                            <w:left w:val="none" w:sz="0" w:space="0" w:color="auto"/>
                                                                                                                                                                                                                                                                                                                                                                                                                                                                                                                                                                                                                            <w:bottom w:val="none" w:sz="0" w:space="0" w:color="auto"/>
                                                                                                                                                                                                                                                                                                                                                                                                                                                                                                                                                                                                                            <w:right w:val="none" w:sz="0" w:space="0" w:color="auto"/>
                                                                                                                                                                                                                                                                                                                                                                                                                                                                                                                                                                                                                          </w:divBdr>
                                                                                                                                                                                                                                                                                                                                                                                                                                                                                                                                                                                                                          <w:divsChild>
                                                                                                                                                                                                                                                                                                                                                                                                                                                                                                                                                                                                                            <w:div w:id="519128393">
                                                                                                                                                                                                                                                                                                                                                                                                                                                                                                                                                                                                                              <w:marLeft w:val="0"/>
                                                                                                                                                                                                                                                                                                                                                                                                                                                                                                                                                                                                                              <w:marRight w:val="0"/>
                                                                                                                                                                                                                                                                                                                                                                                                                                                                                                                                                                                                                              <w:marTop w:val="0"/>
                                                                                                                                                                                                                                                                                                                                                                                                                                                                                                                                                                                                                              <w:marBottom w:val="0"/>
                                                                                                                                                                                                                                                                                                                                                                                                                                                                                                                                                                                                                              <w:divBdr>
                                                                                                                                                                                                                                                                                                                                                                                                                                                                                                                                                                                                                                <w:top w:val="none" w:sz="0" w:space="0" w:color="auto"/>
                                                                                                                                                                                                                                                                                                                                                                                                                                                                                                                                                                                                                                <w:left w:val="none" w:sz="0" w:space="0" w:color="auto"/>
                                                                                                                                                                                                                                                                                                                                                                                                                                                                                                                                                                                                                                <w:bottom w:val="none" w:sz="0" w:space="0" w:color="auto"/>
                                                                                                                                                                                                                                                                                                                                                                                                                                                                                                                                                                                                                                <w:right w:val="none" w:sz="0" w:space="0" w:color="auto"/>
                                                                                                                                                                                                                                                                                                                                                                                                                                                                                                                                                                                                                              </w:divBdr>
                                                                                                                                                                                                                                                                                                                                                                                                                                                                                                                                                                                                                              <w:divsChild>
                                                                                                                                                                                                                                                                                                                                                                                                                                                                                                                                                                                                                                <w:div w:id="91904141">
                                                                                                                                                                                                                                                                                                                                                                                                                                                                                                                                                                                                                                  <w:marLeft w:val="0"/>
                                                                                                                                                                                                                                                                                                                                                                                                                                                                                                                                                                                                                                  <w:marRight w:val="0"/>
                                                                                                                                                                                                                                                                                                                                                                                                                                                                                                                                                                                                                                  <w:marTop w:val="0"/>
                                                                                                                                                                                                                                                                                                                                                                                                                                                                                                                                                                                                                                  <w:marBottom w:val="0"/>
                                                                                                                                                                                                                                                                                                                                                                                                                                                                                                                                                                                                                                  <w:divBdr>
                                                                                                                                                                                                                                                                                                                                                                                                                                                                                                                                                                                                                                    <w:top w:val="none" w:sz="0" w:space="0" w:color="auto"/>
                                                                                                                                                                                                                                                                                                                                                                                                                                                                                                                                                                                                                                    <w:left w:val="none" w:sz="0" w:space="0" w:color="auto"/>
                                                                                                                                                                                                                                                                                                                                                                                                                                                                                                                                                                                                                                    <w:bottom w:val="none" w:sz="0" w:space="0" w:color="auto"/>
                                                                                                                                                                                                                                                                                                                                                                                                                                                                                                                                                                                                                                    <w:right w:val="none" w:sz="0" w:space="0" w:color="auto"/>
                                                                                                                                                                                                                                                                                                                                                                                                                                                                                                                                                                                                                                  </w:divBdr>
                                                                                                                                                                                                                                                                                                                                                                                                                                                                                                                                                                                                                                  <w:divsChild>
                                                                                                                                                                                                                                                                                                                                                                                                                                                                                                                                                                                                                                    <w:div w:id="786124376">
                                                                                                                                                                                                                                                                                                                                                                                                                                                                                                                                                                                                                                      <w:marLeft w:val="0"/>
                                                                                                                                                                                                                                                                                                                                                                                                                                                                                                                                                                                                                                      <w:marRight w:val="0"/>
                                                                                                                                                                                                                                                                                                                                                                                                                                                                                                                                                                                                                                      <w:marTop w:val="0"/>
                                                                                                                                                                                                                                                                                                                                                                                                                                                                                                                                                                                                                                      <w:marBottom w:val="0"/>
                                                                                                                                                                                                                                                                                                                                                                                                                                                                                                                                                                                                                                      <w:divBdr>
                                                                                                                                                                                                                                                                                                                                                                                                                                                                                                                                                                                                                                        <w:top w:val="none" w:sz="0" w:space="0" w:color="auto"/>
                                                                                                                                                                                                                                                                                                                                                                                                                                                                                                                                                                                                                                        <w:left w:val="none" w:sz="0" w:space="0" w:color="auto"/>
                                                                                                                                                                                                                                                                                                                                                                                                                                                                                                                                                                                                                                        <w:bottom w:val="none" w:sz="0" w:space="0" w:color="auto"/>
                                                                                                                                                                                                                                                                                                                                                                                                                                                                                                                                                                                                                                        <w:right w:val="none" w:sz="0" w:space="0" w:color="auto"/>
                                                                                                                                                                                                                                                                                                                                                                                                                                                                                                                                                                                                                                      </w:divBdr>
                                                                                                                                                                                                                                                                                                                                                                                                                                                                                                                                                                                                                                      <w:divsChild>
                                                                                                                                                                                                                                                                                                                                                                                                                                                                                                                                                                                                                                        <w:div w:id="65691238">
                                                                                                                                                                                                                                                                                                                                                                                                                                                                                                                                                                                                                                          <w:marLeft w:val="0"/>
                                                                                                                                                                                                                                                                                                                                                                                                                                                                                                                                                                                                                                          <w:marRight w:val="0"/>
                                                                                                                                                                                                                                                                                                                                                                                                                                                                                                                                                                                                                                          <w:marTop w:val="0"/>
                                                                                                                                                                                                                                                                                                                                                                                                                                                                                                                                                                                                                                          <w:marBottom w:val="0"/>
                                                                                                                                                                                                                                                                                                                                                                                                                                                                                                                                                                                                                                          <w:divBdr>
                                                                                                                                                                                                                                                                                                                                                                                                                                                                                                                                                                                                                                            <w:top w:val="none" w:sz="0" w:space="0" w:color="auto"/>
                                                                                                                                                                                                                                                                                                                                                                                                                                                                                                                                                                                                                                            <w:left w:val="none" w:sz="0" w:space="0" w:color="auto"/>
                                                                                                                                                                                                                                                                                                                                                                                                                                                                                                                                                                                                                                            <w:bottom w:val="none" w:sz="0" w:space="0" w:color="auto"/>
                                                                                                                                                                                                                                                                                                                                                                                                                                                                                                                                                                                                                                            <w:right w:val="none" w:sz="0" w:space="0" w:color="auto"/>
                                                                                                                                                                                                                                                                                                                                                                                                                                                                                                                                                                                                                                          </w:divBdr>
                                                                                                                                                                                                                                                                                                                                                                                                                                                                                                                                                                                                                                          <w:divsChild>
                                                                                                                                                                                                                                                                                                                                                                                                                                                                                                                                                                                                                                            <w:div w:id="222716601">
                                                                                                                                                                                                                                                                                                                                                                                                                                                                                                                                                                                                                                              <w:marLeft w:val="0"/>
                                                                                                                                                                                                                                                                                                                                                                                                                                                                                                                                                                                                                                              <w:marRight w:val="0"/>
                                                                                                                                                                                                                                                                                                                                                                                                                                                                                                                                                                                                                                              <w:marTop w:val="0"/>
                                                                                                                                                                                                                                                                                                                                                                                                                                                                                                                                                                                                                                              <w:marBottom w:val="0"/>
                                                                                                                                                                                                                                                                                                                                                                                                                                                                                                                                                                                                                                              <w:divBdr>
                                                                                                                                                                                                                                                                                                                                                                                                                                                                                                                                                                                                                                                <w:top w:val="none" w:sz="0" w:space="0" w:color="auto"/>
                                                                                                                                                                                                                                                                                                                                                                                                                                                                                                                                                                                                                                                <w:left w:val="none" w:sz="0" w:space="0" w:color="auto"/>
                                                                                                                                                                                                                                                                                                                                                                                                                                                                                                                                                                                                                                                <w:bottom w:val="none" w:sz="0" w:space="0" w:color="auto"/>
                                                                                                                                                                                                                                                                                                                                                                                                                                                                                                                                                                                                                                                <w:right w:val="none" w:sz="0" w:space="0" w:color="auto"/>
                                                                                                                                                                                                                                                                                                                                                                                                                                                                                                                                                                                                                                              </w:divBdr>
                                                                                                                                                                                                                                                                                                                                                                                                                                                                                                                                                                                                                                              <w:divsChild>
                                                                                                                                                                                                                                                                                                                                                                                                                                                                                                                                                                                                                                                <w:div w:id="1577283264">
                                                                                                                                                                                                                                                                                                                                                                                                                                                                                                                                                                                                                                                  <w:marLeft w:val="0"/>
                                                                                                                                                                                                                                                                                                                                                                                                                                                                                                                                                                                                                                                  <w:marRight w:val="0"/>
                                                                                                                                                                                                                                                                                                                                                                                                                                                                                                                                                                                                                                                  <w:marTop w:val="0"/>
                                                                                                                                                                                                                                                                                                                                                                                                                                                                                                                                                                                                                                                  <w:marBottom w:val="0"/>
                                                                                                                                                                                                                                                                                                                                                                                                                                                                                                                                                                                                                                                  <w:divBdr>
                                                                                                                                                                                                                                                                                                                                                                                                                                                                                                                                                                                                                                                    <w:top w:val="none" w:sz="0" w:space="0" w:color="auto"/>
                                                                                                                                                                                                                                                                                                                                                                                                                                                                                                                                                                                                                                                    <w:left w:val="none" w:sz="0" w:space="0" w:color="auto"/>
                                                                                                                                                                                                                                                                                                                                                                                                                                                                                                                                                                                                                                                    <w:bottom w:val="none" w:sz="0" w:space="0" w:color="auto"/>
                                                                                                                                                                                                                                                                                                                                                                                                                                                                                                                                                                                                                                                    <w:right w:val="none" w:sz="0" w:space="0" w:color="auto"/>
                                                                                                                                                                                                                                                                                                                                                                                                                                                                                                                                                                                                                                                  </w:divBdr>
                                                                                                                                                                                                                                                                                                                                                                                                                                                                                                                                                                                                                                                  <w:divsChild>
                                                                                                                                                                                                                                                                                                                                                                                                                                                                                                                                                                                                                                                    <w:div w:id="1773158500">
                                                                                                                                                                                                                                                                                                                                                                                                                                                                                                                                                                                                                                                      <w:marLeft w:val="0"/>
                                                                                                                                                                                                                                                                                                                                                                                                                                                                                                                                                                                                                                                      <w:marRight w:val="0"/>
                                                                                                                                                                                                                                                                                                                                                                                                                                                                                                                                                                                                                                                      <w:marTop w:val="0"/>
                                                                                                                                                                                                                                                                                                                                                                                                                                                                                                                                                                                                                                                      <w:marBottom w:val="0"/>
                                                                                                                                                                                                                                                                                                                                                                                                                                                                                                                                                                                                                                                      <w:divBdr>
                                                                                                                                                                                                                                                                                                                                                                                                                                                                                                                                                                                                                                                        <w:top w:val="none" w:sz="0" w:space="0" w:color="auto"/>
                                                                                                                                                                                                                                                                                                                                                                                                                                                                                                                                                                                                                                                        <w:left w:val="none" w:sz="0" w:space="0" w:color="auto"/>
                                                                                                                                                                                                                                                                                                                                                                                                                                                                                                                                                                                                                                                        <w:bottom w:val="none" w:sz="0" w:space="0" w:color="auto"/>
                                                                                                                                                                                                                                                                                                                                                                                                                                                                                                                                                                                                                                                        <w:right w:val="none" w:sz="0" w:space="0" w:color="auto"/>
                                                                                                                                                                                                                                                                                                                                                                                                                                                                                                                                                                                                                                                      </w:divBdr>
                                                                                                                                                                                                                                                                                                                                                                                                                                                                                                                                                                                                                                                      <w:divsChild>
                                                                                                                                                                                                                                                                                                                                                                                                                                                                                                                                                                                                                                                        <w:div w:id="857350845">
                                                                                                                                                                                                                                                                                                                                                                                                                                                                                                                                                                                                                                                          <w:marLeft w:val="0"/>
                                                                                                                                                                                                                                                                                                                                                                                                                                                                                                                                                                                                                                                          <w:marRight w:val="0"/>
                                                                                                                                                                                                                                                                                                                                                                                                                                                                                                                                                                                                                                                          <w:marTop w:val="0"/>
                                                                                                                                                                                                                                                                                                                                                                                                                                                                                                                                                                                                                                                          <w:marBottom w:val="0"/>
                                                                                                                                                                                                                                                                                                                                                                                                                                                                                                                                                                                                                                                          <w:divBdr>
                                                                                                                                                                                                                                                                                                                                                                                                                                                                                                                                                                                                                                                            <w:top w:val="none" w:sz="0" w:space="0" w:color="auto"/>
                                                                                                                                                                                                                                                                                                                                                                                                                                                                                                                                                                                                                                                            <w:left w:val="none" w:sz="0" w:space="0" w:color="auto"/>
                                                                                                                                                                                                                                                                                                                                                                                                                                                                                                                                                                                                                                                            <w:bottom w:val="none" w:sz="0" w:space="0" w:color="auto"/>
                                                                                                                                                                                                                                                                                                                                                                                                                                                                                                                                                                                                                                                            <w:right w:val="none" w:sz="0" w:space="0" w:color="auto"/>
                                                                                                                                                                                                                                                                                                                                                                                                                                                                                                                                                                                                                                                          </w:divBdr>
                                                                                                                                                                                                                                                                                                                                                                                                                                                                                                                                                                                                                                                          <w:divsChild>
                                                                                                                                                                                                                                                                                                                                                                                                                                                                                                                                                                                                                                                            <w:div w:id="1978022311">
                                                                                                                                                                                                                                                                                                                                                                                                                                                                                                                                                                                                                                                              <w:marLeft w:val="0"/>
                                                                                                                                                                                                                                                                                                                                                                                                                                                                                                                                                                                                                                                              <w:marRight w:val="0"/>
                                                                                                                                                                                                                                                                                                                                                                                                                                                                                                                                                                                                                                                              <w:marTop w:val="0"/>
                                                                                                                                                                                                                                                                                                                                                                                                                                                                                                                                                                                                                                                              <w:marBottom w:val="0"/>
                                                                                                                                                                                                                                                                                                                                                                                                                                                                                                                                                                                                                                                              <w:divBdr>
                                                                                                                                                                                                                                                                                                                                                                                                                                                                                                                                                                                                                                                                <w:top w:val="none" w:sz="0" w:space="0" w:color="auto"/>
                                                                                                                                                                                                                                                                                                                                                                                                                                                                                                                                                                                                                                                                <w:left w:val="none" w:sz="0" w:space="0" w:color="auto"/>
                                                                                                                                                                                                                                                                                                                                                                                                                                                                                                                                                                                                                                                                <w:bottom w:val="none" w:sz="0" w:space="0" w:color="auto"/>
                                                                                                                                                                                                                                                                                                                                                                                                                                                                                                                                                                                                                                                                <w:right w:val="none" w:sz="0" w:space="0" w:color="auto"/>
                                                                                                                                                                                                                                                                                                                                                                                                                                                                                                                                                                                                                                                              </w:divBdr>
                                                                                                                                                                                                                                                                                                                                                                                                                                                                                                                                                                                                                                                              <w:divsChild>
                                                                                                                                                                                                                                                                                                                                                                                                                                                                                                                                                                                                                                                                <w:div w:id="433404772">
                                                                                                                                                                                                                                                                                                                                                                                                                                                                                                                                                                                                                                                                  <w:marLeft w:val="0"/>
                                                                                                                                                                                                                                                                                                                                                                                                                                                                                                                                                                                                                                                                  <w:marRight w:val="0"/>
                                                                                                                                                                                                                                                                                                                                                                                                                                                                                                                                                                                                                                                                  <w:marTop w:val="0"/>
                                                                                                                                                                                                                                                                                                                                                                                                                                                                                                                                                                                                                                                                  <w:marBottom w:val="0"/>
                                                                                                                                                                                                                                                                                                                                                                                                                                                                                                                                                                                                                                                                  <w:divBdr>
                                                                                                                                                                                                                                                                                                                                                                                                                                                                                                                                                                                                                                                                    <w:top w:val="none" w:sz="0" w:space="0" w:color="auto"/>
                                                                                                                                                                                                                                                                                                                                                                                                                                                                                                                                                                                                                                                                    <w:left w:val="none" w:sz="0" w:space="0" w:color="auto"/>
                                                                                                                                                                                                                                                                                                                                                                                                                                                                                                                                                                                                                                                                    <w:bottom w:val="none" w:sz="0" w:space="0" w:color="auto"/>
                                                                                                                                                                                                                                                                                                                                                                                                                                                                                                                                                                                                                                                                    <w:right w:val="none" w:sz="0" w:space="0" w:color="auto"/>
                                                                                                                                                                                                                                                                                                                                                                                                                                                                                                                                                                                                                                                                  </w:divBdr>
                                                                                                                                                                                                                                                                                                                                                                                                                                                                                                                                                                                                                                                                  <w:divsChild>
                                                                                                                                                                                                                                                                                                                                                                                                                                                                                                                                                                                                                                                                    <w:div w:id="1862744160">
                                                                                                                                                                                                                                                                                                                                                                                                                                                                                                                                                                                                                                                                      <w:marLeft w:val="0"/>
                                                                                                                                                                                                                                                                                                                                                                                                                                                                                                                                                                                                                                                                      <w:marRight w:val="0"/>
                                                                                                                                                                                                                                                                                                                                                                                                                                                                                                                                                                                                                                                                      <w:marTop w:val="0"/>
                                                                                                                                                                                                                                                                                                                                                                                                                                                                                                                                                                                                                                                                      <w:marBottom w:val="0"/>
                                                                                                                                                                                                                                                                                                                                                                                                                                                                                                                                                                                                                                                                      <w:divBdr>
                                                                                                                                                                                                                                                                                                                                                                                                                                                                                                                                                                                                                                                                        <w:top w:val="none" w:sz="0" w:space="0" w:color="auto"/>
                                                                                                                                                                                                                                                                                                                                                                                                                                                                                                                                                                                                                                                                        <w:left w:val="none" w:sz="0" w:space="0" w:color="auto"/>
                                                                                                                                                                                                                                                                                                                                                                                                                                                                                                                                                                                                                                                                        <w:bottom w:val="none" w:sz="0" w:space="0" w:color="auto"/>
                                                                                                                                                                                                                                                                                                                                                                                                                                                                                                                                                                                                                                                                        <w:right w:val="none" w:sz="0" w:space="0" w:color="auto"/>
                                                                                                                                                                                                                                                                                                                                                                                                                                                                                                                                                                                                                                                                      </w:divBdr>
                                                                                                                                                                                                                                                                                                                                                                                                                                                                                                                                                                                                                                                                      <w:divsChild>
                                                                                                                                                                                                                                                                                                                                                                                                                                                                                                                                                                                                                                                                        <w:div w:id="1925844444">
                                                                                                                                                                                                                                                                                                                                                                                                                                                                                                                                                                                                                                                                          <w:marLeft w:val="0"/>
                                                                                                                                                                                                                                                                                                                                                                                                                                                                                                                                                                                                                                                                          <w:marRight w:val="0"/>
                                                                                                                                                                                                                                                                                                                                                                                                                                                                                                                                                                                                                                                                          <w:marTop w:val="0"/>
                                                                                                                                                                                                                                                                                                                                                                                                                                                                                                                                                                                                                                                                          <w:marBottom w:val="0"/>
                                                                                                                                                                                                                                                                                                                                                                                                                                                                                                                                                                                                                                                                          <w:divBdr>
                                                                                                                                                                                                                                                                                                                                                                                                                                                                                                                                                                                                                                                                            <w:top w:val="none" w:sz="0" w:space="0" w:color="auto"/>
                                                                                                                                                                                                                                                                                                                                                                                                                                                                                                                                                                                                                                                                            <w:left w:val="none" w:sz="0" w:space="0" w:color="auto"/>
                                                                                                                                                                                                                                                                                                                                                                                                                                                                                                                                                                                                                                                                            <w:bottom w:val="none" w:sz="0" w:space="0" w:color="auto"/>
                                                                                                                                                                                                                                                                                                                                                                                                                                                                                                                                                                                                                                                                            <w:right w:val="none" w:sz="0" w:space="0" w:color="auto"/>
                                                                                                                                                                                                                                                                                                                                                                                                                                                                                                                                                                                                                                                                          </w:divBdr>
                                                                                                                                                                                                                                                                                                                                                                                                                                                                                                                                                                                                                                                                          <w:divsChild>
                                                                                                                                                                                                                                                                                                                                                                                                                                                                                                                                                                                                                                                                            <w:div w:id="915362431">
                                                                                                                                                                                                                                                                                                                                                                                                                                                                                                                                                                                                                                                                              <w:marLeft w:val="0"/>
                                                                                                                                                                                                                                                                                                                                                                                                                                                                                                                                                                                                                                                                              <w:marRight w:val="0"/>
                                                                                                                                                                                                                                                                                                                                                                                                                                                                                                                                                                                                                                                                              <w:marTop w:val="0"/>
                                                                                                                                                                                                                                                                                                                                                                                                                                                                                                                                                                                                                                                                              <w:marBottom w:val="0"/>
                                                                                                                                                                                                                                                                                                                                                                                                                                                                                                                                                                                                                                                                              <w:divBdr>
                                                                                                                                                                                                                                                                                                                                                                                                                                                                                                                                                                                                                                                                                <w:top w:val="none" w:sz="0" w:space="0" w:color="auto"/>
                                                                                                                                                                                                                                                                                                                                                                                                                                                                                                                                                                                                                                                                                <w:left w:val="none" w:sz="0" w:space="0" w:color="auto"/>
                                                                                                                                                                                                                                                                                                                                                                                                                                                                                                                                                                                                                                                                                <w:bottom w:val="none" w:sz="0" w:space="0" w:color="auto"/>
                                                                                                                                                                                                                                                                                                                                                                                                                                                                                                                                                                                                                                                                                <w:right w:val="none" w:sz="0" w:space="0" w:color="auto"/>
                                                                                                                                                                                                                                                                                                                                                                                                                                                                                                                                                                                                                                                                              </w:divBdr>
                                                                                                                                                                                                                                                                                                                                                                                                                                                                                                                                                                                                                                                                              <w:divsChild>
                                                                                                                                                                                                                                                                                                                                                                                                                                                                                                                                                                                                                                                                                <w:div w:id="1490094146">
                                                                                                                                                                                                                                                                                                                                                                                                                                                                                                                                                                                                                                                                                  <w:marLeft w:val="0"/>
                                                                                                                                                                                                                                                                                                                                                                                                                                                                                                                                                                                                                                                                                  <w:marRight w:val="0"/>
                                                                                                                                                                                                                                                                                                                                                                                                                                                                                                                                                                                                                                                                                  <w:marTop w:val="0"/>
                                                                                                                                                                                                                                                                                                                                                                                                                                                                                                                                                                                                                                                                                  <w:marBottom w:val="0"/>
                                                                                                                                                                                                                                                                                                                                                                                                                                                                                                                                                                                                                                                                                  <w:divBdr>
                                                                                                                                                                                                                                                                                                                                                                                                                                                                                                                                                                                                                                                                                    <w:top w:val="none" w:sz="0" w:space="0" w:color="auto"/>
                                                                                                                                                                                                                                                                                                                                                                                                                                                                                                                                                                                                                                                                                    <w:left w:val="none" w:sz="0" w:space="0" w:color="auto"/>
                                                                                                                                                                                                                                                                                                                                                                                                                                                                                                                                                                                                                                                                                    <w:bottom w:val="none" w:sz="0" w:space="0" w:color="auto"/>
                                                                                                                                                                                                                                                                                                                                                                                                                                                                                                                                                                                                                                                                                    <w:right w:val="none" w:sz="0" w:space="0" w:color="auto"/>
                                                                                                                                                                                                                                                                                                                                                                                                                                                                                                                                                                                                                                                                                  </w:divBdr>
                                                                                                                                                                                                                                                                                                                                                                                                                                                                                                                                                                                                                                                                                  <w:divsChild>
                                                                                                                                                                                                                                                                                                                                                                                                                                                                                                                                                                                                                                                                                    <w:div w:id="1113011271">
                                                                                                                                                                                                                                                                                                                                                                                                                                                                                                                                                                                                                                                                                      <w:marLeft w:val="0"/>
                                                                                                                                                                                                                                                                                                                                                                                                                                                                                                                                                                                                                                                                                      <w:marRight w:val="0"/>
                                                                                                                                                                                                                                                                                                                                                                                                                                                                                                                                                                                                                                                                                      <w:marTop w:val="0"/>
                                                                                                                                                                                                                                                                                                                                                                                                                                                                                                                                                                                                                                                                                      <w:marBottom w:val="0"/>
                                                                                                                                                                                                                                                                                                                                                                                                                                                                                                                                                                                                                                                                                      <w:divBdr>
                                                                                                                                                                                                                                                                                                                                                                                                                                                                                                                                                                                                                                                                                        <w:top w:val="none" w:sz="0" w:space="0" w:color="auto"/>
                                                                                                                                                                                                                                                                                                                                                                                                                                                                                                                                                                                                                                                                                        <w:left w:val="none" w:sz="0" w:space="0" w:color="auto"/>
                                                                                                                                                                                                                                                                                                                                                                                                                                                                                                                                                                                                                                                                                        <w:bottom w:val="none" w:sz="0" w:space="0" w:color="auto"/>
                                                                                                                                                                                                                                                                                                                                                                                                                                                                                                                                                                                                                                                                                        <w:right w:val="none" w:sz="0" w:space="0" w:color="auto"/>
                                                                                                                                                                                                                                                                                                                                                                                                                                                                                                                                                                                                                                                                                      </w:divBdr>
                                                                                                                                                                                                                                                                                                                                                                                                                                                                                                                                                                                                                                                                                      <w:divsChild>
                                                                                                                                                                                                                                                                                                                                                                                                                                                                                                                                                                                                                                                                                        <w:div w:id="70067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hristopher\Documents\Chris's%20Files\Work\OOPE\Research\IBD%20+%20smoking\Journal%20paper\Mach%201\Not%20used\Smoking%20by%20montre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style val="1"/>
  <c:chart>
    <c:autoTitleDeleted val="1"/>
    <c:plotArea>
      <c:layout/>
      <c:barChart>
        <c:barDir val="col"/>
        <c:grouping val="clustered"/>
        <c:ser>
          <c:idx val="0"/>
          <c:order val="0"/>
          <c:tx>
            <c:strRef>
              <c:f>Sheet1!$G$1</c:f>
              <c:strCache>
                <c:ptCount val="1"/>
                <c:pt idx="0">
                  <c:v>A1</c:v>
                </c:pt>
              </c:strCache>
            </c:strRef>
          </c:tx>
          <c:spPr>
            <a:solidFill>
              <a:schemeClr val="bg1"/>
            </a:solidFill>
            <a:ln>
              <a:solidFill>
                <a:schemeClr val="tx1"/>
              </a:solidFill>
            </a:ln>
          </c:spPr>
          <c:dLbls>
            <c:dLbl>
              <c:idx val="1"/>
              <c:tx>
                <c:rich>
                  <a:bodyPr/>
                  <a:lstStyle/>
                  <a:p>
                    <a:r>
                      <a:rPr lang="en-US"/>
                      <a:t>2</a:t>
                    </a:r>
                  </a:p>
                </c:rich>
              </c:tx>
              <c:dLblPos val="inBase"/>
              <c:showVal val="1"/>
            </c:dLbl>
            <c:dLbl>
              <c:idx val="2"/>
              <c:tx>
                <c:rich>
                  <a:bodyPr/>
                  <a:lstStyle/>
                  <a:p>
                    <a:r>
                      <a:rPr lang="en-US"/>
                      <a:t>1</a:t>
                    </a:r>
                  </a:p>
                </c:rich>
              </c:tx>
              <c:dLblPos val="inBase"/>
              <c:showVal val="1"/>
            </c:dLbl>
            <c:dLbl>
              <c:idx val="3"/>
              <c:tx>
                <c:rich>
                  <a:bodyPr/>
                  <a:lstStyle/>
                  <a:p>
                    <a:r>
                      <a:rPr lang="en-US"/>
                      <a:t>2</a:t>
                    </a:r>
                  </a:p>
                </c:rich>
              </c:tx>
              <c:dLblPos val="inBase"/>
              <c:showVal val="1"/>
            </c:dLbl>
            <c:txPr>
              <a:bodyPr rot="-5400000" vert="horz"/>
              <a:lstStyle/>
              <a:p>
                <a:pPr>
                  <a:defRPr/>
                </a:pPr>
                <a:endParaRPr lang="en-US"/>
              </a:p>
            </c:txPr>
            <c:dLblPos val="inBase"/>
            <c:showVal val="1"/>
          </c:dLbls>
          <c:cat>
            <c:strRef>
              <c:f>Sheet1!$F$2:$F$6</c:f>
              <c:strCache>
                <c:ptCount val="5"/>
                <c:pt idx="0">
                  <c:v>Era 1</c:v>
                </c:pt>
                <c:pt idx="1">
                  <c:v>Era 2</c:v>
                </c:pt>
                <c:pt idx="2">
                  <c:v>Era 3</c:v>
                </c:pt>
                <c:pt idx="3">
                  <c:v>Era 4</c:v>
                </c:pt>
                <c:pt idx="4">
                  <c:v>Era 5</c:v>
                </c:pt>
              </c:strCache>
            </c:strRef>
          </c:cat>
          <c:val>
            <c:numRef>
              <c:f>Sheet1!$G$2:$G$6</c:f>
              <c:numCache>
                <c:formatCode>General</c:formatCode>
                <c:ptCount val="5"/>
                <c:pt idx="0">
                  <c:v>0</c:v>
                </c:pt>
                <c:pt idx="1">
                  <c:v>12.5</c:v>
                </c:pt>
                <c:pt idx="2">
                  <c:v>5.9</c:v>
                </c:pt>
                <c:pt idx="3">
                  <c:v>7.1</c:v>
                </c:pt>
                <c:pt idx="4">
                  <c:v>0</c:v>
                </c:pt>
              </c:numCache>
            </c:numRef>
          </c:val>
        </c:ser>
        <c:ser>
          <c:idx val="1"/>
          <c:order val="1"/>
          <c:tx>
            <c:strRef>
              <c:f>Sheet1!$H$1</c:f>
              <c:strCache>
                <c:ptCount val="1"/>
                <c:pt idx="0">
                  <c:v>A2</c:v>
                </c:pt>
              </c:strCache>
            </c:strRef>
          </c:tx>
          <c:spPr>
            <a:solidFill>
              <a:schemeClr val="bg1">
                <a:lumMod val="85000"/>
              </a:schemeClr>
            </a:solidFill>
            <a:ln>
              <a:solidFill>
                <a:prstClr val="black"/>
              </a:solidFill>
            </a:ln>
          </c:spPr>
          <c:dLbls>
            <c:dLbl>
              <c:idx val="0"/>
              <c:tx>
                <c:rich>
                  <a:bodyPr/>
                  <a:lstStyle/>
                  <a:p>
                    <a:r>
                      <a:rPr lang="en-US"/>
                      <a:t>107</a:t>
                    </a:r>
                  </a:p>
                </c:rich>
              </c:tx>
              <c:dLblPos val="inBase"/>
              <c:showVal val="1"/>
            </c:dLbl>
            <c:dLbl>
              <c:idx val="1"/>
              <c:tx>
                <c:rich>
                  <a:bodyPr/>
                  <a:lstStyle/>
                  <a:p>
                    <a:r>
                      <a:rPr lang="en-US"/>
                      <a:t>109</a:t>
                    </a:r>
                  </a:p>
                </c:rich>
              </c:tx>
              <c:dLblPos val="inBase"/>
              <c:showVal val="1"/>
            </c:dLbl>
            <c:dLbl>
              <c:idx val="2"/>
              <c:tx>
                <c:rich>
                  <a:bodyPr/>
                  <a:lstStyle/>
                  <a:p>
                    <a:r>
                      <a:rPr lang="en-US"/>
                      <a:t>105</a:t>
                    </a:r>
                  </a:p>
                </c:rich>
              </c:tx>
              <c:dLblPos val="inBase"/>
              <c:showVal val="1"/>
            </c:dLbl>
            <c:dLbl>
              <c:idx val="3"/>
              <c:tx>
                <c:rich>
                  <a:bodyPr/>
                  <a:lstStyle/>
                  <a:p>
                    <a:r>
                      <a:rPr lang="en-US"/>
                      <a:t>88</a:t>
                    </a:r>
                  </a:p>
                </c:rich>
              </c:tx>
              <c:dLblPos val="inBase"/>
              <c:showVal val="1"/>
            </c:dLbl>
            <c:dLbl>
              <c:idx val="4"/>
              <c:tx>
                <c:rich>
                  <a:bodyPr/>
                  <a:lstStyle/>
                  <a:p>
                    <a:r>
                      <a:rPr lang="en-US"/>
                      <a:t>93</a:t>
                    </a:r>
                  </a:p>
                </c:rich>
              </c:tx>
              <c:dLblPos val="inBase"/>
              <c:showVal val="1"/>
            </c:dLbl>
            <c:txPr>
              <a:bodyPr rot="-5400000" vert="horz"/>
              <a:lstStyle/>
              <a:p>
                <a:pPr>
                  <a:defRPr/>
                </a:pPr>
                <a:endParaRPr lang="en-US"/>
              </a:p>
            </c:txPr>
            <c:dLblPos val="inBase"/>
            <c:showVal val="1"/>
          </c:dLbls>
          <c:cat>
            <c:strRef>
              <c:f>Sheet1!$F$2:$F$6</c:f>
              <c:strCache>
                <c:ptCount val="5"/>
                <c:pt idx="0">
                  <c:v>Era 1</c:v>
                </c:pt>
                <c:pt idx="1">
                  <c:v>Era 2</c:v>
                </c:pt>
                <c:pt idx="2">
                  <c:v>Era 3</c:v>
                </c:pt>
                <c:pt idx="3">
                  <c:v>Era 4</c:v>
                </c:pt>
                <c:pt idx="4">
                  <c:v>Era 5</c:v>
                </c:pt>
              </c:strCache>
            </c:strRef>
          </c:cat>
          <c:val>
            <c:numRef>
              <c:f>Sheet1!$H$2:$H$6</c:f>
              <c:numCache>
                <c:formatCode>General</c:formatCode>
                <c:ptCount val="5"/>
                <c:pt idx="0">
                  <c:v>37.4</c:v>
                </c:pt>
                <c:pt idx="1">
                  <c:v>36.1</c:v>
                </c:pt>
                <c:pt idx="2">
                  <c:v>31.7</c:v>
                </c:pt>
                <c:pt idx="3">
                  <c:v>26.3</c:v>
                </c:pt>
                <c:pt idx="4">
                  <c:v>30.5</c:v>
                </c:pt>
              </c:numCache>
            </c:numRef>
          </c:val>
        </c:ser>
        <c:ser>
          <c:idx val="2"/>
          <c:order val="2"/>
          <c:tx>
            <c:strRef>
              <c:f>Sheet1!$I$1</c:f>
              <c:strCache>
                <c:ptCount val="1"/>
                <c:pt idx="0">
                  <c:v>A3</c:v>
                </c:pt>
              </c:strCache>
            </c:strRef>
          </c:tx>
          <c:spPr>
            <a:ln>
              <a:solidFill>
                <a:prstClr val="black"/>
              </a:solidFill>
            </a:ln>
          </c:spPr>
          <c:dLbls>
            <c:dLbl>
              <c:idx val="0"/>
              <c:tx>
                <c:rich>
                  <a:bodyPr/>
                  <a:lstStyle/>
                  <a:p>
                    <a:r>
                      <a:rPr lang="en-US"/>
                      <a:t>114</a:t>
                    </a:r>
                  </a:p>
                </c:rich>
              </c:tx>
              <c:dLblPos val="inBase"/>
              <c:showVal val="1"/>
            </c:dLbl>
            <c:dLbl>
              <c:idx val="1"/>
              <c:tx>
                <c:rich>
                  <a:bodyPr/>
                  <a:lstStyle/>
                  <a:p>
                    <a:r>
                      <a:rPr lang="en-US"/>
                      <a:t>117</a:t>
                    </a:r>
                  </a:p>
                </c:rich>
              </c:tx>
              <c:dLblPos val="inBase"/>
              <c:showVal val="1"/>
            </c:dLbl>
            <c:dLbl>
              <c:idx val="2"/>
              <c:tx>
                <c:rich>
                  <a:bodyPr/>
                  <a:lstStyle/>
                  <a:p>
                    <a:r>
                      <a:rPr lang="en-US"/>
                      <a:t>138</a:t>
                    </a:r>
                  </a:p>
                </c:rich>
              </c:tx>
              <c:dLblPos val="inBase"/>
              <c:showVal val="1"/>
            </c:dLbl>
            <c:dLbl>
              <c:idx val="3"/>
              <c:tx>
                <c:rich>
                  <a:bodyPr/>
                  <a:lstStyle/>
                  <a:p>
                    <a:r>
                      <a:rPr lang="en-US"/>
                      <a:t>127</a:t>
                    </a:r>
                  </a:p>
                </c:rich>
              </c:tx>
              <c:dLblPos val="inBase"/>
              <c:showVal val="1"/>
            </c:dLbl>
            <c:dLbl>
              <c:idx val="4"/>
              <c:tx>
                <c:rich>
                  <a:bodyPr/>
                  <a:lstStyle/>
                  <a:p>
                    <a:r>
                      <a:rPr lang="en-US"/>
                      <a:t>118</a:t>
                    </a:r>
                  </a:p>
                </c:rich>
              </c:tx>
              <c:dLblPos val="inBase"/>
              <c:showVal val="1"/>
            </c:dLbl>
            <c:txPr>
              <a:bodyPr rot="-5400000" vert="horz"/>
              <a:lstStyle/>
              <a:p>
                <a:pPr>
                  <a:defRPr/>
                </a:pPr>
                <a:endParaRPr lang="en-US"/>
              </a:p>
            </c:txPr>
            <c:dLblPos val="inBase"/>
            <c:showVal val="1"/>
          </c:dLbls>
          <c:cat>
            <c:strRef>
              <c:f>Sheet1!$F$2:$F$6</c:f>
              <c:strCache>
                <c:ptCount val="5"/>
                <c:pt idx="0">
                  <c:v>Era 1</c:v>
                </c:pt>
                <c:pt idx="1">
                  <c:v>Era 2</c:v>
                </c:pt>
                <c:pt idx="2">
                  <c:v>Era 3</c:v>
                </c:pt>
                <c:pt idx="3">
                  <c:v>Era 4</c:v>
                </c:pt>
                <c:pt idx="4">
                  <c:v>Era 5</c:v>
                </c:pt>
              </c:strCache>
            </c:strRef>
          </c:cat>
          <c:val>
            <c:numRef>
              <c:f>Sheet1!$I$2:$I$6</c:f>
              <c:numCache>
                <c:formatCode>General</c:formatCode>
                <c:ptCount val="5"/>
                <c:pt idx="0">
                  <c:v>31.2</c:v>
                </c:pt>
                <c:pt idx="1">
                  <c:v>30.2</c:v>
                </c:pt>
                <c:pt idx="2">
                  <c:v>35.800000000000004</c:v>
                </c:pt>
                <c:pt idx="3">
                  <c:v>31.5</c:v>
                </c:pt>
                <c:pt idx="4">
                  <c:v>31.6</c:v>
                </c:pt>
              </c:numCache>
            </c:numRef>
          </c:val>
        </c:ser>
        <c:axId val="109819008"/>
        <c:axId val="109820928"/>
      </c:barChart>
      <c:catAx>
        <c:axId val="109819008"/>
        <c:scaling>
          <c:orientation val="minMax"/>
        </c:scaling>
        <c:axPos val="b"/>
        <c:title>
          <c:tx>
            <c:rich>
              <a:bodyPr/>
              <a:lstStyle/>
              <a:p>
                <a:pPr>
                  <a:defRPr/>
                </a:pPr>
                <a:r>
                  <a:rPr lang="en-GB"/>
                  <a:t>Era</a:t>
                </a:r>
                <a:r>
                  <a:rPr lang="en-GB" baseline="0"/>
                  <a:t> of CD diagnosis</a:t>
                </a:r>
                <a:endParaRPr lang="en-GB"/>
              </a:p>
            </c:rich>
          </c:tx>
        </c:title>
        <c:majorTickMark val="none"/>
        <c:tickLblPos val="nextTo"/>
        <c:crossAx val="109820928"/>
        <c:crosses val="autoZero"/>
        <c:auto val="1"/>
        <c:lblAlgn val="ctr"/>
        <c:lblOffset val="100"/>
      </c:catAx>
      <c:valAx>
        <c:axId val="109820928"/>
        <c:scaling>
          <c:orientation val="minMax"/>
        </c:scaling>
        <c:axPos val="l"/>
        <c:title>
          <c:tx>
            <c:rich>
              <a:bodyPr/>
              <a:lstStyle/>
              <a:p>
                <a:pPr>
                  <a:defRPr/>
                </a:pPr>
                <a:r>
                  <a:rPr lang="en-GB"/>
                  <a:t>%</a:t>
                </a:r>
                <a:r>
                  <a:rPr lang="en-GB" baseline="0"/>
                  <a:t> of CD patients who smoke at diagnosis</a:t>
                </a:r>
                <a:endParaRPr lang="en-GB"/>
              </a:p>
            </c:rich>
          </c:tx>
        </c:title>
        <c:numFmt formatCode="General" sourceLinked="1"/>
        <c:tickLblPos val="nextTo"/>
        <c:crossAx val="109819008"/>
        <c:crosses val="autoZero"/>
        <c:crossBetween val="between"/>
      </c:valAx>
    </c:plotArea>
    <c:legend>
      <c:legendPos val="r"/>
    </c:legend>
    <c:plotVisOnly val="1"/>
  </c:chart>
  <c:spPr>
    <a:effectLst>
      <a:innerShdw blurRad="114300">
        <a:prstClr val="black"/>
      </a:innerShdw>
    </a:effectLst>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0.79058</cdr:x>
      <cdr:y>0.1388</cdr:y>
    </cdr:from>
    <cdr:to>
      <cdr:x>0.82897</cdr:x>
      <cdr:y>0.20189</cdr:y>
    </cdr:to>
    <cdr:sp macro="" textlink="">
      <cdr:nvSpPr>
        <cdr:cNvPr id="2" name="TextBox 1"/>
        <cdr:cNvSpPr txBox="1"/>
      </cdr:nvSpPr>
      <cdr:spPr>
        <a:xfrm xmlns:a="http://schemas.openxmlformats.org/drawingml/2006/main">
          <a:off x="4314824" y="419101"/>
          <a:ext cx="2095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9B0830-18D0-4511-9F0A-947A29457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61185</Words>
  <Characters>348760</Characters>
  <Application>Microsoft Office Word</Application>
  <DocSecurity>0</DocSecurity>
  <Lines>2906</Lines>
  <Paragraphs>818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409127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Alexakis</dc:creator>
  <cp:lastModifiedBy>Christopher Alexakis</cp:lastModifiedBy>
  <cp:revision>4</cp:revision>
  <dcterms:created xsi:type="dcterms:W3CDTF">2018-06-16T06:08:00Z</dcterms:created>
  <dcterms:modified xsi:type="dcterms:W3CDTF">2018-06-16T06:32:00Z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christopher.alexakis@googlemail.com@www.mendeley.com</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http://www.zotero.org/styles/elsevier-with-titles</vt:lpwstr>
  </property>
  <property fmtid="{D5CDD505-2E9C-101B-9397-08002B2CF9AE}" pid="12" name="Mendeley Recent Style Name 3_1">
    <vt:lpwstr>Elsevier (numeric, with titles)</vt:lpwstr>
  </property>
  <property fmtid="{D5CDD505-2E9C-101B-9397-08002B2CF9AE}" pid="13" name="Mendeley Recent Style Id 4_1">
    <vt:lpwstr>http://www.zotero.org/styles/elsevier-without-titles</vt:lpwstr>
  </property>
  <property fmtid="{D5CDD505-2E9C-101B-9397-08002B2CF9AE}" pid="14" name="Mendeley Recent Style Name 4_1">
    <vt:lpwstr>Elsevier (numeric, without titles)</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7th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http://www.zotero.org/styles/springer-basic-brackets</vt:lpwstr>
  </property>
  <property fmtid="{D5CDD505-2E9C-101B-9397-08002B2CF9AE}" pid="22" name="Mendeley Recent Style Name 8_1">
    <vt:lpwstr>Springer - Basic (numeric, brackets)</vt:lpwstr>
  </property>
  <property fmtid="{D5CDD505-2E9C-101B-9397-08002B2CF9AE}" pid="23" name="Mendeley Recent Style Id 9_1">
    <vt:lpwstr>http://www.zotero.org/styles/springer-basic-brackets-no-et-al-alphabetical</vt:lpwstr>
  </property>
  <property fmtid="{D5CDD505-2E9C-101B-9397-08002B2CF9AE}" pid="24" name="Mendeley Recent Style Name 9_1">
    <vt:lpwstr>Springer - Basic (numeric, brackets, no "et al.", alphabetical)</vt:lpwstr>
  </property>
</Properties>
</file>