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3397" w14:textId="05CB5379" w:rsidR="00FD59C0" w:rsidRPr="00771D7E" w:rsidRDefault="00905D13" w:rsidP="001B05C9">
      <w:pPr>
        <w:spacing w:before="100" w:beforeAutospacing="1" w:after="100" w:afterAutospacing="1" w:line="360" w:lineRule="auto"/>
        <w:jc w:val="both"/>
        <w:rPr>
          <w:rFonts w:ascii="Times New Roman" w:eastAsia="Calibri" w:hAnsi="Times New Roman" w:cs="Times New Roman"/>
          <w:b/>
          <w:bCs/>
          <w:iCs/>
          <w:sz w:val="28"/>
          <w:szCs w:val="28"/>
          <w:u w:color="000000"/>
          <w:bdr w:val="nil"/>
          <w:lang w:val="de-DE" w:eastAsia="en-GB"/>
        </w:rPr>
      </w:pPr>
      <w:bookmarkStart w:id="0" w:name="_Hlk508050926"/>
      <w:r>
        <w:rPr>
          <w:rFonts w:ascii="Times New Roman" w:eastAsia="Calibri" w:hAnsi="Times New Roman" w:cs="Times New Roman"/>
          <w:b/>
          <w:bCs/>
          <w:iCs/>
          <w:sz w:val="28"/>
          <w:szCs w:val="28"/>
          <w:u w:color="000000"/>
          <w:bdr w:val="nil"/>
          <w:lang w:val="de-DE" w:eastAsia="en-GB"/>
        </w:rPr>
        <w:t xml:space="preserve">Response bias </w:t>
      </w:r>
      <w:r w:rsidR="000C3C08">
        <w:rPr>
          <w:rFonts w:ascii="Times New Roman" w:eastAsia="Calibri" w:hAnsi="Times New Roman" w:cs="Times New Roman"/>
          <w:b/>
          <w:bCs/>
          <w:iCs/>
          <w:sz w:val="28"/>
          <w:szCs w:val="28"/>
          <w:u w:color="000000"/>
          <w:bdr w:val="nil"/>
          <w:lang w:val="de-DE" w:eastAsia="en-GB"/>
        </w:rPr>
        <w:t>to a</w:t>
      </w:r>
      <w:r>
        <w:rPr>
          <w:rFonts w:ascii="Times New Roman" w:eastAsia="Calibri" w:hAnsi="Times New Roman" w:cs="Times New Roman"/>
          <w:b/>
          <w:bCs/>
          <w:iCs/>
          <w:sz w:val="28"/>
          <w:szCs w:val="28"/>
          <w:u w:color="000000"/>
          <w:bdr w:val="nil"/>
          <w:lang w:val="de-DE" w:eastAsia="en-GB"/>
        </w:rPr>
        <w:t xml:space="preserve"> randomised controlled</w:t>
      </w:r>
      <w:r w:rsidR="00FD59C0">
        <w:rPr>
          <w:rFonts w:ascii="Times New Roman" w:eastAsia="Calibri" w:hAnsi="Times New Roman" w:cs="Times New Roman"/>
          <w:b/>
          <w:bCs/>
          <w:iCs/>
          <w:sz w:val="28"/>
          <w:szCs w:val="28"/>
          <w:u w:color="000000"/>
          <w:bdr w:val="nil"/>
          <w:lang w:val="de-DE" w:eastAsia="en-GB"/>
        </w:rPr>
        <w:t xml:space="preserve"> trial of a lifestyle intervention </w:t>
      </w:r>
      <w:r w:rsidR="00881374">
        <w:rPr>
          <w:rFonts w:ascii="Times New Roman" w:eastAsia="Calibri" w:hAnsi="Times New Roman" w:cs="Times New Roman"/>
          <w:b/>
          <w:bCs/>
          <w:iCs/>
          <w:sz w:val="28"/>
          <w:szCs w:val="28"/>
          <w:u w:color="000000"/>
          <w:bdr w:val="nil"/>
          <w:lang w:val="de-DE" w:eastAsia="en-GB"/>
        </w:rPr>
        <w:t>in people at high</w:t>
      </w:r>
      <w:r w:rsidR="00FD59C0">
        <w:rPr>
          <w:rFonts w:ascii="Times New Roman" w:eastAsia="Calibri" w:hAnsi="Times New Roman" w:cs="Times New Roman"/>
          <w:b/>
          <w:bCs/>
          <w:iCs/>
          <w:sz w:val="28"/>
          <w:szCs w:val="28"/>
          <w:u w:color="000000"/>
          <w:bdr w:val="nil"/>
          <w:lang w:val="de-DE" w:eastAsia="en-GB"/>
        </w:rPr>
        <w:t xml:space="preserve"> risk of </w:t>
      </w:r>
      <w:r w:rsidR="00FD59C0" w:rsidRPr="00771D7E">
        <w:rPr>
          <w:rFonts w:ascii="Times New Roman" w:eastAsia="Calibri" w:hAnsi="Times New Roman" w:cs="Times New Roman"/>
          <w:b/>
          <w:bCs/>
          <w:iCs/>
          <w:sz w:val="28"/>
          <w:szCs w:val="28"/>
          <w:u w:color="000000"/>
          <w:bdr w:val="nil"/>
          <w:lang w:val="de-DE" w:eastAsia="en-GB"/>
        </w:rPr>
        <w:t>cardiovascular disease</w:t>
      </w:r>
      <w:r w:rsidR="00152798">
        <w:rPr>
          <w:rFonts w:ascii="Times New Roman" w:eastAsia="Calibri" w:hAnsi="Times New Roman" w:cs="Times New Roman"/>
          <w:b/>
          <w:bCs/>
          <w:iCs/>
          <w:sz w:val="28"/>
          <w:szCs w:val="28"/>
          <w:u w:color="000000"/>
          <w:bdr w:val="nil"/>
          <w:lang w:val="de-DE" w:eastAsia="en-GB"/>
        </w:rPr>
        <w:t>: a cross-sectional analysis</w:t>
      </w:r>
    </w:p>
    <w:bookmarkEnd w:id="0"/>
    <w:p w14:paraId="0D9B4EF6" w14:textId="64462AB2" w:rsidR="007E22C1" w:rsidRPr="00FD59C0" w:rsidRDefault="00771D7E" w:rsidP="003F3A43">
      <w:pPr>
        <w:pBdr>
          <w:top w:val="nil"/>
          <w:left w:val="nil"/>
          <w:bottom w:val="nil"/>
          <w:right w:val="nil"/>
          <w:between w:val="nil"/>
          <w:bar w:val="nil"/>
        </w:pBdr>
        <w:spacing w:before="240" w:line="360" w:lineRule="auto"/>
        <w:rPr>
          <w:rFonts w:ascii="Times New Roman" w:eastAsia="Calibri" w:hAnsi="Times New Roman" w:cs="Times New Roman"/>
          <w:bCs/>
          <w:iCs/>
          <w:szCs w:val="28"/>
          <w:u w:color="000000"/>
          <w:bdr w:val="nil"/>
          <w:vertAlign w:val="superscript"/>
          <w:lang w:val="de-DE" w:eastAsia="en-GB"/>
        </w:rPr>
      </w:pPr>
      <w:r w:rsidRPr="00FD59C0">
        <w:rPr>
          <w:rFonts w:ascii="Times New Roman" w:eastAsia="Calibri" w:hAnsi="Times New Roman" w:cs="Times New Roman"/>
          <w:bCs/>
          <w:iCs/>
          <w:szCs w:val="28"/>
          <w:u w:color="000000"/>
          <w:bdr w:val="nil"/>
          <w:lang w:val="de-DE" w:eastAsia="en-GB"/>
        </w:rPr>
        <w:t xml:space="preserve">Adam </w:t>
      </w:r>
      <w:r w:rsidR="008A4030" w:rsidRPr="00FD59C0">
        <w:rPr>
          <w:rFonts w:ascii="Times New Roman" w:eastAsia="Calibri" w:hAnsi="Times New Roman" w:cs="Times New Roman"/>
          <w:bCs/>
          <w:iCs/>
          <w:szCs w:val="28"/>
          <w:u w:color="000000"/>
          <w:bdr w:val="nil"/>
          <w:lang w:val="de-DE" w:eastAsia="en-GB"/>
        </w:rPr>
        <w:t>Bayley</w:t>
      </w:r>
      <w:r w:rsidR="00E020A4" w:rsidRPr="00FD59C0">
        <w:rPr>
          <w:rFonts w:ascii="Times New Roman" w:eastAsia="Calibri" w:hAnsi="Times New Roman" w:cs="Times New Roman"/>
          <w:bCs/>
          <w:iCs/>
          <w:szCs w:val="28"/>
          <w:u w:color="000000"/>
          <w:bdr w:val="nil"/>
          <w:vertAlign w:val="superscript"/>
          <w:lang w:val="de-DE" w:eastAsia="en-GB"/>
        </w:rPr>
        <w:t>a</w:t>
      </w:r>
      <w:r w:rsidR="00932D9B" w:rsidRPr="00FD59C0">
        <w:rPr>
          <w:rFonts w:ascii="Times New Roman" w:eastAsia="Calibri" w:hAnsi="Times New Roman" w:cs="Times New Roman"/>
          <w:bCs/>
          <w:iCs/>
          <w:szCs w:val="28"/>
          <w:u w:color="000000"/>
          <w:bdr w:val="nil"/>
          <w:lang w:val="de-DE" w:eastAsia="en-GB"/>
        </w:rPr>
        <w:t>, Daniel Stahl</w:t>
      </w:r>
      <w:r w:rsidR="00EF23F0" w:rsidRPr="00FD59C0">
        <w:rPr>
          <w:rFonts w:ascii="Times New Roman" w:eastAsia="Calibri" w:hAnsi="Times New Roman" w:cs="Times New Roman"/>
          <w:bCs/>
          <w:iCs/>
          <w:szCs w:val="28"/>
          <w:u w:color="000000"/>
          <w:bdr w:val="nil"/>
          <w:vertAlign w:val="superscript"/>
          <w:lang w:val="de-DE" w:eastAsia="en-GB"/>
        </w:rPr>
        <w:t>b</w:t>
      </w:r>
      <w:r w:rsidR="00932D9B" w:rsidRPr="00FD59C0">
        <w:rPr>
          <w:rFonts w:ascii="Times New Roman" w:eastAsia="Calibri" w:hAnsi="Times New Roman" w:cs="Times New Roman"/>
          <w:bCs/>
          <w:iCs/>
          <w:szCs w:val="28"/>
          <w:u w:color="000000"/>
          <w:bdr w:val="nil"/>
          <w:lang w:val="de-DE" w:eastAsia="en-GB"/>
        </w:rPr>
        <w:t>, Mark Ashworth</w:t>
      </w:r>
      <w:r w:rsidR="00932D9B" w:rsidRPr="00FD59C0">
        <w:rPr>
          <w:rFonts w:ascii="Times New Roman" w:eastAsia="Calibri" w:hAnsi="Times New Roman" w:cs="Times New Roman"/>
          <w:bCs/>
          <w:iCs/>
          <w:szCs w:val="28"/>
          <w:u w:color="000000"/>
          <w:bdr w:val="nil"/>
          <w:vertAlign w:val="superscript"/>
          <w:lang w:val="de-DE" w:eastAsia="en-GB"/>
        </w:rPr>
        <w:t>c</w:t>
      </w:r>
      <w:r w:rsidR="00932D9B" w:rsidRPr="00FD59C0">
        <w:rPr>
          <w:rFonts w:ascii="Times New Roman" w:eastAsia="Calibri" w:hAnsi="Times New Roman" w:cs="Times New Roman"/>
          <w:bCs/>
          <w:iCs/>
          <w:szCs w:val="28"/>
          <w:u w:color="000000"/>
          <w:bdr w:val="nil"/>
          <w:lang w:val="de-DE" w:eastAsia="en-GB"/>
        </w:rPr>
        <w:t xml:space="preserve">, </w:t>
      </w:r>
      <w:r w:rsidR="00EF23F0" w:rsidRPr="00FD59C0">
        <w:rPr>
          <w:rFonts w:ascii="Times New Roman" w:eastAsia="Calibri" w:hAnsi="Times New Roman" w:cs="Times New Roman"/>
          <w:bCs/>
          <w:iCs/>
          <w:szCs w:val="28"/>
          <w:u w:color="000000"/>
          <w:bdr w:val="nil"/>
          <w:lang w:val="de-DE" w:eastAsia="en-GB"/>
        </w:rPr>
        <w:t xml:space="preserve">Derek </w:t>
      </w:r>
      <w:r w:rsidR="000D0C8E" w:rsidRPr="00FD59C0">
        <w:rPr>
          <w:rFonts w:ascii="Times New Roman" w:eastAsia="Calibri" w:hAnsi="Times New Roman" w:cs="Times New Roman"/>
          <w:bCs/>
          <w:iCs/>
          <w:szCs w:val="28"/>
          <w:u w:color="000000"/>
          <w:bdr w:val="nil"/>
          <w:lang w:val="de-DE" w:eastAsia="en-GB"/>
        </w:rPr>
        <w:t xml:space="preserve">G </w:t>
      </w:r>
      <w:r w:rsidR="00EF23F0" w:rsidRPr="00FD59C0">
        <w:rPr>
          <w:rFonts w:ascii="Times New Roman" w:eastAsia="Calibri" w:hAnsi="Times New Roman" w:cs="Times New Roman"/>
          <w:bCs/>
          <w:iCs/>
          <w:szCs w:val="28"/>
          <w:u w:color="000000"/>
          <w:bdr w:val="nil"/>
          <w:lang w:val="de-DE" w:eastAsia="en-GB"/>
        </w:rPr>
        <w:t>Cook</w:t>
      </w:r>
      <w:r w:rsidR="00EF23F0" w:rsidRPr="00FD59C0">
        <w:rPr>
          <w:rFonts w:ascii="Times New Roman" w:eastAsia="Calibri" w:hAnsi="Times New Roman" w:cs="Times New Roman"/>
          <w:bCs/>
          <w:iCs/>
          <w:szCs w:val="28"/>
          <w:u w:color="000000"/>
          <w:bdr w:val="nil"/>
          <w:vertAlign w:val="superscript"/>
          <w:lang w:val="de-DE" w:eastAsia="en-GB"/>
        </w:rPr>
        <w:t>d</w:t>
      </w:r>
      <w:r w:rsidR="00EF23F0" w:rsidRPr="00FD59C0">
        <w:rPr>
          <w:rFonts w:ascii="Times New Roman" w:eastAsia="Calibri" w:hAnsi="Times New Roman" w:cs="Times New Roman"/>
          <w:bCs/>
          <w:iCs/>
          <w:szCs w:val="28"/>
          <w:u w:color="000000"/>
          <w:bdr w:val="nil"/>
          <w:lang w:val="de-DE" w:eastAsia="en-GB"/>
        </w:rPr>
        <w:t xml:space="preserve">, </w:t>
      </w:r>
      <w:r w:rsidR="00932D9B" w:rsidRPr="00FD59C0">
        <w:rPr>
          <w:rFonts w:ascii="Times New Roman" w:eastAsia="Calibri" w:hAnsi="Times New Roman" w:cs="Times New Roman"/>
          <w:bCs/>
          <w:iCs/>
          <w:szCs w:val="28"/>
          <w:u w:color="000000"/>
          <w:bdr w:val="nil"/>
          <w:lang w:val="de-DE" w:eastAsia="en-GB"/>
        </w:rPr>
        <w:t xml:space="preserve">Peter </w:t>
      </w:r>
      <w:r w:rsidR="000D0C8E" w:rsidRPr="00FD59C0">
        <w:rPr>
          <w:rFonts w:ascii="Times New Roman" w:eastAsia="Calibri" w:hAnsi="Times New Roman" w:cs="Times New Roman"/>
          <w:bCs/>
          <w:iCs/>
          <w:szCs w:val="28"/>
          <w:u w:color="000000"/>
          <w:bdr w:val="nil"/>
          <w:lang w:val="de-DE" w:eastAsia="en-GB"/>
        </w:rPr>
        <w:t xml:space="preserve">H </w:t>
      </w:r>
      <w:r w:rsidR="00932D9B" w:rsidRPr="00FD59C0">
        <w:rPr>
          <w:rFonts w:ascii="Times New Roman" w:eastAsia="Calibri" w:hAnsi="Times New Roman" w:cs="Times New Roman"/>
          <w:bCs/>
          <w:iCs/>
          <w:szCs w:val="28"/>
          <w:u w:color="000000"/>
          <w:bdr w:val="nil"/>
          <w:lang w:val="de-DE" w:eastAsia="en-GB"/>
        </w:rPr>
        <w:t>Whincup</w:t>
      </w:r>
      <w:r w:rsidR="00EF23F0" w:rsidRPr="00FD59C0">
        <w:rPr>
          <w:rFonts w:ascii="Times New Roman" w:eastAsia="Calibri" w:hAnsi="Times New Roman" w:cs="Times New Roman"/>
          <w:bCs/>
          <w:iCs/>
          <w:szCs w:val="28"/>
          <w:u w:color="000000"/>
          <w:bdr w:val="nil"/>
          <w:vertAlign w:val="superscript"/>
          <w:lang w:val="de-DE" w:eastAsia="en-GB"/>
        </w:rPr>
        <w:t>d</w:t>
      </w:r>
      <w:r w:rsidR="00932D9B" w:rsidRPr="00FD59C0">
        <w:rPr>
          <w:rFonts w:ascii="Times New Roman" w:eastAsia="Calibri" w:hAnsi="Times New Roman" w:cs="Times New Roman"/>
          <w:bCs/>
          <w:iCs/>
          <w:szCs w:val="28"/>
          <w:u w:color="000000"/>
          <w:bdr w:val="nil"/>
          <w:lang w:val="de-DE" w:eastAsia="en-GB"/>
        </w:rPr>
        <w:t xml:space="preserve">, </w:t>
      </w:r>
      <w:r w:rsidR="00EF23F0" w:rsidRPr="00FD59C0">
        <w:rPr>
          <w:rFonts w:ascii="Times New Roman" w:eastAsia="Calibri" w:hAnsi="Times New Roman" w:cs="Times New Roman"/>
          <w:bCs/>
          <w:iCs/>
          <w:szCs w:val="28"/>
          <w:u w:color="000000"/>
          <w:bdr w:val="nil"/>
          <w:lang w:val="de-DE" w:eastAsia="en-GB"/>
        </w:rPr>
        <w:t>Janet Treasure</w:t>
      </w:r>
      <w:r w:rsidR="00EF23F0" w:rsidRPr="00FD59C0">
        <w:rPr>
          <w:rFonts w:ascii="Times New Roman" w:eastAsia="Calibri" w:hAnsi="Times New Roman" w:cs="Times New Roman"/>
          <w:bCs/>
          <w:iCs/>
          <w:szCs w:val="28"/>
          <w:u w:color="000000"/>
          <w:bdr w:val="nil"/>
          <w:vertAlign w:val="superscript"/>
          <w:lang w:val="de-DE" w:eastAsia="en-GB"/>
        </w:rPr>
        <w:t>e</w:t>
      </w:r>
      <w:r w:rsidR="00EF23F0" w:rsidRPr="00FD59C0">
        <w:rPr>
          <w:rFonts w:ascii="Times New Roman" w:eastAsia="Calibri" w:hAnsi="Times New Roman" w:cs="Times New Roman"/>
          <w:bCs/>
          <w:iCs/>
          <w:szCs w:val="28"/>
          <w:u w:color="000000"/>
          <w:bdr w:val="nil"/>
          <w:lang w:val="de-DE" w:eastAsia="en-GB"/>
        </w:rPr>
        <w:t xml:space="preserve">, </w:t>
      </w:r>
      <w:r w:rsidR="00932D9B" w:rsidRPr="00FD59C0">
        <w:rPr>
          <w:rFonts w:ascii="Times New Roman" w:eastAsia="Calibri" w:hAnsi="Times New Roman" w:cs="Times New Roman"/>
          <w:bCs/>
          <w:iCs/>
          <w:szCs w:val="28"/>
          <w:u w:color="000000"/>
          <w:bdr w:val="nil"/>
          <w:lang w:val="de-DE" w:eastAsia="en-GB"/>
        </w:rPr>
        <w:t>Anne Greenough</w:t>
      </w:r>
      <w:r w:rsidR="002D637B" w:rsidRPr="00FD59C0">
        <w:rPr>
          <w:rFonts w:ascii="Times New Roman" w:eastAsia="Calibri" w:hAnsi="Times New Roman" w:cs="Times New Roman"/>
          <w:bCs/>
          <w:iCs/>
          <w:szCs w:val="28"/>
          <w:u w:color="000000"/>
          <w:bdr w:val="nil"/>
          <w:vertAlign w:val="superscript"/>
          <w:lang w:val="de-DE" w:eastAsia="en-GB"/>
        </w:rPr>
        <w:t>f</w:t>
      </w:r>
      <w:r w:rsidR="00EF23F0" w:rsidRPr="00FD59C0">
        <w:rPr>
          <w:rFonts w:ascii="Times New Roman" w:eastAsia="Calibri" w:hAnsi="Times New Roman" w:cs="Times New Roman"/>
          <w:bCs/>
          <w:iCs/>
          <w:szCs w:val="28"/>
          <w:u w:color="000000"/>
          <w:bdr w:val="nil"/>
          <w:lang w:val="de-DE" w:eastAsia="en-GB"/>
        </w:rPr>
        <w:t>, Katie Ridge</w:t>
      </w:r>
      <w:r w:rsidR="00EF23F0" w:rsidRPr="00FD59C0">
        <w:rPr>
          <w:rFonts w:ascii="Times New Roman" w:eastAsia="Calibri" w:hAnsi="Times New Roman" w:cs="Times New Roman"/>
          <w:bCs/>
          <w:iCs/>
          <w:szCs w:val="28"/>
          <w:u w:color="000000"/>
          <w:bdr w:val="nil"/>
          <w:vertAlign w:val="superscript"/>
          <w:lang w:val="de-DE" w:eastAsia="en-GB"/>
        </w:rPr>
        <w:t>a</w:t>
      </w:r>
      <w:r w:rsidR="00EF23F0" w:rsidRPr="00FD59C0">
        <w:rPr>
          <w:rFonts w:ascii="Times New Roman" w:eastAsia="Calibri" w:hAnsi="Times New Roman" w:cs="Times New Roman"/>
          <w:bCs/>
          <w:iCs/>
          <w:szCs w:val="28"/>
          <w:u w:color="000000"/>
          <w:bdr w:val="nil"/>
          <w:lang w:val="de-DE" w:eastAsia="en-GB"/>
        </w:rPr>
        <w:t>, Kirsty Winkley</w:t>
      </w:r>
      <w:r w:rsidR="00EF23F0" w:rsidRPr="00FD59C0">
        <w:rPr>
          <w:rFonts w:ascii="Times New Roman" w:eastAsia="Calibri" w:hAnsi="Times New Roman" w:cs="Times New Roman"/>
          <w:bCs/>
          <w:iCs/>
          <w:szCs w:val="28"/>
          <w:u w:color="000000"/>
          <w:bdr w:val="nil"/>
          <w:vertAlign w:val="superscript"/>
          <w:lang w:val="de-DE" w:eastAsia="en-GB"/>
        </w:rPr>
        <w:t>a</w:t>
      </w:r>
      <w:r w:rsidR="00932D9B" w:rsidRPr="00FD59C0">
        <w:rPr>
          <w:rFonts w:ascii="Times New Roman" w:eastAsia="Calibri" w:hAnsi="Times New Roman" w:cs="Times New Roman"/>
          <w:bCs/>
          <w:iCs/>
          <w:szCs w:val="28"/>
          <w:u w:color="000000"/>
          <w:bdr w:val="nil"/>
          <w:vertAlign w:val="superscript"/>
          <w:lang w:val="de-DE" w:eastAsia="en-GB"/>
        </w:rPr>
        <w:t xml:space="preserve"> </w:t>
      </w:r>
      <w:r w:rsidRPr="00FD59C0">
        <w:rPr>
          <w:rFonts w:ascii="Times New Roman" w:eastAsia="Calibri" w:hAnsi="Times New Roman" w:cs="Times New Roman"/>
          <w:bCs/>
          <w:iCs/>
          <w:szCs w:val="28"/>
          <w:u w:color="000000"/>
          <w:bdr w:val="nil"/>
          <w:lang w:val="de-DE" w:eastAsia="en-GB"/>
        </w:rPr>
        <w:t xml:space="preserve">and Khalida </w:t>
      </w:r>
      <w:r w:rsidR="007E22C1" w:rsidRPr="00FD59C0">
        <w:rPr>
          <w:rFonts w:ascii="Times New Roman" w:eastAsia="Calibri" w:hAnsi="Times New Roman" w:cs="Times New Roman"/>
          <w:bCs/>
          <w:iCs/>
          <w:szCs w:val="28"/>
          <w:u w:color="000000"/>
          <w:bdr w:val="nil"/>
          <w:lang w:val="de-DE" w:eastAsia="en-GB"/>
        </w:rPr>
        <w:t>Ismai</w:t>
      </w:r>
      <w:r w:rsidRPr="00FD59C0">
        <w:rPr>
          <w:rFonts w:ascii="Times New Roman" w:eastAsia="Calibri" w:hAnsi="Times New Roman" w:cs="Times New Roman"/>
          <w:bCs/>
          <w:iCs/>
          <w:szCs w:val="28"/>
          <w:u w:color="000000"/>
          <w:bdr w:val="nil"/>
          <w:lang w:val="de-DE" w:eastAsia="en-GB"/>
        </w:rPr>
        <w:t>l</w:t>
      </w:r>
      <w:r w:rsidR="00E020A4" w:rsidRPr="00FD59C0">
        <w:rPr>
          <w:rFonts w:ascii="Times New Roman" w:eastAsia="Calibri" w:hAnsi="Times New Roman" w:cs="Times New Roman"/>
          <w:bCs/>
          <w:iCs/>
          <w:szCs w:val="28"/>
          <w:u w:color="000000"/>
          <w:bdr w:val="nil"/>
          <w:vertAlign w:val="superscript"/>
          <w:lang w:val="de-DE" w:eastAsia="en-GB"/>
        </w:rPr>
        <w:t>a</w:t>
      </w:r>
    </w:p>
    <w:p w14:paraId="1A30F5AE" w14:textId="0329391C" w:rsidR="007E22C1" w:rsidRPr="00EF23F0" w:rsidRDefault="00E020A4" w:rsidP="003F3A43">
      <w:pPr>
        <w:pBdr>
          <w:top w:val="nil"/>
          <w:left w:val="nil"/>
          <w:bottom w:val="nil"/>
          <w:right w:val="nil"/>
          <w:between w:val="nil"/>
          <w:bar w:val="nil"/>
        </w:pBdr>
        <w:spacing w:before="240" w:line="360" w:lineRule="auto"/>
        <w:jc w:val="both"/>
        <w:rPr>
          <w:rFonts w:ascii="Times New Roman" w:eastAsia="Calibri" w:hAnsi="Times New Roman" w:cs="Times New Roman"/>
          <w:color w:val="000000"/>
          <w:u w:color="000000"/>
          <w:bdr w:val="nil"/>
          <w:lang w:val="de-DE" w:eastAsia="en-GB"/>
        </w:rPr>
      </w:pPr>
      <w:r w:rsidRPr="00EF23F0">
        <w:rPr>
          <w:rFonts w:ascii="Times New Roman" w:eastAsia="Calibri" w:hAnsi="Times New Roman" w:cs="Times New Roman"/>
          <w:color w:val="000000"/>
          <w:u w:color="000000"/>
          <w:bdr w:val="nil"/>
          <w:vertAlign w:val="superscript"/>
          <w:lang w:val="de-DE" w:eastAsia="en-GB"/>
        </w:rPr>
        <w:t>a</w:t>
      </w:r>
      <w:r w:rsidR="00EF23F0">
        <w:rPr>
          <w:rFonts w:ascii="Times New Roman" w:eastAsia="Calibri" w:hAnsi="Times New Roman" w:cs="Times New Roman"/>
          <w:color w:val="000000"/>
          <w:u w:color="000000"/>
          <w:bdr w:val="nil"/>
          <w:lang w:val="de-DE" w:eastAsia="en-GB"/>
        </w:rPr>
        <w:t>Department of Psychological Medicine, I</w:t>
      </w:r>
      <w:r w:rsidR="007E22C1" w:rsidRPr="00EF23F0">
        <w:rPr>
          <w:rFonts w:ascii="Times New Roman" w:eastAsia="Calibri" w:hAnsi="Times New Roman" w:cs="Times New Roman"/>
          <w:color w:val="000000"/>
          <w:u w:color="000000"/>
          <w:bdr w:val="nil"/>
          <w:lang w:val="de-DE" w:eastAsia="en-GB"/>
        </w:rPr>
        <w:t>nstitute of Psychiatry, Psychology a</w:t>
      </w:r>
      <w:r w:rsidR="00D710AC" w:rsidRPr="00EF23F0">
        <w:rPr>
          <w:rFonts w:ascii="Times New Roman" w:eastAsia="Calibri" w:hAnsi="Times New Roman" w:cs="Times New Roman"/>
          <w:color w:val="000000"/>
          <w:u w:color="000000"/>
          <w:bdr w:val="nil"/>
          <w:lang w:val="de-DE" w:eastAsia="en-GB"/>
        </w:rPr>
        <w:t>nd Neuroscience, King‘s College</w:t>
      </w:r>
      <w:r w:rsidR="007E22C1" w:rsidRPr="00EF23F0">
        <w:rPr>
          <w:rFonts w:ascii="Times New Roman" w:eastAsia="Calibri" w:hAnsi="Times New Roman" w:cs="Times New Roman"/>
          <w:color w:val="000000"/>
          <w:u w:color="000000"/>
          <w:bdr w:val="nil"/>
          <w:lang w:val="de-DE" w:eastAsia="en-GB"/>
        </w:rPr>
        <w:t xml:space="preserve"> London</w:t>
      </w:r>
      <w:r w:rsidR="00EF23F0">
        <w:rPr>
          <w:rFonts w:ascii="Times New Roman" w:eastAsia="Calibri" w:hAnsi="Times New Roman" w:cs="Times New Roman"/>
          <w:color w:val="000000"/>
          <w:u w:color="000000"/>
          <w:bdr w:val="nil"/>
          <w:lang w:val="de-DE" w:eastAsia="en-GB"/>
        </w:rPr>
        <w:t>, 10 Cutcombe Road,</w:t>
      </w:r>
      <w:r w:rsidR="007E22C1" w:rsidRPr="00EF23F0">
        <w:rPr>
          <w:rFonts w:ascii="Times New Roman" w:eastAsia="Calibri" w:hAnsi="Times New Roman" w:cs="Times New Roman"/>
          <w:color w:val="000000"/>
          <w:u w:color="000000"/>
          <w:bdr w:val="nil"/>
          <w:lang w:val="de-DE" w:eastAsia="en-GB"/>
        </w:rPr>
        <w:t xml:space="preserve"> SE5 </w:t>
      </w:r>
      <w:r w:rsidR="00EF23F0">
        <w:rPr>
          <w:rFonts w:ascii="Times New Roman" w:eastAsia="Calibri" w:hAnsi="Times New Roman" w:cs="Times New Roman"/>
          <w:color w:val="000000"/>
          <w:u w:color="000000"/>
          <w:bdr w:val="nil"/>
          <w:lang w:val="de-DE" w:eastAsia="en-GB"/>
        </w:rPr>
        <w:t>9RJ</w:t>
      </w:r>
      <w:r w:rsidR="007E22C1" w:rsidRPr="00EF23F0">
        <w:rPr>
          <w:rFonts w:ascii="Times New Roman" w:eastAsia="Calibri" w:hAnsi="Times New Roman" w:cs="Times New Roman"/>
          <w:color w:val="000000"/>
          <w:u w:color="000000"/>
          <w:bdr w:val="nil"/>
          <w:lang w:val="de-DE" w:eastAsia="en-GB"/>
        </w:rPr>
        <w:t xml:space="preserve">, </w:t>
      </w:r>
      <w:r w:rsidR="00932D9B" w:rsidRPr="00EF23F0">
        <w:rPr>
          <w:rFonts w:ascii="Times New Roman" w:eastAsia="Calibri" w:hAnsi="Times New Roman" w:cs="Times New Roman"/>
          <w:color w:val="000000"/>
          <w:u w:color="000000"/>
          <w:bdr w:val="nil"/>
          <w:lang w:val="de-DE" w:eastAsia="en-GB"/>
        </w:rPr>
        <w:t>UK.</w:t>
      </w:r>
    </w:p>
    <w:p w14:paraId="634DE488" w14:textId="1B4384C5" w:rsidR="007E22C1" w:rsidRPr="00EF23F0" w:rsidRDefault="00EF23F0" w:rsidP="00EF23F0">
      <w:pPr>
        <w:autoSpaceDE w:val="0"/>
        <w:autoSpaceDN w:val="0"/>
        <w:adjustRightInd w:val="0"/>
        <w:spacing w:after="0" w:line="240" w:lineRule="auto"/>
        <w:rPr>
          <w:rFonts w:ascii="Times New Roman" w:hAnsi="Times New Roman" w:cs="Times New Roman"/>
        </w:rPr>
      </w:pPr>
      <w:r w:rsidRPr="00EF23F0">
        <w:rPr>
          <w:rFonts w:ascii="Times New Roman" w:eastAsia="Calibri" w:hAnsi="Times New Roman" w:cs="Times New Roman"/>
          <w:color w:val="000000"/>
          <w:u w:color="000000"/>
          <w:bdr w:val="nil"/>
          <w:vertAlign w:val="superscript"/>
          <w:lang w:val="de-DE" w:eastAsia="en-GB"/>
        </w:rPr>
        <w:t>b</w:t>
      </w:r>
      <w:r w:rsidRPr="00EF23F0">
        <w:rPr>
          <w:rFonts w:ascii="Times New Roman" w:eastAsia="Calibri" w:hAnsi="Times New Roman" w:cs="Times New Roman"/>
          <w:color w:val="000000"/>
          <w:u w:color="000000"/>
          <w:bdr w:val="nil"/>
          <w:lang w:val="de-DE" w:eastAsia="en-GB"/>
        </w:rPr>
        <w:t>Department of Biostatistics, Institute of Psychiatry, King’s College London, 16 De Crespigny Park, London SE5 8AF, UK.</w:t>
      </w:r>
    </w:p>
    <w:p w14:paraId="4952A98A" w14:textId="77777777" w:rsidR="00932D9B" w:rsidRPr="00EF23F0" w:rsidRDefault="00932D9B" w:rsidP="00932D9B">
      <w:pPr>
        <w:autoSpaceDE w:val="0"/>
        <w:autoSpaceDN w:val="0"/>
        <w:adjustRightInd w:val="0"/>
        <w:spacing w:after="0" w:line="240" w:lineRule="auto"/>
        <w:rPr>
          <w:rFonts w:ascii="Times New Roman" w:hAnsi="Times New Roman" w:cs="Times New Roman"/>
        </w:rPr>
      </w:pPr>
    </w:p>
    <w:p w14:paraId="033EFE49" w14:textId="39DE6903" w:rsidR="00932D9B" w:rsidRPr="00EF23F0" w:rsidRDefault="00932D9B" w:rsidP="00932D9B">
      <w:pPr>
        <w:autoSpaceDE w:val="0"/>
        <w:autoSpaceDN w:val="0"/>
        <w:adjustRightInd w:val="0"/>
        <w:spacing w:after="0" w:line="240" w:lineRule="auto"/>
        <w:rPr>
          <w:rFonts w:ascii="Times New Roman" w:hAnsi="Times New Roman" w:cs="Times New Roman"/>
        </w:rPr>
      </w:pPr>
      <w:proofErr w:type="spellStart"/>
      <w:r w:rsidRPr="00EF23F0">
        <w:rPr>
          <w:rFonts w:ascii="Times New Roman" w:hAnsi="Times New Roman" w:cs="Times New Roman"/>
          <w:vertAlign w:val="superscript"/>
        </w:rPr>
        <w:t>c</w:t>
      </w:r>
      <w:r w:rsidRPr="00EF23F0">
        <w:rPr>
          <w:rFonts w:ascii="Times New Roman" w:hAnsi="Times New Roman" w:cs="Times New Roman"/>
        </w:rPr>
        <w:t>Department</w:t>
      </w:r>
      <w:proofErr w:type="spellEnd"/>
      <w:r w:rsidRPr="00EF23F0">
        <w:rPr>
          <w:rFonts w:ascii="Times New Roman" w:hAnsi="Times New Roman" w:cs="Times New Roman"/>
        </w:rPr>
        <w:t xml:space="preserve"> of Primary Care and Public Health Sciences, King’s College London, </w:t>
      </w:r>
      <w:r w:rsidR="00EF23F0">
        <w:rPr>
          <w:rFonts w:ascii="Times New Roman" w:hAnsi="Times New Roman" w:cs="Times New Roman"/>
        </w:rPr>
        <w:t xml:space="preserve">Addison House, Guy’s Campus, </w:t>
      </w:r>
      <w:r w:rsidRPr="00EF23F0">
        <w:rPr>
          <w:rFonts w:ascii="Times New Roman" w:hAnsi="Times New Roman" w:cs="Times New Roman"/>
        </w:rPr>
        <w:t xml:space="preserve">London SE1 </w:t>
      </w:r>
      <w:r w:rsidR="00EF23F0">
        <w:rPr>
          <w:rFonts w:ascii="Times New Roman" w:hAnsi="Times New Roman" w:cs="Times New Roman"/>
        </w:rPr>
        <w:t>1UL,</w:t>
      </w:r>
      <w:r w:rsidRPr="00EF23F0">
        <w:rPr>
          <w:rFonts w:ascii="Times New Roman" w:hAnsi="Times New Roman" w:cs="Times New Roman"/>
        </w:rPr>
        <w:t xml:space="preserve"> UK.</w:t>
      </w:r>
    </w:p>
    <w:p w14:paraId="19B5BECF" w14:textId="77777777" w:rsidR="00EF23F0" w:rsidRPr="00EF23F0" w:rsidRDefault="00EF23F0" w:rsidP="00932D9B">
      <w:pPr>
        <w:autoSpaceDE w:val="0"/>
        <w:autoSpaceDN w:val="0"/>
        <w:adjustRightInd w:val="0"/>
        <w:spacing w:after="0" w:line="240" w:lineRule="auto"/>
        <w:rPr>
          <w:rFonts w:ascii="Times New Roman" w:hAnsi="Times New Roman" w:cs="Times New Roman"/>
        </w:rPr>
      </w:pPr>
    </w:p>
    <w:p w14:paraId="474C2915" w14:textId="64EDAA5F" w:rsidR="00EF23F0" w:rsidRPr="00EF23F0" w:rsidRDefault="00EF23F0" w:rsidP="00932D9B">
      <w:pPr>
        <w:autoSpaceDE w:val="0"/>
        <w:autoSpaceDN w:val="0"/>
        <w:adjustRightInd w:val="0"/>
        <w:spacing w:after="0" w:line="240" w:lineRule="auto"/>
        <w:rPr>
          <w:rFonts w:ascii="Times New Roman" w:hAnsi="Times New Roman" w:cs="Times New Roman"/>
        </w:rPr>
      </w:pPr>
      <w:proofErr w:type="spellStart"/>
      <w:r w:rsidRPr="00EF23F0">
        <w:rPr>
          <w:rFonts w:ascii="Times New Roman" w:hAnsi="Times New Roman" w:cs="Times New Roman"/>
          <w:vertAlign w:val="superscript"/>
        </w:rPr>
        <w:t>d</w:t>
      </w:r>
      <w:r w:rsidRPr="00EF23F0">
        <w:rPr>
          <w:rFonts w:ascii="Times New Roman" w:hAnsi="Times New Roman" w:cs="Times New Roman"/>
        </w:rPr>
        <w:t>Population</w:t>
      </w:r>
      <w:proofErr w:type="spellEnd"/>
      <w:r w:rsidRPr="00EF23F0">
        <w:rPr>
          <w:rFonts w:ascii="Times New Roman" w:hAnsi="Times New Roman" w:cs="Times New Roman"/>
        </w:rPr>
        <w:t xml:space="preserve"> Health Research Institute, St George’s, University of London, Cranmer Terrace, London SW17 0RE, UK.</w:t>
      </w:r>
    </w:p>
    <w:p w14:paraId="4FD0DDB9" w14:textId="77777777" w:rsidR="00EF23F0" w:rsidRPr="00EF23F0" w:rsidRDefault="00EF23F0" w:rsidP="00932D9B">
      <w:pPr>
        <w:autoSpaceDE w:val="0"/>
        <w:autoSpaceDN w:val="0"/>
        <w:adjustRightInd w:val="0"/>
        <w:spacing w:after="0" w:line="240" w:lineRule="auto"/>
        <w:rPr>
          <w:rFonts w:ascii="Times New Roman" w:hAnsi="Times New Roman" w:cs="Times New Roman"/>
        </w:rPr>
      </w:pPr>
    </w:p>
    <w:p w14:paraId="7C79D9CF" w14:textId="6F270936" w:rsidR="00EF23F0" w:rsidRPr="00EF23F0" w:rsidRDefault="00EF23F0" w:rsidP="00EF23F0">
      <w:pPr>
        <w:autoSpaceDE w:val="0"/>
        <w:autoSpaceDN w:val="0"/>
        <w:adjustRightInd w:val="0"/>
        <w:spacing w:after="0" w:line="240" w:lineRule="auto"/>
        <w:rPr>
          <w:rFonts w:ascii="Times New Roman" w:hAnsi="Times New Roman" w:cs="Times New Roman"/>
        </w:rPr>
      </w:pPr>
      <w:proofErr w:type="spellStart"/>
      <w:r w:rsidRPr="00EF23F0">
        <w:rPr>
          <w:rFonts w:ascii="Times New Roman" w:hAnsi="Times New Roman" w:cs="Times New Roman"/>
          <w:vertAlign w:val="superscript"/>
        </w:rPr>
        <w:t>e</w:t>
      </w:r>
      <w:r w:rsidRPr="00EF23F0">
        <w:rPr>
          <w:rFonts w:ascii="Times New Roman" w:hAnsi="Times New Roman" w:cs="Times New Roman"/>
        </w:rPr>
        <w:t>Department</w:t>
      </w:r>
      <w:proofErr w:type="spellEnd"/>
      <w:r w:rsidRPr="00EF23F0">
        <w:rPr>
          <w:rFonts w:ascii="Times New Roman" w:hAnsi="Times New Roman" w:cs="Times New Roman"/>
        </w:rPr>
        <w:t xml:space="preserve"> of Health Services and Population Research, Institute of Psychiatry, King’s College London, 16 De </w:t>
      </w:r>
      <w:proofErr w:type="spellStart"/>
      <w:r w:rsidRPr="00EF23F0">
        <w:rPr>
          <w:rFonts w:ascii="Times New Roman" w:hAnsi="Times New Roman" w:cs="Times New Roman"/>
        </w:rPr>
        <w:t>Crespigny</w:t>
      </w:r>
      <w:proofErr w:type="spellEnd"/>
      <w:r w:rsidRPr="00EF23F0">
        <w:rPr>
          <w:rFonts w:ascii="Times New Roman" w:hAnsi="Times New Roman" w:cs="Times New Roman"/>
        </w:rPr>
        <w:t xml:space="preserve"> Park, London SE5 8AF, UK.</w:t>
      </w:r>
    </w:p>
    <w:p w14:paraId="232E65DD" w14:textId="77777777" w:rsidR="00932D9B" w:rsidRPr="00EF23F0" w:rsidRDefault="00932D9B" w:rsidP="00932D9B">
      <w:pPr>
        <w:autoSpaceDE w:val="0"/>
        <w:autoSpaceDN w:val="0"/>
        <w:adjustRightInd w:val="0"/>
        <w:spacing w:after="0" w:line="240" w:lineRule="auto"/>
        <w:rPr>
          <w:rFonts w:ascii="Times New Roman" w:hAnsi="Times New Roman" w:cs="Times New Roman"/>
        </w:rPr>
      </w:pPr>
    </w:p>
    <w:p w14:paraId="4606A29B" w14:textId="284C8A13" w:rsidR="00932D9B" w:rsidRPr="006079BB" w:rsidRDefault="00EF23F0" w:rsidP="006079BB">
      <w:pPr>
        <w:autoSpaceDE w:val="0"/>
        <w:autoSpaceDN w:val="0"/>
        <w:adjustRightInd w:val="0"/>
        <w:spacing w:after="0" w:line="240" w:lineRule="auto"/>
        <w:rPr>
          <w:rFonts w:ascii="Times New Roman" w:hAnsi="Times New Roman" w:cs="Times New Roman"/>
        </w:rPr>
      </w:pPr>
      <w:proofErr w:type="spellStart"/>
      <w:r w:rsidRPr="00EF23F0">
        <w:rPr>
          <w:rFonts w:ascii="Times New Roman" w:hAnsi="Times New Roman" w:cs="Times New Roman"/>
          <w:vertAlign w:val="superscript"/>
        </w:rPr>
        <w:t>f</w:t>
      </w:r>
      <w:r w:rsidR="002D637B">
        <w:rPr>
          <w:rFonts w:ascii="Times New Roman" w:hAnsi="Times New Roman" w:cs="Times New Roman"/>
        </w:rPr>
        <w:t>Division</w:t>
      </w:r>
      <w:proofErr w:type="spellEnd"/>
      <w:r w:rsidR="002D637B">
        <w:rPr>
          <w:rFonts w:ascii="Times New Roman" w:hAnsi="Times New Roman" w:cs="Times New Roman"/>
        </w:rPr>
        <w:t xml:space="preserve"> </w:t>
      </w:r>
      <w:r w:rsidR="00932D9B" w:rsidRPr="00EF23F0">
        <w:rPr>
          <w:rFonts w:ascii="Times New Roman" w:hAnsi="Times New Roman" w:cs="Times New Roman"/>
        </w:rPr>
        <w:t>of Asthma, Allergy and Lung Biology, King’s College London, Guy’s Hospital, London SE1 9RT, UK</w:t>
      </w:r>
      <w:r w:rsidR="006079BB">
        <w:rPr>
          <w:rFonts w:ascii="Times New Roman" w:hAnsi="Times New Roman" w:cs="Times New Roman"/>
        </w:rPr>
        <w:t>;</w:t>
      </w:r>
      <w:r w:rsidR="006079BB" w:rsidRPr="006079BB">
        <w:t xml:space="preserve"> </w:t>
      </w:r>
      <w:r w:rsidR="006079BB" w:rsidRPr="006079BB">
        <w:rPr>
          <w:rFonts w:ascii="Times New Roman" w:hAnsi="Times New Roman" w:cs="Times New Roman"/>
        </w:rPr>
        <w:t>MRC &amp; Asthma UK Centre for Allergic Mechanisms in Asthma;</w:t>
      </w:r>
      <w:r w:rsidR="006079BB">
        <w:rPr>
          <w:rFonts w:ascii="Times New Roman" w:hAnsi="Times New Roman" w:cs="Times New Roman"/>
        </w:rPr>
        <w:t xml:space="preserve"> </w:t>
      </w:r>
      <w:r w:rsidR="006079BB" w:rsidRPr="006079BB">
        <w:rPr>
          <w:rFonts w:ascii="Times New Roman" w:hAnsi="Times New Roman" w:cs="Times New Roman"/>
        </w:rPr>
        <w:t>Department of Women and Children’s Health, School of Life Course Sciences</w:t>
      </w:r>
      <w:r w:rsidR="006079BB">
        <w:rPr>
          <w:rFonts w:ascii="Times New Roman" w:hAnsi="Times New Roman" w:cs="Times New Roman"/>
        </w:rPr>
        <w:t xml:space="preserve">, </w:t>
      </w:r>
      <w:r w:rsidR="006079BB" w:rsidRPr="006079BB">
        <w:rPr>
          <w:rFonts w:ascii="Times New Roman" w:hAnsi="Times New Roman" w:cs="Times New Roman"/>
        </w:rPr>
        <w:t>Faculty of Life Sciences and Medicine, King’s College London</w:t>
      </w:r>
      <w:r w:rsidR="006079BB">
        <w:rPr>
          <w:rFonts w:ascii="Times New Roman" w:hAnsi="Times New Roman" w:cs="Times New Roman"/>
        </w:rPr>
        <w:t>.</w:t>
      </w:r>
    </w:p>
    <w:p w14:paraId="7A5BFC7B" w14:textId="77777777" w:rsidR="001B05C9" w:rsidRDefault="001B05C9" w:rsidP="001B05C9">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p>
    <w:p w14:paraId="326DD441" w14:textId="3EF30E2D"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Adam Bayley</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adam.bayley@kcl.ac.uk</w:t>
      </w:r>
    </w:p>
    <w:p w14:paraId="10BB809A" w14:textId="0610AA38"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Daniel Stahl</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daniel.r.stahl@kcl.ac.uk</w:t>
      </w:r>
    </w:p>
    <w:p w14:paraId="7A087EEA" w14:textId="48A28044"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Mark Ashworth</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mark.ashworth@kcl.ac.uk</w:t>
      </w:r>
    </w:p>
    <w:p w14:paraId="673D0000" w14:textId="444C51F3"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Derek G Cook</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sgjd250@sgul.ac.uk</w:t>
      </w:r>
    </w:p>
    <w:p w14:paraId="6D407ABF" w14:textId="67D8AB51"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Peter H Whincup</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pwhincup@sgul.ac.uk</w:t>
      </w:r>
    </w:p>
    <w:p w14:paraId="3350DC90" w14:textId="6E442F4E"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Janet Treasure</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janet.treasure@kcl.ac.uk</w:t>
      </w:r>
    </w:p>
    <w:p w14:paraId="07AD2283" w14:textId="4E476642"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Anne Greenough</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anne.greenough@kcl.ac.uk</w:t>
      </w:r>
    </w:p>
    <w:p w14:paraId="0DC3CA96" w14:textId="1B084BA7" w:rsidR="00BF2B39" w:rsidRDefault="00BF2B3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Katie Ridge: katie.ridge@kcl.ac.uk</w:t>
      </w:r>
    </w:p>
    <w:p w14:paraId="6DB225FB" w14:textId="7EB57263" w:rsidR="001B05C9" w:rsidRP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Kirsty Winkley</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kirsty.winkley@kcl.ac.uk</w:t>
      </w:r>
    </w:p>
    <w:p w14:paraId="64F62D56" w14:textId="1BAEB82A" w:rsidR="001B05C9" w:rsidRDefault="001B05C9" w:rsidP="007845CB">
      <w:pPr>
        <w:pBdr>
          <w:top w:val="nil"/>
          <w:left w:val="nil"/>
          <w:bottom w:val="nil"/>
          <w:right w:val="nil"/>
          <w:between w:val="nil"/>
          <w:bar w:val="nil"/>
        </w:pBdr>
        <w:spacing w:before="240" w:line="240" w:lineRule="auto"/>
        <w:jc w:val="both"/>
        <w:rPr>
          <w:rFonts w:ascii="Times New Roman" w:eastAsia="Calibri" w:hAnsi="Times New Roman" w:cs="Times New Roman"/>
          <w:color w:val="000000"/>
          <w:u w:color="000000"/>
          <w:bdr w:val="nil"/>
          <w:lang w:val="de-DE" w:eastAsia="en-GB"/>
        </w:rPr>
      </w:pPr>
      <w:r>
        <w:rPr>
          <w:rFonts w:ascii="Times New Roman" w:eastAsia="Calibri" w:hAnsi="Times New Roman" w:cs="Times New Roman"/>
          <w:color w:val="000000"/>
          <w:u w:color="000000"/>
          <w:bdr w:val="nil"/>
          <w:lang w:val="de-DE" w:eastAsia="en-GB"/>
        </w:rPr>
        <w:t>Khalida Ismail</w:t>
      </w:r>
      <w:r w:rsidR="006079BB">
        <w:rPr>
          <w:rFonts w:ascii="Times New Roman" w:eastAsia="Calibri" w:hAnsi="Times New Roman" w:cs="Times New Roman"/>
          <w:color w:val="000000"/>
          <w:u w:color="000000"/>
          <w:bdr w:val="nil"/>
          <w:lang w:val="de-DE" w:eastAsia="en-GB"/>
        </w:rPr>
        <w:t>:</w:t>
      </w:r>
      <w:r>
        <w:rPr>
          <w:rFonts w:ascii="Times New Roman" w:eastAsia="Calibri" w:hAnsi="Times New Roman" w:cs="Times New Roman"/>
          <w:color w:val="000000"/>
          <w:u w:color="000000"/>
          <w:bdr w:val="nil"/>
          <w:lang w:val="de-DE" w:eastAsia="en-GB"/>
        </w:rPr>
        <w:t xml:space="preserve"> khalida.2.ismail@kcl.ac.uk</w:t>
      </w:r>
      <w:r w:rsidRPr="0028569A">
        <w:rPr>
          <w:rFonts w:ascii="Times New Roman" w:eastAsia="Calibri" w:hAnsi="Times New Roman" w:cs="Times New Roman"/>
          <w:color w:val="000000"/>
          <w:u w:color="000000"/>
          <w:bdr w:val="nil"/>
          <w:lang w:val="de-DE" w:eastAsia="en-GB"/>
        </w:rPr>
        <w:t xml:space="preserve"> </w:t>
      </w:r>
      <w:r>
        <w:rPr>
          <w:rFonts w:ascii="Times New Roman" w:eastAsia="Calibri" w:hAnsi="Times New Roman" w:cs="Times New Roman"/>
          <w:color w:val="000000"/>
          <w:u w:color="000000"/>
          <w:bdr w:val="nil"/>
          <w:lang w:val="de-DE" w:eastAsia="en-GB"/>
        </w:rPr>
        <w:t>(corresponding author)</w:t>
      </w:r>
    </w:p>
    <w:p w14:paraId="15221883" w14:textId="01973D5C" w:rsidR="00E43648" w:rsidRPr="001B05C9" w:rsidRDefault="00D710AC" w:rsidP="00146777">
      <w:pPr>
        <w:spacing w:before="100" w:beforeAutospacing="1" w:after="100" w:afterAutospacing="1" w:line="480" w:lineRule="auto"/>
        <w:jc w:val="both"/>
        <w:rPr>
          <w:rFonts w:ascii="Times New Roman" w:eastAsia="Times New Roman" w:hAnsi="Times New Roman" w:cs="Times New Roman"/>
          <w:b/>
          <w:sz w:val="28"/>
          <w:szCs w:val="28"/>
          <w:lang w:val="en-GB"/>
        </w:rPr>
      </w:pPr>
      <w:r w:rsidRPr="001B05C9">
        <w:rPr>
          <w:rFonts w:ascii="Times New Roman" w:eastAsia="Times New Roman" w:hAnsi="Times New Roman" w:cs="Times New Roman"/>
          <w:b/>
          <w:sz w:val="28"/>
          <w:szCs w:val="28"/>
          <w:lang w:val="en-GB"/>
        </w:rPr>
        <w:lastRenderedPageBreak/>
        <w:t>A</w:t>
      </w:r>
      <w:r w:rsidR="001652E2" w:rsidRPr="001B05C9">
        <w:rPr>
          <w:rFonts w:ascii="Times New Roman" w:eastAsia="Times New Roman" w:hAnsi="Times New Roman" w:cs="Times New Roman"/>
          <w:b/>
          <w:sz w:val="28"/>
          <w:szCs w:val="28"/>
          <w:lang w:val="en-GB"/>
        </w:rPr>
        <w:t>bstract</w:t>
      </w:r>
    </w:p>
    <w:p w14:paraId="33472328" w14:textId="75B829EE" w:rsidR="000C3C08" w:rsidRDefault="000C3C08" w:rsidP="00146777">
      <w:pPr>
        <w:spacing w:after="0" w:line="480" w:lineRule="auto"/>
        <w:jc w:val="both"/>
        <w:rPr>
          <w:rFonts w:ascii="Times New Roman" w:eastAsia="Times New Roman" w:hAnsi="Times New Roman" w:cs="Times New Roman"/>
          <w:lang w:val="en-GB"/>
        </w:rPr>
      </w:pPr>
      <w:r w:rsidRPr="00771D7E">
        <w:rPr>
          <w:rFonts w:ascii="Times New Roman" w:eastAsia="Times New Roman" w:hAnsi="Times New Roman" w:cs="Times New Roman"/>
          <w:b/>
          <w:lang w:val="en-GB"/>
        </w:rPr>
        <w:t>Background</w:t>
      </w:r>
      <w:r>
        <w:rPr>
          <w:rFonts w:ascii="Times New Roman" w:eastAsia="Times New Roman" w:hAnsi="Times New Roman" w:cs="Times New Roman"/>
          <w:b/>
          <w:lang w:val="en-GB"/>
        </w:rPr>
        <w:t xml:space="preserve">: </w:t>
      </w:r>
      <w:r w:rsidR="00AB42D3">
        <w:rPr>
          <w:rFonts w:ascii="Times New Roman" w:eastAsia="Times New Roman" w:hAnsi="Times New Roman" w:cs="Times New Roman"/>
          <w:lang w:val="en-GB"/>
        </w:rPr>
        <w:t>Research evaluating l</w:t>
      </w:r>
      <w:r>
        <w:rPr>
          <w:rFonts w:ascii="Times New Roman" w:eastAsia="Times New Roman" w:hAnsi="Times New Roman" w:cs="Times New Roman"/>
          <w:lang w:val="en-GB"/>
        </w:rPr>
        <w:t>ifestyle</w:t>
      </w:r>
      <w:r w:rsidRPr="00B05CD6">
        <w:rPr>
          <w:rFonts w:ascii="Times New Roman" w:eastAsia="Times New Roman" w:hAnsi="Times New Roman" w:cs="Times New Roman"/>
          <w:lang w:val="en-GB"/>
        </w:rPr>
        <w:t xml:space="preserve"> interventions </w:t>
      </w:r>
      <w:r>
        <w:rPr>
          <w:rFonts w:ascii="Times New Roman" w:eastAsia="Times New Roman" w:hAnsi="Times New Roman" w:cs="Times New Roman"/>
          <w:lang w:val="en-GB"/>
        </w:rPr>
        <w:t>for prevention of</w:t>
      </w:r>
      <w:r w:rsidRPr="00DA56E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cardiovascular disease (CVD) may not reach those most at risk. We compared the response rate to a randomised controlled trial (RCT) of a lifestyle intervention by CVD risk, ethnicity and level of deprivation. </w:t>
      </w:r>
    </w:p>
    <w:p w14:paraId="4B1C7C7D" w14:textId="77777777" w:rsidR="000C3C08" w:rsidRPr="001673A3" w:rsidRDefault="000C3C08" w:rsidP="00146777">
      <w:pPr>
        <w:spacing w:after="0" w:line="480" w:lineRule="auto"/>
        <w:jc w:val="both"/>
        <w:rPr>
          <w:rFonts w:ascii="Times New Roman" w:eastAsia="Times New Roman" w:hAnsi="Times New Roman" w:cs="Times New Roman"/>
          <w:lang w:val="en-GB"/>
        </w:rPr>
      </w:pPr>
    </w:p>
    <w:p w14:paraId="1EE0A1C7" w14:textId="54F9516D" w:rsidR="000C3C08" w:rsidRPr="00771D7E" w:rsidRDefault="000C3C08" w:rsidP="00146777">
      <w:pPr>
        <w:spacing w:after="0" w:line="480" w:lineRule="auto"/>
        <w:jc w:val="both"/>
        <w:rPr>
          <w:rFonts w:ascii="Times New Roman" w:eastAsia="Times New Roman" w:hAnsi="Times New Roman" w:cs="Times New Roman"/>
          <w:b/>
          <w:lang w:val="en-GB"/>
        </w:rPr>
      </w:pPr>
      <w:r w:rsidRPr="00771D7E">
        <w:rPr>
          <w:rFonts w:ascii="Times New Roman" w:eastAsia="Times New Roman" w:hAnsi="Times New Roman" w:cs="Times New Roman"/>
          <w:b/>
          <w:lang w:val="en-GB"/>
        </w:rPr>
        <w:t>Methods:</w:t>
      </w:r>
      <w:r w:rsidRPr="00E9705C">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Primary care patients with a QRisk2 score ≥20% were invited to participate in a RCT of an intensive lifestyle intervention versus usual care. </w:t>
      </w:r>
      <w:r w:rsidR="00152798">
        <w:rPr>
          <w:rFonts w:ascii="Times New Roman" w:eastAsia="Times New Roman" w:hAnsi="Times New Roman" w:cs="Times New Roman"/>
          <w:lang w:val="en-GB"/>
        </w:rPr>
        <w:t>This cross-sectional analysis c</w:t>
      </w:r>
      <w:r>
        <w:rPr>
          <w:rFonts w:ascii="Times New Roman" w:eastAsia="Times New Roman" w:hAnsi="Times New Roman" w:cs="Times New Roman"/>
          <w:lang w:val="en-GB"/>
        </w:rPr>
        <w:t>ompare</w:t>
      </w:r>
      <w:r w:rsidR="00152798">
        <w:rPr>
          <w:rFonts w:ascii="Times New Roman" w:eastAsia="Times New Roman" w:hAnsi="Times New Roman" w:cs="Times New Roman"/>
          <w:lang w:val="en-GB"/>
        </w:rPr>
        <w:t>s</w:t>
      </w:r>
      <w:r>
        <w:rPr>
          <w:rFonts w:ascii="Times New Roman" w:eastAsia="Times New Roman" w:hAnsi="Times New Roman" w:cs="Times New Roman"/>
          <w:lang w:val="en-GB"/>
        </w:rPr>
        <w:t xml:space="preserve"> anonymised data of responders and non-responders </w:t>
      </w:r>
      <w:r w:rsidR="00881374">
        <w:rPr>
          <w:rFonts w:ascii="Times New Roman" w:eastAsia="Times New Roman" w:hAnsi="Times New Roman" w:cs="Times New Roman"/>
          <w:lang w:val="en-GB"/>
        </w:rPr>
        <w:t>with</w:t>
      </w:r>
      <w:r>
        <w:rPr>
          <w:rFonts w:ascii="Times New Roman" w:eastAsia="Times New Roman" w:hAnsi="Times New Roman" w:cs="Times New Roman"/>
          <w:lang w:val="en-GB"/>
        </w:rPr>
        <w:t xml:space="preserve"> multiple logistic regression, using </w:t>
      </w:r>
      <w:bookmarkStart w:id="1" w:name="_Hlk520450068"/>
      <w:r>
        <w:rPr>
          <w:rFonts w:ascii="Times New Roman" w:eastAsia="Times New Roman" w:hAnsi="Times New Roman" w:cs="Times New Roman"/>
          <w:lang w:val="en-GB"/>
        </w:rPr>
        <w:t xml:space="preserve">adjusted odds ratios (AORs) for QRisk2 score, ethnicity, Index of Multiple Deprivation </w:t>
      </w:r>
      <w:r w:rsidR="002954F3">
        <w:rPr>
          <w:rFonts w:ascii="Times New Roman" w:eastAsia="Times New Roman" w:hAnsi="Times New Roman" w:cs="Times New Roman"/>
          <w:lang w:val="en-GB"/>
        </w:rPr>
        <w:t xml:space="preserve">(IMD 2010) </w:t>
      </w:r>
      <w:r w:rsidR="000273B4">
        <w:rPr>
          <w:rFonts w:ascii="Times New Roman" w:eastAsia="Times New Roman" w:hAnsi="Times New Roman" w:cs="Times New Roman"/>
          <w:lang w:val="en-GB"/>
        </w:rPr>
        <w:t>quintile</w:t>
      </w:r>
      <w:r w:rsidR="00231379">
        <w:rPr>
          <w:rFonts w:ascii="Times New Roman" w:eastAsia="Times New Roman" w:hAnsi="Times New Roman" w:cs="Times New Roman"/>
          <w:lang w:val="en-GB"/>
        </w:rPr>
        <w:t>, age and sex</w:t>
      </w:r>
      <w:r>
        <w:rPr>
          <w:rFonts w:ascii="Times New Roman" w:eastAsia="Times New Roman" w:hAnsi="Times New Roman" w:cs="Times New Roman"/>
          <w:lang w:val="en-GB"/>
        </w:rPr>
        <w:t>.</w:t>
      </w:r>
      <w:bookmarkEnd w:id="1"/>
    </w:p>
    <w:p w14:paraId="2AAB0505" w14:textId="77777777" w:rsidR="000C3C08" w:rsidRDefault="000C3C08" w:rsidP="00146777">
      <w:pPr>
        <w:spacing w:after="0" w:line="480" w:lineRule="auto"/>
        <w:jc w:val="both"/>
        <w:rPr>
          <w:rFonts w:ascii="Times New Roman" w:eastAsia="Times New Roman" w:hAnsi="Times New Roman" w:cs="Times New Roman"/>
          <w:b/>
          <w:lang w:val="en-GB"/>
        </w:rPr>
      </w:pPr>
    </w:p>
    <w:p w14:paraId="7DEC4D5B" w14:textId="125E4753" w:rsidR="000C3C08" w:rsidRDefault="000C3C08" w:rsidP="00146777">
      <w:pPr>
        <w:spacing w:after="0" w:line="480" w:lineRule="auto"/>
        <w:jc w:val="both"/>
        <w:rPr>
          <w:rFonts w:ascii="Times New Roman" w:eastAsia="Times New Roman" w:hAnsi="Times New Roman" w:cs="Times New Roman"/>
          <w:lang w:val="en-GB"/>
        </w:rPr>
      </w:pPr>
      <w:r w:rsidRPr="00771D7E">
        <w:rPr>
          <w:rFonts w:ascii="Times New Roman" w:eastAsia="Times New Roman" w:hAnsi="Times New Roman" w:cs="Times New Roman"/>
          <w:b/>
          <w:lang w:val="en-GB"/>
        </w:rPr>
        <w:t>Results:</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 xml:space="preserve">From 60 general practices, 8902 patients were invited and </w:t>
      </w:r>
      <w:r w:rsidRPr="00FD2B39">
        <w:rPr>
          <w:rFonts w:ascii="Times New Roman" w:eastAsia="Times New Roman" w:hAnsi="Times New Roman" w:cs="Times New Roman"/>
          <w:lang w:val="en-GB"/>
        </w:rPr>
        <w:t xml:space="preserve">1489 </w:t>
      </w:r>
      <w:r>
        <w:rPr>
          <w:rFonts w:ascii="Times New Roman" w:eastAsia="Times New Roman" w:hAnsi="Times New Roman" w:cs="Times New Roman"/>
          <w:lang w:val="en-GB"/>
        </w:rPr>
        <w:t>responded.</w:t>
      </w:r>
      <w:r w:rsidRPr="00FD2B3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002954F3">
        <w:rPr>
          <w:rFonts w:ascii="Times New Roman" w:eastAsia="Times New Roman" w:hAnsi="Times New Roman" w:cs="Times New Roman"/>
          <w:lang w:val="en-GB"/>
        </w:rPr>
        <w:t>mean</w:t>
      </w:r>
      <w:r w:rsidR="003F0E49">
        <w:rPr>
          <w:rFonts w:ascii="Times New Roman" w:eastAsia="Times New Roman" w:hAnsi="Times New Roman" w:cs="Times New Roman"/>
          <w:lang w:val="en-GB"/>
        </w:rPr>
        <w:t xml:space="preserve"> age was 67.3 years and</w:t>
      </w:r>
      <w:r>
        <w:rPr>
          <w:rFonts w:ascii="Times New Roman" w:eastAsia="Times New Roman" w:hAnsi="Times New Roman" w:cs="Times New Roman"/>
          <w:lang w:val="en-GB"/>
        </w:rPr>
        <w:t xml:space="preserve"> 21.0% were female</w:t>
      </w:r>
      <w:r w:rsidR="003F0E49">
        <w:rPr>
          <w:rFonts w:ascii="Times New Roman" w:eastAsia="Times New Roman" w:hAnsi="Times New Roman" w:cs="Times New Roman"/>
          <w:lang w:val="en-GB"/>
        </w:rPr>
        <w:t xml:space="preserve">. </w:t>
      </w:r>
      <w:r w:rsidR="003F0E49" w:rsidRPr="003F0E49">
        <w:rPr>
          <w:rFonts w:ascii="Times New Roman" w:eastAsia="Times New Roman" w:hAnsi="Times New Roman" w:cs="Times New Roman"/>
          <w:lang w:val="en-GB"/>
        </w:rPr>
        <w:t>Of all patients invited, 69.9% were of white ethnic background, 13.9% ethnic minority backgrounds</w:t>
      </w:r>
      <w:r w:rsidR="003F0E49">
        <w:rPr>
          <w:rFonts w:ascii="Times New Roman" w:eastAsia="Times New Roman" w:hAnsi="Times New Roman" w:cs="Times New Roman"/>
          <w:lang w:val="en-GB"/>
        </w:rPr>
        <w:t xml:space="preserve"> </w:t>
      </w:r>
      <w:r w:rsidR="003F0E49" w:rsidRPr="003F0E49">
        <w:rPr>
          <w:rFonts w:ascii="Times New Roman" w:eastAsia="Times New Roman" w:hAnsi="Times New Roman" w:cs="Times New Roman"/>
          <w:lang w:val="en-GB"/>
        </w:rPr>
        <w:t>and 16.2% had no ethnicity data recorded in their medical records</w:t>
      </w:r>
      <w:r w:rsidR="003F0E49">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950E26">
        <w:rPr>
          <w:rFonts w:ascii="Times New Roman" w:eastAsia="Times New Roman" w:hAnsi="Times New Roman" w:cs="Times New Roman"/>
          <w:lang w:val="en-GB"/>
        </w:rPr>
        <w:t xml:space="preserve">Likelihood of response decreased </w:t>
      </w:r>
      <w:r>
        <w:rPr>
          <w:rFonts w:ascii="Times New Roman" w:eastAsia="Times New Roman" w:hAnsi="Times New Roman" w:cs="Times New Roman"/>
          <w:lang w:val="en-GB"/>
        </w:rPr>
        <w:t xml:space="preserve">as </w:t>
      </w:r>
      <w:r w:rsidRPr="00FD2B39">
        <w:rPr>
          <w:rFonts w:ascii="Times New Roman" w:eastAsia="Times New Roman" w:hAnsi="Times New Roman" w:cs="Times New Roman"/>
          <w:lang w:val="en-GB"/>
        </w:rPr>
        <w:t xml:space="preserve">QRisk2 score </w:t>
      </w:r>
      <w:r>
        <w:rPr>
          <w:rFonts w:ascii="Times New Roman" w:eastAsia="Times New Roman" w:hAnsi="Times New Roman" w:cs="Times New Roman"/>
          <w:lang w:val="en-GB"/>
        </w:rPr>
        <w:t xml:space="preserve">increased </w:t>
      </w:r>
      <w:r w:rsidRPr="00FD2B39">
        <w:rPr>
          <w:rFonts w:ascii="Times New Roman" w:eastAsia="Times New Roman" w:hAnsi="Times New Roman" w:cs="Times New Roman"/>
          <w:lang w:val="en-GB"/>
        </w:rPr>
        <w:t>(</w:t>
      </w:r>
      <w:r>
        <w:rPr>
          <w:rFonts w:ascii="Times New Roman" w:eastAsia="Times New Roman" w:hAnsi="Times New Roman" w:cs="Times New Roman"/>
          <w:lang w:val="en-GB"/>
        </w:rPr>
        <w:t>A</w:t>
      </w:r>
      <w:r w:rsidRPr="00FD2B39">
        <w:rPr>
          <w:rFonts w:ascii="Times New Roman" w:eastAsia="Times New Roman" w:hAnsi="Times New Roman" w:cs="Times New Roman"/>
          <w:lang w:val="en-GB"/>
        </w:rPr>
        <w:t>OR 0.8</w:t>
      </w:r>
      <w:r w:rsidR="000273B4">
        <w:rPr>
          <w:rFonts w:ascii="Times New Roman" w:eastAsia="Times New Roman" w:hAnsi="Times New Roman" w:cs="Times New Roman"/>
          <w:lang w:val="en-GB"/>
        </w:rPr>
        <w:t>2</w:t>
      </w:r>
      <w:r w:rsidR="002E3B14">
        <w:rPr>
          <w:rFonts w:ascii="Times New Roman" w:eastAsia="Times New Roman" w:hAnsi="Times New Roman" w:cs="Times New Roman"/>
          <w:lang w:val="en-GB"/>
        </w:rPr>
        <w:t xml:space="preserve"> per 5 percentage points</w:t>
      </w:r>
      <w:r>
        <w:rPr>
          <w:rFonts w:ascii="Times New Roman" w:eastAsia="Times New Roman" w:hAnsi="Times New Roman" w:cs="Times New Roman"/>
          <w:lang w:val="en-GB"/>
        </w:rPr>
        <w:t>,</w:t>
      </w:r>
      <w:r w:rsidRPr="00FD2B39">
        <w:rPr>
          <w:rFonts w:ascii="Times New Roman" w:eastAsia="Times New Roman" w:hAnsi="Times New Roman" w:cs="Times New Roman"/>
          <w:lang w:val="en-GB"/>
        </w:rPr>
        <w:t xml:space="preserve"> 95% CI 0.77-0.</w:t>
      </w:r>
      <w:r w:rsidR="00DE0990">
        <w:rPr>
          <w:rFonts w:ascii="Times New Roman" w:eastAsia="Times New Roman" w:hAnsi="Times New Roman" w:cs="Times New Roman"/>
          <w:lang w:val="en-GB"/>
        </w:rPr>
        <w:t>88</w:t>
      </w:r>
      <w:r w:rsidRPr="00FD2B39">
        <w:rPr>
          <w:rFonts w:ascii="Times New Roman" w:eastAsia="Times New Roman" w:hAnsi="Times New Roman" w:cs="Times New Roman"/>
          <w:lang w:val="en-GB"/>
        </w:rPr>
        <w:t xml:space="preserve">). </w:t>
      </w:r>
      <w:r w:rsidR="00950E26">
        <w:rPr>
          <w:rFonts w:ascii="Times New Roman" w:eastAsia="Times New Roman" w:hAnsi="Times New Roman" w:cs="Times New Roman"/>
          <w:lang w:val="en-GB"/>
        </w:rPr>
        <w:t>Black African or Caribbean patients</w:t>
      </w:r>
      <w:r w:rsidR="00950E26" w:rsidRPr="00FD2B39">
        <w:rPr>
          <w:rFonts w:ascii="Times New Roman" w:eastAsia="Times New Roman" w:hAnsi="Times New Roman" w:cs="Times New Roman"/>
          <w:lang w:val="en-GB"/>
        </w:rPr>
        <w:t xml:space="preserve"> (AOR 0.6</w:t>
      </w:r>
      <w:r w:rsidR="000273B4">
        <w:rPr>
          <w:rFonts w:ascii="Times New Roman" w:eastAsia="Times New Roman" w:hAnsi="Times New Roman" w:cs="Times New Roman"/>
          <w:lang w:val="en-GB"/>
        </w:rPr>
        <w:t>7</w:t>
      </w:r>
      <w:r w:rsidR="00950E26" w:rsidRPr="00FD2B39">
        <w:rPr>
          <w:rFonts w:ascii="Times New Roman" w:eastAsia="Times New Roman" w:hAnsi="Times New Roman" w:cs="Times New Roman"/>
          <w:lang w:val="en-GB"/>
        </w:rPr>
        <w:t>; 95% CI 0.45-0.9</w:t>
      </w:r>
      <w:r w:rsidR="000273B4">
        <w:rPr>
          <w:rFonts w:ascii="Times New Roman" w:eastAsia="Times New Roman" w:hAnsi="Times New Roman" w:cs="Times New Roman"/>
          <w:lang w:val="en-GB"/>
        </w:rPr>
        <w:t>8</w:t>
      </w:r>
      <w:r w:rsidR="00950E26" w:rsidRPr="00FD2B39">
        <w:rPr>
          <w:rFonts w:ascii="Times New Roman" w:eastAsia="Times New Roman" w:hAnsi="Times New Roman" w:cs="Times New Roman"/>
          <w:lang w:val="en-GB"/>
        </w:rPr>
        <w:t>) and those with missing ethnicity data (AOR 0.55; 95% CI 0.46-0.66) were less like</w:t>
      </w:r>
      <w:r w:rsidR="00950E26">
        <w:rPr>
          <w:rFonts w:ascii="Times New Roman" w:eastAsia="Times New Roman" w:hAnsi="Times New Roman" w:cs="Times New Roman"/>
          <w:lang w:val="en-GB"/>
        </w:rPr>
        <w:t>ly to respond compared to participants of white ethnicity, but there was no difference in the response rates between s</w:t>
      </w:r>
      <w:r w:rsidR="00950E26" w:rsidRPr="00FD2B39">
        <w:rPr>
          <w:rFonts w:ascii="Times New Roman" w:eastAsia="Times New Roman" w:hAnsi="Times New Roman" w:cs="Times New Roman"/>
          <w:lang w:val="en-GB"/>
        </w:rPr>
        <w:t>outh Asian</w:t>
      </w:r>
      <w:r w:rsidR="00950E26">
        <w:rPr>
          <w:rFonts w:ascii="Times New Roman" w:eastAsia="Times New Roman" w:hAnsi="Times New Roman" w:cs="Times New Roman"/>
          <w:lang w:val="en-GB"/>
        </w:rPr>
        <w:t xml:space="preserve"> and white ethnicity</w:t>
      </w:r>
      <w:r w:rsidR="00950E26" w:rsidRPr="00FD2B39">
        <w:rPr>
          <w:rFonts w:ascii="Times New Roman" w:eastAsia="Times New Roman" w:hAnsi="Times New Roman" w:cs="Times New Roman"/>
          <w:lang w:val="en-GB"/>
        </w:rPr>
        <w:t xml:space="preserve"> (AOR 1.0</w:t>
      </w:r>
      <w:r w:rsidR="000273B4">
        <w:rPr>
          <w:rFonts w:ascii="Times New Roman" w:eastAsia="Times New Roman" w:hAnsi="Times New Roman" w:cs="Times New Roman"/>
          <w:lang w:val="en-GB"/>
        </w:rPr>
        <w:t>8</w:t>
      </w:r>
      <w:r w:rsidR="00950E26" w:rsidRPr="00FD2B39">
        <w:rPr>
          <w:rFonts w:ascii="Times New Roman" w:eastAsia="Times New Roman" w:hAnsi="Times New Roman" w:cs="Times New Roman"/>
          <w:lang w:val="en-GB"/>
        </w:rPr>
        <w:t>; 95% CI 0.84-1.3</w:t>
      </w:r>
      <w:r w:rsidR="000273B4">
        <w:rPr>
          <w:rFonts w:ascii="Times New Roman" w:eastAsia="Times New Roman" w:hAnsi="Times New Roman" w:cs="Times New Roman"/>
          <w:lang w:val="en-GB"/>
        </w:rPr>
        <w:t>8</w:t>
      </w:r>
      <w:r w:rsidR="00950E26" w:rsidRPr="00FD2B39">
        <w:rPr>
          <w:rFonts w:ascii="Times New Roman" w:eastAsia="Times New Roman" w:hAnsi="Times New Roman" w:cs="Times New Roman"/>
          <w:lang w:val="en-GB"/>
        </w:rPr>
        <w:t>).</w:t>
      </w:r>
      <w:r w:rsidR="000273B4">
        <w:rPr>
          <w:rFonts w:ascii="Times New Roman" w:eastAsia="Times New Roman" w:hAnsi="Times New Roman" w:cs="Times New Roman"/>
          <w:lang w:val="en-GB"/>
        </w:rPr>
        <w:t xml:space="preserve"> Patients residing in the fourth </w:t>
      </w:r>
      <w:r w:rsidR="000273B4" w:rsidRPr="00FD2B39">
        <w:rPr>
          <w:rFonts w:ascii="Times New Roman" w:eastAsia="Times New Roman" w:hAnsi="Times New Roman" w:cs="Times New Roman"/>
          <w:lang w:val="en-GB"/>
        </w:rPr>
        <w:t>(AOR 0.</w:t>
      </w:r>
      <w:r w:rsidR="000273B4">
        <w:rPr>
          <w:rFonts w:ascii="Times New Roman" w:eastAsia="Times New Roman" w:hAnsi="Times New Roman" w:cs="Times New Roman"/>
          <w:lang w:val="en-GB"/>
        </w:rPr>
        <w:t>70</w:t>
      </w:r>
      <w:r w:rsidR="000273B4" w:rsidRPr="00FD2B39">
        <w:rPr>
          <w:rFonts w:ascii="Times New Roman" w:eastAsia="Times New Roman" w:hAnsi="Times New Roman" w:cs="Times New Roman"/>
          <w:lang w:val="en-GB"/>
        </w:rPr>
        <w:t>; 95% CI 0.</w:t>
      </w:r>
      <w:r w:rsidR="000273B4">
        <w:rPr>
          <w:rFonts w:ascii="Times New Roman" w:eastAsia="Times New Roman" w:hAnsi="Times New Roman" w:cs="Times New Roman"/>
          <w:lang w:val="en-GB"/>
        </w:rPr>
        <w:t>56</w:t>
      </w:r>
      <w:r w:rsidR="000273B4" w:rsidRPr="00FD2B39">
        <w:rPr>
          <w:rFonts w:ascii="Times New Roman" w:eastAsia="Times New Roman" w:hAnsi="Times New Roman" w:cs="Times New Roman"/>
          <w:lang w:val="en-GB"/>
        </w:rPr>
        <w:t>-0.</w:t>
      </w:r>
      <w:r w:rsidR="000273B4">
        <w:rPr>
          <w:rFonts w:ascii="Times New Roman" w:eastAsia="Times New Roman" w:hAnsi="Times New Roman" w:cs="Times New Roman"/>
          <w:lang w:val="en-GB"/>
        </w:rPr>
        <w:t xml:space="preserve">87) and fifth </w:t>
      </w:r>
      <w:r w:rsidR="000273B4" w:rsidRPr="00FD2B39">
        <w:rPr>
          <w:rFonts w:ascii="Times New Roman" w:eastAsia="Times New Roman" w:hAnsi="Times New Roman" w:cs="Times New Roman"/>
          <w:lang w:val="en-GB"/>
        </w:rPr>
        <w:t>(AOR 0.5</w:t>
      </w:r>
      <w:r w:rsidR="000273B4">
        <w:rPr>
          <w:rFonts w:ascii="Times New Roman" w:eastAsia="Times New Roman" w:hAnsi="Times New Roman" w:cs="Times New Roman"/>
          <w:lang w:val="en-GB"/>
        </w:rPr>
        <w:t>2</w:t>
      </w:r>
      <w:r w:rsidR="000273B4" w:rsidRPr="00FD2B39">
        <w:rPr>
          <w:rFonts w:ascii="Times New Roman" w:eastAsia="Times New Roman" w:hAnsi="Times New Roman" w:cs="Times New Roman"/>
          <w:lang w:val="en-GB"/>
        </w:rPr>
        <w:t>; 95% CI 0.4</w:t>
      </w:r>
      <w:r w:rsidR="000273B4">
        <w:rPr>
          <w:rFonts w:ascii="Times New Roman" w:eastAsia="Times New Roman" w:hAnsi="Times New Roman" w:cs="Times New Roman"/>
          <w:lang w:val="en-GB"/>
        </w:rPr>
        <w:t>0</w:t>
      </w:r>
      <w:r w:rsidR="000273B4" w:rsidRPr="00FD2B39">
        <w:rPr>
          <w:rFonts w:ascii="Times New Roman" w:eastAsia="Times New Roman" w:hAnsi="Times New Roman" w:cs="Times New Roman"/>
          <w:lang w:val="en-GB"/>
        </w:rPr>
        <w:t>-0.6</w:t>
      </w:r>
      <w:r w:rsidR="000273B4">
        <w:rPr>
          <w:rFonts w:ascii="Times New Roman" w:eastAsia="Times New Roman" w:hAnsi="Times New Roman" w:cs="Times New Roman"/>
          <w:lang w:val="en-GB"/>
        </w:rPr>
        <w:t xml:space="preserve">8) </w:t>
      </w:r>
      <w:r w:rsidR="00F46DB9">
        <w:rPr>
          <w:rFonts w:ascii="Times New Roman" w:eastAsia="Times New Roman" w:hAnsi="Times New Roman" w:cs="Times New Roman"/>
          <w:lang w:val="en-GB"/>
        </w:rPr>
        <w:t xml:space="preserve">most deprived IMD </w:t>
      </w:r>
      <w:r w:rsidR="000273B4">
        <w:rPr>
          <w:rFonts w:ascii="Times New Roman" w:eastAsia="Times New Roman" w:hAnsi="Times New Roman" w:cs="Times New Roman"/>
          <w:lang w:val="en-GB"/>
        </w:rPr>
        <w:t xml:space="preserve">quintile were less likely to respond compared to the least deprived quintile. </w:t>
      </w:r>
    </w:p>
    <w:p w14:paraId="6D609344" w14:textId="77777777" w:rsidR="000C3C08" w:rsidRPr="00833D36" w:rsidRDefault="000C3C08" w:rsidP="00146777">
      <w:pPr>
        <w:spacing w:after="0" w:line="480" w:lineRule="auto"/>
        <w:jc w:val="both"/>
        <w:rPr>
          <w:rFonts w:ascii="Times New Roman" w:eastAsia="Times New Roman" w:hAnsi="Times New Roman" w:cs="Times New Roman"/>
          <w:lang w:val="en-GB"/>
        </w:rPr>
      </w:pPr>
    </w:p>
    <w:p w14:paraId="2CFE979B" w14:textId="357514D0" w:rsidR="000C3C08" w:rsidRPr="00055412" w:rsidRDefault="000C3C08" w:rsidP="00146777">
      <w:pPr>
        <w:spacing w:after="0" w:line="480" w:lineRule="auto"/>
        <w:jc w:val="both"/>
        <w:rPr>
          <w:rFonts w:ascii="Times New Roman" w:eastAsia="Times New Roman" w:hAnsi="Times New Roman" w:cs="Times New Roman"/>
          <w:lang w:val="en-GB"/>
        </w:rPr>
      </w:pPr>
      <w:r w:rsidRPr="00833D36">
        <w:rPr>
          <w:rFonts w:ascii="Times New Roman" w:eastAsia="Times New Roman" w:hAnsi="Times New Roman" w:cs="Times New Roman"/>
          <w:b/>
          <w:lang w:val="en-GB"/>
        </w:rPr>
        <w:t>Conclusions:</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Evaluations of interventions intended for those at high risk of CVD may fail to reach those at highest ris</w:t>
      </w:r>
      <w:r w:rsidR="00950E26">
        <w:rPr>
          <w:rFonts w:ascii="Times New Roman" w:eastAsia="Times New Roman" w:hAnsi="Times New Roman" w:cs="Times New Roman"/>
          <w:lang w:val="en-GB"/>
        </w:rPr>
        <w:t xml:space="preserve">k. Hard to reach patient groups may require different recruitment strategies to maximise participation in future trials. Improvements in primary care ethnicity data recording is required to aid understanding of how successfully study samples represent the target population. </w:t>
      </w:r>
    </w:p>
    <w:p w14:paraId="1FC5232F" w14:textId="7411ED79" w:rsidR="001652E2" w:rsidRDefault="001652E2" w:rsidP="00146777">
      <w:pPr>
        <w:spacing w:after="0" w:line="480" w:lineRule="auto"/>
        <w:jc w:val="both"/>
        <w:rPr>
          <w:rFonts w:ascii="Times New Roman" w:eastAsia="Times New Roman" w:hAnsi="Times New Roman" w:cs="Times New Roman"/>
          <w:b/>
          <w:lang w:val="en-GB"/>
        </w:rPr>
      </w:pPr>
    </w:p>
    <w:p w14:paraId="1D47BD39" w14:textId="55D08869" w:rsidR="001652E2" w:rsidRPr="001B05C9" w:rsidRDefault="00152798" w:rsidP="001B05C9">
      <w:pPr>
        <w:spacing w:after="0" w:line="48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Trial Registration: </w:t>
      </w:r>
      <w:r w:rsidR="00606BBD">
        <w:rPr>
          <w:rFonts w:ascii="Times New Roman" w:eastAsia="Times New Roman" w:hAnsi="Times New Roman" w:cs="Times New Roman"/>
          <w:lang w:val="en-GB"/>
        </w:rPr>
        <w:t>ISRCTN</w:t>
      </w:r>
      <w:r w:rsidR="00A43F7A">
        <w:rPr>
          <w:rFonts w:ascii="Times New Roman" w:eastAsia="Times New Roman" w:hAnsi="Times New Roman" w:cs="Times New Roman"/>
          <w:lang w:val="en-GB"/>
        </w:rPr>
        <w:t>, I</w:t>
      </w:r>
      <w:r w:rsidR="00950E26" w:rsidRPr="00950E26">
        <w:rPr>
          <w:rFonts w:ascii="Times New Roman" w:eastAsia="Times New Roman" w:hAnsi="Times New Roman" w:cs="Times New Roman"/>
          <w:lang w:val="en-GB"/>
        </w:rPr>
        <w:t>SRCTN84864870</w:t>
      </w:r>
      <w:r w:rsidR="00A43F7A">
        <w:rPr>
          <w:rFonts w:ascii="Times New Roman" w:eastAsia="Times New Roman" w:hAnsi="Times New Roman" w:cs="Times New Roman"/>
          <w:lang w:val="en-GB"/>
        </w:rPr>
        <w:t xml:space="preserve">. Registered 15 May 2012, </w:t>
      </w:r>
      <w:r w:rsidR="00A43F7A" w:rsidRPr="00A43F7A">
        <w:rPr>
          <w:rFonts w:ascii="Times New Roman" w:eastAsia="Times New Roman" w:hAnsi="Times New Roman" w:cs="Times New Roman"/>
          <w:lang w:val="en-GB"/>
        </w:rPr>
        <w:t>https://doi.org/10.1186/ISRCTN84864870</w:t>
      </w:r>
    </w:p>
    <w:p w14:paraId="6432FC50" w14:textId="77777777" w:rsidR="001652E2" w:rsidRPr="00771D7E" w:rsidRDefault="001652E2" w:rsidP="001B05C9">
      <w:pPr>
        <w:spacing w:after="0" w:line="480" w:lineRule="auto"/>
        <w:jc w:val="both"/>
        <w:rPr>
          <w:rFonts w:ascii="Times New Roman" w:eastAsia="Times New Roman" w:hAnsi="Times New Roman" w:cs="Times New Roman"/>
          <w:b/>
          <w:lang w:val="en-GB"/>
        </w:rPr>
      </w:pPr>
    </w:p>
    <w:p w14:paraId="68E3746D" w14:textId="78F655D5" w:rsidR="001652E2" w:rsidRPr="00771D7E" w:rsidRDefault="001652E2" w:rsidP="001B05C9">
      <w:pPr>
        <w:spacing w:after="0" w:line="480" w:lineRule="auto"/>
        <w:jc w:val="both"/>
        <w:rPr>
          <w:rFonts w:ascii="Times New Roman" w:eastAsia="Times New Roman" w:hAnsi="Times New Roman" w:cs="Times New Roman"/>
          <w:b/>
          <w:lang w:val="en-GB"/>
        </w:rPr>
      </w:pPr>
      <w:r w:rsidRPr="00771D7E">
        <w:rPr>
          <w:rFonts w:ascii="Times New Roman" w:eastAsia="Times New Roman" w:hAnsi="Times New Roman" w:cs="Times New Roman"/>
          <w:b/>
          <w:lang w:val="en-GB"/>
        </w:rPr>
        <w:t>Keywords</w:t>
      </w:r>
    </w:p>
    <w:p w14:paraId="484E6508" w14:textId="7B6393DB" w:rsidR="00F86385" w:rsidRDefault="00F86385" w:rsidP="001B05C9">
      <w:pPr>
        <w:spacing w:before="100" w:beforeAutospacing="1" w:after="100" w:afterAutospacing="1" w:line="48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Cardiovascular disease, physical activity, lifestyle, complex intervention, participation bias, primary care</w:t>
      </w:r>
    </w:p>
    <w:p w14:paraId="411BBE11" w14:textId="77777777" w:rsidR="00932D9B" w:rsidRDefault="00932D9B" w:rsidP="00146777">
      <w:pPr>
        <w:spacing w:before="100" w:beforeAutospacing="1" w:after="100" w:afterAutospacing="1" w:line="480" w:lineRule="auto"/>
        <w:jc w:val="both"/>
        <w:rPr>
          <w:rFonts w:ascii="Times New Roman" w:eastAsia="Times New Roman" w:hAnsi="Times New Roman" w:cs="Times New Roman"/>
          <w:sz w:val="24"/>
          <w:szCs w:val="24"/>
          <w:lang w:val="en-GB"/>
        </w:rPr>
      </w:pPr>
    </w:p>
    <w:p w14:paraId="182E1BA1" w14:textId="672C9BDD" w:rsidR="00AC26B7" w:rsidRPr="00771D7E" w:rsidRDefault="000057B9" w:rsidP="00146777">
      <w:pPr>
        <w:spacing w:before="100" w:beforeAutospacing="1" w:after="100" w:afterAutospacing="1" w:line="48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Background</w:t>
      </w:r>
    </w:p>
    <w:p w14:paraId="298D0B88" w14:textId="52F88005" w:rsidR="0099768C" w:rsidRDefault="004A1B09" w:rsidP="00146777">
      <w:pPr>
        <w:spacing w:before="100" w:beforeAutospacing="1" w:after="100" w:afterAutospacing="1" w:line="480" w:lineRule="auto"/>
        <w:jc w:val="both"/>
        <w:rPr>
          <w:rFonts w:ascii="Times New Roman" w:eastAsia="Times New Roman" w:hAnsi="Times New Roman" w:cs="Times New Roman"/>
          <w:sz w:val="24"/>
          <w:szCs w:val="24"/>
          <w:lang w:val="en-GB"/>
        </w:rPr>
      </w:pPr>
      <w:r w:rsidRPr="003F3A43">
        <w:rPr>
          <w:rFonts w:ascii="Times New Roman" w:eastAsia="Times New Roman" w:hAnsi="Times New Roman" w:cs="Times New Roman"/>
          <w:sz w:val="24"/>
          <w:szCs w:val="24"/>
          <w:lang w:val="en-GB"/>
        </w:rPr>
        <w:t>Cardiovascular disease (CVD) is the most common cause of</w:t>
      </w:r>
      <w:r w:rsidR="00363097">
        <w:rPr>
          <w:rFonts w:ascii="Times New Roman" w:eastAsia="Times New Roman" w:hAnsi="Times New Roman" w:cs="Times New Roman"/>
          <w:sz w:val="24"/>
          <w:szCs w:val="24"/>
          <w:lang w:val="en-GB"/>
        </w:rPr>
        <w:t xml:space="preserve"> mortality in developed nations</w:t>
      </w:r>
      <w:r w:rsidR="00D40ADF" w:rsidRPr="003F3A43">
        <w:rPr>
          <w:rFonts w:ascii="Times New Roman" w:eastAsia="Times New Roman" w:hAnsi="Times New Roman" w:cs="Times New Roman"/>
          <w:sz w:val="24"/>
          <w:szCs w:val="24"/>
          <w:lang w:val="en-GB"/>
        </w:rPr>
        <w:t>.</w:t>
      </w:r>
      <w:r w:rsidR="00152798">
        <w:rPr>
          <w:rFonts w:ascii="Times New Roman" w:eastAsia="Times New Roman" w:hAnsi="Times New Roman" w:cs="Times New Roman"/>
          <w:sz w:val="24"/>
          <w:szCs w:val="24"/>
          <w:lang w:val="en-GB"/>
        </w:rPr>
        <w:t>[1]</w:t>
      </w:r>
      <w:r w:rsidR="00F83AE4" w:rsidRPr="003F3A43">
        <w:rPr>
          <w:rFonts w:ascii="Times New Roman" w:eastAsia="Times New Roman" w:hAnsi="Times New Roman" w:cs="Times New Roman"/>
          <w:sz w:val="24"/>
          <w:szCs w:val="24"/>
          <w:lang w:val="en-GB"/>
        </w:rPr>
        <w:t xml:space="preserve"> </w:t>
      </w:r>
      <w:r w:rsidR="00360112">
        <w:rPr>
          <w:rFonts w:ascii="Times New Roman" w:eastAsia="Times New Roman" w:hAnsi="Times New Roman" w:cs="Times New Roman"/>
          <w:sz w:val="24"/>
          <w:szCs w:val="24"/>
          <w:lang w:val="en-GB"/>
        </w:rPr>
        <w:t xml:space="preserve">Modifiable </w:t>
      </w:r>
      <w:r w:rsidR="0091738B" w:rsidRPr="003F3A43">
        <w:rPr>
          <w:rFonts w:ascii="Times New Roman" w:eastAsia="Times New Roman" w:hAnsi="Times New Roman" w:cs="Times New Roman"/>
          <w:sz w:val="24"/>
          <w:szCs w:val="24"/>
          <w:lang w:val="en-GB"/>
        </w:rPr>
        <w:t xml:space="preserve">risk factors </w:t>
      </w:r>
      <w:r w:rsidR="003C52AB">
        <w:rPr>
          <w:rFonts w:ascii="Times New Roman" w:eastAsia="Times New Roman" w:hAnsi="Times New Roman" w:cs="Times New Roman"/>
          <w:sz w:val="24"/>
          <w:szCs w:val="24"/>
          <w:lang w:val="en-GB"/>
        </w:rPr>
        <w:t xml:space="preserve">for </w:t>
      </w:r>
      <w:r w:rsidR="005C276D" w:rsidRPr="003F3A43">
        <w:rPr>
          <w:rFonts w:ascii="Times New Roman" w:eastAsia="Times New Roman" w:hAnsi="Times New Roman" w:cs="Times New Roman"/>
          <w:sz w:val="24"/>
          <w:szCs w:val="24"/>
          <w:lang w:val="en-GB"/>
        </w:rPr>
        <w:t>CVD</w:t>
      </w:r>
      <w:r w:rsidR="00CF07C7">
        <w:rPr>
          <w:rFonts w:ascii="Times New Roman" w:eastAsia="Times New Roman" w:hAnsi="Times New Roman" w:cs="Times New Roman"/>
          <w:sz w:val="24"/>
          <w:szCs w:val="24"/>
          <w:lang w:val="en-GB"/>
        </w:rPr>
        <w:t xml:space="preserve"> </w:t>
      </w:r>
      <w:r w:rsidR="00A919C9">
        <w:rPr>
          <w:rFonts w:ascii="Times New Roman" w:eastAsia="Times New Roman" w:hAnsi="Times New Roman" w:cs="Times New Roman"/>
          <w:sz w:val="24"/>
          <w:szCs w:val="24"/>
          <w:lang w:val="en-GB"/>
        </w:rPr>
        <w:t xml:space="preserve">include </w:t>
      </w:r>
      <w:r w:rsidR="00CF07C7">
        <w:rPr>
          <w:rFonts w:ascii="Times New Roman" w:eastAsia="Times New Roman" w:hAnsi="Times New Roman" w:cs="Times New Roman"/>
          <w:sz w:val="24"/>
          <w:szCs w:val="24"/>
          <w:lang w:val="en-GB"/>
        </w:rPr>
        <w:t>tobacco use, physical</w:t>
      </w:r>
      <w:r w:rsidR="003C52AB">
        <w:rPr>
          <w:rFonts w:ascii="Times New Roman" w:eastAsia="Times New Roman" w:hAnsi="Times New Roman" w:cs="Times New Roman"/>
          <w:sz w:val="24"/>
          <w:szCs w:val="24"/>
          <w:lang w:val="en-GB"/>
        </w:rPr>
        <w:t xml:space="preserve"> inactivity, </w:t>
      </w:r>
      <w:r w:rsidR="00F52731">
        <w:rPr>
          <w:rFonts w:ascii="Times New Roman" w:eastAsia="Times New Roman" w:hAnsi="Times New Roman" w:cs="Times New Roman"/>
          <w:sz w:val="24"/>
          <w:szCs w:val="24"/>
          <w:lang w:val="en-GB"/>
        </w:rPr>
        <w:t>obesity</w:t>
      </w:r>
      <w:r w:rsidR="005C276D" w:rsidRPr="003F3A43">
        <w:rPr>
          <w:rFonts w:ascii="Times New Roman" w:eastAsia="Times New Roman" w:hAnsi="Times New Roman" w:cs="Times New Roman"/>
          <w:sz w:val="24"/>
          <w:szCs w:val="24"/>
          <w:lang w:val="en-GB"/>
        </w:rPr>
        <w:t xml:space="preserve"> and </w:t>
      </w:r>
      <w:r w:rsidR="0023428D">
        <w:rPr>
          <w:rFonts w:ascii="Times New Roman" w:eastAsia="Times New Roman" w:hAnsi="Times New Roman" w:cs="Times New Roman"/>
          <w:sz w:val="24"/>
          <w:szCs w:val="24"/>
          <w:lang w:val="en-GB"/>
        </w:rPr>
        <w:t xml:space="preserve">raised </w:t>
      </w:r>
      <w:r w:rsidR="005C276D" w:rsidRPr="003F3A43">
        <w:rPr>
          <w:rFonts w:ascii="Times New Roman" w:eastAsia="Times New Roman" w:hAnsi="Times New Roman" w:cs="Times New Roman"/>
          <w:sz w:val="24"/>
          <w:szCs w:val="24"/>
          <w:lang w:val="en-GB"/>
        </w:rPr>
        <w:t>low-density lipop</w:t>
      </w:r>
      <w:r w:rsidR="00363097">
        <w:rPr>
          <w:rFonts w:ascii="Times New Roman" w:eastAsia="Times New Roman" w:hAnsi="Times New Roman" w:cs="Times New Roman"/>
          <w:sz w:val="24"/>
          <w:szCs w:val="24"/>
          <w:lang w:val="en-GB"/>
        </w:rPr>
        <w:t>rotein (LDL) cholesterol</w:t>
      </w:r>
      <w:r w:rsidR="005C276D" w:rsidRPr="003F3A43">
        <w:rPr>
          <w:rFonts w:ascii="Times New Roman" w:eastAsia="Times New Roman" w:hAnsi="Times New Roman" w:cs="Times New Roman"/>
          <w:sz w:val="24"/>
          <w:szCs w:val="24"/>
          <w:lang w:val="en-GB"/>
        </w:rPr>
        <w:t>.</w:t>
      </w:r>
      <w:r w:rsidR="00152798">
        <w:rPr>
          <w:rFonts w:ascii="Times New Roman" w:eastAsia="Times New Roman" w:hAnsi="Times New Roman" w:cs="Times New Roman"/>
          <w:sz w:val="24"/>
          <w:szCs w:val="24"/>
          <w:lang w:val="en-GB"/>
        </w:rPr>
        <w:t>[2-4]</w:t>
      </w:r>
      <w:r w:rsidR="005C276D" w:rsidRPr="003F3A43">
        <w:rPr>
          <w:rFonts w:ascii="Times New Roman" w:eastAsia="Times New Roman" w:hAnsi="Times New Roman" w:cs="Times New Roman"/>
          <w:sz w:val="24"/>
          <w:szCs w:val="24"/>
          <w:lang w:val="en-GB"/>
        </w:rPr>
        <w:t xml:space="preserve"> </w:t>
      </w:r>
      <w:r w:rsidR="00CF07C7">
        <w:rPr>
          <w:rFonts w:ascii="Times New Roman" w:eastAsia="Times New Roman" w:hAnsi="Times New Roman" w:cs="Times New Roman"/>
          <w:sz w:val="24"/>
          <w:szCs w:val="24"/>
          <w:lang w:val="en-GB"/>
        </w:rPr>
        <w:t>Those most at risk are old</w:t>
      </w:r>
      <w:r w:rsidR="00A919C9">
        <w:rPr>
          <w:rFonts w:ascii="Times New Roman" w:eastAsia="Times New Roman" w:hAnsi="Times New Roman" w:cs="Times New Roman"/>
          <w:sz w:val="24"/>
          <w:szCs w:val="24"/>
          <w:lang w:val="en-GB"/>
        </w:rPr>
        <w:t>er</w:t>
      </w:r>
      <w:r w:rsidR="00CF07C7">
        <w:rPr>
          <w:rFonts w:ascii="Times New Roman" w:eastAsia="Times New Roman" w:hAnsi="Times New Roman" w:cs="Times New Roman"/>
          <w:sz w:val="24"/>
          <w:szCs w:val="24"/>
          <w:lang w:val="en-GB"/>
        </w:rPr>
        <w:t xml:space="preserve"> males, </w:t>
      </w:r>
      <w:r w:rsidR="00F97F01">
        <w:rPr>
          <w:rFonts w:ascii="Times New Roman" w:eastAsia="Times New Roman" w:hAnsi="Times New Roman" w:cs="Times New Roman"/>
          <w:sz w:val="24"/>
          <w:szCs w:val="24"/>
          <w:lang w:val="en-GB"/>
        </w:rPr>
        <w:t>of south Asian ethnic background</w:t>
      </w:r>
      <w:r w:rsidR="00CF07C7">
        <w:rPr>
          <w:rFonts w:ascii="Times New Roman" w:eastAsia="Times New Roman" w:hAnsi="Times New Roman" w:cs="Times New Roman"/>
          <w:sz w:val="24"/>
          <w:szCs w:val="24"/>
          <w:lang w:val="en-GB"/>
        </w:rPr>
        <w:t xml:space="preserve">, </w:t>
      </w:r>
      <w:r w:rsidR="00A919C9">
        <w:rPr>
          <w:rFonts w:ascii="Times New Roman" w:eastAsia="Times New Roman" w:hAnsi="Times New Roman" w:cs="Times New Roman"/>
          <w:sz w:val="24"/>
          <w:szCs w:val="24"/>
          <w:lang w:val="en-GB"/>
        </w:rPr>
        <w:t xml:space="preserve">with </w:t>
      </w:r>
      <w:r w:rsidR="00F97F01">
        <w:rPr>
          <w:rFonts w:ascii="Times New Roman" w:eastAsia="Times New Roman" w:hAnsi="Times New Roman" w:cs="Times New Roman"/>
          <w:sz w:val="24"/>
          <w:szCs w:val="24"/>
          <w:lang w:val="en-GB"/>
        </w:rPr>
        <w:t>lower</w:t>
      </w:r>
      <w:r w:rsidR="00CF07C7">
        <w:rPr>
          <w:rFonts w:ascii="Times New Roman" w:eastAsia="Times New Roman" w:hAnsi="Times New Roman" w:cs="Times New Roman"/>
          <w:sz w:val="24"/>
          <w:szCs w:val="24"/>
          <w:lang w:val="en-GB"/>
        </w:rPr>
        <w:t xml:space="preserve"> educa</w:t>
      </w:r>
      <w:r w:rsidR="00A919C9">
        <w:rPr>
          <w:rFonts w:ascii="Times New Roman" w:eastAsia="Times New Roman" w:hAnsi="Times New Roman" w:cs="Times New Roman"/>
          <w:sz w:val="24"/>
          <w:szCs w:val="24"/>
          <w:lang w:val="en-GB"/>
        </w:rPr>
        <w:t>t</w:t>
      </w:r>
      <w:r w:rsidR="00CF07C7">
        <w:rPr>
          <w:rFonts w:ascii="Times New Roman" w:eastAsia="Times New Roman" w:hAnsi="Times New Roman" w:cs="Times New Roman"/>
          <w:sz w:val="24"/>
          <w:szCs w:val="24"/>
          <w:lang w:val="en-GB"/>
        </w:rPr>
        <w:t>io</w:t>
      </w:r>
      <w:r w:rsidR="00360112">
        <w:rPr>
          <w:rFonts w:ascii="Times New Roman" w:eastAsia="Times New Roman" w:hAnsi="Times New Roman" w:cs="Times New Roman"/>
          <w:sz w:val="24"/>
          <w:szCs w:val="24"/>
          <w:lang w:val="en-GB"/>
        </w:rPr>
        <w:t>n</w:t>
      </w:r>
      <w:r w:rsidR="00F97F01">
        <w:rPr>
          <w:rFonts w:ascii="Times New Roman" w:eastAsia="Times New Roman" w:hAnsi="Times New Roman" w:cs="Times New Roman"/>
          <w:sz w:val="24"/>
          <w:szCs w:val="24"/>
          <w:lang w:val="en-GB"/>
        </w:rPr>
        <w:t>al attainment</w:t>
      </w:r>
      <w:r w:rsidR="00D2601D">
        <w:rPr>
          <w:rFonts w:ascii="Times New Roman" w:eastAsia="Times New Roman" w:hAnsi="Times New Roman" w:cs="Times New Roman"/>
          <w:sz w:val="24"/>
          <w:szCs w:val="24"/>
          <w:lang w:val="en-GB"/>
        </w:rPr>
        <w:t xml:space="preserve"> and lower socio</w:t>
      </w:r>
      <w:r w:rsidR="00CF07C7">
        <w:rPr>
          <w:rFonts w:ascii="Times New Roman" w:eastAsia="Times New Roman" w:hAnsi="Times New Roman" w:cs="Times New Roman"/>
          <w:sz w:val="24"/>
          <w:szCs w:val="24"/>
          <w:lang w:val="en-GB"/>
        </w:rPr>
        <w:t>economic status.</w:t>
      </w:r>
      <w:r w:rsidR="00152798">
        <w:rPr>
          <w:rFonts w:ascii="Times New Roman" w:eastAsia="Times New Roman" w:hAnsi="Times New Roman" w:cs="Times New Roman"/>
          <w:sz w:val="24"/>
          <w:szCs w:val="24"/>
          <w:lang w:val="en-GB"/>
        </w:rPr>
        <w:t>[5,6]</w:t>
      </w:r>
      <w:r w:rsidR="00CF07C7">
        <w:rPr>
          <w:rFonts w:ascii="Times New Roman" w:eastAsia="Times New Roman" w:hAnsi="Times New Roman" w:cs="Times New Roman"/>
          <w:sz w:val="24"/>
          <w:szCs w:val="24"/>
          <w:lang w:val="en-GB"/>
        </w:rPr>
        <w:t xml:space="preserve"> L</w:t>
      </w:r>
      <w:r w:rsidR="008D1B01" w:rsidRPr="003F3A43">
        <w:rPr>
          <w:rFonts w:ascii="Times New Roman" w:eastAsia="Times New Roman" w:hAnsi="Times New Roman" w:cs="Times New Roman"/>
          <w:sz w:val="24"/>
          <w:szCs w:val="24"/>
          <w:lang w:val="en-GB"/>
        </w:rPr>
        <w:t>ifestyle intervention</w:t>
      </w:r>
      <w:r w:rsidR="00360112">
        <w:rPr>
          <w:rFonts w:ascii="Times New Roman" w:eastAsia="Times New Roman" w:hAnsi="Times New Roman" w:cs="Times New Roman"/>
          <w:sz w:val="24"/>
          <w:szCs w:val="24"/>
          <w:lang w:val="en-GB"/>
        </w:rPr>
        <w:t xml:space="preserve"> trial</w:t>
      </w:r>
      <w:r w:rsidR="008D1B01" w:rsidRPr="003F3A43">
        <w:rPr>
          <w:rFonts w:ascii="Times New Roman" w:eastAsia="Times New Roman" w:hAnsi="Times New Roman" w:cs="Times New Roman"/>
          <w:sz w:val="24"/>
          <w:szCs w:val="24"/>
          <w:lang w:val="en-GB"/>
        </w:rPr>
        <w:t xml:space="preserve">s for primary prevention </w:t>
      </w:r>
      <w:r w:rsidR="00ED30CC" w:rsidRPr="003F3A43">
        <w:rPr>
          <w:rFonts w:ascii="Times New Roman" w:eastAsia="Times New Roman" w:hAnsi="Times New Roman" w:cs="Times New Roman"/>
          <w:sz w:val="24"/>
          <w:szCs w:val="24"/>
          <w:lang w:val="en-GB"/>
        </w:rPr>
        <w:t xml:space="preserve">of CVD </w:t>
      </w:r>
      <w:r w:rsidR="00BD6750">
        <w:rPr>
          <w:rFonts w:ascii="Times New Roman" w:eastAsia="Times New Roman" w:hAnsi="Times New Roman" w:cs="Times New Roman"/>
          <w:sz w:val="24"/>
          <w:szCs w:val="24"/>
          <w:lang w:val="en-GB"/>
        </w:rPr>
        <w:t>are</w:t>
      </w:r>
      <w:r w:rsidR="00360112">
        <w:rPr>
          <w:rFonts w:ascii="Times New Roman" w:eastAsia="Times New Roman" w:hAnsi="Times New Roman" w:cs="Times New Roman"/>
          <w:sz w:val="24"/>
          <w:szCs w:val="24"/>
          <w:lang w:val="en-GB"/>
        </w:rPr>
        <w:t xml:space="preserve"> a research priority,</w:t>
      </w:r>
      <w:r w:rsidR="00152798">
        <w:rPr>
          <w:rFonts w:ascii="Times New Roman" w:eastAsia="Times New Roman" w:hAnsi="Times New Roman" w:cs="Times New Roman"/>
          <w:sz w:val="24"/>
          <w:szCs w:val="24"/>
          <w:lang w:val="en-GB"/>
        </w:rPr>
        <w:t>[7-9]</w:t>
      </w:r>
      <w:r w:rsidR="008D1B01" w:rsidRPr="003F3A43">
        <w:rPr>
          <w:rFonts w:ascii="Times New Roman" w:eastAsia="Times New Roman" w:hAnsi="Times New Roman" w:cs="Times New Roman"/>
          <w:sz w:val="24"/>
          <w:szCs w:val="24"/>
          <w:lang w:val="en-GB"/>
        </w:rPr>
        <w:t xml:space="preserve"> </w:t>
      </w:r>
      <w:r w:rsidR="00881374">
        <w:rPr>
          <w:rFonts w:ascii="Times New Roman" w:eastAsia="Times New Roman" w:hAnsi="Times New Roman" w:cs="Times New Roman"/>
          <w:sz w:val="24"/>
          <w:szCs w:val="24"/>
          <w:lang w:val="en-GB"/>
        </w:rPr>
        <w:t>but previous trials have reported</w:t>
      </w:r>
      <w:r w:rsidR="00913232" w:rsidRPr="003F3A43">
        <w:rPr>
          <w:rFonts w:ascii="Times New Roman" w:eastAsia="Times New Roman" w:hAnsi="Times New Roman" w:cs="Times New Roman"/>
          <w:sz w:val="24"/>
          <w:szCs w:val="24"/>
          <w:lang w:val="en-GB"/>
        </w:rPr>
        <w:t xml:space="preserve"> low </w:t>
      </w:r>
      <w:r w:rsidR="00881374">
        <w:rPr>
          <w:rFonts w:ascii="Times New Roman" w:eastAsia="Times New Roman" w:hAnsi="Times New Roman" w:cs="Times New Roman"/>
          <w:sz w:val="24"/>
          <w:szCs w:val="24"/>
          <w:lang w:val="en-GB"/>
        </w:rPr>
        <w:t>participation</w:t>
      </w:r>
      <w:r w:rsidR="00913232" w:rsidRPr="003F3A43">
        <w:rPr>
          <w:rFonts w:ascii="Times New Roman" w:eastAsia="Times New Roman" w:hAnsi="Times New Roman" w:cs="Times New Roman"/>
          <w:sz w:val="24"/>
          <w:szCs w:val="24"/>
          <w:lang w:val="en-GB"/>
        </w:rPr>
        <w:t xml:space="preserve"> rat</w:t>
      </w:r>
      <w:r w:rsidR="00347F90">
        <w:rPr>
          <w:rFonts w:ascii="Times New Roman" w:eastAsia="Times New Roman" w:hAnsi="Times New Roman" w:cs="Times New Roman"/>
          <w:sz w:val="24"/>
          <w:szCs w:val="24"/>
          <w:lang w:val="en-GB"/>
        </w:rPr>
        <w:t>es</w:t>
      </w:r>
      <w:r w:rsidR="00913232" w:rsidRPr="003F3A43">
        <w:rPr>
          <w:rFonts w:ascii="Times New Roman" w:eastAsia="Times New Roman" w:hAnsi="Times New Roman" w:cs="Times New Roman"/>
          <w:sz w:val="24"/>
          <w:szCs w:val="24"/>
          <w:lang w:val="en-GB"/>
        </w:rPr>
        <w:t>.</w:t>
      </w:r>
      <w:r w:rsidR="00152798">
        <w:rPr>
          <w:rFonts w:ascii="Times New Roman" w:eastAsia="Times New Roman" w:hAnsi="Times New Roman" w:cs="Times New Roman"/>
          <w:sz w:val="24"/>
          <w:szCs w:val="24"/>
          <w:lang w:val="en-GB"/>
        </w:rPr>
        <w:t>[10,11]</w:t>
      </w:r>
      <w:r w:rsidR="00AD2590" w:rsidRPr="003F3A43">
        <w:rPr>
          <w:rFonts w:ascii="Times New Roman" w:eastAsia="Times New Roman" w:hAnsi="Times New Roman" w:cs="Times New Roman"/>
          <w:sz w:val="24"/>
          <w:szCs w:val="24"/>
          <w:lang w:val="en-GB"/>
        </w:rPr>
        <w:t xml:space="preserve"> </w:t>
      </w:r>
    </w:p>
    <w:p w14:paraId="4A98791E" w14:textId="5C442AEE" w:rsidR="0099768C" w:rsidRDefault="00F35BEC" w:rsidP="00146777">
      <w:pPr>
        <w:spacing w:before="100" w:beforeAutospacing="1" w:after="100" w:afterAutospacing="1" w:line="480" w:lineRule="auto"/>
        <w:jc w:val="both"/>
        <w:rPr>
          <w:rFonts w:ascii="Times New Roman" w:eastAsia="Times New Roman" w:hAnsi="Times New Roman" w:cs="Times New Roman"/>
          <w:sz w:val="24"/>
          <w:szCs w:val="24"/>
          <w:lang w:val="en-GB"/>
        </w:rPr>
      </w:pPr>
      <w:r w:rsidRPr="003F3A43">
        <w:rPr>
          <w:rFonts w:ascii="Times New Roman" w:eastAsia="Times New Roman" w:hAnsi="Times New Roman" w:cs="Times New Roman"/>
          <w:sz w:val="24"/>
          <w:szCs w:val="24"/>
          <w:lang w:val="en-GB"/>
        </w:rPr>
        <w:t>Factors associated with</w:t>
      </w:r>
      <w:r w:rsidR="001A3217" w:rsidRPr="003F3A43">
        <w:rPr>
          <w:rFonts w:ascii="Times New Roman" w:eastAsia="Times New Roman" w:hAnsi="Times New Roman" w:cs="Times New Roman"/>
          <w:sz w:val="24"/>
          <w:szCs w:val="24"/>
          <w:lang w:val="en-GB"/>
        </w:rPr>
        <w:t xml:space="preserve"> </w:t>
      </w:r>
      <w:r w:rsidR="00CF07C7">
        <w:rPr>
          <w:rFonts w:ascii="Times New Roman" w:eastAsia="Times New Roman" w:hAnsi="Times New Roman" w:cs="Times New Roman"/>
          <w:sz w:val="24"/>
          <w:szCs w:val="24"/>
          <w:lang w:val="en-GB"/>
        </w:rPr>
        <w:t xml:space="preserve">increased </w:t>
      </w:r>
      <w:r w:rsidR="001A3217" w:rsidRPr="003F3A43">
        <w:rPr>
          <w:rFonts w:ascii="Times New Roman" w:eastAsia="Times New Roman" w:hAnsi="Times New Roman" w:cs="Times New Roman"/>
          <w:sz w:val="24"/>
          <w:szCs w:val="24"/>
          <w:lang w:val="en-GB"/>
        </w:rPr>
        <w:t>participation</w:t>
      </w:r>
      <w:r w:rsidR="00A93E57" w:rsidRPr="003F3A43">
        <w:rPr>
          <w:rFonts w:ascii="Times New Roman" w:eastAsia="Times New Roman" w:hAnsi="Times New Roman" w:cs="Times New Roman"/>
          <w:sz w:val="24"/>
          <w:szCs w:val="24"/>
          <w:lang w:val="en-GB"/>
        </w:rPr>
        <w:t xml:space="preserve"> </w:t>
      </w:r>
      <w:r w:rsidR="00347F90">
        <w:rPr>
          <w:rFonts w:ascii="Times New Roman" w:eastAsia="Times New Roman" w:hAnsi="Times New Roman" w:cs="Times New Roman"/>
          <w:sz w:val="24"/>
          <w:szCs w:val="24"/>
          <w:lang w:val="en-GB"/>
        </w:rPr>
        <w:t xml:space="preserve">in </w:t>
      </w:r>
      <w:r w:rsidR="00A93E57" w:rsidRPr="003F3A43">
        <w:rPr>
          <w:rFonts w:ascii="Times New Roman" w:eastAsia="Times New Roman" w:hAnsi="Times New Roman" w:cs="Times New Roman"/>
          <w:sz w:val="24"/>
          <w:szCs w:val="24"/>
          <w:lang w:val="en-GB"/>
        </w:rPr>
        <w:t>intervention</w:t>
      </w:r>
      <w:r w:rsidR="00EC09BE">
        <w:rPr>
          <w:rFonts w:ascii="Times New Roman" w:eastAsia="Times New Roman" w:hAnsi="Times New Roman" w:cs="Times New Roman"/>
          <w:sz w:val="24"/>
          <w:szCs w:val="24"/>
          <w:lang w:val="en-GB"/>
        </w:rPr>
        <w:t xml:space="preserve"> trial</w:t>
      </w:r>
      <w:r w:rsidR="00A93E57" w:rsidRPr="003F3A43">
        <w:rPr>
          <w:rFonts w:ascii="Times New Roman" w:eastAsia="Times New Roman" w:hAnsi="Times New Roman" w:cs="Times New Roman"/>
          <w:sz w:val="24"/>
          <w:szCs w:val="24"/>
          <w:lang w:val="en-GB"/>
        </w:rPr>
        <w:t>s to increase</w:t>
      </w:r>
      <w:r w:rsidR="001A3217" w:rsidRPr="003F3A43">
        <w:rPr>
          <w:rFonts w:ascii="Times New Roman" w:eastAsia="Times New Roman" w:hAnsi="Times New Roman" w:cs="Times New Roman"/>
          <w:sz w:val="24"/>
          <w:szCs w:val="24"/>
          <w:lang w:val="en-GB"/>
        </w:rPr>
        <w:t xml:space="preserve"> walking</w:t>
      </w:r>
      <w:r w:rsidRPr="003F3A43">
        <w:rPr>
          <w:rFonts w:ascii="Times New Roman" w:eastAsia="Times New Roman" w:hAnsi="Times New Roman" w:cs="Times New Roman"/>
          <w:sz w:val="24"/>
          <w:szCs w:val="24"/>
          <w:lang w:val="en-GB"/>
        </w:rPr>
        <w:t xml:space="preserve"> and physical activity</w:t>
      </w:r>
      <w:r w:rsidR="009413DA" w:rsidRPr="003F3A43">
        <w:rPr>
          <w:rFonts w:ascii="Times New Roman" w:eastAsia="Times New Roman" w:hAnsi="Times New Roman" w:cs="Times New Roman"/>
          <w:sz w:val="24"/>
          <w:szCs w:val="24"/>
          <w:lang w:val="en-GB"/>
        </w:rPr>
        <w:t xml:space="preserve"> </w:t>
      </w:r>
      <w:r w:rsidR="00347F90">
        <w:rPr>
          <w:rFonts w:ascii="Times New Roman" w:eastAsia="Times New Roman" w:hAnsi="Times New Roman" w:cs="Times New Roman"/>
          <w:sz w:val="24"/>
          <w:szCs w:val="24"/>
          <w:lang w:val="en-GB"/>
        </w:rPr>
        <w:t>include</w:t>
      </w:r>
      <w:r w:rsidR="001A3217" w:rsidRPr="003F3A43">
        <w:rPr>
          <w:rFonts w:ascii="Times New Roman" w:eastAsia="Times New Roman" w:hAnsi="Times New Roman" w:cs="Times New Roman"/>
          <w:sz w:val="24"/>
          <w:szCs w:val="24"/>
          <w:lang w:val="en-GB"/>
        </w:rPr>
        <w:t xml:space="preserve"> </w:t>
      </w:r>
      <w:r w:rsidR="00ED3FE8">
        <w:rPr>
          <w:rFonts w:ascii="Times New Roman" w:eastAsia="Times New Roman" w:hAnsi="Times New Roman" w:cs="Times New Roman"/>
          <w:sz w:val="24"/>
          <w:szCs w:val="24"/>
          <w:lang w:val="en-GB"/>
        </w:rPr>
        <w:t xml:space="preserve">white ethnicity, living in more affluent areas, </w:t>
      </w:r>
      <w:r w:rsidR="00770EFD" w:rsidRPr="003F3A43">
        <w:rPr>
          <w:rFonts w:ascii="Times New Roman" w:eastAsia="Times New Roman" w:hAnsi="Times New Roman" w:cs="Times New Roman"/>
          <w:sz w:val="24"/>
          <w:szCs w:val="24"/>
          <w:lang w:val="en-GB"/>
        </w:rPr>
        <w:t>mid</w:t>
      </w:r>
      <w:r w:rsidR="00ED3FE8">
        <w:rPr>
          <w:rFonts w:ascii="Times New Roman" w:eastAsia="Times New Roman" w:hAnsi="Times New Roman" w:cs="Times New Roman"/>
          <w:sz w:val="24"/>
          <w:szCs w:val="24"/>
          <w:lang w:val="en-GB"/>
        </w:rPr>
        <w:t>dle age</w:t>
      </w:r>
      <w:r w:rsidR="00770EFD" w:rsidRPr="003F3A43">
        <w:rPr>
          <w:rFonts w:ascii="Times New Roman" w:eastAsia="Times New Roman" w:hAnsi="Times New Roman" w:cs="Times New Roman"/>
          <w:sz w:val="24"/>
          <w:szCs w:val="24"/>
          <w:lang w:val="en-GB"/>
        </w:rPr>
        <w:t>,</w:t>
      </w:r>
      <w:r w:rsidR="003E5D44">
        <w:rPr>
          <w:rFonts w:ascii="Times New Roman" w:eastAsia="Times New Roman" w:hAnsi="Times New Roman" w:cs="Times New Roman"/>
          <w:sz w:val="24"/>
          <w:szCs w:val="24"/>
          <w:lang w:val="en-GB"/>
        </w:rPr>
        <w:t xml:space="preserve"> female</w:t>
      </w:r>
      <w:r w:rsidR="002F0901">
        <w:rPr>
          <w:rFonts w:ascii="Times New Roman" w:eastAsia="Times New Roman" w:hAnsi="Times New Roman" w:cs="Times New Roman"/>
          <w:sz w:val="24"/>
          <w:szCs w:val="24"/>
          <w:lang w:val="en-GB"/>
        </w:rPr>
        <w:t xml:space="preserve"> </w:t>
      </w:r>
      <w:r w:rsidR="008877EB">
        <w:rPr>
          <w:rFonts w:ascii="Times New Roman" w:eastAsia="Times New Roman" w:hAnsi="Times New Roman" w:cs="Times New Roman"/>
          <w:sz w:val="24"/>
          <w:szCs w:val="24"/>
          <w:lang w:val="en-GB"/>
        </w:rPr>
        <w:t>sex</w:t>
      </w:r>
      <w:r w:rsidR="00770EFD">
        <w:rPr>
          <w:rFonts w:ascii="Times New Roman" w:eastAsia="Times New Roman" w:hAnsi="Times New Roman" w:cs="Times New Roman"/>
          <w:sz w:val="24"/>
          <w:szCs w:val="24"/>
          <w:lang w:val="en-GB"/>
        </w:rPr>
        <w:t xml:space="preserve"> and</w:t>
      </w:r>
      <w:r w:rsidR="0099768C">
        <w:rPr>
          <w:rFonts w:ascii="Times New Roman" w:eastAsia="Times New Roman" w:hAnsi="Times New Roman" w:cs="Times New Roman"/>
          <w:sz w:val="24"/>
          <w:szCs w:val="24"/>
          <w:lang w:val="en-GB"/>
        </w:rPr>
        <w:t xml:space="preserve"> university education</w:t>
      </w:r>
      <w:r w:rsidR="00881374">
        <w:rPr>
          <w:rFonts w:ascii="Times New Roman" w:eastAsia="Times New Roman" w:hAnsi="Times New Roman" w:cs="Times New Roman"/>
          <w:sz w:val="24"/>
          <w:szCs w:val="24"/>
          <w:lang w:val="en-GB"/>
        </w:rPr>
        <w:t>,</w:t>
      </w:r>
      <w:r w:rsidR="00152798">
        <w:rPr>
          <w:rFonts w:ascii="Times New Roman" w:eastAsia="Times New Roman" w:hAnsi="Times New Roman" w:cs="Times New Roman"/>
          <w:sz w:val="24"/>
          <w:szCs w:val="24"/>
          <w:lang w:val="en-GB"/>
        </w:rPr>
        <w:t>[11,12]</w:t>
      </w:r>
      <w:r w:rsidRPr="003F3A43">
        <w:rPr>
          <w:rFonts w:ascii="Times New Roman" w:eastAsia="Times New Roman" w:hAnsi="Times New Roman" w:cs="Times New Roman"/>
          <w:sz w:val="24"/>
          <w:szCs w:val="24"/>
          <w:lang w:val="en-GB"/>
        </w:rPr>
        <w:t xml:space="preserve"> </w:t>
      </w:r>
      <w:r w:rsidR="00881374">
        <w:rPr>
          <w:rFonts w:ascii="Times New Roman" w:eastAsia="Times New Roman" w:hAnsi="Times New Roman" w:cs="Times New Roman"/>
          <w:sz w:val="24"/>
          <w:szCs w:val="24"/>
          <w:lang w:val="en-GB"/>
        </w:rPr>
        <w:t>although m</w:t>
      </w:r>
      <w:r w:rsidR="00CF07C7">
        <w:rPr>
          <w:rFonts w:ascii="Times New Roman" w:eastAsia="Times New Roman" w:hAnsi="Times New Roman" w:cs="Times New Roman"/>
          <w:sz w:val="24"/>
          <w:szCs w:val="24"/>
          <w:lang w:val="en-GB"/>
        </w:rPr>
        <w:t xml:space="preserve">ethodological factors </w:t>
      </w:r>
      <w:r w:rsidR="00881374">
        <w:rPr>
          <w:rFonts w:ascii="Times New Roman" w:eastAsia="Times New Roman" w:hAnsi="Times New Roman" w:cs="Times New Roman"/>
          <w:sz w:val="24"/>
          <w:szCs w:val="24"/>
          <w:lang w:val="en-GB"/>
        </w:rPr>
        <w:t xml:space="preserve">can </w:t>
      </w:r>
      <w:r w:rsidR="00CF07C7">
        <w:rPr>
          <w:rFonts w:ascii="Times New Roman" w:eastAsia="Times New Roman" w:hAnsi="Times New Roman" w:cs="Times New Roman"/>
          <w:sz w:val="24"/>
          <w:szCs w:val="24"/>
          <w:lang w:val="en-GB"/>
        </w:rPr>
        <w:t>lead to different parti</w:t>
      </w:r>
      <w:r w:rsidR="004C7A13">
        <w:rPr>
          <w:rFonts w:ascii="Times New Roman" w:eastAsia="Times New Roman" w:hAnsi="Times New Roman" w:cs="Times New Roman"/>
          <w:sz w:val="24"/>
          <w:szCs w:val="24"/>
          <w:lang w:val="en-GB"/>
        </w:rPr>
        <w:t>ci</w:t>
      </w:r>
      <w:r w:rsidR="00CF07C7">
        <w:rPr>
          <w:rFonts w:ascii="Times New Roman" w:eastAsia="Times New Roman" w:hAnsi="Times New Roman" w:cs="Times New Roman"/>
          <w:sz w:val="24"/>
          <w:szCs w:val="24"/>
          <w:lang w:val="en-GB"/>
        </w:rPr>
        <w:t>pation b</w:t>
      </w:r>
      <w:r w:rsidR="00036833">
        <w:rPr>
          <w:rFonts w:ascii="Times New Roman" w:eastAsia="Times New Roman" w:hAnsi="Times New Roman" w:cs="Times New Roman"/>
          <w:sz w:val="24"/>
          <w:szCs w:val="24"/>
          <w:lang w:val="en-GB"/>
        </w:rPr>
        <w:t>iase</w:t>
      </w:r>
      <w:r w:rsidR="00FC1568">
        <w:rPr>
          <w:rFonts w:ascii="Times New Roman" w:eastAsia="Times New Roman" w:hAnsi="Times New Roman" w:cs="Times New Roman"/>
          <w:sz w:val="24"/>
          <w:szCs w:val="24"/>
          <w:lang w:val="en-GB"/>
        </w:rPr>
        <w:t>s</w:t>
      </w:r>
      <w:r w:rsidR="0023428D">
        <w:rPr>
          <w:rFonts w:ascii="Times New Roman" w:eastAsia="Times New Roman" w:hAnsi="Times New Roman" w:cs="Times New Roman"/>
          <w:sz w:val="24"/>
          <w:szCs w:val="24"/>
          <w:lang w:val="en-GB"/>
        </w:rPr>
        <w:t xml:space="preserve"> across trials</w:t>
      </w:r>
      <w:r w:rsidR="00881374">
        <w:rPr>
          <w:rFonts w:ascii="Times New Roman" w:eastAsia="Times New Roman" w:hAnsi="Times New Roman" w:cs="Times New Roman"/>
          <w:sz w:val="24"/>
          <w:szCs w:val="24"/>
          <w:lang w:val="en-GB"/>
        </w:rPr>
        <w:t>. Whilst</w:t>
      </w:r>
      <w:r w:rsidR="00FC1568">
        <w:rPr>
          <w:rFonts w:ascii="Times New Roman" w:eastAsia="Times New Roman" w:hAnsi="Times New Roman" w:cs="Times New Roman"/>
          <w:sz w:val="24"/>
          <w:szCs w:val="24"/>
          <w:lang w:val="en-GB"/>
        </w:rPr>
        <w:t xml:space="preserve"> </w:t>
      </w:r>
      <w:r w:rsidR="00913232" w:rsidRPr="003F3A43">
        <w:rPr>
          <w:rFonts w:ascii="Times New Roman" w:eastAsia="Times New Roman" w:hAnsi="Times New Roman" w:cs="Times New Roman"/>
          <w:sz w:val="24"/>
          <w:szCs w:val="24"/>
          <w:lang w:val="en-GB"/>
        </w:rPr>
        <w:t xml:space="preserve">some </w:t>
      </w:r>
      <w:r w:rsidR="00881374">
        <w:rPr>
          <w:rFonts w:ascii="Times New Roman" w:eastAsia="Times New Roman" w:hAnsi="Times New Roman" w:cs="Times New Roman"/>
          <w:sz w:val="24"/>
          <w:szCs w:val="24"/>
          <w:lang w:val="en-GB"/>
        </w:rPr>
        <w:t xml:space="preserve">previous trials </w:t>
      </w:r>
      <w:r w:rsidR="00913232" w:rsidRPr="003F3A43">
        <w:rPr>
          <w:rFonts w:ascii="Times New Roman" w:eastAsia="Times New Roman" w:hAnsi="Times New Roman" w:cs="Times New Roman"/>
          <w:sz w:val="24"/>
          <w:szCs w:val="24"/>
          <w:lang w:val="en-GB"/>
        </w:rPr>
        <w:t xml:space="preserve">have observed </w:t>
      </w:r>
      <w:r w:rsidR="002954F3">
        <w:rPr>
          <w:rFonts w:ascii="Times New Roman" w:eastAsia="Times New Roman" w:hAnsi="Times New Roman" w:cs="Times New Roman"/>
          <w:sz w:val="24"/>
          <w:szCs w:val="24"/>
          <w:lang w:val="en-GB"/>
        </w:rPr>
        <w:t xml:space="preserve">that </w:t>
      </w:r>
      <w:r w:rsidR="00913232" w:rsidRPr="003F3A43">
        <w:rPr>
          <w:rFonts w:ascii="Times New Roman" w:eastAsia="Times New Roman" w:hAnsi="Times New Roman" w:cs="Times New Roman"/>
          <w:sz w:val="24"/>
          <w:szCs w:val="24"/>
          <w:lang w:val="en-GB"/>
        </w:rPr>
        <w:t>those of poorest health are the most likely to respond</w:t>
      </w:r>
      <w:r w:rsidR="00363097">
        <w:rPr>
          <w:rFonts w:ascii="Times New Roman" w:eastAsia="Times New Roman" w:hAnsi="Times New Roman" w:cs="Times New Roman"/>
          <w:sz w:val="24"/>
          <w:szCs w:val="24"/>
          <w:lang w:val="en-GB"/>
        </w:rPr>
        <w:t>,</w:t>
      </w:r>
      <w:r w:rsidR="000C2AD0">
        <w:rPr>
          <w:rFonts w:ascii="Times New Roman" w:eastAsia="Times New Roman" w:hAnsi="Times New Roman" w:cs="Times New Roman"/>
          <w:sz w:val="24"/>
          <w:szCs w:val="24"/>
          <w:lang w:val="en-GB"/>
        </w:rPr>
        <w:t>[11,1</w:t>
      </w:r>
      <w:r w:rsidR="00D0286D">
        <w:rPr>
          <w:rFonts w:ascii="Times New Roman" w:eastAsia="Times New Roman" w:hAnsi="Times New Roman" w:cs="Times New Roman"/>
          <w:sz w:val="24"/>
          <w:szCs w:val="24"/>
          <w:lang w:val="en-GB"/>
        </w:rPr>
        <w:t>3-15</w:t>
      </w:r>
      <w:r w:rsidR="000C2AD0">
        <w:rPr>
          <w:rFonts w:ascii="Times New Roman" w:eastAsia="Times New Roman" w:hAnsi="Times New Roman" w:cs="Times New Roman"/>
          <w:sz w:val="24"/>
          <w:szCs w:val="24"/>
          <w:lang w:val="en-GB"/>
        </w:rPr>
        <w:t>]</w:t>
      </w:r>
      <w:r w:rsidR="00363097">
        <w:rPr>
          <w:rFonts w:ascii="Times New Roman" w:eastAsia="Times New Roman" w:hAnsi="Times New Roman" w:cs="Times New Roman"/>
          <w:sz w:val="24"/>
          <w:szCs w:val="24"/>
          <w:lang w:val="en-GB"/>
        </w:rPr>
        <w:t xml:space="preserve"> </w:t>
      </w:r>
      <w:r w:rsidR="00913232" w:rsidRPr="003F3A43">
        <w:rPr>
          <w:rFonts w:ascii="Times New Roman" w:eastAsia="Times New Roman" w:hAnsi="Times New Roman" w:cs="Times New Roman"/>
          <w:sz w:val="24"/>
          <w:szCs w:val="24"/>
          <w:lang w:val="en-GB"/>
        </w:rPr>
        <w:t>other</w:t>
      </w:r>
      <w:r w:rsidR="00881374">
        <w:rPr>
          <w:rFonts w:ascii="Times New Roman" w:eastAsia="Times New Roman" w:hAnsi="Times New Roman" w:cs="Times New Roman"/>
          <w:sz w:val="24"/>
          <w:szCs w:val="24"/>
          <w:lang w:val="en-GB"/>
        </w:rPr>
        <w:t>s report that</w:t>
      </w:r>
      <w:r w:rsidR="00363097">
        <w:rPr>
          <w:rFonts w:ascii="Times New Roman" w:eastAsia="Times New Roman" w:hAnsi="Times New Roman" w:cs="Times New Roman"/>
          <w:sz w:val="24"/>
          <w:szCs w:val="24"/>
          <w:lang w:val="en-GB"/>
        </w:rPr>
        <w:t xml:space="preserve"> participants are healthier and more active </w:t>
      </w:r>
      <w:r w:rsidR="00913232" w:rsidRPr="003F3A43">
        <w:rPr>
          <w:rFonts w:ascii="Times New Roman" w:eastAsia="Times New Roman" w:hAnsi="Times New Roman" w:cs="Times New Roman"/>
          <w:sz w:val="24"/>
          <w:szCs w:val="24"/>
          <w:lang w:val="en-GB"/>
        </w:rPr>
        <w:t>than non-participants.</w:t>
      </w:r>
      <w:r w:rsidR="00D0286D">
        <w:rPr>
          <w:rFonts w:ascii="Times New Roman" w:eastAsia="Times New Roman" w:hAnsi="Times New Roman" w:cs="Times New Roman"/>
          <w:sz w:val="24"/>
          <w:szCs w:val="24"/>
          <w:lang w:val="en-GB"/>
        </w:rPr>
        <w:t>[10,14,16,17]</w:t>
      </w:r>
      <w:r w:rsidR="00913232" w:rsidRPr="003F3A43">
        <w:rPr>
          <w:rFonts w:ascii="Times New Roman" w:eastAsia="Times New Roman" w:hAnsi="Times New Roman" w:cs="Times New Roman"/>
          <w:sz w:val="24"/>
          <w:szCs w:val="24"/>
          <w:lang w:val="en-GB"/>
        </w:rPr>
        <w:t xml:space="preserve"> </w:t>
      </w:r>
      <w:r w:rsidR="00770EFD">
        <w:rPr>
          <w:rFonts w:ascii="Times New Roman" w:eastAsia="Times New Roman" w:hAnsi="Times New Roman" w:cs="Times New Roman"/>
          <w:sz w:val="24"/>
          <w:szCs w:val="24"/>
          <w:lang w:val="en-GB"/>
        </w:rPr>
        <w:t>P</w:t>
      </w:r>
      <w:r w:rsidR="00D87753">
        <w:rPr>
          <w:rFonts w:ascii="Times New Roman" w:eastAsia="Times New Roman" w:hAnsi="Times New Roman" w:cs="Times New Roman"/>
          <w:sz w:val="24"/>
          <w:szCs w:val="24"/>
          <w:lang w:val="en-GB"/>
        </w:rPr>
        <w:t xml:space="preserve">articipation of ethnic minorities is </w:t>
      </w:r>
      <w:r w:rsidR="00770EFD">
        <w:rPr>
          <w:rFonts w:ascii="Times New Roman" w:eastAsia="Times New Roman" w:hAnsi="Times New Roman" w:cs="Times New Roman"/>
          <w:sz w:val="24"/>
          <w:szCs w:val="24"/>
          <w:lang w:val="en-GB"/>
        </w:rPr>
        <w:t>important</w:t>
      </w:r>
      <w:r w:rsidR="00D87753">
        <w:rPr>
          <w:rFonts w:ascii="Times New Roman" w:eastAsia="Times New Roman" w:hAnsi="Times New Roman" w:cs="Times New Roman"/>
          <w:sz w:val="24"/>
          <w:szCs w:val="24"/>
          <w:lang w:val="en-GB"/>
        </w:rPr>
        <w:t xml:space="preserve"> as they are at higher risk for CVD and type 2 diabetes.</w:t>
      </w:r>
      <w:r w:rsidR="00D0286D">
        <w:rPr>
          <w:rFonts w:ascii="Times New Roman" w:eastAsia="Times New Roman" w:hAnsi="Times New Roman" w:cs="Times New Roman"/>
          <w:sz w:val="24"/>
          <w:szCs w:val="24"/>
          <w:lang w:val="en-GB"/>
        </w:rPr>
        <w:t>[18]</w:t>
      </w:r>
      <w:r w:rsidR="001A3217" w:rsidRPr="003F3A43">
        <w:rPr>
          <w:rFonts w:ascii="Times New Roman" w:eastAsia="Times New Roman" w:hAnsi="Times New Roman" w:cs="Times New Roman"/>
          <w:sz w:val="24"/>
          <w:szCs w:val="24"/>
          <w:lang w:val="en-GB"/>
        </w:rPr>
        <w:t xml:space="preserve"> </w:t>
      </w:r>
      <w:r w:rsidR="00386C27" w:rsidRPr="00386C27">
        <w:rPr>
          <w:rFonts w:ascii="Times New Roman" w:eastAsia="Times New Roman" w:hAnsi="Times New Roman" w:cs="Times New Roman"/>
          <w:sz w:val="24"/>
          <w:szCs w:val="24"/>
          <w:lang w:val="en-GB"/>
        </w:rPr>
        <w:t xml:space="preserve">Failure to recruit subjects </w:t>
      </w:r>
      <w:r w:rsidR="00881374">
        <w:rPr>
          <w:rFonts w:ascii="Times New Roman" w:eastAsia="Times New Roman" w:hAnsi="Times New Roman" w:cs="Times New Roman"/>
          <w:sz w:val="24"/>
          <w:szCs w:val="24"/>
          <w:lang w:val="en-GB"/>
        </w:rPr>
        <w:t xml:space="preserve">at </w:t>
      </w:r>
      <w:r w:rsidR="00036833">
        <w:rPr>
          <w:rFonts w:ascii="Times New Roman" w:eastAsia="Times New Roman" w:hAnsi="Times New Roman" w:cs="Times New Roman"/>
          <w:sz w:val="24"/>
          <w:szCs w:val="24"/>
          <w:lang w:val="en-GB"/>
        </w:rPr>
        <w:t xml:space="preserve">highest risk </w:t>
      </w:r>
      <w:r w:rsidR="00036833">
        <w:rPr>
          <w:rFonts w:ascii="Times New Roman" w:eastAsia="Times New Roman" w:hAnsi="Times New Roman" w:cs="Times New Roman"/>
          <w:sz w:val="24"/>
          <w:szCs w:val="24"/>
          <w:lang w:val="en-GB"/>
        </w:rPr>
        <w:lastRenderedPageBreak/>
        <w:t xml:space="preserve">of </w:t>
      </w:r>
      <w:r w:rsidR="00881374">
        <w:rPr>
          <w:rFonts w:ascii="Times New Roman" w:eastAsia="Times New Roman" w:hAnsi="Times New Roman" w:cs="Times New Roman"/>
          <w:sz w:val="24"/>
          <w:szCs w:val="24"/>
          <w:lang w:val="en-GB"/>
        </w:rPr>
        <w:t xml:space="preserve">disease </w:t>
      </w:r>
      <w:r w:rsidR="00386C27" w:rsidRPr="00386C27">
        <w:rPr>
          <w:rFonts w:ascii="Times New Roman" w:eastAsia="Times New Roman" w:hAnsi="Times New Roman" w:cs="Times New Roman"/>
          <w:sz w:val="24"/>
          <w:szCs w:val="24"/>
          <w:lang w:val="en-GB"/>
        </w:rPr>
        <w:t>may limit representativeness</w:t>
      </w:r>
      <w:r w:rsidR="00FC1568">
        <w:rPr>
          <w:rFonts w:ascii="Times New Roman" w:eastAsia="Times New Roman" w:hAnsi="Times New Roman" w:cs="Times New Roman"/>
          <w:sz w:val="24"/>
          <w:szCs w:val="24"/>
          <w:lang w:val="en-GB"/>
        </w:rPr>
        <w:t xml:space="preserve">, </w:t>
      </w:r>
      <w:r w:rsidR="00770EFD">
        <w:rPr>
          <w:rFonts w:ascii="Times New Roman" w:eastAsia="Times New Roman" w:hAnsi="Times New Roman" w:cs="Times New Roman"/>
          <w:sz w:val="24"/>
          <w:szCs w:val="24"/>
          <w:lang w:val="en-GB"/>
        </w:rPr>
        <w:t xml:space="preserve">underestimate </w:t>
      </w:r>
      <w:r w:rsidR="00036833">
        <w:rPr>
          <w:rFonts w:ascii="Times New Roman" w:eastAsia="Times New Roman" w:hAnsi="Times New Roman" w:cs="Times New Roman"/>
          <w:sz w:val="24"/>
          <w:szCs w:val="24"/>
          <w:lang w:val="en-GB"/>
        </w:rPr>
        <w:t>effect sizes,</w:t>
      </w:r>
      <w:r w:rsidR="00FC1568">
        <w:rPr>
          <w:rFonts w:ascii="Times New Roman" w:eastAsia="Times New Roman" w:hAnsi="Times New Roman" w:cs="Times New Roman"/>
          <w:sz w:val="24"/>
          <w:szCs w:val="24"/>
          <w:lang w:val="en-GB"/>
        </w:rPr>
        <w:t xml:space="preserve"> and </w:t>
      </w:r>
      <w:r w:rsidR="00770EFD">
        <w:rPr>
          <w:rFonts w:ascii="Times New Roman" w:eastAsia="Times New Roman" w:hAnsi="Times New Roman" w:cs="Times New Roman"/>
          <w:sz w:val="24"/>
          <w:szCs w:val="24"/>
          <w:lang w:val="en-GB"/>
        </w:rPr>
        <w:t xml:space="preserve">could </w:t>
      </w:r>
      <w:r w:rsidR="00FC1568">
        <w:rPr>
          <w:rFonts w:ascii="Times New Roman" w:eastAsia="Times New Roman" w:hAnsi="Times New Roman" w:cs="Times New Roman"/>
          <w:sz w:val="24"/>
          <w:szCs w:val="24"/>
          <w:lang w:val="en-GB"/>
        </w:rPr>
        <w:t xml:space="preserve">lead to the </w:t>
      </w:r>
      <w:r w:rsidR="00770EFD">
        <w:rPr>
          <w:rFonts w:ascii="Times New Roman" w:eastAsia="Times New Roman" w:hAnsi="Times New Roman" w:cs="Times New Roman"/>
          <w:sz w:val="24"/>
          <w:szCs w:val="24"/>
          <w:lang w:val="en-GB"/>
        </w:rPr>
        <w:t xml:space="preserve">implementation </w:t>
      </w:r>
      <w:r w:rsidR="00FC1568">
        <w:rPr>
          <w:rFonts w:ascii="Times New Roman" w:eastAsia="Times New Roman" w:hAnsi="Times New Roman" w:cs="Times New Roman"/>
          <w:sz w:val="24"/>
          <w:szCs w:val="24"/>
          <w:lang w:val="en-GB"/>
        </w:rPr>
        <w:t>of interventions which increase rather than decrease health inequalities.</w:t>
      </w:r>
      <w:r w:rsidR="00211420">
        <w:rPr>
          <w:rFonts w:ascii="Times New Roman" w:eastAsia="Times New Roman" w:hAnsi="Times New Roman" w:cs="Times New Roman"/>
          <w:sz w:val="24"/>
          <w:szCs w:val="24"/>
          <w:lang w:val="en-GB"/>
        </w:rPr>
        <w:t xml:space="preserve"> </w:t>
      </w:r>
      <w:r w:rsidR="00D87753">
        <w:rPr>
          <w:rFonts w:ascii="Times New Roman" w:eastAsia="Times New Roman" w:hAnsi="Times New Roman" w:cs="Times New Roman"/>
          <w:sz w:val="24"/>
          <w:szCs w:val="24"/>
          <w:lang w:val="en-GB"/>
        </w:rPr>
        <w:t>Yet</w:t>
      </w:r>
      <w:r w:rsidR="00B60A5C">
        <w:rPr>
          <w:rFonts w:ascii="Times New Roman" w:eastAsia="Times New Roman" w:hAnsi="Times New Roman" w:cs="Times New Roman"/>
          <w:sz w:val="24"/>
          <w:szCs w:val="24"/>
          <w:lang w:val="en-GB"/>
        </w:rPr>
        <w:t>,</w:t>
      </w:r>
      <w:r w:rsidR="00D87753">
        <w:rPr>
          <w:rFonts w:ascii="Times New Roman" w:eastAsia="Times New Roman" w:hAnsi="Times New Roman" w:cs="Times New Roman"/>
          <w:sz w:val="24"/>
          <w:szCs w:val="24"/>
          <w:lang w:val="en-GB"/>
        </w:rPr>
        <w:t xml:space="preserve"> there are few opportunities to </w:t>
      </w:r>
      <w:r w:rsidR="00770EFD">
        <w:rPr>
          <w:rFonts w:ascii="Times New Roman" w:eastAsia="Times New Roman" w:hAnsi="Times New Roman" w:cs="Times New Roman"/>
          <w:sz w:val="24"/>
          <w:szCs w:val="24"/>
          <w:lang w:val="en-GB"/>
        </w:rPr>
        <w:t>study participation bia</w:t>
      </w:r>
      <w:r w:rsidR="00881374">
        <w:rPr>
          <w:rFonts w:ascii="Times New Roman" w:eastAsia="Times New Roman" w:hAnsi="Times New Roman" w:cs="Times New Roman"/>
          <w:sz w:val="24"/>
          <w:szCs w:val="24"/>
          <w:lang w:val="en-GB"/>
        </w:rPr>
        <w:t xml:space="preserve">ses </w:t>
      </w:r>
      <w:r w:rsidR="00386C27">
        <w:rPr>
          <w:rFonts w:ascii="Times New Roman" w:eastAsia="Times New Roman" w:hAnsi="Times New Roman" w:cs="Times New Roman"/>
          <w:sz w:val="24"/>
          <w:szCs w:val="24"/>
          <w:lang w:val="en-GB"/>
        </w:rPr>
        <w:t xml:space="preserve">as </w:t>
      </w:r>
      <w:r w:rsidR="001A5F21" w:rsidRPr="003F3A43">
        <w:rPr>
          <w:rFonts w:ascii="Times New Roman" w:eastAsia="Times New Roman" w:hAnsi="Times New Roman" w:cs="Times New Roman"/>
          <w:sz w:val="24"/>
          <w:szCs w:val="24"/>
          <w:lang w:val="en-GB"/>
        </w:rPr>
        <w:t>those who do not respond to invitations</w:t>
      </w:r>
      <w:r w:rsidR="00D87753">
        <w:rPr>
          <w:rFonts w:ascii="Times New Roman" w:eastAsia="Times New Roman" w:hAnsi="Times New Roman" w:cs="Times New Roman"/>
          <w:sz w:val="24"/>
          <w:szCs w:val="24"/>
          <w:lang w:val="en-GB"/>
        </w:rPr>
        <w:t xml:space="preserve"> to par</w:t>
      </w:r>
      <w:r w:rsidR="00FC1568">
        <w:rPr>
          <w:rFonts w:ascii="Times New Roman" w:eastAsia="Times New Roman" w:hAnsi="Times New Roman" w:cs="Times New Roman"/>
          <w:sz w:val="24"/>
          <w:szCs w:val="24"/>
          <w:lang w:val="en-GB"/>
        </w:rPr>
        <w:t xml:space="preserve">ticipate </w:t>
      </w:r>
      <w:r w:rsidR="00770EFD">
        <w:rPr>
          <w:rFonts w:ascii="Times New Roman" w:eastAsia="Times New Roman" w:hAnsi="Times New Roman" w:cs="Times New Roman"/>
          <w:sz w:val="24"/>
          <w:szCs w:val="24"/>
          <w:lang w:val="en-GB"/>
        </w:rPr>
        <w:t xml:space="preserve">typically </w:t>
      </w:r>
      <w:r w:rsidR="00FC1568">
        <w:rPr>
          <w:rFonts w:ascii="Times New Roman" w:eastAsia="Times New Roman" w:hAnsi="Times New Roman" w:cs="Times New Roman"/>
          <w:sz w:val="24"/>
          <w:szCs w:val="24"/>
          <w:lang w:val="en-GB"/>
        </w:rPr>
        <w:t xml:space="preserve">have </w:t>
      </w:r>
      <w:r w:rsidR="002441D9">
        <w:rPr>
          <w:rFonts w:ascii="Times New Roman" w:eastAsia="Times New Roman" w:hAnsi="Times New Roman" w:cs="Times New Roman"/>
          <w:sz w:val="24"/>
          <w:szCs w:val="24"/>
          <w:lang w:val="en-GB"/>
        </w:rPr>
        <w:t xml:space="preserve">not </w:t>
      </w:r>
      <w:r w:rsidR="00770EFD">
        <w:rPr>
          <w:rFonts w:ascii="Times New Roman" w:eastAsia="Times New Roman" w:hAnsi="Times New Roman" w:cs="Times New Roman"/>
          <w:sz w:val="24"/>
          <w:szCs w:val="24"/>
          <w:lang w:val="en-GB"/>
        </w:rPr>
        <w:t xml:space="preserve">given consent to </w:t>
      </w:r>
      <w:r w:rsidR="002441D9">
        <w:rPr>
          <w:rFonts w:ascii="Times New Roman" w:eastAsia="Times New Roman" w:hAnsi="Times New Roman" w:cs="Times New Roman"/>
          <w:sz w:val="24"/>
          <w:szCs w:val="24"/>
          <w:lang w:val="en-GB"/>
        </w:rPr>
        <w:t>medical data</w:t>
      </w:r>
      <w:r w:rsidR="00D87753">
        <w:rPr>
          <w:rFonts w:ascii="Times New Roman" w:eastAsia="Times New Roman" w:hAnsi="Times New Roman" w:cs="Times New Roman"/>
          <w:sz w:val="24"/>
          <w:szCs w:val="24"/>
          <w:lang w:val="en-GB"/>
        </w:rPr>
        <w:t xml:space="preserve"> </w:t>
      </w:r>
      <w:proofErr w:type="gramStart"/>
      <w:r w:rsidR="00D87753">
        <w:rPr>
          <w:rFonts w:ascii="Times New Roman" w:eastAsia="Times New Roman" w:hAnsi="Times New Roman" w:cs="Times New Roman"/>
          <w:sz w:val="24"/>
          <w:szCs w:val="24"/>
          <w:lang w:val="en-GB"/>
        </w:rPr>
        <w:t>a</w:t>
      </w:r>
      <w:r w:rsidR="00770EFD">
        <w:rPr>
          <w:rFonts w:ascii="Times New Roman" w:eastAsia="Times New Roman" w:hAnsi="Times New Roman" w:cs="Times New Roman"/>
          <w:sz w:val="24"/>
          <w:szCs w:val="24"/>
          <w:lang w:val="en-GB"/>
        </w:rPr>
        <w:t>ccess</w:t>
      </w:r>
      <w:r w:rsidR="00D87753">
        <w:rPr>
          <w:rFonts w:ascii="Times New Roman" w:eastAsia="Times New Roman" w:hAnsi="Times New Roman" w:cs="Times New Roman"/>
          <w:sz w:val="24"/>
          <w:szCs w:val="24"/>
          <w:lang w:val="en-GB"/>
        </w:rPr>
        <w:t>.</w:t>
      </w:r>
      <w:r w:rsidR="00D0286D">
        <w:rPr>
          <w:rFonts w:ascii="Times New Roman" w:eastAsia="Times New Roman" w:hAnsi="Times New Roman" w:cs="Times New Roman"/>
          <w:sz w:val="24"/>
          <w:szCs w:val="24"/>
          <w:lang w:val="en-GB"/>
        </w:rPr>
        <w:t>[</w:t>
      </w:r>
      <w:proofErr w:type="gramEnd"/>
      <w:r w:rsidR="00D0286D">
        <w:rPr>
          <w:rFonts w:ascii="Times New Roman" w:eastAsia="Times New Roman" w:hAnsi="Times New Roman" w:cs="Times New Roman"/>
          <w:sz w:val="24"/>
          <w:szCs w:val="24"/>
          <w:lang w:val="en-GB"/>
        </w:rPr>
        <w:t>19]</w:t>
      </w:r>
    </w:p>
    <w:p w14:paraId="38060546" w14:textId="60BF3D47" w:rsidR="0099768C" w:rsidRDefault="00D87753" w:rsidP="00146777">
      <w:pPr>
        <w:spacing w:before="100" w:beforeAutospacing="1" w:after="100" w:afterAutospacing="1"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this study w</w:t>
      </w:r>
      <w:r w:rsidR="001A5F21" w:rsidRPr="003F3A43">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 xml:space="preserve"> </w:t>
      </w:r>
      <w:r w:rsidR="00881374">
        <w:rPr>
          <w:rFonts w:ascii="Times New Roman" w:eastAsia="Times New Roman" w:hAnsi="Times New Roman" w:cs="Times New Roman"/>
          <w:sz w:val="24"/>
          <w:szCs w:val="24"/>
          <w:lang w:val="en-GB"/>
        </w:rPr>
        <w:t xml:space="preserve">tested the hypothesis that people who have a lower risk of CVD are more likely to respond to an invite to participate in a randomised controlled trial </w:t>
      </w:r>
      <w:r w:rsidR="00770EFD">
        <w:rPr>
          <w:rFonts w:ascii="Times New Roman" w:eastAsia="Times New Roman" w:hAnsi="Times New Roman" w:cs="Times New Roman"/>
          <w:sz w:val="24"/>
          <w:szCs w:val="24"/>
          <w:lang w:val="en-GB"/>
        </w:rPr>
        <w:t xml:space="preserve">(RCT) evaluating </w:t>
      </w:r>
      <w:r w:rsidR="001A5F21" w:rsidRPr="003F3A43">
        <w:rPr>
          <w:rFonts w:ascii="Times New Roman" w:eastAsia="Times New Roman" w:hAnsi="Times New Roman" w:cs="Times New Roman"/>
          <w:sz w:val="24"/>
          <w:szCs w:val="24"/>
          <w:lang w:val="en-GB"/>
        </w:rPr>
        <w:t xml:space="preserve">an </w:t>
      </w:r>
      <w:r w:rsidR="000455F6" w:rsidRPr="003F3A43">
        <w:rPr>
          <w:rFonts w:ascii="Times New Roman" w:eastAsia="Times New Roman" w:hAnsi="Times New Roman" w:cs="Times New Roman"/>
          <w:sz w:val="24"/>
          <w:szCs w:val="24"/>
          <w:lang w:val="en-GB"/>
        </w:rPr>
        <w:t>intensive lifestyle intervention</w:t>
      </w:r>
      <w:r w:rsidR="003D2E22">
        <w:rPr>
          <w:rFonts w:ascii="Times New Roman" w:eastAsia="Times New Roman" w:hAnsi="Times New Roman" w:cs="Times New Roman"/>
          <w:sz w:val="24"/>
          <w:szCs w:val="24"/>
          <w:lang w:val="en-GB"/>
        </w:rPr>
        <w:t xml:space="preserve"> </w:t>
      </w:r>
      <w:r w:rsidR="00770EFD">
        <w:rPr>
          <w:rFonts w:ascii="Times New Roman" w:eastAsia="Times New Roman" w:hAnsi="Times New Roman" w:cs="Times New Roman"/>
          <w:sz w:val="24"/>
          <w:szCs w:val="24"/>
          <w:lang w:val="en-GB"/>
        </w:rPr>
        <w:t>for</w:t>
      </w:r>
      <w:r w:rsidR="000455F6" w:rsidRPr="003F3A43">
        <w:rPr>
          <w:rFonts w:ascii="Times New Roman" w:eastAsia="Times New Roman" w:hAnsi="Times New Roman" w:cs="Times New Roman"/>
          <w:sz w:val="24"/>
          <w:szCs w:val="24"/>
          <w:lang w:val="en-GB"/>
        </w:rPr>
        <w:t xml:space="preserve"> reduc</w:t>
      </w:r>
      <w:r w:rsidR="00770EFD">
        <w:rPr>
          <w:rFonts w:ascii="Times New Roman" w:eastAsia="Times New Roman" w:hAnsi="Times New Roman" w:cs="Times New Roman"/>
          <w:sz w:val="24"/>
          <w:szCs w:val="24"/>
          <w:lang w:val="en-GB"/>
        </w:rPr>
        <w:t>ing</w:t>
      </w:r>
      <w:r w:rsidR="000455F6" w:rsidRPr="003F3A43">
        <w:rPr>
          <w:rFonts w:ascii="Times New Roman" w:eastAsia="Times New Roman" w:hAnsi="Times New Roman" w:cs="Times New Roman"/>
          <w:sz w:val="24"/>
          <w:szCs w:val="24"/>
          <w:lang w:val="en-GB"/>
        </w:rPr>
        <w:t xml:space="preserve"> weight and increas</w:t>
      </w:r>
      <w:r w:rsidR="00770EFD">
        <w:rPr>
          <w:rFonts w:ascii="Times New Roman" w:eastAsia="Times New Roman" w:hAnsi="Times New Roman" w:cs="Times New Roman"/>
          <w:sz w:val="24"/>
          <w:szCs w:val="24"/>
          <w:lang w:val="en-GB"/>
        </w:rPr>
        <w:t>ing</w:t>
      </w:r>
      <w:r w:rsidR="000455F6" w:rsidRPr="003F3A43">
        <w:rPr>
          <w:rFonts w:ascii="Times New Roman" w:eastAsia="Times New Roman" w:hAnsi="Times New Roman" w:cs="Times New Roman"/>
          <w:sz w:val="24"/>
          <w:szCs w:val="24"/>
          <w:lang w:val="en-GB"/>
        </w:rPr>
        <w:t xml:space="preserve"> physical activity.</w:t>
      </w:r>
      <w:r w:rsidR="00E2171D">
        <w:rPr>
          <w:rFonts w:ascii="Times New Roman" w:eastAsia="Times New Roman" w:hAnsi="Times New Roman" w:cs="Times New Roman"/>
          <w:sz w:val="24"/>
          <w:szCs w:val="24"/>
          <w:lang w:val="en-GB"/>
        </w:rPr>
        <w:t xml:space="preserve"> </w:t>
      </w:r>
      <w:r w:rsidR="00881374">
        <w:rPr>
          <w:rFonts w:ascii="Times New Roman" w:eastAsia="Times New Roman" w:hAnsi="Times New Roman" w:cs="Times New Roman"/>
          <w:sz w:val="24"/>
          <w:szCs w:val="24"/>
          <w:lang w:val="en-GB"/>
        </w:rPr>
        <w:t xml:space="preserve">We also tested whether potential sociodemographic markers of response such as </w:t>
      </w:r>
      <w:r w:rsidR="00DF35C2">
        <w:rPr>
          <w:rFonts w:ascii="Times New Roman" w:eastAsia="Times New Roman" w:hAnsi="Times New Roman" w:cs="Times New Roman"/>
          <w:sz w:val="24"/>
          <w:szCs w:val="24"/>
          <w:lang w:val="en-GB"/>
        </w:rPr>
        <w:t>white ethnicity and living in more affluent areas corresponded to a greater likelihood of response.</w:t>
      </w:r>
    </w:p>
    <w:p w14:paraId="3FB3157A" w14:textId="77777777" w:rsidR="00A40931" w:rsidRDefault="00A40931" w:rsidP="00146777">
      <w:pPr>
        <w:spacing w:before="100" w:beforeAutospacing="1" w:after="100" w:afterAutospacing="1" w:line="480" w:lineRule="auto"/>
        <w:jc w:val="both"/>
        <w:rPr>
          <w:rFonts w:ascii="Times New Roman" w:eastAsia="Times New Roman" w:hAnsi="Times New Roman" w:cs="Times New Roman"/>
          <w:sz w:val="24"/>
          <w:szCs w:val="24"/>
          <w:lang w:val="en-GB"/>
        </w:rPr>
      </w:pPr>
    </w:p>
    <w:p w14:paraId="017279A6" w14:textId="5A052FC3" w:rsidR="006A383F" w:rsidRPr="00771D7E" w:rsidRDefault="00AC26B7" w:rsidP="00146777">
      <w:pPr>
        <w:spacing w:before="100" w:beforeAutospacing="1" w:after="100" w:afterAutospacing="1" w:line="480" w:lineRule="auto"/>
        <w:jc w:val="both"/>
        <w:rPr>
          <w:rFonts w:ascii="Times New Roman" w:eastAsia="Times New Roman" w:hAnsi="Times New Roman" w:cs="Times New Roman"/>
          <w:sz w:val="28"/>
          <w:szCs w:val="28"/>
          <w:lang w:val="en-GB"/>
        </w:rPr>
      </w:pPr>
      <w:r w:rsidRPr="00771D7E">
        <w:rPr>
          <w:rFonts w:ascii="Times New Roman" w:hAnsi="Times New Roman" w:cs="Times New Roman"/>
          <w:b/>
          <w:sz w:val="28"/>
          <w:szCs w:val="28"/>
        </w:rPr>
        <w:t>Methods</w:t>
      </w:r>
    </w:p>
    <w:p w14:paraId="1FB198F8" w14:textId="1DBAD46B" w:rsidR="00AC26B7" w:rsidRPr="003F3A43" w:rsidRDefault="00BA7D79" w:rsidP="00146777">
      <w:pPr>
        <w:spacing w:line="480" w:lineRule="auto"/>
        <w:rPr>
          <w:rFonts w:ascii="Times New Roman" w:hAnsi="Times New Roman" w:cs="Times New Roman"/>
          <w:i/>
          <w:sz w:val="24"/>
          <w:szCs w:val="24"/>
        </w:rPr>
      </w:pPr>
      <w:r w:rsidRPr="003F3A43">
        <w:rPr>
          <w:rFonts w:ascii="Times New Roman" w:hAnsi="Times New Roman" w:cs="Times New Roman"/>
          <w:i/>
          <w:sz w:val="24"/>
          <w:szCs w:val="24"/>
        </w:rPr>
        <w:t xml:space="preserve">Setting and </w:t>
      </w:r>
      <w:r w:rsidR="00AC26B7" w:rsidRPr="003F3A43">
        <w:rPr>
          <w:rFonts w:ascii="Times New Roman" w:hAnsi="Times New Roman" w:cs="Times New Roman"/>
          <w:i/>
          <w:sz w:val="24"/>
          <w:szCs w:val="24"/>
        </w:rPr>
        <w:t>Design</w:t>
      </w:r>
    </w:p>
    <w:p w14:paraId="5F6A0E7E" w14:textId="722ACF6E" w:rsidR="00BA7D79" w:rsidRPr="003F3A43" w:rsidRDefault="00386C27" w:rsidP="00146777">
      <w:pPr>
        <w:spacing w:line="480" w:lineRule="auto"/>
        <w:rPr>
          <w:rFonts w:ascii="Times New Roman" w:hAnsi="Times New Roman" w:cs="Times New Roman"/>
          <w:sz w:val="24"/>
          <w:szCs w:val="24"/>
          <w:lang w:val="en-GB"/>
        </w:rPr>
      </w:pPr>
      <w:r>
        <w:rPr>
          <w:rFonts w:ascii="Times New Roman" w:hAnsi="Times New Roman" w:cs="Times New Roman"/>
          <w:sz w:val="24"/>
          <w:szCs w:val="24"/>
        </w:rPr>
        <w:t>We used a cross-</w:t>
      </w:r>
      <w:r w:rsidR="00BA7D79" w:rsidRPr="003F3A43">
        <w:rPr>
          <w:rFonts w:ascii="Times New Roman" w:hAnsi="Times New Roman" w:cs="Times New Roman"/>
          <w:sz w:val="24"/>
          <w:szCs w:val="24"/>
        </w:rPr>
        <w:t>sectional design</w:t>
      </w:r>
      <w:r w:rsidR="00770EFD">
        <w:rPr>
          <w:rFonts w:ascii="Times New Roman" w:hAnsi="Times New Roman" w:cs="Times New Roman"/>
          <w:sz w:val="24"/>
          <w:szCs w:val="24"/>
        </w:rPr>
        <w:t>. The sample was derived from</w:t>
      </w:r>
      <w:r w:rsidR="00036833">
        <w:rPr>
          <w:rFonts w:ascii="Times New Roman" w:hAnsi="Times New Roman" w:cs="Times New Roman"/>
          <w:sz w:val="24"/>
          <w:szCs w:val="24"/>
        </w:rPr>
        <w:t xml:space="preserve"> </w:t>
      </w:r>
      <w:r w:rsidR="00770EFD">
        <w:rPr>
          <w:rFonts w:ascii="Times New Roman" w:hAnsi="Times New Roman" w:cs="Times New Roman"/>
          <w:sz w:val="24"/>
          <w:szCs w:val="24"/>
        </w:rPr>
        <w:t>the target</w:t>
      </w:r>
      <w:r w:rsidR="00BA7D79" w:rsidRPr="003F3A43">
        <w:rPr>
          <w:rFonts w:ascii="Times New Roman" w:hAnsi="Times New Roman" w:cs="Times New Roman"/>
          <w:sz w:val="24"/>
          <w:szCs w:val="24"/>
        </w:rPr>
        <w:t xml:space="preserve"> population </w:t>
      </w:r>
      <w:r w:rsidR="00770EFD">
        <w:rPr>
          <w:rFonts w:ascii="Times New Roman" w:hAnsi="Times New Roman" w:cs="Times New Roman"/>
          <w:sz w:val="24"/>
          <w:szCs w:val="24"/>
        </w:rPr>
        <w:t xml:space="preserve">invited for eligibility screening to participate in </w:t>
      </w:r>
      <w:r>
        <w:rPr>
          <w:rFonts w:ascii="Times New Roman" w:hAnsi="Times New Roman" w:cs="Times New Roman"/>
          <w:sz w:val="24"/>
          <w:szCs w:val="24"/>
        </w:rPr>
        <w:t xml:space="preserve">a </w:t>
      </w:r>
      <w:r w:rsidR="00770EFD">
        <w:rPr>
          <w:rFonts w:ascii="Times New Roman" w:hAnsi="Times New Roman" w:cs="Times New Roman"/>
          <w:sz w:val="24"/>
          <w:szCs w:val="24"/>
        </w:rPr>
        <w:t>RCT</w:t>
      </w:r>
      <w:r>
        <w:rPr>
          <w:rFonts w:ascii="Times New Roman" w:hAnsi="Times New Roman" w:cs="Times New Roman"/>
          <w:sz w:val="24"/>
          <w:szCs w:val="24"/>
        </w:rPr>
        <w:t xml:space="preserve"> assessing the</w:t>
      </w:r>
      <w:r w:rsidR="00770EFD">
        <w:rPr>
          <w:rFonts w:ascii="Times New Roman" w:hAnsi="Times New Roman" w:cs="Times New Roman"/>
          <w:sz w:val="24"/>
          <w:szCs w:val="24"/>
        </w:rPr>
        <w:t xml:space="preserve"> effectiveness of an enhanced </w:t>
      </w:r>
      <w:proofErr w:type="spellStart"/>
      <w:r w:rsidR="00770EFD">
        <w:rPr>
          <w:rFonts w:ascii="Times New Roman" w:hAnsi="Times New Roman" w:cs="Times New Roman"/>
          <w:sz w:val="24"/>
          <w:szCs w:val="24"/>
        </w:rPr>
        <w:t>MOtiV</w:t>
      </w:r>
      <w:r>
        <w:rPr>
          <w:rFonts w:ascii="Times New Roman" w:hAnsi="Times New Roman" w:cs="Times New Roman"/>
          <w:sz w:val="24"/>
          <w:szCs w:val="24"/>
        </w:rPr>
        <w:t>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intErviewing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r w:rsidR="00BA7D79" w:rsidRPr="003F3A43">
        <w:rPr>
          <w:rFonts w:ascii="Times New Roman" w:hAnsi="Times New Roman" w:cs="Times New Roman"/>
          <w:sz w:val="24"/>
          <w:szCs w:val="24"/>
        </w:rPr>
        <w:t>MOVE IT</w:t>
      </w:r>
      <w:r>
        <w:rPr>
          <w:rFonts w:ascii="Times New Roman" w:hAnsi="Times New Roman" w:cs="Times New Roman"/>
          <w:sz w:val="24"/>
          <w:szCs w:val="24"/>
        </w:rPr>
        <w:t xml:space="preserve">) for reducing weight and increasing physical activity in people at high risk of CVD. </w:t>
      </w:r>
      <w:r w:rsidR="009413DA" w:rsidRPr="003F3A43">
        <w:rPr>
          <w:rFonts w:ascii="Times New Roman" w:hAnsi="Times New Roman" w:cs="Times New Roman"/>
          <w:sz w:val="24"/>
          <w:szCs w:val="24"/>
        </w:rPr>
        <w:t>MOVE IT</w:t>
      </w:r>
      <w:r w:rsidR="00FF33BE">
        <w:rPr>
          <w:rFonts w:ascii="Times New Roman" w:hAnsi="Times New Roman" w:cs="Times New Roman"/>
          <w:sz w:val="24"/>
          <w:szCs w:val="24"/>
        </w:rPr>
        <w:t xml:space="preserve"> </w:t>
      </w:r>
      <w:r w:rsidR="009413DA" w:rsidRPr="003F3A43">
        <w:rPr>
          <w:rFonts w:ascii="Times New Roman" w:hAnsi="Times New Roman" w:cs="Times New Roman"/>
          <w:sz w:val="24"/>
          <w:szCs w:val="24"/>
          <w:lang w:val="en-GB" w:eastAsia="en-GB"/>
        </w:rPr>
        <w:t>compares</w:t>
      </w:r>
      <w:r w:rsidR="00BA7D79" w:rsidRPr="003F3A43">
        <w:rPr>
          <w:rFonts w:ascii="Times New Roman" w:hAnsi="Times New Roman" w:cs="Times New Roman"/>
          <w:sz w:val="24"/>
          <w:szCs w:val="24"/>
          <w:lang w:val="en-GB" w:eastAsia="en-GB"/>
        </w:rPr>
        <w:t xml:space="preserve"> the </w:t>
      </w:r>
      <w:r w:rsidR="003F3A43" w:rsidRPr="003F3A43">
        <w:rPr>
          <w:rFonts w:ascii="Times New Roman" w:hAnsi="Times New Roman" w:cs="Times New Roman"/>
          <w:sz w:val="24"/>
          <w:szCs w:val="24"/>
          <w:lang w:val="en-GB" w:eastAsia="en-GB"/>
        </w:rPr>
        <w:t>effectiveness of</w:t>
      </w:r>
      <w:r w:rsidR="00BA7D79" w:rsidRPr="003F3A43">
        <w:rPr>
          <w:rFonts w:ascii="Times New Roman" w:hAnsi="Times New Roman" w:cs="Times New Roman"/>
          <w:sz w:val="24"/>
          <w:szCs w:val="24"/>
          <w:lang w:val="en-GB" w:eastAsia="en-GB"/>
        </w:rPr>
        <w:t xml:space="preserve"> motivational interviewing (MI) and cognitive behaviour therapy (CBT) behaviour change techniques </w:t>
      </w:r>
      <w:r w:rsidR="009413DA" w:rsidRPr="003F3A43">
        <w:rPr>
          <w:rFonts w:ascii="Times New Roman" w:hAnsi="Times New Roman" w:cs="Times New Roman"/>
          <w:sz w:val="24"/>
          <w:szCs w:val="24"/>
          <w:lang w:val="en-GB" w:eastAsia="en-GB"/>
        </w:rPr>
        <w:t>in group</w:t>
      </w:r>
      <w:r>
        <w:rPr>
          <w:rFonts w:ascii="Times New Roman" w:hAnsi="Times New Roman" w:cs="Times New Roman"/>
          <w:sz w:val="24"/>
          <w:szCs w:val="24"/>
          <w:lang w:val="en-GB" w:eastAsia="en-GB"/>
        </w:rPr>
        <w:t xml:space="preserve">, </w:t>
      </w:r>
      <w:r w:rsidR="00BA7D79" w:rsidRPr="003F3A43">
        <w:rPr>
          <w:rFonts w:ascii="Times New Roman" w:hAnsi="Times New Roman" w:cs="Times New Roman"/>
          <w:sz w:val="24"/>
          <w:szCs w:val="24"/>
          <w:lang w:val="en-GB" w:eastAsia="en-GB"/>
        </w:rPr>
        <w:t xml:space="preserve">individual </w:t>
      </w:r>
      <w:r>
        <w:rPr>
          <w:rFonts w:ascii="Times New Roman" w:hAnsi="Times New Roman" w:cs="Times New Roman"/>
          <w:sz w:val="24"/>
          <w:szCs w:val="24"/>
          <w:lang w:val="en-GB" w:eastAsia="en-GB"/>
        </w:rPr>
        <w:t>and</w:t>
      </w:r>
      <w:r w:rsidR="00BA7D79" w:rsidRPr="003F3A43">
        <w:rPr>
          <w:rFonts w:ascii="Times New Roman" w:hAnsi="Times New Roman" w:cs="Times New Roman"/>
          <w:sz w:val="24"/>
          <w:szCs w:val="24"/>
          <w:lang w:val="en-GB" w:eastAsia="en-GB"/>
        </w:rPr>
        <w:t xml:space="preserve"> usual care</w:t>
      </w:r>
      <w:r w:rsidR="009413DA" w:rsidRPr="003F3A43">
        <w:rPr>
          <w:rFonts w:ascii="Times New Roman" w:hAnsi="Times New Roman" w:cs="Times New Roman"/>
          <w:sz w:val="24"/>
          <w:szCs w:val="24"/>
          <w:lang w:val="en-GB" w:eastAsia="en-GB"/>
        </w:rPr>
        <w:t xml:space="preserve"> arms. </w:t>
      </w:r>
      <w:r w:rsidR="002441D9">
        <w:rPr>
          <w:rFonts w:ascii="Times New Roman" w:hAnsi="Times New Roman" w:cs="Times New Roman"/>
          <w:sz w:val="24"/>
          <w:szCs w:val="24"/>
          <w:lang w:val="en-GB" w:eastAsia="en-GB"/>
        </w:rPr>
        <w:t xml:space="preserve">The study population </w:t>
      </w:r>
      <w:r w:rsidR="00036833">
        <w:rPr>
          <w:rFonts w:ascii="Times New Roman" w:hAnsi="Times New Roman" w:cs="Times New Roman"/>
          <w:sz w:val="24"/>
          <w:szCs w:val="24"/>
          <w:lang w:val="en-GB" w:eastAsia="en-GB"/>
        </w:rPr>
        <w:t>consisted of patients at hig</w:t>
      </w:r>
      <w:r w:rsidR="002441D9">
        <w:rPr>
          <w:rFonts w:ascii="Times New Roman" w:hAnsi="Times New Roman" w:cs="Times New Roman"/>
          <w:sz w:val="24"/>
          <w:szCs w:val="24"/>
          <w:lang w:val="en-GB" w:eastAsia="en-GB"/>
        </w:rPr>
        <w:t>h risk of CVD in primary care from</w:t>
      </w:r>
      <w:r w:rsidR="009413DA" w:rsidRPr="003F3A43">
        <w:rPr>
          <w:rFonts w:ascii="Times New Roman" w:hAnsi="Times New Roman" w:cs="Times New Roman"/>
          <w:sz w:val="24"/>
          <w:szCs w:val="24"/>
          <w:lang w:val="en-GB" w:eastAsia="en-GB"/>
        </w:rPr>
        <w:t xml:space="preserve"> </w:t>
      </w:r>
      <w:r w:rsidR="00BA7D79" w:rsidRPr="003F3A43">
        <w:rPr>
          <w:rFonts w:ascii="Times New Roman" w:eastAsia="Times New Roman" w:hAnsi="Times New Roman" w:cs="Times New Roman"/>
          <w:sz w:val="24"/>
          <w:szCs w:val="24"/>
          <w:lang w:val="en-GB" w:eastAsia="en-GB"/>
        </w:rPr>
        <w:t>1</w:t>
      </w:r>
      <w:r w:rsidR="003F3A43" w:rsidRPr="003F3A43">
        <w:rPr>
          <w:rFonts w:ascii="Times New Roman" w:hAnsi="Times New Roman" w:cs="Times New Roman"/>
          <w:sz w:val="24"/>
          <w:szCs w:val="24"/>
          <w:lang w:val="en-GB" w:eastAsia="en-GB"/>
        </w:rPr>
        <w:t>2</w:t>
      </w:r>
      <w:r w:rsidR="00BA7D79" w:rsidRPr="003F3A43">
        <w:rPr>
          <w:rFonts w:ascii="Times New Roman" w:eastAsia="Times New Roman" w:hAnsi="Times New Roman" w:cs="Times New Roman"/>
          <w:sz w:val="24"/>
          <w:szCs w:val="24"/>
          <w:lang w:val="en-GB" w:eastAsia="en-GB"/>
        </w:rPr>
        <w:t xml:space="preserve"> </w:t>
      </w:r>
      <w:r w:rsidR="00206CAB">
        <w:rPr>
          <w:rFonts w:ascii="Times New Roman" w:eastAsia="Times New Roman" w:hAnsi="Times New Roman" w:cs="Times New Roman"/>
          <w:sz w:val="24"/>
          <w:szCs w:val="24"/>
          <w:lang w:val="en-GB" w:eastAsia="en-GB"/>
        </w:rPr>
        <w:t>s</w:t>
      </w:r>
      <w:r w:rsidR="00BA7D79" w:rsidRPr="003F3A43">
        <w:rPr>
          <w:rFonts w:ascii="Times New Roman" w:eastAsia="Times New Roman" w:hAnsi="Times New Roman" w:cs="Times New Roman"/>
          <w:sz w:val="24"/>
          <w:szCs w:val="24"/>
          <w:lang w:val="en-GB" w:eastAsia="en-GB"/>
        </w:rPr>
        <w:t xml:space="preserve">outh London Clinical Commissioning Groups </w:t>
      </w:r>
      <w:r w:rsidR="00D0286D">
        <w:rPr>
          <w:rFonts w:ascii="Times New Roman" w:eastAsia="Times New Roman" w:hAnsi="Times New Roman" w:cs="Times New Roman"/>
          <w:sz w:val="24"/>
          <w:szCs w:val="24"/>
          <w:lang w:val="en-GB" w:eastAsia="en-GB"/>
        </w:rPr>
        <w:t xml:space="preserve">(CCGs) </w:t>
      </w:r>
      <w:r w:rsidR="009413DA" w:rsidRPr="003F3A43">
        <w:rPr>
          <w:rFonts w:ascii="Times New Roman" w:hAnsi="Times New Roman" w:cs="Times New Roman"/>
          <w:sz w:val="24"/>
          <w:szCs w:val="24"/>
          <w:lang w:val="en-GB" w:eastAsia="en-GB"/>
        </w:rPr>
        <w:t>representing a</w:t>
      </w:r>
      <w:r w:rsidR="00F00DF7">
        <w:rPr>
          <w:rFonts w:ascii="Times New Roman" w:hAnsi="Times New Roman" w:cs="Times New Roman"/>
          <w:sz w:val="24"/>
          <w:szCs w:val="24"/>
          <w:lang w:val="en-GB" w:eastAsia="en-GB"/>
        </w:rPr>
        <w:t xml:space="preserve">n ethnically-diverse </w:t>
      </w:r>
      <w:r w:rsidR="009413DA" w:rsidRPr="003F3A43">
        <w:rPr>
          <w:rFonts w:ascii="Times New Roman" w:hAnsi="Times New Roman" w:cs="Times New Roman"/>
          <w:sz w:val="24"/>
          <w:szCs w:val="24"/>
          <w:lang w:val="en-GB" w:eastAsia="en-GB"/>
        </w:rPr>
        <w:t xml:space="preserve">resident population of about 3 </w:t>
      </w:r>
      <w:proofErr w:type="gramStart"/>
      <w:r w:rsidR="009413DA" w:rsidRPr="003F3A43">
        <w:rPr>
          <w:rFonts w:ascii="Times New Roman" w:hAnsi="Times New Roman" w:cs="Times New Roman"/>
          <w:sz w:val="24"/>
          <w:szCs w:val="24"/>
          <w:lang w:val="en-GB" w:eastAsia="en-GB"/>
        </w:rPr>
        <w:t>million.</w:t>
      </w:r>
      <w:r w:rsidR="00D0286D">
        <w:rPr>
          <w:rFonts w:ascii="Times New Roman" w:hAnsi="Times New Roman" w:cs="Times New Roman"/>
          <w:sz w:val="24"/>
          <w:szCs w:val="24"/>
          <w:lang w:val="en-GB" w:eastAsia="en-GB"/>
        </w:rPr>
        <w:t>[</w:t>
      </w:r>
      <w:proofErr w:type="gramEnd"/>
      <w:r w:rsidR="00D0286D">
        <w:rPr>
          <w:rFonts w:ascii="Times New Roman" w:hAnsi="Times New Roman" w:cs="Times New Roman"/>
          <w:sz w:val="24"/>
          <w:szCs w:val="24"/>
          <w:lang w:val="en-GB" w:eastAsia="en-GB"/>
        </w:rPr>
        <w:t>20]</w:t>
      </w:r>
      <w:r w:rsidR="009413DA" w:rsidRPr="003F3A43">
        <w:rPr>
          <w:rFonts w:ascii="Times New Roman" w:hAnsi="Times New Roman" w:cs="Times New Roman"/>
          <w:sz w:val="24"/>
          <w:szCs w:val="24"/>
          <w:lang w:val="en-GB" w:eastAsia="en-GB"/>
        </w:rPr>
        <w:t xml:space="preserve"> </w:t>
      </w:r>
      <w:r w:rsidR="009413DA" w:rsidRPr="003F3A43">
        <w:rPr>
          <w:rFonts w:ascii="Times New Roman" w:eastAsia="Times New Roman" w:hAnsi="Times New Roman" w:cs="Times New Roman"/>
          <w:sz w:val="24"/>
          <w:szCs w:val="24"/>
          <w:lang w:val="en-GB"/>
        </w:rPr>
        <w:t xml:space="preserve">Further details </w:t>
      </w:r>
      <w:r w:rsidR="000455F6" w:rsidRPr="003F3A43">
        <w:rPr>
          <w:rFonts w:ascii="Times New Roman" w:eastAsia="Times New Roman" w:hAnsi="Times New Roman" w:cs="Times New Roman"/>
          <w:sz w:val="24"/>
          <w:szCs w:val="24"/>
          <w:lang w:val="en-GB"/>
        </w:rPr>
        <w:t>are des</w:t>
      </w:r>
      <w:r w:rsidR="00363097">
        <w:rPr>
          <w:rFonts w:ascii="Times New Roman" w:eastAsia="Times New Roman" w:hAnsi="Times New Roman" w:cs="Times New Roman"/>
          <w:sz w:val="24"/>
          <w:szCs w:val="24"/>
          <w:lang w:val="en-GB"/>
        </w:rPr>
        <w:t>cribed in the trial protocol</w:t>
      </w:r>
      <w:r w:rsidR="007900CC">
        <w:rPr>
          <w:rFonts w:ascii="Times New Roman" w:eastAsia="Times New Roman" w:hAnsi="Times New Roman" w:cs="Times New Roman"/>
          <w:sz w:val="24"/>
          <w:szCs w:val="24"/>
          <w:lang w:val="en-GB"/>
        </w:rPr>
        <w:t>.</w:t>
      </w:r>
      <w:r w:rsidR="00D0286D">
        <w:rPr>
          <w:rFonts w:ascii="Times New Roman" w:eastAsia="Times New Roman" w:hAnsi="Times New Roman" w:cs="Times New Roman"/>
          <w:sz w:val="24"/>
          <w:szCs w:val="24"/>
          <w:lang w:val="en-GB"/>
        </w:rPr>
        <w:t xml:space="preserve">[21] </w:t>
      </w:r>
      <w:r w:rsidR="00BA7D79" w:rsidRPr="003F3A43">
        <w:rPr>
          <w:rFonts w:ascii="Times New Roman" w:hAnsi="Times New Roman" w:cs="Times New Roman"/>
          <w:sz w:val="24"/>
          <w:szCs w:val="24"/>
          <w:lang w:val="en-GB"/>
        </w:rPr>
        <w:t xml:space="preserve">Ethical approval for the MOVE IT trial was </w:t>
      </w:r>
      <w:r w:rsidR="00BA7D79" w:rsidRPr="003F3A43">
        <w:rPr>
          <w:rFonts w:ascii="Times New Roman" w:hAnsi="Times New Roman" w:cs="Times New Roman"/>
          <w:sz w:val="24"/>
          <w:szCs w:val="24"/>
          <w:lang w:val="en-GB"/>
        </w:rPr>
        <w:lastRenderedPageBreak/>
        <w:t>granted by the Dulwich ethics committee (12/LO/0917)</w:t>
      </w:r>
      <w:r w:rsidR="00FF33BE">
        <w:rPr>
          <w:rFonts w:ascii="Times New Roman" w:hAnsi="Times New Roman" w:cs="Times New Roman"/>
          <w:sz w:val="24"/>
          <w:szCs w:val="24"/>
          <w:lang w:val="en-GB"/>
        </w:rPr>
        <w:t>, including permission to</w:t>
      </w:r>
      <w:r w:rsidR="00BA7D79" w:rsidRPr="003F3A43">
        <w:rPr>
          <w:rFonts w:ascii="Times New Roman" w:hAnsi="Times New Roman" w:cs="Times New Roman"/>
          <w:sz w:val="24"/>
          <w:szCs w:val="24"/>
          <w:lang w:val="en-GB"/>
        </w:rPr>
        <w:t xml:space="preserve"> extract anonymised data for all patients invited to participate. </w:t>
      </w:r>
      <w:r w:rsidR="00A84A19">
        <w:rPr>
          <w:rFonts w:ascii="Times New Roman" w:hAnsi="Times New Roman" w:cs="Times New Roman"/>
          <w:sz w:val="24"/>
          <w:szCs w:val="24"/>
          <w:lang w:val="en-GB"/>
        </w:rPr>
        <w:t>Data were not extracted if the patient record included an informed dissent code, indicating that patient data should not be shared with a third party.</w:t>
      </w:r>
    </w:p>
    <w:p w14:paraId="623FF7B4" w14:textId="77777777" w:rsidR="00AC26B7" w:rsidRPr="003F3A43" w:rsidRDefault="00AC26B7" w:rsidP="00146777">
      <w:pPr>
        <w:spacing w:line="480" w:lineRule="auto"/>
        <w:rPr>
          <w:rFonts w:ascii="Times New Roman" w:hAnsi="Times New Roman" w:cs="Times New Roman"/>
          <w:i/>
          <w:sz w:val="24"/>
          <w:szCs w:val="24"/>
          <w:lang w:val="en-GB"/>
        </w:rPr>
      </w:pPr>
      <w:r w:rsidRPr="003F3A43">
        <w:rPr>
          <w:rFonts w:ascii="Times New Roman" w:hAnsi="Times New Roman" w:cs="Times New Roman"/>
          <w:i/>
          <w:sz w:val="24"/>
          <w:szCs w:val="24"/>
          <w:lang w:val="en-GB"/>
        </w:rPr>
        <w:t>Participants</w:t>
      </w:r>
      <w:r w:rsidR="00230D07" w:rsidRPr="003F3A43">
        <w:rPr>
          <w:rFonts w:ascii="Times New Roman" w:hAnsi="Times New Roman" w:cs="Times New Roman"/>
          <w:i/>
          <w:sz w:val="24"/>
          <w:szCs w:val="24"/>
          <w:lang w:val="en-GB"/>
        </w:rPr>
        <w:t xml:space="preserve"> and case definition</w:t>
      </w:r>
    </w:p>
    <w:p w14:paraId="544BB18D" w14:textId="0996EFD2" w:rsidR="00A40931" w:rsidRPr="003F3A43" w:rsidRDefault="004D3972" w:rsidP="0014677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w:t>
      </w:r>
      <w:r w:rsidR="003F3A43">
        <w:rPr>
          <w:rFonts w:ascii="Times New Roman" w:hAnsi="Times New Roman" w:cs="Times New Roman"/>
          <w:sz w:val="24"/>
          <w:szCs w:val="24"/>
          <w:lang w:val="en-GB"/>
        </w:rPr>
        <w:t>articipating practices</w:t>
      </w:r>
      <w:r w:rsidR="003F3A43" w:rsidRPr="003F3A43">
        <w:rPr>
          <w:rFonts w:ascii="Times New Roman" w:hAnsi="Times New Roman" w:cs="Times New Roman"/>
          <w:sz w:val="24"/>
          <w:szCs w:val="24"/>
        </w:rPr>
        <w:t xml:space="preserve"> screened </w:t>
      </w:r>
      <w:r>
        <w:rPr>
          <w:rFonts w:ascii="Times New Roman" w:hAnsi="Times New Roman" w:cs="Times New Roman"/>
          <w:sz w:val="24"/>
          <w:szCs w:val="24"/>
        </w:rPr>
        <w:t>primary care databases</w:t>
      </w:r>
      <w:r w:rsidR="003F3A43" w:rsidRPr="003F3A43">
        <w:rPr>
          <w:rFonts w:ascii="Times New Roman" w:hAnsi="Times New Roman" w:cs="Times New Roman"/>
          <w:sz w:val="24"/>
          <w:szCs w:val="24"/>
        </w:rPr>
        <w:t xml:space="preserve"> for eligible patients using either EMIS</w:t>
      </w:r>
      <w:r w:rsidR="003F3A43">
        <w:rPr>
          <w:rFonts w:ascii="Times New Roman" w:hAnsi="Times New Roman" w:cs="Times New Roman"/>
          <w:sz w:val="24"/>
          <w:szCs w:val="24"/>
        </w:rPr>
        <w:t xml:space="preserve"> </w:t>
      </w:r>
      <w:r w:rsidR="009D5C01">
        <w:rPr>
          <w:rFonts w:ascii="Times New Roman" w:hAnsi="Times New Roman" w:cs="Times New Roman"/>
          <w:sz w:val="24"/>
          <w:szCs w:val="24"/>
        </w:rPr>
        <w:t>(EMIS Health, Leeds, UK)</w:t>
      </w:r>
      <w:r w:rsidR="003F3A43" w:rsidRPr="003F3A43">
        <w:rPr>
          <w:rFonts w:ascii="Times New Roman" w:hAnsi="Times New Roman" w:cs="Times New Roman"/>
          <w:sz w:val="24"/>
          <w:szCs w:val="24"/>
        </w:rPr>
        <w:t xml:space="preserve"> or Vision </w:t>
      </w:r>
      <w:r w:rsidR="009D5C01">
        <w:rPr>
          <w:rFonts w:ascii="Times New Roman" w:hAnsi="Times New Roman" w:cs="Times New Roman"/>
          <w:sz w:val="24"/>
          <w:szCs w:val="24"/>
        </w:rPr>
        <w:t>(In Practice Systems, London, UK)</w:t>
      </w:r>
      <w:r w:rsidR="003F3A43">
        <w:rPr>
          <w:rFonts w:ascii="Times New Roman" w:hAnsi="Times New Roman" w:cs="Times New Roman"/>
          <w:sz w:val="24"/>
          <w:szCs w:val="24"/>
        </w:rPr>
        <w:t xml:space="preserve"> </w:t>
      </w:r>
      <w:r w:rsidR="003F3A43" w:rsidRPr="003F3A43">
        <w:rPr>
          <w:rFonts w:ascii="Times New Roman" w:hAnsi="Times New Roman" w:cs="Times New Roman"/>
          <w:sz w:val="24"/>
          <w:szCs w:val="24"/>
        </w:rPr>
        <w:t xml:space="preserve">medical records systems, two of the clinical software </w:t>
      </w:r>
      <w:proofErr w:type="spellStart"/>
      <w:r w:rsidR="003F3A43" w:rsidRPr="003F3A43">
        <w:rPr>
          <w:rFonts w:ascii="Times New Roman" w:hAnsi="Times New Roman" w:cs="Times New Roman"/>
          <w:sz w:val="24"/>
          <w:szCs w:val="24"/>
        </w:rPr>
        <w:t>programmes</w:t>
      </w:r>
      <w:proofErr w:type="spellEnd"/>
      <w:r w:rsidR="003F3A43" w:rsidRPr="003F3A43">
        <w:rPr>
          <w:rFonts w:ascii="Times New Roman" w:hAnsi="Times New Roman" w:cs="Times New Roman"/>
          <w:sz w:val="24"/>
          <w:szCs w:val="24"/>
        </w:rPr>
        <w:t xml:space="preserve"> </w:t>
      </w:r>
      <w:r w:rsidR="003C47C6">
        <w:rPr>
          <w:rFonts w:ascii="Times New Roman" w:hAnsi="Times New Roman" w:cs="Times New Roman"/>
          <w:sz w:val="24"/>
          <w:szCs w:val="24"/>
        </w:rPr>
        <w:t xml:space="preserve">most commonly </w:t>
      </w:r>
      <w:r w:rsidR="003F3A43" w:rsidRPr="003F3A43">
        <w:rPr>
          <w:rFonts w:ascii="Times New Roman" w:hAnsi="Times New Roman" w:cs="Times New Roman"/>
          <w:sz w:val="24"/>
          <w:szCs w:val="24"/>
        </w:rPr>
        <w:t xml:space="preserve">used in UK primary care. </w:t>
      </w:r>
      <w:r w:rsidR="00B60A5C">
        <w:rPr>
          <w:rFonts w:ascii="Times New Roman" w:hAnsi="Times New Roman" w:cs="Times New Roman"/>
          <w:sz w:val="24"/>
          <w:szCs w:val="24"/>
          <w:lang w:val="en-GB"/>
        </w:rPr>
        <w:t>The r</w:t>
      </w:r>
      <w:r w:rsidR="003F3A43" w:rsidRPr="003F3A43">
        <w:rPr>
          <w:rFonts w:ascii="Times New Roman" w:hAnsi="Times New Roman" w:cs="Times New Roman"/>
          <w:sz w:val="24"/>
          <w:szCs w:val="24"/>
          <w:lang w:val="en-GB"/>
        </w:rPr>
        <w:t xml:space="preserve">isk of CVD </w:t>
      </w:r>
      <w:r w:rsidR="00B60A5C">
        <w:rPr>
          <w:rFonts w:ascii="Times New Roman" w:hAnsi="Times New Roman" w:cs="Times New Roman"/>
          <w:sz w:val="24"/>
          <w:szCs w:val="24"/>
          <w:lang w:val="en-GB"/>
        </w:rPr>
        <w:t>was</w:t>
      </w:r>
      <w:r w:rsidR="003F3A43" w:rsidRPr="003F3A43">
        <w:rPr>
          <w:rFonts w:ascii="Times New Roman" w:hAnsi="Times New Roman" w:cs="Times New Roman"/>
          <w:sz w:val="24"/>
          <w:szCs w:val="24"/>
          <w:lang w:val="en-GB"/>
        </w:rPr>
        <w:t xml:space="preserve"> calculated using QRisk2 (</w:t>
      </w:r>
      <w:proofErr w:type="spellStart"/>
      <w:r w:rsidR="003F3A43" w:rsidRPr="003F3A43">
        <w:rPr>
          <w:rFonts w:ascii="Times New Roman" w:hAnsi="Times New Roman" w:cs="Times New Roman"/>
          <w:sz w:val="24"/>
          <w:szCs w:val="24"/>
          <w:lang w:val="en-GB"/>
        </w:rPr>
        <w:t>QResearch</w:t>
      </w:r>
      <w:proofErr w:type="spellEnd"/>
      <w:r w:rsidR="003F3A43" w:rsidRPr="003F3A43">
        <w:rPr>
          <w:rFonts w:ascii="Times New Roman" w:hAnsi="Times New Roman" w:cs="Times New Roman"/>
          <w:sz w:val="24"/>
          <w:szCs w:val="24"/>
          <w:lang w:val="en-GB"/>
        </w:rPr>
        <w:t>, Nottingham, UK), a validated predictive tool for identifying the percentage risk of having a fatal or non-fatal cardiovascula</w:t>
      </w:r>
      <w:r w:rsidR="00363097">
        <w:rPr>
          <w:rFonts w:ascii="Times New Roman" w:hAnsi="Times New Roman" w:cs="Times New Roman"/>
          <w:sz w:val="24"/>
          <w:szCs w:val="24"/>
          <w:lang w:val="en-GB"/>
        </w:rPr>
        <w:t>r event in the next 10 years</w:t>
      </w:r>
      <w:r w:rsidR="003F3A43" w:rsidRPr="003F3A43">
        <w:rPr>
          <w:rFonts w:ascii="Times New Roman" w:hAnsi="Times New Roman" w:cs="Times New Roman"/>
          <w:sz w:val="24"/>
          <w:szCs w:val="24"/>
          <w:lang w:val="en-GB"/>
        </w:rPr>
        <w:t>.</w:t>
      </w:r>
      <w:r w:rsidR="00D0286D">
        <w:rPr>
          <w:rFonts w:ascii="Times New Roman" w:hAnsi="Times New Roman" w:cs="Times New Roman"/>
          <w:sz w:val="24"/>
          <w:szCs w:val="24"/>
          <w:lang w:val="en-GB"/>
        </w:rPr>
        <w:t xml:space="preserve">[6] </w:t>
      </w:r>
      <w:r w:rsidR="002954F3">
        <w:rPr>
          <w:rFonts w:ascii="Times New Roman" w:hAnsi="Times New Roman" w:cs="Times New Roman"/>
          <w:sz w:val="24"/>
          <w:szCs w:val="24"/>
        </w:rPr>
        <w:t>Registered p</w:t>
      </w:r>
      <w:r w:rsidR="003F3A43" w:rsidRPr="003F3A43">
        <w:rPr>
          <w:rFonts w:ascii="Times New Roman" w:hAnsi="Times New Roman" w:cs="Times New Roman"/>
          <w:sz w:val="24"/>
          <w:szCs w:val="24"/>
        </w:rPr>
        <w:t xml:space="preserve">atients with a QRisk2 score estimated on </w:t>
      </w:r>
      <w:r w:rsidR="00004C1A">
        <w:rPr>
          <w:rFonts w:ascii="Times New Roman" w:hAnsi="Times New Roman" w:cs="Times New Roman"/>
          <w:sz w:val="24"/>
          <w:szCs w:val="24"/>
        </w:rPr>
        <w:t>medical records to be ≥20%</w:t>
      </w:r>
      <w:r w:rsidR="002954F3">
        <w:rPr>
          <w:rFonts w:ascii="Times New Roman" w:hAnsi="Times New Roman" w:cs="Times New Roman"/>
          <w:sz w:val="24"/>
          <w:szCs w:val="24"/>
        </w:rPr>
        <w:t xml:space="preserve"> and</w:t>
      </w:r>
      <w:r w:rsidR="00004C1A">
        <w:rPr>
          <w:rFonts w:ascii="Times New Roman" w:hAnsi="Times New Roman" w:cs="Times New Roman"/>
          <w:sz w:val="24"/>
          <w:szCs w:val="24"/>
        </w:rPr>
        <w:t xml:space="preserve"> </w:t>
      </w:r>
      <w:r w:rsidR="00004C1A">
        <w:rPr>
          <w:rFonts w:ascii="Times New Roman" w:hAnsi="Times New Roman" w:cs="Times New Roman"/>
          <w:sz w:val="24"/>
          <w:szCs w:val="24"/>
          <w:lang w:val="en-GB"/>
        </w:rPr>
        <w:t xml:space="preserve">aged 40-74 years </w:t>
      </w:r>
      <w:r w:rsidR="003F3A43" w:rsidRPr="003F3A43">
        <w:rPr>
          <w:rFonts w:ascii="Times New Roman" w:hAnsi="Times New Roman" w:cs="Times New Roman"/>
          <w:sz w:val="24"/>
          <w:szCs w:val="24"/>
        </w:rPr>
        <w:t xml:space="preserve">were invited to participate via a </w:t>
      </w:r>
      <w:proofErr w:type="spellStart"/>
      <w:r w:rsidR="003F3A43" w:rsidRPr="003F3A43">
        <w:rPr>
          <w:rFonts w:ascii="Times New Roman" w:hAnsi="Times New Roman" w:cs="Times New Roman"/>
          <w:sz w:val="24"/>
          <w:szCs w:val="24"/>
        </w:rPr>
        <w:t>standardised</w:t>
      </w:r>
      <w:proofErr w:type="spellEnd"/>
      <w:r w:rsidR="003F3A43" w:rsidRPr="003F3A43">
        <w:rPr>
          <w:rFonts w:ascii="Times New Roman" w:hAnsi="Times New Roman" w:cs="Times New Roman"/>
          <w:sz w:val="24"/>
          <w:szCs w:val="24"/>
        </w:rPr>
        <w:t xml:space="preserve"> letter</w:t>
      </w:r>
      <w:r w:rsidR="00BB661A">
        <w:rPr>
          <w:rFonts w:ascii="Times New Roman" w:hAnsi="Times New Roman" w:cs="Times New Roman"/>
          <w:sz w:val="24"/>
          <w:szCs w:val="24"/>
        </w:rPr>
        <w:t xml:space="preserve"> from t</w:t>
      </w:r>
      <w:r w:rsidR="00054731">
        <w:rPr>
          <w:rFonts w:ascii="Times New Roman" w:hAnsi="Times New Roman" w:cs="Times New Roman"/>
          <w:sz w:val="24"/>
          <w:szCs w:val="24"/>
        </w:rPr>
        <w:t>heir general practitioner (see Additional file 1)</w:t>
      </w:r>
      <w:r w:rsidR="000A0A14">
        <w:rPr>
          <w:rFonts w:ascii="Times New Roman" w:hAnsi="Times New Roman" w:cs="Times New Roman"/>
          <w:sz w:val="24"/>
          <w:szCs w:val="24"/>
        </w:rPr>
        <w:t xml:space="preserve"> which also included a participant information sheet (see Additional file 2)</w:t>
      </w:r>
      <w:r w:rsidR="003F3A43" w:rsidRPr="003F3A43">
        <w:rPr>
          <w:rFonts w:ascii="Times New Roman" w:hAnsi="Times New Roman" w:cs="Times New Roman"/>
          <w:sz w:val="24"/>
          <w:szCs w:val="24"/>
        </w:rPr>
        <w:t>.</w:t>
      </w:r>
      <w:r w:rsidR="00004C1A">
        <w:rPr>
          <w:rFonts w:ascii="Times New Roman" w:hAnsi="Times New Roman" w:cs="Times New Roman"/>
          <w:sz w:val="24"/>
          <w:szCs w:val="24"/>
        </w:rPr>
        <w:t xml:space="preserve"> </w:t>
      </w:r>
      <w:r w:rsidR="000A0A14">
        <w:rPr>
          <w:rFonts w:ascii="Times New Roman" w:hAnsi="Times New Roman" w:cs="Times New Roman"/>
          <w:sz w:val="24"/>
          <w:szCs w:val="24"/>
        </w:rPr>
        <w:t>Patients were given a choice of response methods: either returning a reply slip in a stamped and addressed envelope following which a research assistant would telephone to arrange an appointment time</w:t>
      </w:r>
      <w:r w:rsidR="008123E8">
        <w:rPr>
          <w:rFonts w:ascii="Times New Roman" w:hAnsi="Times New Roman" w:cs="Times New Roman"/>
          <w:sz w:val="24"/>
          <w:szCs w:val="24"/>
        </w:rPr>
        <w:t>,</w:t>
      </w:r>
      <w:r w:rsidR="000A0A14">
        <w:rPr>
          <w:rFonts w:ascii="Times New Roman" w:hAnsi="Times New Roman" w:cs="Times New Roman"/>
          <w:sz w:val="24"/>
          <w:szCs w:val="24"/>
        </w:rPr>
        <w:t xml:space="preserve"> or to telephone the research team directly. </w:t>
      </w:r>
      <w:r w:rsidR="00004C1A">
        <w:rPr>
          <w:rFonts w:ascii="Times New Roman" w:hAnsi="Times New Roman" w:cs="Times New Roman"/>
          <w:sz w:val="24"/>
          <w:szCs w:val="24"/>
        </w:rPr>
        <w:t xml:space="preserve">Patients were excluded </w:t>
      </w:r>
      <w:r w:rsidR="00EF6BA1">
        <w:rPr>
          <w:rFonts w:ascii="Times New Roman" w:hAnsi="Times New Roman" w:cs="Times New Roman"/>
          <w:sz w:val="24"/>
          <w:szCs w:val="24"/>
        </w:rPr>
        <w:t>from the invit</w:t>
      </w:r>
      <w:r w:rsidR="00B60A5C">
        <w:rPr>
          <w:rFonts w:ascii="Times New Roman" w:hAnsi="Times New Roman" w:cs="Times New Roman"/>
          <w:sz w:val="24"/>
          <w:szCs w:val="24"/>
        </w:rPr>
        <w:t>ation</w:t>
      </w:r>
      <w:r w:rsidR="00EF6BA1">
        <w:rPr>
          <w:rFonts w:ascii="Times New Roman" w:hAnsi="Times New Roman" w:cs="Times New Roman"/>
          <w:sz w:val="24"/>
          <w:szCs w:val="24"/>
        </w:rPr>
        <w:t xml:space="preserve"> if </w:t>
      </w:r>
      <w:r w:rsidR="00EF6BA1" w:rsidRPr="003F3A43">
        <w:rPr>
          <w:rFonts w:ascii="Times New Roman" w:hAnsi="Times New Roman" w:cs="Times New Roman"/>
          <w:sz w:val="24"/>
          <w:szCs w:val="24"/>
          <w:lang w:val="en-GB"/>
        </w:rPr>
        <w:t>th</w:t>
      </w:r>
      <w:r w:rsidR="00EF6BA1">
        <w:rPr>
          <w:rFonts w:ascii="Times New Roman" w:hAnsi="Times New Roman" w:cs="Times New Roman"/>
          <w:sz w:val="24"/>
          <w:szCs w:val="24"/>
          <w:lang w:val="en-GB"/>
        </w:rPr>
        <w:t xml:space="preserve">eir medical records included a </w:t>
      </w:r>
      <w:r w:rsidR="003C47C6">
        <w:rPr>
          <w:rFonts w:ascii="Times New Roman" w:hAnsi="Times New Roman" w:cs="Times New Roman"/>
          <w:sz w:val="24"/>
          <w:szCs w:val="24"/>
          <w:lang w:val="en-GB"/>
        </w:rPr>
        <w:t>Read code</w:t>
      </w:r>
      <w:r w:rsidR="003C4127">
        <w:rPr>
          <w:rFonts w:ascii="Times New Roman" w:hAnsi="Times New Roman" w:cs="Times New Roman"/>
          <w:sz w:val="24"/>
          <w:szCs w:val="24"/>
          <w:lang w:val="en-GB"/>
        </w:rPr>
        <w:t xml:space="preserve"> (a coded thesaurus of clinical terms used in UK primary care databases)</w:t>
      </w:r>
      <w:r w:rsidR="003C47C6">
        <w:rPr>
          <w:rFonts w:ascii="Times New Roman" w:hAnsi="Times New Roman" w:cs="Times New Roman"/>
          <w:sz w:val="24"/>
          <w:szCs w:val="24"/>
          <w:lang w:val="en-GB"/>
        </w:rPr>
        <w:t xml:space="preserve"> for </w:t>
      </w:r>
      <w:r w:rsidR="00F55C8E" w:rsidRPr="003F3A43">
        <w:rPr>
          <w:rFonts w:ascii="Times New Roman" w:hAnsi="Times New Roman" w:cs="Times New Roman"/>
          <w:sz w:val="24"/>
          <w:szCs w:val="24"/>
          <w:lang w:val="en-GB"/>
        </w:rPr>
        <w:t>past diagnosis of CVD, diabetes, kidney disease, chronic obstructive pulmonary disease, disabling neurological disorder</w:t>
      </w:r>
      <w:r w:rsidR="00EF6BA1">
        <w:rPr>
          <w:rFonts w:ascii="Times New Roman" w:hAnsi="Times New Roman" w:cs="Times New Roman"/>
          <w:sz w:val="24"/>
          <w:szCs w:val="24"/>
          <w:lang w:val="en-GB"/>
        </w:rPr>
        <w:t xml:space="preserve">, </w:t>
      </w:r>
      <w:r w:rsidR="00004C1A">
        <w:rPr>
          <w:rFonts w:ascii="Times New Roman" w:hAnsi="Times New Roman" w:cs="Times New Roman"/>
          <w:sz w:val="24"/>
          <w:szCs w:val="24"/>
          <w:lang w:val="en-GB"/>
        </w:rPr>
        <w:t>severe mental illness,</w:t>
      </w:r>
      <w:r w:rsidR="00F55C8E" w:rsidRPr="003F3A43">
        <w:rPr>
          <w:rFonts w:ascii="Times New Roman" w:hAnsi="Times New Roman" w:cs="Times New Roman"/>
          <w:sz w:val="24"/>
          <w:szCs w:val="24"/>
          <w:lang w:val="en-GB"/>
        </w:rPr>
        <w:t xml:space="preserve"> </w:t>
      </w:r>
      <w:r w:rsidR="00926786" w:rsidRPr="003F3A43">
        <w:rPr>
          <w:rFonts w:ascii="Times New Roman" w:hAnsi="Times New Roman" w:cs="Times New Roman"/>
          <w:sz w:val="24"/>
          <w:szCs w:val="24"/>
          <w:lang w:val="en-GB"/>
        </w:rPr>
        <w:t>registered blind or</w:t>
      </w:r>
      <w:r w:rsidR="00F55C8E" w:rsidRPr="003F3A43">
        <w:rPr>
          <w:rFonts w:ascii="Times New Roman" w:hAnsi="Times New Roman" w:cs="Times New Roman"/>
          <w:sz w:val="24"/>
          <w:szCs w:val="24"/>
          <w:lang w:val="en-GB"/>
        </w:rPr>
        <w:t xml:space="preserve"> </w:t>
      </w:r>
      <w:r w:rsidR="00004C1A">
        <w:rPr>
          <w:rFonts w:ascii="Times New Roman" w:hAnsi="Times New Roman" w:cs="Times New Roman"/>
          <w:sz w:val="24"/>
          <w:szCs w:val="24"/>
          <w:lang w:val="en-GB"/>
        </w:rPr>
        <w:t>housebound,</w:t>
      </w:r>
      <w:r w:rsidR="00CB0313" w:rsidRPr="003F3A43">
        <w:rPr>
          <w:rFonts w:ascii="Times New Roman" w:hAnsi="Times New Roman" w:cs="Times New Roman"/>
          <w:sz w:val="24"/>
          <w:szCs w:val="24"/>
          <w:lang w:val="en-GB"/>
        </w:rPr>
        <w:t xml:space="preserve"> </w:t>
      </w:r>
      <w:r w:rsidR="00EF6BA1">
        <w:rPr>
          <w:rFonts w:ascii="Times New Roman" w:hAnsi="Times New Roman" w:cs="Times New Roman"/>
          <w:sz w:val="24"/>
          <w:szCs w:val="24"/>
          <w:lang w:val="en-GB"/>
        </w:rPr>
        <w:t xml:space="preserve">currently pregnant, </w:t>
      </w:r>
      <w:r w:rsidR="00004C1A">
        <w:rPr>
          <w:rFonts w:ascii="Times New Roman" w:hAnsi="Times New Roman" w:cs="Times New Roman"/>
          <w:sz w:val="24"/>
          <w:szCs w:val="24"/>
          <w:lang w:val="en-GB"/>
        </w:rPr>
        <w:t>advanced cancer or</w:t>
      </w:r>
      <w:r w:rsidR="00926786" w:rsidRPr="003F3A43">
        <w:rPr>
          <w:rFonts w:ascii="Times New Roman" w:hAnsi="Times New Roman" w:cs="Times New Roman"/>
          <w:sz w:val="24"/>
          <w:szCs w:val="24"/>
          <w:lang w:val="en-GB"/>
        </w:rPr>
        <w:t xml:space="preserve"> </w:t>
      </w:r>
      <w:r w:rsidR="00E90C11" w:rsidRPr="003F3A43">
        <w:rPr>
          <w:rFonts w:ascii="Times New Roman" w:hAnsi="Times New Roman" w:cs="Times New Roman"/>
          <w:sz w:val="24"/>
          <w:szCs w:val="24"/>
          <w:lang w:val="en-GB"/>
        </w:rPr>
        <w:t xml:space="preserve">a </w:t>
      </w:r>
      <w:r w:rsidR="00004C1A">
        <w:rPr>
          <w:rFonts w:ascii="Times New Roman" w:hAnsi="Times New Roman" w:cs="Times New Roman"/>
          <w:sz w:val="24"/>
          <w:szCs w:val="24"/>
          <w:lang w:val="en-GB"/>
        </w:rPr>
        <w:t xml:space="preserve">body mass index </w:t>
      </w:r>
      <w:r w:rsidR="002E72BF" w:rsidRPr="003F3A43">
        <w:rPr>
          <w:rFonts w:ascii="Times New Roman" w:hAnsi="Times New Roman" w:cs="Times New Roman"/>
          <w:sz w:val="24"/>
          <w:szCs w:val="24"/>
          <w:lang w:val="en-GB"/>
        </w:rPr>
        <w:t>&gt;50 kg/</w:t>
      </w:r>
      <w:r w:rsidR="00CB0313" w:rsidRPr="003F3A43">
        <w:rPr>
          <w:rFonts w:ascii="Times New Roman" w:hAnsi="Times New Roman" w:cs="Times New Roman"/>
          <w:sz w:val="24"/>
          <w:szCs w:val="24"/>
          <w:lang w:val="en-GB"/>
        </w:rPr>
        <w:t>m</w:t>
      </w:r>
      <w:r w:rsidR="00CB0313" w:rsidRPr="003F3A43">
        <w:rPr>
          <w:rFonts w:ascii="Times New Roman" w:hAnsi="Times New Roman" w:cs="Times New Roman"/>
          <w:sz w:val="24"/>
          <w:szCs w:val="24"/>
          <w:vertAlign w:val="superscript"/>
          <w:lang w:val="en-GB"/>
        </w:rPr>
        <w:t>2</w:t>
      </w:r>
      <w:r w:rsidR="00F55C8E" w:rsidRPr="003F3A43">
        <w:rPr>
          <w:rFonts w:ascii="Times New Roman" w:hAnsi="Times New Roman" w:cs="Times New Roman"/>
          <w:sz w:val="24"/>
          <w:szCs w:val="24"/>
          <w:lang w:val="en-GB"/>
        </w:rPr>
        <w:t>.</w:t>
      </w:r>
    </w:p>
    <w:p w14:paraId="0B19A097" w14:textId="77777777" w:rsidR="00C15F19" w:rsidRPr="003F3A43" w:rsidRDefault="00C15F19" w:rsidP="00146777">
      <w:pPr>
        <w:spacing w:line="480" w:lineRule="auto"/>
        <w:rPr>
          <w:rFonts w:ascii="Times New Roman" w:hAnsi="Times New Roman" w:cs="Times New Roman"/>
          <w:i/>
          <w:sz w:val="24"/>
          <w:szCs w:val="24"/>
        </w:rPr>
      </w:pPr>
      <w:r w:rsidRPr="003F3A43">
        <w:rPr>
          <w:rFonts w:ascii="Times New Roman" w:hAnsi="Times New Roman" w:cs="Times New Roman"/>
          <w:i/>
          <w:sz w:val="24"/>
          <w:szCs w:val="24"/>
        </w:rPr>
        <w:t>Measures</w:t>
      </w:r>
    </w:p>
    <w:p w14:paraId="0BF318E0" w14:textId="40DB3C45" w:rsidR="00ED3FE8" w:rsidRDefault="00F27FCB" w:rsidP="00146777">
      <w:pPr>
        <w:spacing w:line="480" w:lineRule="auto"/>
        <w:rPr>
          <w:rFonts w:ascii="Times New Roman" w:hAnsi="Times New Roman" w:cs="Times New Roman"/>
          <w:sz w:val="24"/>
          <w:szCs w:val="24"/>
        </w:rPr>
      </w:pPr>
      <w:r w:rsidRPr="003F3A43">
        <w:rPr>
          <w:rFonts w:ascii="Times New Roman" w:hAnsi="Times New Roman" w:cs="Times New Roman"/>
          <w:sz w:val="24"/>
          <w:szCs w:val="24"/>
        </w:rPr>
        <w:lastRenderedPageBreak/>
        <w:t>The measures collected anonymously</w:t>
      </w:r>
      <w:r w:rsidR="007D29C0" w:rsidRPr="003F3A43">
        <w:rPr>
          <w:rFonts w:ascii="Times New Roman" w:hAnsi="Times New Roman" w:cs="Times New Roman"/>
          <w:sz w:val="24"/>
          <w:szCs w:val="24"/>
        </w:rPr>
        <w:t xml:space="preserve"> for patients invited to participate</w:t>
      </w:r>
      <w:r w:rsidR="000B1300" w:rsidRPr="003F3A43">
        <w:rPr>
          <w:rFonts w:ascii="Times New Roman" w:hAnsi="Times New Roman" w:cs="Times New Roman"/>
          <w:sz w:val="24"/>
          <w:szCs w:val="24"/>
        </w:rPr>
        <w:t xml:space="preserve"> </w:t>
      </w:r>
      <w:r w:rsidR="00F00DF7">
        <w:rPr>
          <w:rFonts w:ascii="Times New Roman" w:hAnsi="Times New Roman" w:cs="Times New Roman"/>
          <w:sz w:val="24"/>
          <w:szCs w:val="24"/>
        </w:rPr>
        <w:t>were QRisk2 score, ethnicity, postcode,</w:t>
      </w:r>
      <w:r w:rsidRPr="003F3A43">
        <w:rPr>
          <w:rFonts w:ascii="Times New Roman" w:hAnsi="Times New Roman" w:cs="Times New Roman"/>
          <w:sz w:val="24"/>
          <w:szCs w:val="24"/>
        </w:rPr>
        <w:t xml:space="preserve"> age (at time of</w:t>
      </w:r>
      <w:r w:rsidR="002E72BF" w:rsidRPr="003F3A43">
        <w:rPr>
          <w:rFonts w:ascii="Times New Roman" w:hAnsi="Times New Roman" w:cs="Times New Roman"/>
          <w:sz w:val="24"/>
          <w:szCs w:val="24"/>
        </w:rPr>
        <w:t xml:space="preserve"> </w:t>
      </w:r>
      <w:r w:rsidR="000B1300" w:rsidRPr="003F3A43">
        <w:rPr>
          <w:rFonts w:ascii="Times New Roman" w:hAnsi="Times New Roman" w:cs="Times New Roman"/>
          <w:sz w:val="24"/>
          <w:szCs w:val="24"/>
        </w:rPr>
        <w:t>screening</w:t>
      </w:r>
      <w:r w:rsidR="002E72BF" w:rsidRPr="003F3A43">
        <w:rPr>
          <w:rFonts w:ascii="Times New Roman" w:hAnsi="Times New Roman" w:cs="Times New Roman"/>
          <w:sz w:val="24"/>
          <w:szCs w:val="24"/>
        </w:rPr>
        <w:t>)</w:t>
      </w:r>
      <w:r w:rsidR="00F00DF7">
        <w:rPr>
          <w:rFonts w:ascii="Times New Roman" w:hAnsi="Times New Roman" w:cs="Times New Roman"/>
          <w:sz w:val="24"/>
          <w:szCs w:val="24"/>
        </w:rPr>
        <w:t xml:space="preserve"> and</w:t>
      </w:r>
      <w:r w:rsidR="002E72BF" w:rsidRPr="003F3A43">
        <w:rPr>
          <w:rFonts w:ascii="Times New Roman" w:hAnsi="Times New Roman" w:cs="Times New Roman"/>
          <w:sz w:val="24"/>
          <w:szCs w:val="24"/>
        </w:rPr>
        <w:t xml:space="preserve"> </w:t>
      </w:r>
      <w:r w:rsidR="001A350B">
        <w:rPr>
          <w:rFonts w:ascii="Times New Roman" w:hAnsi="Times New Roman" w:cs="Times New Roman"/>
          <w:sz w:val="24"/>
          <w:szCs w:val="24"/>
        </w:rPr>
        <w:t>sex</w:t>
      </w:r>
      <w:r w:rsidR="00EF6BA1">
        <w:rPr>
          <w:rFonts w:ascii="Times New Roman" w:hAnsi="Times New Roman" w:cs="Times New Roman"/>
          <w:sz w:val="24"/>
          <w:szCs w:val="24"/>
        </w:rPr>
        <w:t>.</w:t>
      </w:r>
      <w:r w:rsidRPr="003F3A43">
        <w:rPr>
          <w:rFonts w:ascii="Times New Roman" w:hAnsi="Times New Roman" w:cs="Times New Roman"/>
          <w:sz w:val="24"/>
          <w:szCs w:val="24"/>
        </w:rPr>
        <w:t xml:space="preserve"> </w:t>
      </w:r>
      <w:r w:rsidR="00ED3FE8">
        <w:rPr>
          <w:rFonts w:ascii="Times New Roman" w:hAnsi="Times New Roman" w:cs="Times New Roman"/>
          <w:sz w:val="24"/>
          <w:szCs w:val="24"/>
        </w:rPr>
        <w:t>QRisk2 score was estimated on medical records via a batch calculator which uses an algorithm of risk factors.</w:t>
      </w:r>
      <w:r w:rsidR="00D0286D">
        <w:rPr>
          <w:rFonts w:ascii="Times New Roman" w:hAnsi="Times New Roman" w:cs="Times New Roman"/>
          <w:sz w:val="24"/>
          <w:szCs w:val="24"/>
        </w:rPr>
        <w:t>[6]</w:t>
      </w:r>
      <w:r w:rsidR="00ED3FE8">
        <w:rPr>
          <w:rFonts w:ascii="Times New Roman" w:hAnsi="Times New Roman" w:cs="Times New Roman"/>
          <w:sz w:val="24"/>
          <w:szCs w:val="24"/>
        </w:rPr>
        <w:t xml:space="preserve"> The variables used by the QRisk2 algorithm are age, </w:t>
      </w:r>
      <w:r w:rsidR="001A350B">
        <w:rPr>
          <w:rFonts w:ascii="Times New Roman" w:hAnsi="Times New Roman" w:cs="Times New Roman"/>
          <w:sz w:val="24"/>
          <w:szCs w:val="24"/>
        </w:rPr>
        <w:t>sex</w:t>
      </w:r>
      <w:r w:rsidR="00ED3FE8">
        <w:rPr>
          <w:rFonts w:ascii="Times New Roman" w:hAnsi="Times New Roman" w:cs="Times New Roman"/>
          <w:sz w:val="24"/>
          <w:szCs w:val="24"/>
        </w:rPr>
        <w:t xml:space="preserve">, ethnicity, deprivation calculated from postcode data, smoking status, diabetes status, rheumatoid arthritis status, chronic kidney disease status, atrial fibrillation status, hypertensive treatment status, family history of CVD, body mass index (BMI), systolic blood pressure and the ratio of high-density lipoprotein cholesterol to total cholesterol. The algorithm uses age- and </w:t>
      </w:r>
      <w:r w:rsidR="001A350B">
        <w:rPr>
          <w:rFonts w:ascii="Times New Roman" w:hAnsi="Times New Roman" w:cs="Times New Roman"/>
          <w:sz w:val="24"/>
          <w:szCs w:val="24"/>
        </w:rPr>
        <w:t>sex</w:t>
      </w:r>
      <w:r w:rsidR="00ED3FE8">
        <w:rPr>
          <w:rFonts w:ascii="Times New Roman" w:hAnsi="Times New Roman" w:cs="Times New Roman"/>
          <w:sz w:val="24"/>
          <w:szCs w:val="24"/>
        </w:rPr>
        <w:t>-based national averages for missing data values.</w:t>
      </w:r>
    </w:p>
    <w:p w14:paraId="05822E4C" w14:textId="5D053621" w:rsidR="00ED3FE8" w:rsidRDefault="009D7326" w:rsidP="00146777">
      <w:pPr>
        <w:spacing w:line="480" w:lineRule="auto"/>
        <w:rPr>
          <w:rFonts w:ascii="Times New Roman" w:hAnsi="Times New Roman" w:cs="Times New Roman"/>
          <w:sz w:val="24"/>
          <w:szCs w:val="24"/>
        </w:rPr>
      </w:pPr>
      <w:r>
        <w:rPr>
          <w:rFonts w:ascii="Times New Roman" w:hAnsi="Times New Roman" w:cs="Times New Roman"/>
          <w:sz w:val="24"/>
          <w:szCs w:val="24"/>
        </w:rPr>
        <w:t xml:space="preserve">Self-report ethnicity </w:t>
      </w:r>
      <w:r w:rsidR="00ED3FE8">
        <w:rPr>
          <w:rFonts w:ascii="Times New Roman" w:hAnsi="Times New Roman" w:cs="Times New Roman"/>
          <w:sz w:val="24"/>
          <w:szCs w:val="24"/>
        </w:rPr>
        <w:t xml:space="preserve">data </w:t>
      </w:r>
      <w:r>
        <w:rPr>
          <w:rFonts w:ascii="Times New Roman" w:hAnsi="Times New Roman" w:cs="Times New Roman"/>
          <w:sz w:val="24"/>
          <w:szCs w:val="24"/>
        </w:rPr>
        <w:t xml:space="preserve">on medical records includes a wide variety of categories, some of which are not clearly defined. Where possible, data </w:t>
      </w:r>
      <w:r w:rsidR="00ED3FE8">
        <w:rPr>
          <w:rFonts w:ascii="Times New Roman" w:hAnsi="Times New Roman" w:cs="Times New Roman"/>
          <w:sz w:val="24"/>
          <w:szCs w:val="24"/>
        </w:rPr>
        <w:t>were grouped into white, black African or Caribbean, south Asian, other Asian, other/mixed or missing. South Asian and other Asian are coded separately as a higher CVD risk is associated with south Asian ethnicity.</w:t>
      </w:r>
      <w:r w:rsidR="00D0286D">
        <w:rPr>
          <w:rFonts w:ascii="Times New Roman" w:hAnsi="Times New Roman" w:cs="Times New Roman"/>
          <w:sz w:val="24"/>
          <w:szCs w:val="24"/>
        </w:rPr>
        <w:t>[6]</w:t>
      </w:r>
      <w:r w:rsidR="00ED3FE8">
        <w:rPr>
          <w:rFonts w:ascii="Times New Roman" w:hAnsi="Times New Roman" w:cs="Times New Roman"/>
          <w:sz w:val="24"/>
          <w:szCs w:val="24"/>
        </w:rPr>
        <w:t xml:space="preserve"> The category other/mixed incorporates any ethnicity which is reported and does not fit into the previous categories, as well as indication of mixed ethnic background.</w:t>
      </w:r>
    </w:p>
    <w:p w14:paraId="71326664" w14:textId="1DCD4ADB" w:rsidR="00F27FCB" w:rsidRDefault="00E47358" w:rsidP="00146777">
      <w:pPr>
        <w:spacing w:line="480" w:lineRule="auto"/>
        <w:rPr>
          <w:rFonts w:ascii="Times New Roman" w:hAnsi="Times New Roman" w:cs="Times New Roman"/>
          <w:sz w:val="24"/>
          <w:szCs w:val="24"/>
        </w:rPr>
      </w:pPr>
      <w:r w:rsidRPr="003F3A43">
        <w:rPr>
          <w:rFonts w:ascii="Times New Roman" w:hAnsi="Times New Roman" w:cs="Times New Roman"/>
          <w:sz w:val="24"/>
          <w:szCs w:val="24"/>
        </w:rPr>
        <w:t>Postcode data w</w:t>
      </w:r>
      <w:r w:rsidR="00EF6BA1">
        <w:rPr>
          <w:rFonts w:ascii="Times New Roman" w:hAnsi="Times New Roman" w:cs="Times New Roman"/>
          <w:sz w:val="24"/>
          <w:szCs w:val="24"/>
        </w:rPr>
        <w:t>ere</w:t>
      </w:r>
      <w:r w:rsidRPr="003F3A43">
        <w:rPr>
          <w:rFonts w:ascii="Times New Roman" w:hAnsi="Times New Roman" w:cs="Times New Roman"/>
          <w:sz w:val="24"/>
          <w:szCs w:val="24"/>
        </w:rPr>
        <w:t xml:space="preserve"> collected in order to calculate </w:t>
      </w:r>
      <w:r w:rsidR="00036833">
        <w:rPr>
          <w:rFonts w:ascii="Times New Roman" w:hAnsi="Times New Roman" w:cs="Times New Roman"/>
          <w:sz w:val="24"/>
          <w:szCs w:val="24"/>
        </w:rPr>
        <w:t>I</w:t>
      </w:r>
      <w:r w:rsidRPr="003F3A43">
        <w:rPr>
          <w:rFonts w:ascii="Times New Roman" w:hAnsi="Times New Roman" w:cs="Times New Roman"/>
          <w:sz w:val="24"/>
          <w:szCs w:val="24"/>
        </w:rPr>
        <w:t xml:space="preserve">ndex of </w:t>
      </w:r>
      <w:r w:rsidR="00036833">
        <w:rPr>
          <w:rFonts w:ascii="Times New Roman" w:hAnsi="Times New Roman" w:cs="Times New Roman"/>
          <w:sz w:val="24"/>
          <w:szCs w:val="24"/>
        </w:rPr>
        <w:t>M</w:t>
      </w:r>
      <w:r w:rsidRPr="003F3A43">
        <w:rPr>
          <w:rFonts w:ascii="Times New Roman" w:hAnsi="Times New Roman" w:cs="Times New Roman"/>
          <w:sz w:val="24"/>
          <w:szCs w:val="24"/>
        </w:rPr>
        <w:t xml:space="preserve">ultiple </w:t>
      </w:r>
      <w:r w:rsidR="00036833">
        <w:rPr>
          <w:rFonts w:ascii="Times New Roman" w:hAnsi="Times New Roman" w:cs="Times New Roman"/>
          <w:sz w:val="24"/>
          <w:szCs w:val="24"/>
        </w:rPr>
        <w:t>D</w:t>
      </w:r>
      <w:r w:rsidRPr="003F3A43">
        <w:rPr>
          <w:rFonts w:ascii="Times New Roman" w:hAnsi="Times New Roman" w:cs="Times New Roman"/>
          <w:sz w:val="24"/>
          <w:szCs w:val="24"/>
        </w:rPr>
        <w:t xml:space="preserve">eprivation </w:t>
      </w:r>
      <w:r w:rsidR="00206CAB">
        <w:rPr>
          <w:rFonts w:ascii="Times New Roman" w:hAnsi="Times New Roman" w:cs="Times New Roman"/>
          <w:sz w:val="24"/>
          <w:szCs w:val="24"/>
        </w:rPr>
        <w:t xml:space="preserve">2010 </w:t>
      </w:r>
      <w:r w:rsidRPr="003F3A43">
        <w:rPr>
          <w:rFonts w:ascii="Times New Roman" w:hAnsi="Times New Roman" w:cs="Times New Roman"/>
          <w:sz w:val="24"/>
          <w:szCs w:val="24"/>
        </w:rPr>
        <w:t>(IMD</w:t>
      </w:r>
      <w:r w:rsidR="00206CAB">
        <w:rPr>
          <w:rFonts w:ascii="Times New Roman" w:hAnsi="Times New Roman" w:cs="Times New Roman"/>
          <w:sz w:val="24"/>
          <w:szCs w:val="24"/>
        </w:rPr>
        <w:t xml:space="preserve"> 2010</w:t>
      </w:r>
      <w:r w:rsidRPr="003F3A43">
        <w:rPr>
          <w:rFonts w:ascii="Times New Roman" w:hAnsi="Times New Roman" w:cs="Times New Roman"/>
          <w:sz w:val="24"/>
          <w:szCs w:val="24"/>
        </w:rPr>
        <w:t>; based on Lower L</w:t>
      </w:r>
      <w:r w:rsidR="009243B9">
        <w:rPr>
          <w:rFonts w:ascii="Times New Roman" w:hAnsi="Times New Roman" w:cs="Times New Roman"/>
          <w:sz w:val="24"/>
          <w:szCs w:val="24"/>
        </w:rPr>
        <w:t>ayer</w:t>
      </w:r>
      <w:r w:rsidRPr="003F3A43">
        <w:rPr>
          <w:rFonts w:ascii="Times New Roman" w:hAnsi="Times New Roman" w:cs="Times New Roman"/>
          <w:sz w:val="24"/>
          <w:szCs w:val="24"/>
        </w:rPr>
        <w:t xml:space="preserve"> Super Output A</w:t>
      </w:r>
      <w:r w:rsidR="00363097">
        <w:rPr>
          <w:rFonts w:ascii="Times New Roman" w:hAnsi="Times New Roman" w:cs="Times New Roman"/>
          <w:sz w:val="24"/>
          <w:szCs w:val="24"/>
        </w:rPr>
        <w:t>rea</w:t>
      </w:r>
      <w:r w:rsidR="009243B9">
        <w:rPr>
          <w:rFonts w:ascii="Times New Roman" w:hAnsi="Times New Roman" w:cs="Times New Roman"/>
          <w:sz w:val="24"/>
          <w:szCs w:val="24"/>
        </w:rPr>
        <w:t xml:space="preserve"> (LSOA)</w:t>
      </w:r>
      <w:proofErr w:type="gramStart"/>
      <w:r w:rsidR="00363097">
        <w:rPr>
          <w:rFonts w:ascii="Times New Roman" w:hAnsi="Times New Roman" w:cs="Times New Roman"/>
          <w:sz w:val="24"/>
          <w:szCs w:val="24"/>
        </w:rPr>
        <w:t>)</w:t>
      </w:r>
      <w:r w:rsidRPr="003F3A43">
        <w:rPr>
          <w:rFonts w:ascii="Times New Roman" w:hAnsi="Times New Roman" w:cs="Times New Roman"/>
          <w:sz w:val="24"/>
          <w:szCs w:val="24"/>
        </w:rPr>
        <w:t>.</w:t>
      </w:r>
      <w:r w:rsidR="00D0286D">
        <w:rPr>
          <w:rFonts w:ascii="Times New Roman" w:hAnsi="Times New Roman" w:cs="Times New Roman"/>
          <w:sz w:val="24"/>
          <w:szCs w:val="24"/>
        </w:rPr>
        <w:t>[</w:t>
      </w:r>
      <w:proofErr w:type="gramEnd"/>
      <w:r w:rsidR="00D0286D">
        <w:rPr>
          <w:rFonts w:ascii="Times New Roman" w:hAnsi="Times New Roman" w:cs="Times New Roman"/>
          <w:sz w:val="24"/>
          <w:szCs w:val="24"/>
        </w:rPr>
        <w:t>22]</w:t>
      </w:r>
      <w:r w:rsidR="00206CAB">
        <w:rPr>
          <w:rFonts w:ascii="Times New Roman" w:hAnsi="Times New Roman" w:cs="Times New Roman"/>
          <w:sz w:val="24"/>
          <w:szCs w:val="24"/>
        </w:rPr>
        <w:t xml:space="preserve"> </w:t>
      </w:r>
      <w:r w:rsidR="00206CAB" w:rsidRPr="00206CAB">
        <w:rPr>
          <w:rFonts w:ascii="Times New Roman" w:hAnsi="Times New Roman" w:cs="Times New Roman"/>
          <w:sz w:val="24"/>
          <w:szCs w:val="24"/>
        </w:rPr>
        <w:t xml:space="preserve">The </w:t>
      </w:r>
      <w:r w:rsidR="00206CAB">
        <w:rPr>
          <w:rFonts w:ascii="Times New Roman" w:hAnsi="Times New Roman" w:cs="Times New Roman"/>
          <w:sz w:val="24"/>
          <w:szCs w:val="24"/>
        </w:rPr>
        <w:t xml:space="preserve">IMD </w:t>
      </w:r>
      <w:r w:rsidR="002954F3">
        <w:rPr>
          <w:rFonts w:ascii="Times New Roman" w:hAnsi="Times New Roman" w:cs="Times New Roman"/>
          <w:sz w:val="24"/>
          <w:szCs w:val="24"/>
        </w:rPr>
        <w:t xml:space="preserve">2010 </w:t>
      </w:r>
      <w:r w:rsidR="00206CAB">
        <w:rPr>
          <w:rFonts w:ascii="Times New Roman" w:hAnsi="Times New Roman" w:cs="Times New Roman"/>
          <w:sz w:val="24"/>
          <w:szCs w:val="24"/>
        </w:rPr>
        <w:t>incorporates seven domain</w:t>
      </w:r>
      <w:r w:rsidR="00206CAB" w:rsidRPr="00206CAB">
        <w:rPr>
          <w:rFonts w:ascii="Times New Roman" w:hAnsi="Times New Roman" w:cs="Times New Roman"/>
          <w:sz w:val="24"/>
          <w:szCs w:val="24"/>
        </w:rPr>
        <w:t>s</w:t>
      </w:r>
      <w:r w:rsidR="00206CAB">
        <w:rPr>
          <w:rFonts w:ascii="Times New Roman" w:hAnsi="Times New Roman" w:cs="Times New Roman"/>
          <w:sz w:val="24"/>
          <w:szCs w:val="24"/>
        </w:rPr>
        <w:t xml:space="preserve">: </w:t>
      </w:r>
      <w:r w:rsidR="00206CAB" w:rsidRPr="00206CAB">
        <w:rPr>
          <w:rFonts w:ascii="Times New Roman" w:hAnsi="Times New Roman" w:cs="Times New Roman"/>
          <w:sz w:val="24"/>
          <w:szCs w:val="24"/>
        </w:rPr>
        <w:t xml:space="preserve">income deprivation, employment deprivation, health deprivation and disability, education deprivation, crime, barriers </w:t>
      </w:r>
      <w:r w:rsidR="00206CAB">
        <w:rPr>
          <w:rFonts w:ascii="Times New Roman" w:hAnsi="Times New Roman" w:cs="Times New Roman"/>
          <w:sz w:val="24"/>
          <w:szCs w:val="24"/>
        </w:rPr>
        <w:t>to housing and services</w:t>
      </w:r>
      <w:r w:rsidR="00AE4525">
        <w:rPr>
          <w:rFonts w:ascii="Times New Roman" w:hAnsi="Times New Roman" w:cs="Times New Roman"/>
          <w:sz w:val="24"/>
          <w:szCs w:val="24"/>
        </w:rPr>
        <w:t>,</w:t>
      </w:r>
      <w:r w:rsidR="00206CAB">
        <w:rPr>
          <w:rFonts w:ascii="Times New Roman" w:hAnsi="Times New Roman" w:cs="Times New Roman"/>
          <w:sz w:val="24"/>
          <w:szCs w:val="24"/>
        </w:rPr>
        <w:t xml:space="preserve"> and living environment.</w:t>
      </w:r>
      <w:r w:rsidR="00206CAB" w:rsidRPr="00206CAB">
        <w:rPr>
          <w:rFonts w:ascii="Times New Roman" w:hAnsi="Times New Roman" w:cs="Times New Roman"/>
          <w:sz w:val="24"/>
          <w:szCs w:val="24"/>
        </w:rPr>
        <w:t xml:space="preserve"> </w:t>
      </w:r>
      <w:r w:rsidR="00A64C06">
        <w:rPr>
          <w:rFonts w:ascii="Times New Roman" w:hAnsi="Times New Roman" w:cs="Times New Roman"/>
          <w:sz w:val="24"/>
          <w:szCs w:val="24"/>
        </w:rPr>
        <w:t>All small areas in England are ranked</w:t>
      </w:r>
      <w:r w:rsidR="008966B5">
        <w:rPr>
          <w:rFonts w:ascii="Times New Roman" w:hAnsi="Times New Roman" w:cs="Times New Roman"/>
          <w:sz w:val="24"/>
          <w:szCs w:val="24"/>
        </w:rPr>
        <w:t>, from 1 (most deprived) to 32482,</w:t>
      </w:r>
      <w:r w:rsidR="008D6201">
        <w:rPr>
          <w:rFonts w:ascii="Times New Roman" w:hAnsi="Times New Roman" w:cs="Times New Roman"/>
          <w:sz w:val="24"/>
          <w:szCs w:val="24"/>
        </w:rPr>
        <w:t xml:space="preserve"> </w:t>
      </w:r>
      <w:r w:rsidR="008966B5">
        <w:rPr>
          <w:rFonts w:ascii="Times New Roman" w:hAnsi="Times New Roman" w:cs="Times New Roman"/>
          <w:sz w:val="24"/>
          <w:szCs w:val="24"/>
        </w:rPr>
        <w:t xml:space="preserve">and </w:t>
      </w:r>
      <w:r w:rsidR="00206CAB">
        <w:rPr>
          <w:rFonts w:ascii="Times New Roman" w:hAnsi="Times New Roman" w:cs="Times New Roman"/>
          <w:sz w:val="24"/>
          <w:szCs w:val="24"/>
        </w:rPr>
        <w:t xml:space="preserve">data </w:t>
      </w:r>
      <w:r w:rsidR="00C150CE">
        <w:rPr>
          <w:rFonts w:ascii="Times New Roman" w:hAnsi="Times New Roman" w:cs="Times New Roman"/>
          <w:sz w:val="24"/>
          <w:szCs w:val="24"/>
        </w:rPr>
        <w:t>can be</w:t>
      </w:r>
      <w:r w:rsidR="008966B5">
        <w:rPr>
          <w:rFonts w:ascii="Times New Roman" w:hAnsi="Times New Roman" w:cs="Times New Roman"/>
          <w:sz w:val="24"/>
          <w:szCs w:val="24"/>
        </w:rPr>
        <w:t xml:space="preserve"> </w:t>
      </w:r>
      <w:r w:rsidR="00206CAB">
        <w:rPr>
          <w:rFonts w:ascii="Times New Roman" w:hAnsi="Times New Roman" w:cs="Times New Roman"/>
          <w:sz w:val="24"/>
          <w:szCs w:val="24"/>
        </w:rPr>
        <w:t>grouped into quintiles.</w:t>
      </w:r>
    </w:p>
    <w:p w14:paraId="4B96B4F3" w14:textId="77777777" w:rsidR="00AC26B7" w:rsidRPr="003F3A43" w:rsidRDefault="00230D07" w:rsidP="00146777">
      <w:pPr>
        <w:spacing w:line="480" w:lineRule="auto"/>
        <w:rPr>
          <w:rFonts w:ascii="Times New Roman" w:hAnsi="Times New Roman" w:cs="Times New Roman"/>
          <w:i/>
          <w:sz w:val="24"/>
          <w:szCs w:val="24"/>
        </w:rPr>
      </w:pPr>
      <w:r w:rsidRPr="003F3A43">
        <w:rPr>
          <w:rFonts w:ascii="Times New Roman" w:hAnsi="Times New Roman" w:cs="Times New Roman"/>
          <w:i/>
          <w:sz w:val="24"/>
          <w:szCs w:val="24"/>
        </w:rPr>
        <w:t>Statistical Analysis</w:t>
      </w:r>
    </w:p>
    <w:p w14:paraId="64D5C584" w14:textId="09DFEA74" w:rsidR="00AA6188" w:rsidRDefault="00FB2397" w:rsidP="001467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Data</w:t>
      </w:r>
      <w:r w:rsidR="00962E3B" w:rsidRPr="003F3A43">
        <w:rPr>
          <w:rFonts w:ascii="Times New Roman" w:hAnsi="Times New Roman" w:cs="Times New Roman"/>
          <w:sz w:val="24"/>
          <w:szCs w:val="24"/>
        </w:rPr>
        <w:t xml:space="preserve"> are</w:t>
      </w:r>
      <w:r w:rsidR="00C5026F" w:rsidRPr="003F3A43">
        <w:rPr>
          <w:rFonts w:ascii="Times New Roman" w:hAnsi="Times New Roman" w:cs="Times New Roman"/>
          <w:sz w:val="24"/>
          <w:szCs w:val="24"/>
        </w:rPr>
        <w:t xml:space="preserve"> </w:t>
      </w:r>
      <w:proofErr w:type="spellStart"/>
      <w:r w:rsidR="00C5026F" w:rsidRPr="003F3A43">
        <w:rPr>
          <w:rFonts w:ascii="Times New Roman" w:hAnsi="Times New Roman" w:cs="Times New Roman"/>
          <w:sz w:val="24"/>
          <w:szCs w:val="24"/>
        </w:rPr>
        <w:t>summarised</w:t>
      </w:r>
      <w:proofErr w:type="spellEnd"/>
      <w:r w:rsidR="00C5026F" w:rsidRPr="003F3A43">
        <w:rPr>
          <w:rFonts w:ascii="Times New Roman" w:hAnsi="Times New Roman" w:cs="Times New Roman"/>
          <w:sz w:val="24"/>
          <w:szCs w:val="24"/>
        </w:rPr>
        <w:t xml:space="preserve"> </w:t>
      </w:r>
      <w:r w:rsidR="0012244C" w:rsidRPr="003F3A43">
        <w:rPr>
          <w:rFonts w:ascii="Times New Roman" w:hAnsi="Times New Roman" w:cs="Times New Roman"/>
          <w:sz w:val="24"/>
          <w:szCs w:val="24"/>
        </w:rPr>
        <w:t>as</w:t>
      </w:r>
      <w:r w:rsidR="00FF095F" w:rsidRPr="003F3A43">
        <w:rPr>
          <w:rFonts w:ascii="Times New Roman" w:hAnsi="Times New Roman" w:cs="Times New Roman"/>
          <w:sz w:val="24"/>
          <w:szCs w:val="24"/>
        </w:rPr>
        <w:t xml:space="preserve"> </w:t>
      </w:r>
      <w:r w:rsidR="00C5026F" w:rsidRPr="003F3A43">
        <w:rPr>
          <w:rFonts w:ascii="Times New Roman" w:hAnsi="Times New Roman" w:cs="Times New Roman"/>
          <w:sz w:val="24"/>
          <w:szCs w:val="24"/>
        </w:rPr>
        <w:t>mean</w:t>
      </w:r>
      <w:r w:rsidR="004D0741" w:rsidRPr="003F3A43">
        <w:rPr>
          <w:rFonts w:ascii="Times New Roman" w:hAnsi="Times New Roman" w:cs="Times New Roman"/>
          <w:sz w:val="24"/>
          <w:szCs w:val="24"/>
        </w:rPr>
        <w:t>s and</w:t>
      </w:r>
      <w:r w:rsidR="00FF095F" w:rsidRPr="003F3A43">
        <w:rPr>
          <w:rFonts w:ascii="Times New Roman" w:hAnsi="Times New Roman" w:cs="Times New Roman"/>
          <w:sz w:val="24"/>
          <w:szCs w:val="24"/>
        </w:rPr>
        <w:t xml:space="preserve"> </w:t>
      </w:r>
      <w:r w:rsidR="00FF095F" w:rsidRPr="00ED3FE8">
        <w:rPr>
          <w:rFonts w:ascii="Times New Roman" w:hAnsi="Times New Roman" w:cs="Times New Roman"/>
          <w:sz w:val="24"/>
          <w:szCs w:val="24"/>
        </w:rPr>
        <w:t>standard deviation</w:t>
      </w:r>
      <w:r w:rsidR="004D0741" w:rsidRPr="00ED3FE8">
        <w:rPr>
          <w:rFonts w:ascii="Times New Roman" w:hAnsi="Times New Roman" w:cs="Times New Roman"/>
          <w:sz w:val="24"/>
          <w:szCs w:val="24"/>
        </w:rPr>
        <w:t>s</w:t>
      </w:r>
      <w:r w:rsidR="00FF095F" w:rsidRPr="00ED3FE8">
        <w:rPr>
          <w:rFonts w:ascii="Times New Roman" w:hAnsi="Times New Roman" w:cs="Times New Roman"/>
          <w:sz w:val="24"/>
          <w:szCs w:val="24"/>
        </w:rPr>
        <w:t xml:space="preserve"> (</w:t>
      </w:r>
      <w:r w:rsidR="00C5026F" w:rsidRPr="00ED3FE8">
        <w:rPr>
          <w:rFonts w:ascii="Times New Roman" w:hAnsi="Times New Roman" w:cs="Times New Roman"/>
          <w:sz w:val="24"/>
          <w:szCs w:val="24"/>
        </w:rPr>
        <w:t>SD</w:t>
      </w:r>
      <w:r w:rsidR="00FF095F" w:rsidRPr="00ED3FE8">
        <w:rPr>
          <w:rFonts w:ascii="Times New Roman" w:hAnsi="Times New Roman" w:cs="Times New Roman"/>
          <w:sz w:val="24"/>
          <w:szCs w:val="24"/>
        </w:rPr>
        <w:t>)</w:t>
      </w:r>
      <w:r w:rsidR="004D0741" w:rsidRPr="00ED3FE8">
        <w:rPr>
          <w:rFonts w:ascii="Times New Roman" w:hAnsi="Times New Roman" w:cs="Times New Roman"/>
          <w:sz w:val="24"/>
          <w:szCs w:val="24"/>
        </w:rPr>
        <w:t>,</w:t>
      </w:r>
      <w:r w:rsidR="00833766" w:rsidRPr="00ED3FE8">
        <w:rPr>
          <w:rFonts w:ascii="Times New Roman" w:hAnsi="Times New Roman" w:cs="Times New Roman"/>
          <w:sz w:val="24"/>
          <w:szCs w:val="24"/>
        </w:rPr>
        <w:t xml:space="preserve"> or as</w:t>
      </w:r>
      <w:r w:rsidR="00C5026F" w:rsidRPr="00ED3FE8">
        <w:rPr>
          <w:rFonts w:ascii="Times New Roman" w:hAnsi="Times New Roman" w:cs="Times New Roman"/>
          <w:sz w:val="24"/>
          <w:szCs w:val="24"/>
        </w:rPr>
        <w:t xml:space="preserve"> percentage</w:t>
      </w:r>
      <w:r w:rsidR="00FF095F" w:rsidRPr="00ED3FE8">
        <w:rPr>
          <w:rFonts w:ascii="Times New Roman" w:hAnsi="Times New Roman" w:cs="Times New Roman"/>
          <w:sz w:val="24"/>
          <w:szCs w:val="24"/>
        </w:rPr>
        <w:t>s</w:t>
      </w:r>
      <w:r w:rsidR="00C5026F" w:rsidRPr="00ED3FE8">
        <w:rPr>
          <w:rFonts w:ascii="Times New Roman" w:hAnsi="Times New Roman" w:cs="Times New Roman"/>
          <w:sz w:val="24"/>
          <w:szCs w:val="24"/>
        </w:rPr>
        <w:t xml:space="preserve">. </w:t>
      </w:r>
      <w:r w:rsidR="008D6201">
        <w:rPr>
          <w:rFonts w:ascii="Times New Roman" w:hAnsi="Times New Roman" w:cs="Times New Roman"/>
          <w:sz w:val="24"/>
          <w:szCs w:val="24"/>
        </w:rPr>
        <w:t xml:space="preserve">The median IMD ranks are compared between responders and non-responders. </w:t>
      </w:r>
      <w:r w:rsidR="00ED3FE8">
        <w:rPr>
          <w:rFonts w:ascii="Times New Roman" w:hAnsi="Times New Roman" w:cs="Times New Roman"/>
          <w:sz w:val="24"/>
          <w:szCs w:val="24"/>
        </w:rPr>
        <w:t>In the unadjusted model, the odds of response were calculated for each explanatory variable separately. In the adjusted model, t</w:t>
      </w:r>
      <w:r w:rsidR="00806221" w:rsidRPr="00ED3FE8">
        <w:rPr>
          <w:rFonts w:ascii="Times New Roman" w:hAnsi="Times New Roman" w:cs="Times New Roman"/>
          <w:sz w:val="24"/>
          <w:szCs w:val="24"/>
        </w:rPr>
        <w:t xml:space="preserve">he </w:t>
      </w:r>
      <w:r w:rsidR="00ED3FE8">
        <w:rPr>
          <w:rFonts w:ascii="Times New Roman" w:hAnsi="Times New Roman" w:cs="Times New Roman"/>
          <w:sz w:val="24"/>
          <w:szCs w:val="24"/>
        </w:rPr>
        <w:t xml:space="preserve">odds of </w:t>
      </w:r>
      <w:r w:rsidR="0077409D" w:rsidRPr="00ED3FE8">
        <w:rPr>
          <w:rFonts w:ascii="Times New Roman" w:hAnsi="Times New Roman" w:cs="Times New Roman"/>
          <w:sz w:val="24"/>
          <w:szCs w:val="24"/>
        </w:rPr>
        <w:t>response</w:t>
      </w:r>
      <w:r w:rsidR="00806221" w:rsidRPr="00ED3FE8">
        <w:rPr>
          <w:rFonts w:ascii="Times New Roman" w:hAnsi="Times New Roman" w:cs="Times New Roman"/>
          <w:sz w:val="24"/>
          <w:szCs w:val="24"/>
        </w:rPr>
        <w:t xml:space="preserve"> </w:t>
      </w:r>
      <w:r w:rsidR="00ED3FE8">
        <w:rPr>
          <w:rFonts w:ascii="Times New Roman" w:hAnsi="Times New Roman" w:cs="Times New Roman"/>
          <w:sz w:val="24"/>
          <w:szCs w:val="24"/>
        </w:rPr>
        <w:t xml:space="preserve">were </w:t>
      </w:r>
      <w:r w:rsidR="00806221" w:rsidRPr="00ED3FE8">
        <w:rPr>
          <w:rFonts w:ascii="Times New Roman" w:hAnsi="Times New Roman" w:cs="Times New Roman"/>
          <w:sz w:val="24"/>
          <w:szCs w:val="24"/>
        </w:rPr>
        <w:t>calculated</w:t>
      </w:r>
      <w:r w:rsidR="008B22A0" w:rsidRPr="00ED3FE8">
        <w:rPr>
          <w:rFonts w:ascii="Times New Roman" w:hAnsi="Times New Roman" w:cs="Times New Roman"/>
          <w:sz w:val="24"/>
          <w:szCs w:val="24"/>
        </w:rPr>
        <w:t xml:space="preserve"> </w:t>
      </w:r>
      <w:r w:rsidR="00ED3FE8">
        <w:rPr>
          <w:rFonts w:ascii="Times New Roman" w:hAnsi="Times New Roman" w:cs="Times New Roman"/>
          <w:sz w:val="24"/>
          <w:szCs w:val="24"/>
        </w:rPr>
        <w:t xml:space="preserve">via logistic regression </w:t>
      </w:r>
      <w:r w:rsidR="008B22A0" w:rsidRPr="00ED3FE8">
        <w:rPr>
          <w:rFonts w:ascii="Times New Roman" w:hAnsi="Times New Roman" w:cs="Times New Roman"/>
          <w:sz w:val="24"/>
          <w:szCs w:val="24"/>
        </w:rPr>
        <w:t xml:space="preserve">adjusting for </w:t>
      </w:r>
      <w:r w:rsidR="00ED3FE8">
        <w:rPr>
          <w:rFonts w:ascii="Times New Roman" w:hAnsi="Times New Roman" w:cs="Times New Roman"/>
          <w:sz w:val="24"/>
          <w:szCs w:val="24"/>
        </w:rPr>
        <w:t xml:space="preserve">potential confounding by QRisk2 score, ethnicity, </w:t>
      </w:r>
      <w:r w:rsidR="008D6201">
        <w:rPr>
          <w:rFonts w:ascii="Times New Roman" w:hAnsi="Times New Roman" w:cs="Times New Roman"/>
          <w:sz w:val="24"/>
          <w:szCs w:val="24"/>
        </w:rPr>
        <w:t>IMD quintile</w:t>
      </w:r>
      <w:r w:rsidR="00ED3FE8">
        <w:rPr>
          <w:rFonts w:ascii="Times New Roman" w:hAnsi="Times New Roman" w:cs="Times New Roman"/>
          <w:sz w:val="24"/>
          <w:szCs w:val="24"/>
        </w:rPr>
        <w:t xml:space="preserve">, </w:t>
      </w:r>
      <w:r w:rsidR="008B22A0" w:rsidRPr="00ED3FE8">
        <w:rPr>
          <w:rFonts w:ascii="Times New Roman" w:eastAsia="Times New Roman" w:hAnsi="Times New Roman" w:cs="Times New Roman"/>
          <w:sz w:val="24"/>
          <w:szCs w:val="24"/>
          <w:lang w:val="en-GB"/>
        </w:rPr>
        <w:t>age</w:t>
      </w:r>
      <w:r w:rsidR="00ED3FE8">
        <w:rPr>
          <w:rFonts w:ascii="Times New Roman" w:eastAsia="Times New Roman" w:hAnsi="Times New Roman" w:cs="Times New Roman"/>
          <w:sz w:val="24"/>
          <w:szCs w:val="24"/>
          <w:lang w:val="en-GB"/>
        </w:rPr>
        <w:t xml:space="preserve"> and</w:t>
      </w:r>
      <w:r w:rsidR="008B22A0" w:rsidRPr="00ED3FE8">
        <w:rPr>
          <w:rFonts w:ascii="Times New Roman" w:eastAsia="Times New Roman" w:hAnsi="Times New Roman" w:cs="Times New Roman"/>
          <w:sz w:val="24"/>
          <w:szCs w:val="24"/>
          <w:lang w:val="en-GB"/>
        </w:rPr>
        <w:t xml:space="preserve"> </w:t>
      </w:r>
      <w:r w:rsidR="001A350B">
        <w:rPr>
          <w:rFonts w:ascii="Times New Roman" w:eastAsia="Times New Roman" w:hAnsi="Times New Roman" w:cs="Times New Roman"/>
          <w:sz w:val="24"/>
          <w:szCs w:val="24"/>
          <w:lang w:val="en-GB"/>
        </w:rPr>
        <w:t>sex</w:t>
      </w:r>
      <w:r w:rsidR="00806221" w:rsidRPr="00ED3FE8">
        <w:rPr>
          <w:rFonts w:ascii="Times New Roman" w:hAnsi="Times New Roman" w:cs="Times New Roman"/>
          <w:sz w:val="24"/>
          <w:szCs w:val="24"/>
        </w:rPr>
        <w:t xml:space="preserve"> in</w:t>
      </w:r>
      <w:r w:rsidR="00806044" w:rsidRPr="00ED3FE8">
        <w:rPr>
          <w:rFonts w:ascii="Times New Roman" w:hAnsi="Times New Roman" w:cs="Times New Roman"/>
          <w:sz w:val="24"/>
          <w:szCs w:val="24"/>
        </w:rPr>
        <w:t xml:space="preserve"> </w:t>
      </w:r>
      <w:r w:rsidR="005D0156" w:rsidRPr="00ED3FE8">
        <w:rPr>
          <w:rFonts w:ascii="Times New Roman" w:hAnsi="Times New Roman" w:cs="Times New Roman"/>
          <w:sz w:val="24"/>
          <w:szCs w:val="24"/>
        </w:rPr>
        <w:t>Sta</w:t>
      </w:r>
      <w:r w:rsidR="00806221" w:rsidRPr="00ED3FE8">
        <w:rPr>
          <w:rFonts w:ascii="Times New Roman" w:hAnsi="Times New Roman" w:cs="Times New Roman"/>
          <w:sz w:val="24"/>
          <w:szCs w:val="24"/>
        </w:rPr>
        <w:t xml:space="preserve">ta version 14 </w:t>
      </w:r>
      <w:r w:rsidR="005D0156" w:rsidRPr="00ED3FE8">
        <w:rPr>
          <w:rFonts w:ascii="Times New Roman" w:hAnsi="Times New Roman" w:cs="Times New Roman"/>
          <w:sz w:val="24"/>
          <w:szCs w:val="24"/>
        </w:rPr>
        <w:t>(</w:t>
      </w:r>
      <w:proofErr w:type="spellStart"/>
      <w:r w:rsidR="00806221" w:rsidRPr="00ED3FE8">
        <w:rPr>
          <w:rFonts w:ascii="Times New Roman" w:hAnsi="Times New Roman" w:cs="Times New Roman"/>
          <w:sz w:val="24"/>
          <w:szCs w:val="24"/>
        </w:rPr>
        <w:t>StataCorp</w:t>
      </w:r>
      <w:proofErr w:type="spellEnd"/>
      <w:r w:rsidR="00F146F2" w:rsidRPr="00ED3FE8">
        <w:rPr>
          <w:rFonts w:ascii="Times New Roman" w:hAnsi="Times New Roman" w:cs="Times New Roman"/>
          <w:sz w:val="24"/>
          <w:szCs w:val="24"/>
        </w:rPr>
        <w:t>, Texas, USA</w:t>
      </w:r>
      <w:r w:rsidR="005D0156" w:rsidRPr="00ED3FE8">
        <w:rPr>
          <w:rFonts w:ascii="Times New Roman" w:hAnsi="Times New Roman" w:cs="Times New Roman"/>
          <w:sz w:val="24"/>
          <w:szCs w:val="24"/>
        </w:rPr>
        <w:t>)</w:t>
      </w:r>
      <w:r w:rsidR="00806221" w:rsidRPr="00ED3FE8">
        <w:rPr>
          <w:rFonts w:ascii="Times New Roman" w:hAnsi="Times New Roman" w:cs="Times New Roman"/>
          <w:sz w:val="24"/>
          <w:szCs w:val="24"/>
        </w:rPr>
        <w:t xml:space="preserve">. </w:t>
      </w:r>
      <w:r w:rsidR="004D3972" w:rsidRPr="00ED3FE8">
        <w:rPr>
          <w:rFonts w:ascii="Times New Roman" w:hAnsi="Times New Roman" w:cs="Times New Roman"/>
          <w:sz w:val="24"/>
          <w:szCs w:val="24"/>
        </w:rPr>
        <w:t>G</w:t>
      </w:r>
      <w:r w:rsidR="00ED3FE8">
        <w:rPr>
          <w:rFonts w:ascii="Times New Roman" w:hAnsi="Times New Roman" w:cs="Times New Roman"/>
          <w:sz w:val="24"/>
          <w:szCs w:val="24"/>
        </w:rPr>
        <w:t>eneral</w:t>
      </w:r>
      <w:r w:rsidR="004D3972" w:rsidRPr="00ED3FE8">
        <w:rPr>
          <w:rFonts w:ascii="Times New Roman" w:hAnsi="Times New Roman" w:cs="Times New Roman"/>
          <w:sz w:val="24"/>
          <w:szCs w:val="24"/>
        </w:rPr>
        <w:t xml:space="preserve"> </w:t>
      </w:r>
      <w:r w:rsidR="00B90E31">
        <w:rPr>
          <w:rFonts w:ascii="Times New Roman" w:hAnsi="Times New Roman" w:cs="Times New Roman"/>
          <w:sz w:val="24"/>
          <w:szCs w:val="24"/>
        </w:rPr>
        <w:t>p</w:t>
      </w:r>
      <w:r w:rsidR="00DC3131" w:rsidRPr="00ED3FE8">
        <w:rPr>
          <w:rFonts w:ascii="Times New Roman" w:hAnsi="Times New Roman" w:cs="Times New Roman"/>
          <w:sz w:val="24"/>
          <w:szCs w:val="24"/>
        </w:rPr>
        <w:t>ractice was</w:t>
      </w:r>
      <w:r w:rsidR="00AA6188" w:rsidRPr="00ED3FE8">
        <w:rPr>
          <w:rFonts w:ascii="Times New Roman" w:hAnsi="Times New Roman" w:cs="Times New Roman"/>
          <w:sz w:val="24"/>
          <w:szCs w:val="24"/>
        </w:rPr>
        <w:t xml:space="preserve"> </w:t>
      </w:r>
      <w:r w:rsidR="000D38B0" w:rsidRPr="00ED3FE8">
        <w:rPr>
          <w:rFonts w:ascii="Times New Roman" w:hAnsi="Times New Roman" w:cs="Times New Roman"/>
          <w:sz w:val="24"/>
          <w:szCs w:val="24"/>
        </w:rPr>
        <w:t>included as a random effect</w:t>
      </w:r>
      <w:r w:rsidR="00AA6188" w:rsidRPr="00ED3FE8">
        <w:rPr>
          <w:rFonts w:ascii="Times New Roman" w:hAnsi="Times New Roman" w:cs="Times New Roman"/>
          <w:sz w:val="24"/>
          <w:szCs w:val="24"/>
        </w:rPr>
        <w:t xml:space="preserve"> in the model</w:t>
      </w:r>
      <w:r w:rsidR="000D38B0" w:rsidRPr="00ED3FE8">
        <w:rPr>
          <w:rFonts w:ascii="Times New Roman" w:hAnsi="Times New Roman" w:cs="Times New Roman"/>
          <w:sz w:val="24"/>
          <w:szCs w:val="24"/>
        </w:rPr>
        <w:t xml:space="preserve"> to allow for clustering</w:t>
      </w:r>
      <w:r w:rsidR="000D38B0">
        <w:rPr>
          <w:rFonts w:ascii="Times New Roman" w:hAnsi="Times New Roman" w:cs="Times New Roman"/>
          <w:sz w:val="24"/>
          <w:szCs w:val="24"/>
        </w:rPr>
        <w:t xml:space="preserve"> by practice</w:t>
      </w:r>
      <w:r w:rsidR="00AA6188" w:rsidRPr="003F3A43">
        <w:rPr>
          <w:rFonts w:ascii="Times New Roman" w:hAnsi="Times New Roman" w:cs="Times New Roman"/>
          <w:sz w:val="24"/>
          <w:szCs w:val="24"/>
        </w:rPr>
        <w:t>.</w:t>
      </w:r>
      <w:r w:rsidR="00417995">
        <w:rPr>
          <w:rFonts w:ascii="Times New Roman" w:hAnsi="Times New Roman" w:cs="Times New Roman"/>
          <w:sz w:val="24"/>
          <w:szCs w:val="24"/>
        </w:rPr>
        <w:t xml:space="preserve"> </w:t>
      </w:r>
      <w:r w:rsidR="00E7608D">
        <w:rPr>
          <w:rFonts w:ascii="Times New Roman" w:hAnsi="Times New Roman" w:cs="Times New Roman"/>
          <w:sz w:val="24"/>
          <w:szCs w:val="24"/>
        </w:rPr>
        <w:t>A</w:t>
      </w:r>
      <w:r w:rsidR="00ED3FE8">
        <w:rPr>
          <w:rFonts w:ascii="Times New Roman" w:hAnsi="Times New Roman" w:cs="Times New Roman"/>
          <w:sz w:val="24"/>
          <w:szCs w:val="24"/>
        </w:rPr>
        <w:t>djusted odds ratios (A</w:t>
      </w:r>
      <w:r w:rsidR="000D38B0">
        <w:rPr>
          <w:rFonts w:ascii="Times New Roman" w:hAnsi="Times New Roman" w:cs="Times New Roman"/>
          <w:sz w:val="24"/>
          <w:szCs w:val="24"/>
        </w:rPr>
        <w:t>ORs</w:t>
      </w:r>
      <w:r w:rsidR="00ED3FE8">
        <w:rPr>
          <w:rFonts w:ascii="Times New Roman" w:hAnsi="Times New Roman" w:cs="Times New Roman"/>
          <w:sz w:val="24"/>
          <w:szCs w:val="24"/>
        </w:rPr>
        <w:t>)</w:t>
      </w:r>
      <w:r w:rsidR="000D38B0">
        <w:rPr>
          <w:rFonts w:ascii="Times New Roman" w:hAnsi="Times New Roman" w:cs="Times New Roman"/>
          <w:sz w:val="24"/>
          <w:szCs w:val="24"/>
        </w:rPr>
        <w:t xml:space="preserve"> for age are presented per</w:t>
      </w:r>
      <w:r w:rsidR="002D637B">
        <w:rPr>
          <w:rFonts w:ascii="Times New Roman" w:hAnsi="Times New Roman" w:cs="Times New Roman"/>
          <w:sz w:val="24"/>
          <w:szCs w:val="24"/>
        </w:rPr>
        <w:t xml:space="preserve"> 5 year </w:t>
      </w:r>
      <w:r w:rsidR="000D38B0">
        <w:rPr>
          <w:rFonts w:ascii="Times New Roman" w:hAnsi="Times New Roman" w:cs="Times New Roman"/>
          <w:sz w:val="24"/>
          <w:szCs w:val="24"/>
        </w:rPr>
        <w:t>increase</w:t>
      </w:r>
      <w:r w:rsidR="003C4127">
        <w:rPr>
          <w:rFonts w:ascii="Times New Roman" w:hAnsi="Times New Roman" w:cs="Times New Roman"/>
          <w:sz w:val="24"/>
          <w:szCs w:val="24"/>
        </w:rPr>
        <w:t xml:space="preserve"> and </w:t>
      </w:r>
      <w:r w:rsidR="000D38B0">
        <w:rPr>
          <w:rFonts w:ascii="Times New Roman" w:hAnsi="Times New Roman" w:cs="Times New Roman"/>
          <w:sz w:val="24"/>
          <w:szCs w:val="24"/>
        </w:rPr>
        <w:t>for QRisk2 scores per</w:t>
      </w:r>
      <w:r w:rsidR="002D637B">
        <w:rPr>
          <w:rFonts w:ascii="Times New Roman" w:hAnsi="Times New Roman" w:cs="Times New Roman"/>
          <w:sz w:val="24"/>
          <w:szCs w:val="24"/>
        </w:rPr>
        <w:t xml:space="preserve"> 5 percentage point i</w:t>
      </w:r>
      <w:r w:rsidR="003C4127">
        <w:rPr>
          <w:rFonts w:ascii="Times New Roman" w:hAnsi="Times New Roman" w:cs="Times New Roman"/>
          <w:sz w:val="24"/>
          <w:szCs w:val="24"/>
        </w:rPr>
        <w:t>ncrease</w:t>
      </w:r>
      <w:r w:rsidR="000D38B0">
        <w:rPr>
          <w:rFonts w:ascii="Times New Roman" w:hAnsi="Times New Roman" w:cs="Times New Roman"/>
          <w:sz w:val="24"/>
          <w:szCs w:val="24"/>
        </w:rPr>
        <w:t xml:space="preserve"> to provide</w:t>
      </w:r>
      <w:r w:rsidR="002D637B">
        <w:rPr>
          <w:rFonts w:ascii="Times New Roman" w:hAnsi="Times New Roman" w:cs="Times New Roman"/>
          <w:sz w:val="24"/>
          <w:szCs w:val="24"/>
        </w:rPr>
        <w:t xml:space="preserve"> a better </w:t>
      </w:r>
      <w:r w:rsidR="000D38B0">
        <w:rPr>
          <w:rFonts w:ascii="Times New Roman" w:hAnsi="Times New Roman" w:cs="Times New Roman"/>
          <w:sz w:val="24"/>
          <w:szCs w:val="24"/>
        </w:rPr>
        <w:t xml:space="preserve">comparison </w:t>
      </w:r>
      <w:r w:rsidR="002D637B">
        <w:rPr>
          <w:rFonts w:ascii="Times New Roman" w:hAnsi="Times New Roman" w:cs="Times New Roman"/>
          <w:sz w:val="24"/>
          <w:szCs w:val="24"/>
        </w:rPr>
        <w:t>of the strength of the relationship</w:t>
      </w:r>
      <w:r w:rsidR="000D38B0">
        <w:rPr>
          <w:rFonts w:ascii="Times New Roman" w:hAnsi="Times New Roman" w:cs="Times New Roman"/>
          <w:sz w:val="24"/>
          <w:szCs w:val="24"/>
        </w:rPr>
        <w:t>s</w:t>
      </w:r>
      <w:r w:rsidR="002D637B">
        <w:rPr>
          <w:rFonts w:ascii="Times New Roman" w:hAnsi="Times New Roman" w:cs="Times New Roman"/>
          <w:sz w:val="24"/>
          <w:szCs w:val="24"/>
        </w:rPr>
        <w:t>.</w:t>
      </w:r>
    </w:p>
    <w:p w14:paraId="203EC8EB" w14:textId="77777777" w:rsidR="001B05C9" w:rsidRDefault="001B05C9" w:rsidP="00146777">
      <w:pPr>
        <w:spacing w:line="480" w:lineRule="auto"/>
        <w:rPr>
          <w:rFonts w:ascii="Times New Roman" w:hAnsi="Times New Roman" w:cs="Times New Roman"/>
          <w:sz w:val="24"/>
          <w:szCs w:val="24"/>
        </w:rPr>
      </w:pPr>
    </w:p>
    <w:p w14:paraId="42F9772C" w14:textId="35322929" w:rsidR="00E45543" w:rsidRPr="00771D7E" w:rsidRDefault="00287CF3" w:rsidP="00146777">
      <w:pPr>
        <w:spacing w:line="480" w:lineRule="auto"/>
        <w:rPr>
          <w:rFonts w:ascii="Times New Roman" w:hAnsi="Times New Roman" w:cs="Times New Roman"/>
          <w:b/>
          <w:sz w:val="28"/>
          <w:szCs w:val="28"/>
        </w:rPr>
      </w:pPr>
      <w:r w:rsidRPr="00771D7E">
        <w:rPr>
          <w:rFonts w:ascii="Times New Roman" w:hAnsi="Times New Roman" w:cs="Times New Roman"/>
          <w:b/>
          <w:sz w:val="28"/>
          <w:szCs w:val="28"/>
        </w:rPr>
        <w:t>Result</w:t>
      </w:r>
      <w:r w:rsidR="00D37BED" w:rsidRPr="00771D7E">
        <w:rPr>
          <w:rFonts w:ascii="Times New Roman" w:hAnsi="Times New Roman" w:cs="Times New Roman"/>
          <w:b/>
          <w:sz w:val="28"/>
          <w:szCs w:val="28"/>
        </w:rPr>
        <w:t>s</w:t>
      </w:r>
    </w:p>
    <w:p w14:paraId="775DB7AF" w14:textId="05C8CBC9" w:rsidR="00962E3B" w:rsidRPr="003F3A43" w:rsidRDefault="00962E3B" w:rsidP="00146777">
      <w:pPr>
        <w:spacing w:line="480" w:lineRule="auto"/>
        <w:rPr>
          <w:rFonts w:ascii="Times New Roman" w:hAnsi="Times New Roman" w:cs="Times New Roman"/>
          <w:sz w:val="24"/>
          <w:szCs w:val="24"/>
        </w:rPr>
      </w:pPr>
      <w:r w:rsidRPr="003F3A43">
        <w:rPr>
          <w:rFonts w:ascii="Times New Roman" w:hAnsi="Times New Roman" w:cs="Times New Roman"/>
          <w:i/>
          <w:sz w:val="24"/>
          <w:szCs w:val="24"/>
        </w:rPr>
        <w:t>G</w:t>
      </w:r>
      <w:r w:rsidR="00B90E31">
        <w:rPr>
          <w:rFonts w:ascii="Times New Roman" w:hAnsi="Times New Roman" w:cs="Times New Roman"/>
          <w:i/>
          <w:sz w:val="24"/>
          <w:szCs w:val="24"/>
        </w:rPr>
        <w:t>eneral practice</w:t>
      </w:r>
      <w:r w:rsidRPr="003F3A43">
        <w:rPr>
          <w:rFonts w:ascii="Times New Roman" w:hAnsi="Times New Roman" w:cs="Times New Roman"/>
          <w:i/>
          <w:sz w:val="24"/>
          <w:szCs w:val="24"/>
        </w:rPr>
        <w:t xml:space="preserve"> </w:t>
      </w:r>
      <w:r w:rsidR="00BA29E8" w:rsidRPr="003F3A43">
        <w:rPr>
          <w:rFonts w:ascii="Times New Roman" w:hAnsi="Times New Roman" w:cs="Times New Roman"/>
          <w:i/>
          <w:sz w:val="24"/>
          <w:szCs w:val="24"/>
        </w:rPr>
        <w:t xml:space="preserve">and participant </w:t>
      </w:r>
      <w:r w:rsidRPr="003F3A43">
        <w:rPr>
          <w:rFonts w:ascii="Times New Roman" w:hAnsi="Times New Roman" w:cs="Times New Roman"/>
          <w:i/>
          <w:sz w:val="24"/>
          <w:szCs w:val="24"/>
        </w:rPr>
        <w:t>recruitment</w:t>
      </w:r>
    </w:p>
    <w:p w14:paraId="091B1B89" w14:textId="0D1E5279" w:rsidR="00032D35" w:rsidRDefault="00910749" w:rsidP="00146777">
      <w:pPr>
        <w:spacing w:line="480" w:lineRule="auto"/>
        <w:rPr>
          <w:rFonts w:ascii="Times New Roman" w:hAnsi="Times New Roman" w:cs="Times New Roman"/>
          <w:sz w:val="24"/>
          <w:szCs w:val="24"/>
        </w:rPr>
      </w:pPr>
      <w:r>
        <w:rPr>
          <w:rFonts w:ascii="Times New Roman" w:hAnsi="Times New Roman" w:cs="Times New Roman"/>
          <w:sz w:val="24"/>
          <w:szCs w:val="24"/>
        </w:rPr>
        <w:t xml:space="preserve">We invited all 302 </w:t>
      </w:r>
      <w:r w:rsidR="00B90E31">
        <w:rPr>
          <w:rFonts w:ascii="Times New Roman" w:hAnsi="Times New Roman" w:cs="Times New Roman"/>
          <w:sz w:val="24"/>
          <w:szCs w:val="24"/>
        </w:rPr>
        <w:t>general</w:t>
      </w:r>
      <w:r w:rsidR="004B3349" w:rsidRPr="003F3A43">
        <w:rPr>
          <w:rFonts w:ascii="Times New Roman" w:hAnsi="Times New Roman" w:cs="Times New Roman"/>
          <w:sz w:val="24"/>
          <w:szCs w:val="24"/>
        </w:rPr>
        <w:t xml:space="preserve"> </w:t>
      </w:r>
      <w:r w:rsidR="001B35AE" w:rsidRPr="003F3A43">
        <w:rPr>
          <w:rFonts w:ascii="Times New Roman" w:hAnsi="Times New Roman" w:cs="Times New Roman"/>
          <w:sz w:val="24"/>
          <w:szCs w:val="24"/>
        </w:rPr>
        <w:t xml:space="preserve">practices </w:t>
      </w:r>
      <w:r w:rsidR="007900CC">
        <w:rPr>
          <w:rFonts w:ascii="Times New Roman" w:hAnsi="Times New Roman" w:cs="Times New Roman"/>
          <w:sz w:val="24"/>
          <w:szCs w:val="24"/>
        </w:rPr>
        <w:t xml:space="preserve">with a </w:t>
      </w:r>
      <w:r w:rsidR="00B90E31">
        <w:rPr>
          <w:rFonts w:ascii="Times New Roman" w:hAnsi="Times New Roman" w:cs="Times New Roman"/>
          <w:sz w:val="24"/>
          <w:szCs w:val="24"/>
        </w:rPr>
        <w:t xml:space="preserve">patient </w:t>
      </w:r>
      <w:r w:rsidR="007900CC">
        <w:rPr>
          <w:rFonts w:ascii="Times New Roman" w:hAnsi="Times New Roman" w:cs="Times New Roman"/>
          <w:sz w:val="24"/>
          <w:szCs w:val="24"/>
        </w:rPr>
        <w:t xml:space="preserve">list size of </w:t>
      </w:r>
      <w:r>
        <w:rPr>
          <w:rFonts w:ascii="Times New Roman" w:hAnsi="Times New Roman" w:cs="Times New Roman"/>
          <w:sz w:val="24"/>
          <w:szCs w:val="24"/>
        </w:rPr>
        <w:t xml:space="preserve">5000 </w:t>
      </w:r>
      <w:r w:rsidR="004D3972">
        <w:rPr>
          <w:rFonts w:ascii="Times New Roman" w:hAnsi="Times New Roman" w:cs="Times New Roman"/>
          <w:sz w:val="24"/>
          <w:szCs w:val="24"/>
        </w:rPr>
        <w:t xml:space="preserve">or more </w:t>
      </w:r>
      <w:r w:rsidR="001B35AE" w:rsidRPr="003F3A43">
        <w:rPr>
          <w:rFonts w:ascii="Times New Roman" w:hAnsi="Times New Roman" w:cs="Times New Roman"/>
          <w:sz w:val="24"/>
          <w:szCs w:val="24"/>
        </w:rPr>
        <w:t xml:space="preserve">in the </w:t>
      </w:r>
      <w:r w:rsidR="00D90DB9" w:rsidRPr="003F3A43">
        <w:rPr>
          <w:rFonts w:ascii="Times New Roman" w:hAnsi="Times New Roman" w:cs="Times New Roman"/>
          <w:sz w:val="24"/>
          <w:szCs w:val="24"/>
        </w:rPr>
        <w:t xml:space="preserve">12 </w:t>
      </w:r>
      <w:r w:rsidR="001B35AE" w:rsidRPr="003F3A43">
        <w:rPr>
          <w:rFonts w:ascii="Times New Roman" w:hAnsi="Times New Roman" w:cs="Times New Roman"/>
          <w:sz w:val="24"/>
          <w:szCs w:val="24"/>
        </w:rPr>
        <w:t>south London CCGs</w:t>
      </w:r>
      <w:r w:rsidR="00394F77">
        <w:rPr>
          <w:rFonts w:ascii="Times New Roman" w:hAnsi="Times New Roman" w:cs="Times New Roman"/>
          <w:sz w:val="24"/>
          <w:szCs w:val="24"/>
        </w:rPr>
        <w:t xml:space="preserve">, and </w:t>
      </w:r>
      <w:r w:rsidR="003C4127">
        <w:rPr>
          <w:rFonts w:ascii="Times New Roman" w:hAnsi="Times New Roman" w:cs="Times New Roman"/>
          <w:sz w:val="24"/>
          <w:szCs w:val="24"/>
        </w:rPr>
        <w:t>9</w:t>
      </w:r>
      <w:r w:rsidR="00394F77">
        <w:rPr>
          <w:rFonts w:ascii="Times New Roman" w:hAnsi="Times New Roman" w:cs="Times New Roman"/>
          <w:sz w:val="24"/>
          <w:szCs w:val="24"/>
        </w:rPr>
        <w:t xml:space="preserve"> </w:t>
      </w:r>
      <w:r w:rsidR="00B90E31">
        <w:rPr>
          <w:rFonts w:ascii="Times New Roman" w:hAnsi="Times New Roman" w:cs="Times New Roman"/>
          <w:sz w:val="24"/>
          <w:szCs w:val="24"/>
        </w:rPr>
        <w:t>general</w:t>
      </w:r>
      <w:r w:rsidR="00394F77">
        <w:rPr>
          <w:rFonts w:ascii="Times New Roman" w:hAnsi="Times New Roman" w:cs="Times New Roman"/>
          <w:sz w:val="24"/>
          <w:szCs w:val="24"/>
        </w:rPr>
        <w:t xml:space="preserve"> practices with a </w:t>
      </w:r>
      <w:r w:rsidR="008C5F16">
        <w:rPr>
          <w:rFonts w:ascii="Times New Roman" w:hAnsi="Times New Roman" w:cs="Times New Roman"/>
          <w:sz w:val="24"/>
          <w:szCs w:val="24"/>
        </w:rPr>
        <w:t>&lt;5000</w:t>
      </w:r>
      <w:r w:rsidR="00394F77">
        <w:rPr>
          <w:rFonts w:ascii="Times New Roman" w:hAnsi="Times New Roman" w:cs="Times New Roman"/>
          <w:sz w:val="24"/>
          <w:szCs w:val="24"/>
        </w:rPr>
        <w:t xml:space="preserve"> </w:t>
      </w:r>
      <w:r w:rsidR="00B90E31">
        <w:rPr>
          <w:rFonts w:ascii="Times New Roman" w:hAnsi="Times New Roman" w:cs="Times New Roman"/>
          <w:sz w:val="24"/>
          <w:szCs w:val="24"/>
        </w:rPr>
        <w:t xml:space="preserve">patient </w:t>
      </w:r>
      <w:r w:rsidR="00394F77">
        <w:rPr>
          <w:rFonts w:ascii="Times New Roman" w:hAnsi="Times New Roman" w:cs="Times New Roman"/>
          <w:sz w:val="24"/>
          <w:szCs w:val="24"/>
        </w:rPr>
        <w:t>list size</w:t>
      </w:r>
      <w:r w:rsidR="003C4127">
        <w:rPr>
          <w:rFonts w:ascii="Times New Roman" w:hAnsi="Times New Roman" w:cs="Times New Roman"/>
          <w:sz w:val="24"/>
          <w:szCs w:val="24"/>
        </w:rPr>
        <w:t xml:space="preserve"> recruited to increase participation</w:t>
      </w:r>
      <w:r w:rsidR="007900CC">
        <w:rPr>
          <w:rFonts w:ascii="Times New Roman" w:hAnsi="Times New Roman" w:cs="Times New Roman"/>
          <w:sz w:val="24"/>
          <w:szCs w:val="24"/>
        </w:rPr>
        <w:t>;</w:t>
      </w:r>
      <w:r w:rsidR="001B35AE" w:rsidRPr="003F3A43">
        <w:rPr>
          <w:rFonts w:ascii="Times New Roman" w:hAnsi="Times New Roman" w:cs="Times New Roman"/>
          <w:sz w:val="24"/>
          <w:szCs w:val="24"/>
        </w:rPr>
        <w:t xml:space="preserve"> 13</w:t>
      </w:r>
      <w:r w:rsidR="00AD5541" w:rsidRPr="003F3A43">
        <w:rPr>
          <w:rFonts w:ascii="Times New Roman" w:hAnsi="Times New Roman" w:cs="Times New Roman"/>
          <w:sz w:val="24"/>
          <w:szCs w:val="24"/>
        </w:rPr>
        <w:t>4</w:t>
      </w:r>
      <w:r w:rsidR="001B35AE" w:rsidRPr="003F3A43">
        <w:rPr>
          <w:rFonts w:ascii="Times New Roman" w:hAnsi="Times New Roman" w:cs="Times New Roman"/>
          <w:sz w:val="24"/>
          <w:szCs w:val="24"/>
        </w:rPr>
        <w:t xml:space="preserve"> </w:t>
      </w:r>
      <w:r w:rsidR="00B90E31">
        <w:rPr>
          <w:rFonts w:ascii="Times New Roman" w:hAnsi="Times New Roman" w:cs="Times New Roman"/>
          <w:sz w:val="24"/>
          <w:szCs w:val="24"/>
        </w:rPr>
        <w:t xml:space="preserve">general </w:t>
      </w:r>
      <w:r w:rsidR="00394F77">
        <w:rPr>
          <w:rFonts w:ascii="Times New Roman" w:hAnsi="Times New Roman" w:cs="Times New Roman"/>
          <w:sz w:val="24"/>
          <w:szCs w:val="24"/>
        </w:rPr>
        <w:t>practices</w:t>
      </w:r>
      <w:r w:rsidR="001B35AE" w:rsidRPr="003F3A43">
        <w:rPr>
          <w:rFonts w:ascii="Times New Roman" w:hAnsi="Times New Roman" w:cs="Times New Roman"/>
          <w:sz w:val="24"/>
          <w:szCs w:val="24"/>
        </w:rPr>
        <w:t xml:space="preserve"> </w:t>
      </w:r>
      <w:r w:rsidR="007900CC">
        <w:rPr>
          <w:rFonts w:ascii="Times New Roman" w:hAnsi="Times New Roman" w:cs="Times New Roman"/>
          <w:sz w:val="24"/>
          <w:szCs w:val="24"/>
        </w:rPr>
        <w:t xml:space="preserve">agreed to participate and </w:t>
      </w:r>
      <w:r w:rsidR="00374B92">
        <w:rPr>
          <w:rFonts w:ascii="Times New Roman" w:hAnsi="Times New Roman" w:cs="Times New Roman"/>
          <w:sz w:val="24"/>
          <w:szCs w:val="24"/>
        </w:rPr>
        <w:t>were recruited between June 2013 and</w:t>
      </w:r>
      <w:r w:rsidR="00061DB6" w:rsidRPr="003F3A43">
        <w:rPr>
          <w:rFonts w:ascii="Times New Roman" w:hAnsi="Times New Roman" w:cs="Times New Roman"/>
          <w:sz w:val="24"/>
          <w:szCs w:val="24"/>
        </w:rPr>
        <w:t xml:space="preserve"> December 2014. </w:t>
      </w:r>
      <w:r w:rsidRPr="00910749">
        <w:rPr>
          <w:rFonts w:ascii="Times New Roman" w:hAnsi="Times New Roman" w:cs="Times New Roman"/>
          <w:sz w:val="24"/>
          <w:szCs w:val="24"/>
        </w:rPr>
        <w:t xml:space="preserve">The medical records data of 1,154,050 patients were screened for eligibility and 17,618 patients were </w:t>
      </w:r>
      <w:r>
        <w:rPr>
          <w:rFonts w:ascii="Times New Roman" w:hAnsi="Times New Roman" w:cs="Times New Roman"/>
          <w:sz w:val="24"/>
          <w:szCs w:val="24"/>
        </w:rPr>
        <w:t>potentially eligible and invited to screening for eligibility</w:t>
      </w:r>
      <w:r w:rsidR="003C4127">
        <w:rPr>
          <w:rFonts w:ascii="Times New Roman" w:hAnsi="Times New Roman" w:cs="Times New Roman"/>
          <w:sz w:val="24"/>
          <w:szCs w:val="24"/>
        </w:rPr>
        <w:t xml:space="preserve">, representing the </w:t>
      </w:r>
      <w:r w:rsidR="00B90E31">
        <w:rPr>
          <w:rFonts w:ascii="Times New Roman" w:hAnsi="Times New Roman" w:cs="Times New Roman"/>
          <w:sz w:val="24"/>
          <w:szCs w:val="24"/>
        </w:rPr>
        <w:t xml:space="preserve">target </w:t>
      </w:r>
      <w:r w:rsidR="003C4127">
        <w:rPr>
          <w:rFonts w:ascii="Times New Roman" w:hAnsi="Times New Roman" w:cs="Times New Roman"/>
          <w:sz w:val="24"/>
          <w:szCs w:val="24"/>
        </w:rPr>
        <w:t>study population</w:t>
      </w:r>
      <w:r w:rsidR="00B90E31">
        <w:rPr>
          <w:rFonts w:ascii="Times New Roman" w:hAnsi="Times New Roman" w:cs="Times New Roman"/>
          <w:sz w:val="24"/>
          <w:szCs w:val="24"/>
        </w:rPr>
        <w:t xml:space="preserve"> of whom</w:t>
      </w:r>
      <w:r w:rsidRPr="00910749">
        <w:rPr>
          <w:rFonts w:ascii="Times New Roman" w:hAnsi="Times New Roman" w:cs="Times New Roman"/>
          <w:sz w:val="24"/>
          <w:szCs w:val="24"/>
        </w:rPr>
        <w:t xml:space="preserve"> 3515 patients</w:t>
      </w:r>
      <w:r w:rsidR="009B783D">
        <w:rPr>
          <w:rFonts w:ascii="Times New Roman" w:hAnsi="Times New Roman" w:cs="Times New Roman"/>
          <w:sz w:val="24"/>
          <w:szCs w:val="24"/>
        </w:rPr>
        <w:t xml:space="preserve"> responded</w:t>
      </w:r>
      <w:r w:rsidR="00B90E31">
        <w:rPr>
          <w:rFonts w:ascii="Times New Roman" w:hAnsi="Times New Roman" w:cs="Times New Roman"/>
          <w:sz w:val="24"/>
          <w:szCs w:val="24"/>
        </w:rPr>
        <w:t xml:space="preserve"> (</w:t>
      </w:r>
      <w:r w:rsidRPr="00910749">
        <w:rPr>
          <w:rFonts w:ascii="Times New Roman" w:hAnsi="Times New Roman" w:cs="Times New Roman"/>
          <w:sz w:val="24"/>
          <w:szCs w:val="24"/>
        </w:rPr>
        <w:t>response rate 20</w:t>
      </w:r>
      <w:r w:rsidR="003C47C6">
        <w:rPr>
          <w:rFonts w:ascii="Times New Roman" w:hAnsi="Times New Roman" w:cs="Times New Roman"/>
          <w:sz w:val="24"/>
          <w:szCs w:val="24"/>
        </w:rPr>
        <w:t>.0</w:t>
      </w:r>
      <w:r w:rsidRPr="00910749">
        <w:rPr>
          <w:rFonts w:ascii="Times New Roman" w:hAnsi="Times New Roman" w:cs="Times New Roman"/>
          <w:sz w:val="24"/>
          <w:szCs w:val="24"/>
        </w:rPr>
        <w:t>%</w:t>
      </w:r>
      <w:r w:rsidR="00B90E31">
        <w:rPr>
          <w:rFonts w:ascii="Times New Roman" w:hAnsi="Times New Roman" w:cs="Times New Roman"/>
          <w:sz w:val="24"/>
          <w:szCs w:val="24"/>
        </w:rPr>
        <w:t>)</w:t>
      </w:r>
      <w:r w:rsidRPr="00910749">
        <w:rPr>
          <w:rFonts w:ascii="Times New Roman" w:hAnsi="Times New Roman" w:cs="Times New Roman"/>
          <w:sz w:val="24"/>
          <w:szCs w:val="24"/>
        </w:rPr>
        <w:t xml:space="preserve">. </w:t>
      </w:r>
      <w:r w:rsidR="001B05C9">
        <w:rPr>
          <w:rFonts w:ascii="Times New Roman" w:hAnsi="Times New Roman" w:cs="Times New Roman"/>
          <w:sz w:val="24"/>
          <w:szCs w:val="24"/>
        </w:rPr>
        <w:t xml:space="preserve">See Figure 1 for the patient response and </w:t>
      </w:r>
      <w:proofErr w:type="spellStart"/>
      <w:r w:rsidR="001B05C9">
        <w:rPr>
          <w:rFonts w:ascii="Times New Roman" w:hAnsi="Times New Roman" w:cs="Times New Roman"/>
          <w:sz w:val="24"/>
          <w:szCs w:val="24"/>
        </w:rPr>
        <w:t>anonymised</w:t>
      </w:r>
      <w:proofErr w:type="spellEnd"/>
      <w:r w:rsidR="001B05C9">
        <w:rPr>
          <w:rFonts w:ascii="Times New Roman" w:hAnsi="Times New Roman" w:cs="Times New Roman"/>
          <w:sz w:val="24"/>
          <w:szCs w:val="24"/>
        </w:rPr>
        <w:t xml:space="preserve"> data collection flow chart.</w:t>
      </w:r>
    </w:p>
    <w:p w14:paraId="5F4EAA85" w14:textId="7B7B99A1" w:rsidR="00AD4435" w:rsidRPr="00910749" w:rsidRDefault="00AD4435" w:rsidP="00146777">
      <w:pPr>
        <w:spacing w:line="480" w:lineRule="auto"/>
        <w:rPr>
          <w:rFonts w:ascii="Times New Roman" w:hAnsi="Times New Roman" w:cs="Times New Roman"/>
          <w:sz w:val="24"/>
          <w:szCs w:val="24"/>
        </w:rPr>
      </w:pPr>
      <w:r w:rsidRPr="0000569D">
        <w:rPr>
          <w:rFonts w:ascii="Times New Roman" w:hAnsi="Times New Roman" w:cs="Times New Roman"/>
          <w:b/>
          <w:sz w:val="24"/>
          <w:szCs w:val="24"/>
        </w:rPr>
        <w:t xml:space="preserve">Figure 1. </w:t>
      </w:r>
      <w:r w:rsidRPr="0000569D">
        <w:rPr>
          <w:rFonts w:ascii="Times New Roman" w:hAnsi="Times New Roman" w:cs="Times New Roman"/>
          <w:sz w:val="24"/>
          <w:szCs w:val="24"/>
        </w:rPr>
        <w:t xml:space="preserve">Patient </w:t>
      </w:r>
      <w:r>
        <w:rPr>
          <w:rFonts w:ascii="Times New Roman" w:hAnsi="Times New Roman" w:cs="Times New Roman"/>
          <w:sz w:val="24"/>
          <w:szCs w:val="24"/>
        </w:rPr>
        <w:t xml:space="preserve">response and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data collection</w:t>
      </w:r>
      <w:r w:rsidRPr="0000569D">
        <w:rPr>
          <w:rFonts w:ascii="Times New Roman" w:hAnsi="Times New Roman" w:cs="Times New Roman"/>
          <w:sz w:val="24"/>
          <w:szCs w:val="24"/>
        </w:rPr>
        <w:t xml:space="preserve"> flow chart</w:t>
      </w:r>
    </w:p>
    <w:p w14:paraId="4ED8357A" w14:textId="016FF200" w:rsidR="00032D35" w:rsidRPr="00F40CB7" w:rsidRDefault="00B90E31" w:rsidP="00146777">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We</w:t>
      </w:r>
      <w:r w:rsidR="00032D35" w:rsidRPr="00910749">
        <w:rPr>
          <w:rFonts w:ascii="Times New Roman" w:hAnsi="Times New Roman" w:cs="Times New Roman"/>
          <w:sz w:val="24"/>
          <w:szCs w:val="24"/>
        </w:rPr>
        <w:t xml:space="preserve"> returned to </w:t>
      </w:r>
      <w:r>
        <w:rPr>
          <w:rFonts w:ascii="Times New Roman" w:hAnsi="Times New Roman" w:cs="Times New Roman"/>
          <w:sz w:val="24"/>
          <w:szCs w:val="24"/>
        </w:rPr>
        <w:t xml:space="preserve">general </w:t>
      </w:r>
      <w:r w:rsidR="00032D35" w:rsidRPr="00910749">
        <w:rPr>
          <w:rFonts w:ascii="Times New Roman" w:hAnsi="Times New Roman" w:cs="Times New Roman"/>
          <w:sz w:val="24"/>
          <w:szCs w:val="24"/>
        </w:rPr>
        <w:t>practices to extract anonymous data</w:t>
      </w:r>
      <w:r>
        <w:rPr>
          <w:rFonts w:ascii="Times New Roman" w:hAnsi="Times New Roman" w:cs="Times New Roman"/>
          <w:sz w:val="24"/>
          <w:szCs w:val="24"/>
        </w:rPr>
        <w:t xml:space="preserve"> </w:t>
      </w:r>
      <w:r w:rsidR="002954F3">
        <w:rPr>
          <w:rFonts w:ascii="Times New Roman" w:hAnsi="Times New Roman" w:cs="Times New Roman"/>
          <w:sz w:val="24"/>
          <w:szCs w:val="24"/>
        </w:rPr>
        <w:t>following the requirements of</w:t>
      </w:r>
      <w:r>
        <w:rPr>
          <w:rFonts w:ascii="Times New Roman" w:hAnsi="Times New Roman" w:cs="Times New Roman"/>
          <w:sz w:val="24"/>
          <w:szCs w:val="24"/>
        </w:rPr>
        <w:t xml:space="preserve"> ethical approval. </w:t>
      </w:r>
      <w:r w:rsidR="009B783D">
        <w:rPr>
          <w:rFonts w:ascii="Times New Roman" w:hAnsi="Times New Roman" w:cs="Times New Roman"/>
          <w:sz w:val="24"/>
          <w:szCs w:val="24"/>
        </w:rPr>
        <w:t>T</w:t>
      </w:r>
      <w:r>
        <w:rPr>
          <w:rFonts w:ascii="Times New Roman" w:hAnsi="Times New Roman" w:cs="Times New Roman"/>
          <w:sz w:val="24"/>
          <w:szCs w:val="24"/>
        </w:rPr>
        <w:t>he original list of potentially eligible patients who had been invited to participate</w:t>
      </w:r>
      <w:r w:rsidR="009B783D">
        <w:rPr>
          <w:rFonts w:ascii="Times New Roman" w:hAnsi="Times New Roman" w:cs="Times New Roman"/>
          <w:sz w:val="24"/>
          <w:szCs w:val="24"/>
        </w:rPr>
        <w:t xml:space="preserve"> had been deleted from primary care databases at many general practices</w:t>
      </w:r>
      <w:r>
        <w:rPr>
          <w:rFonts w:ascii="Times New Roman" w:hAnsi="Times New Roman" w:cs="Times New Roman"/>
          <w:sz w:val="24"/>
          <w:szCs w:val="24"/>
        </w:rPr>
        <w:t>;</w:t>
      </w:r>
      <w:r w:rsidR="00535A5B">
        <w:rPr>
          <w:rFonts w:ascii="Times New Roman" w:hAnsi="Times New Roman" w:cs="Times New Roman"/>
          <w:sz w:val="24"/>
          <w:szCs w:val="24"/>
        </w:rPr>
        <w:t xml:space="preserve"> </w:t>
      </w:r>
      <w:r w:rsidR="0091222C">
        <w:rPr>
          <w:rFonts w:ascii="Times New Roman" w:hAnsi="Times New Roman" w:cs="Times New Roman"/>
          <w:sz w:val="24"/>
          <w:szCs w:val="24"/>
        </w:rPr>
        <w:t xml:space="preserve">60 practices </w:t>
      </w:r>
      <w:r w:rsidR="00535A5B">
        <w:rPr>
          <w:rFonts w:ascii="Times New Roman" w:hAnsi="Times New Roman" w:cs="Times New Roman"/>
          <w:sz w:val="24"/>
          <w:szCs w:val="24"/>
        </w:rPr>
        <w:t xml:space="preserve">were still able to provide the original </w:t>
      </w:r>
      <w:proofErr w:type="spellStart"/>
      <w:r w:rsidR="0091222C">
        <w:rPr>
          <w:rFonts w:ascii="Times New Roman" w:hAnsi="Times New Roman" w:cs="Times New Roman"/>
          <w:sz w:val="24"/>
          <w:szCs w:val="24"/>
        </w:rPr>
        <w:t>anonymi</w:t>
      </w:r>
      <w:r w:rsidR="007C594B">
        <w:rPr>
          <w:rFonts w:ascii="Times New Roman" w:hAnsi="Times New Roman" w:cs="Times New Roman"/>
          <w:sz w:val="24"/>
          <w:szCs w:val="24"/>
        </w:rPr>
        <w:t>s</w:t>
      </w:r>
      <w:r w:rsidR="00535A5B">
        <w:rPr>
          <w:rFonts w:ascii="Times New Roman" w:hAnsi="Times New Roman" w:cs="Times New Roman"/>
          <w:sz w:val="24"/>
          <w:szCs w:val="24"/>
        </w:rPr>
        <w:t>ed</w:t>
      </w:r>
      <w:proofErr w:type="spellEnd"/>
      <w:r w:rsidR="00535A5B">
        <w:rPr>
          <w:rFonts w:ascii="Times New Roman" w:hAnsi="Times New Roman" w:cs="Times New Roman"/>
          <w:sz w:val="24"/>
          <w:szCs w:val="24"/>
        </w:rPr>
        <w:t xml:space="preserve"> data</w:t>
      </w:r>
      <w:r>
        <w:rPr>
          <w:rFonts w:ascii="Times New Roman" w:hAnsi="Times New Roman" w:cs="Times New Roman"/>
          <w:sz w:val="24"/>
          <w:szCs w:val="24"/>
        </w:rPr>
        <w:t xml:space="preserve"> totaling 8902 patients (50.5% of the target population)</w:t>
      </w:r>
      <w:r w:rsidR="00535A5B">
        <w:rPr>
          <w:rFonts w:ascii="Times New Roman" w:hAnsi="Times New Roman" w:cs="Times New Roman"/>
          <w:sz w:val="24"/>
          <w:szCs w:val="24"/>
        </w:rPr>
        <w:t>.</w:t>
      </w:r>
      <w:r w:rsidR="00F70D32">
        <w:rPr>
          <w:rFonts w:ascii="Times New Roman" w:hAnsi="Times New Roman" w:cs="Times New Roman"/>
          <w:sz w:val="24"/>
          <w:szCs w:val="24"/>
        </w:rPr>
        <w:t xml:space="preserve"> No exclusions of data were made based on informed dissent for data sharing with a third party as</w:t>
      </w:r>
      <w:r w:rsidR="0067302D">
        <w:rPr>
          <w:rFonts w:ascii="Times New Roman" w:hAnsi="Times New Roman" w:cs="Times New Roman"/>
          <w:sz w:val="24"/>
          <w:szCs w:val="24"/>
        </w:rPr>
        <w:t xml:space="preserve"> no informed dissent </w:t>
      </w:r>
      <w:r w:rsidR="00F70D32">
        <w:rPr>
          <w:rFonts w:ascii="Times New Roman" w:hAnsi="Times New Roman" w:cs="Times New Roman"/>
          <w:sz w:val="24"/>
          <w:szCs w:val="24"/>
        </w:rPr>
        <w:t>codes were identified during the search and data extraction.</w:t>
      </w:r>
      <w:r w:rsidR="0091222C">
        <w:rPr>
          <w:rFonts w:ascii="Times New Roman" w:hAnsi="Times New Roman" w:cs="Times New Roman"/>
          <w:sz w:val="24"/>
          <w:szCs w:val="24"/>
        </w:rPr>
        <w:t xml:space="preserve"> </w:t>
      </w:r>
      <w:r w:rsidR="00535A5B">
        <w:rPr>
          <w:rFonts w:ascii="Times New Roman" w:hAnsi="Times New Roman" w:cs="Times New Roman"/>
          <w:sz w:val="24"/>
          <w:szCs w:val="24"/>
        </w:rPr>
        <w:t>Socio-</w:t>
      </w:r>
      <w:r w:rsidR="0091222C">
        <w:rPr>
          <w:rFonts w:ascii="Times New Roman" w:hAnsi="Times New Roman" w:cs="Times New Roman"/>
          <w:sz w:val="24"/>
          <w:szCs w:val="24"/>
        </w:rPr>
        <w:t xml:space="preserve">demographic </w:t>
      </w:r>
      <w:r w:rsidR="00535A5B">
        <w:rPr>
          <w:rFonts w:ascii="Times New Roman" w:hAnsi="Times New Roman" w:cs="Times New Roman"/>
          <w:sz w:val="24"/>
          <w:szCs w:val="24"/>
        </w:rPr>
        <w:t xml:space="preserve">data </w:t>
      </w:r>
      <w:r w:rsidR="0091222C">
        <w:rPr>
          <w:rFonts w:ascii="Times New Roman" w:hAnsi="Times New Roman" w:cs="Times New Roman"/>
          <w:sz w:val="24"/>
          <w:szCs w:val="24"/>
        </w:rPr>
        <w:t>and QRisk2 scores were extracted</w:t>
      </w:r>
      <w:r>
        <w:rPr>
          <w:rFonts w:ascii="Times New Roman" w:hAnsi="Times New Roman" w:cs="Times New Roman"/>
          <w:sz w:val="24"/>
          <w:szCs w:val="24"/>
        </w:rPr>
        <w:t>.</w:t>
      </w:r>
      <w:r w:rsidR="0091222C">
        <w:rPr>
          <w:rFonts w:ascii="Times New Roman" w:hAnsi="Times New Roman" w:cs="Times New Roman"/>
          <w:sz w:val="24"/>
          <w:szCs w:val="24"/>
        </w:rPr>
        <w:t xml:space="preserve"> </w:t>
      </w:r>
      <w:r w:rsidR="00032D35" w:rsidRPr="00910749">
        <w:rPr>
          <w:rFonts w:ascii="Times New Roman" w:hAnsi="Times New Roman" w:cs="Times New Roman"/>
          <w:sz w:val="24"/>
          <w:szCs w:val="24"/>
        </w:rPr>
        <w:t xml:space="preserve">Table 1 shows </w:t>
      </w:r>
      <w:r w:rsidR="00535A5B">
        <w:rPr>
          <w:rFonts w:ascii="Times New Roman" w:hAnsi="Times New Roman" w:cs="Times New Roman"/>
          <w:sz w:val="24"/>
          <w:szCs w:val="24"/>
        </w:rPr>
        <w:t>the</w:t>
      </w:r>
      <w:r w:rsidR="00032D35" w:rsidRPr="00910749">
        <w:rPr>
          <w:rFonts w:ascii="Times New Roman" w:hAnsi="Times New Roman" w:cs="Times New Roman"/>
          <w:sz w:val="24"/>
          <w:szCs w:val="24"/>
        </w:rPr>
        <w:t xml:space="preserve"> CCGs </w:t>
      </w:r>
      <w:r w:rsidR="00535A5B">
        <w:rPr>
          <w:rFonts w:ascii="Times New Roman" w:hAnsi="Times New Roman" w:cs="Times New Roman"/>
          <w:sz w:val="24"/>
          <w:szCs w:val="24"/>
        </w:rPr>
        <w:t xml:space="preserve">from which </w:t>
      </w:r>
      <w:proofErr w:type="spellStart"/>
      <w:r w:rsidR="00032D35" w:rsidRPr="00910749">
        <w:rPr>
          <w:rFonts w:ascii="Times New Roman" w:hAnsi="Times New Roman" w:cs="Times New Roman"/>
          <w:sz w:val="24"/>
          <w:szCs w:val="24"/>
        </w:rPr>
        <w:t>anonymised</w:t>
      </w:r>
      <w:proofErr w:type="spellEnd"/>
      <w:r w:rsidR="00032D35" w:rsidRPr="00910749">
        <w:rPr>
          <w:rFonts w:ascii="Times New Roman" w:hAnsi="Times New Roman" w:cs="Times New Roman"/>
          <w:sz w:val="24"/>
          <w:szCs w:val="24"/>
        </w:rPr>
        <w:t xml:space="preserve"> data w</w:t>
      </w:r>
      <w:r w:rsidR="007C594B">
        <w:rPr>
          <w:rFonts w:ascii="Times New Roman" w:hAnsi="Times New Roman" w:cs="Times New Roman"/>
          <w:sz w:val="24"/>
          <w:szCs w:val="24"/>
        </w:rPr>
        <w:t>ere</w:t>
      </w:r>
      <w:r w:rsidR="00032D35" w:rsidRPr="00910749">
        <w:rPr>
          <w:rFonts w:ascii="Times New Roman" w:hAnsi="Times New Roman" w:cs="Times New Roman"/>
          <w:sz w:val="24"/>
          <w:szCs w:val="24"/>
        </w:rPr>
        <w:t xml:space="preserve"> collected</w:t>
      </w:r>
      <w:r w:rsidR="002C0266">
        <w:rPr>
          <w:rFonts w:ascii="Times New Roman" w:hAnsi="Times New Roman" w:cs="Times New Roman"/>
          <w:sz w:val="24"/>
          <w:szCs w:val="24"/>
        </w:rPr>
        <w:t xml:space="preserve"> and the deprivation and ethnicity </w:t>
      </w:r>
      <w:r w:rsidR="008C5F16">
        <w:rPr>
          <w:rFonts w:ascii="Times New Roman" w:hAnsi="Times New Roman" w:cs="Times New Roman"/>
          <w:sz w:val="24"/>
          <w:szCs w:val="24"/>
        </w:rPr>
        <w:t xml:space="preserve">Census </w:t>
      </w:r>
      <w:r w:rsidR="002C0266">
        <w:rPr>
          <w:rFonts w:ascii="Times New Roman" w:hAnsi="Times New Roman" w:cs="Times New Roman"/>
          <w:sz w:val="24"/>
          <w:szCs w:val="24"/>
        </w:rPr>
        <w:t xml:space="preserve">data of each local </w:t>
      </w:r>
      <w:proofErr w:type="gramStart"/>
      <w:r w:rsidR="002C0266">
        <w:rPr>
          <w:rFonts w:ascii="Times New Roman" w:hAnsi="Times New Roman" w:cs="Times New Roman"/>
          <w:sz w:val="24"/>
          <w:szCs w:val="24"/>
        </w:rPr>
        <w:t>authority</w:t>
      </w:r>
      <w:r w:rsidR="00032D35" w:rsidRPr="00910749">
        <w:rPr>
          <w:rFonts w:ascii="Times New Roman" w:hAnsi="Times New Roman" w:cs="Times New Roman"/>
          <w:sz w:val="24"/>
          <w:szCs w:val="24"/>
        </w:rPr>
        <w:t>.</w:t>
      </w:r>
      <w:r w:rsidR="00D0286D">
        <w:rPr>
          <w:rFonts w:ascii="Times New Roman" w:hAnsi="Times New Roman" w:cs="Times New Roman"/>
          <w:sz w:val="24"/>
          <w:szCs w:val="24"/>
        </w:rPr>
        <w:t>[</w:t>
      </w:r>
      <w:proofErr w:type="gramEnd"/>
      <w:r w:rsidR="00D0286D">
        <w:rPr>
          <w:rFonts w:ascii="Times New Roman" w:hAnsi="Times New Roman" w:cs="Times New Roman"/>
          <w:sz w:val="24"/>
          <w:szCs w:val="24"/>
        </w:rPr>
        <w:t>20]</w:t>
      </w:r>
      <w:r w:rsidR="00032D35" w:rsidRPr="00910749">
        <w:rPr>
          <w:rFonts w:ascii="Times New Roman" w:hAnsi="Times New Roman" w:cs="Times New Roman"/>
          <w:sz w:val="24"/>
          <w:szCs w:val="24"/>
        </w:rPr>
        <w:t xml:space="preserve"> </w:t>
      </w:r>
      <w:r w:rsidR="00603253">
        <w:rPr>
          <w:rFonts w:ascii="Times New Roman" w:hAnsi="Times New Roman" w:cs="Times New Roman"/>
          <w:sz w:val="24"/>
          <w:szCs w:val="24"/>
        </w:rPr>
        <w:t>G</w:t>
      </w:r>
      <w:r>
        <w:rPr>
          <w:rFonts w:ascii="Times New Roman" w:hAnsi="Times New Roman" w:cs="Times New Roman"/>
          <w:sz w:val="24"/>
          <w:szCs w:val="24"/>
        </w:rPr>
        <w:t>eneral</w:t>
      </w:r>
      <w:r w:rsidR="00603253">
        <w:rPr>
          <w:rFonts w:ascii="Times New Roman" w:hAnsi="Times New Roman" w:cs="Times New Roman"/>
          <w:sz w:val="24"/>
          <w:szCs w:val="24"/>
        </w:rPr>
        <w:t xml:space="preserve"> p</w:t>
      </w:r>
      <w:r w:rsidR="00594C9D">
        <w:rPr>
          <w:rFonts w:ascii="Times New Roman" w:hAnsi="Times New Roman" w:cs="Times New Roman"/>
          <w:sz w:val="24"/>
          <w:szCs w:val="24"/>
        </w:rPr>
        <w:t>ractice deprivation varies markedly</w:t>
      </w:r>
      <w:r w:rsidR="00603253">
        <w:rPr>
          <w:rFonts w:ascii="Times New Roman" w:hAnsi="Times New Roman" w:cs="Times New Roman"/>
          <w:sz w:val="24"/>
          <w:szCs w:val="24"/>
        </w:rPr>
        <w:t xml:space="preserve"> within </w:t>
      </w:r>
      <w:r>
        <w:rPr>
          <w:rFonts w:ascii="Times New Roman" w:hAnsi="Times New Roman" w:cs="Times New Roman"/>
          <w:sz w:val="24"/>
          <w:szCs w:val="24"/>
        </w:rPr>
        <w:t xml:space="preserve">and between </w:t>
      </w:r>
      <w:r w:rsidR="00594C9D">
        <w:rPr>
          <w:rFonts w:ascii="Times New Roman" w:hAnsi="Times New Roman" w:cs="Times New Roman"/>
          <w:sz w:val="24"/>
          <w:szCs w:val="24"/>
        </w:rPr>
        <w:t>the</w:t>
      </w:r>
      <w:r>
        <w:rPr>
          <w:rFonts w:ascii="Times New Roman" w:hAnsi="Times New Roman" w:cs="Times New Roman"/>
          <w:sz w:val="24"/>
          <w:szCs w:val="24"/>
        </w:rPr>
        <w:t xml:space="preserve"> </w:t>
      </w:r>
      <w:r w:rsidR="00594C9D">
        <w:rPr>
          <w:rFonts w:ascii="Times New Roman" w:hAnsi="Times New Roman" w:cs="Times New Roman"/>
          <w:sz w:val="24"/>
          <w:szCs w:val="24"/>
        </w:rPr>
        <w:t>CCGs, but</w:t>
      </w:r>
      <w:r w:rsidR="002A425D">
        <w:rPr>
          <w:rFonts w:ascii="Times New Roman" w:hAnsi="Times New Roman" w:cs="Times New Roman"/>
          <w:sz w:val="24"/>
          <w:szCs w:val="24"/>
        </w:rPr>
        <w:t xml:space="preserve"> </w:t>
      </w:r>
      <w:r w:rsidR="009A4E4D">
        <w:rPr>
          <w:rFonts w:ascii="Times New Roman" w:hAnsi="Times New Roman" w:cs="Times New Roman"/>
          <w:sz w:val="24"/>
          <w:szCs w:val="24"/>
        </w:rPr>
        <w:t xml:space="preserve">population-weighted general practice </w:t>
      </w:r>
      <w:r w:rsidR="002A425D">
        <w:rPr>
          <w:rFonts w:ascii="Times New Roman" w:hAnsi="Times New Roman" w:cs="Times New Roman"/>
          <w:sz w:val="24"/>
          <w:szCs w:val="24"/>
        </w:rPr>
        <w:t xml:space="preserve">deprivation </w:t>
      </w:r>
      <w:r w:rsidR="001472B4">
        <w:rPr>
          <w:rFonts w:ascii="Times New Roman" w:hAnsi="Times New Roman" w:cs="Times New Roman"/>
          <w:sz w:val="24"/>
          <w:szCs w:val="24"/>
        </w:rPr>
        <w:t>score</w:t>
      </w:r>
      <w:r w:rsidR="00594C9D">
        <w:rPr>
          <w:rFonts w:ascii="Times New Roman" w:hAnsi="Times New Roman" w:cs="Times New Roman"/>
          <w:sz w:val="24"/>
          <w:szCs w:val="24"/>
        </w:rPr>
        <w:t>s</w:t>
      </w:r>
      <w:r w:rsidR="001472B4">
        <w:rPr>
          <w:rFonts w:ascii="Times New Roman" w:hAnsi="Times New Roman" w:cs="Times New Roman"/>
          <w:sz w:val="24"/>
          <w:szCs w:val="24"/>
        </w:rPr>
        <w:t xml:space="preserve"> </w:t>
      </w:r>
      <w:r w:rsidR="007C594B">
        <w:rPr>
          <w:rFonts w:ascii="Times New Roman" w:hAnsi="Times New Roman" w:cs="Times New Roman"/>
          <w:sz w:val="24"/>
          <w:szCs w:val="24"/>
        </w:rPr>
        <w:t>(IMD 2010)</w:t>
      </w:r>
      <w:r w:rsidR="001472B4">
        <w:rPr>
          <w:rFonts w:ascii="Times New Roman" w:hAnsi="Times New Roman" w:cs="Times New Roman"/>
          <w:sz w:val="24"/>
          <w:szCs w:val="24"/>
        </w:rPr>
        <w:t xml:space="preserve"> </w:t>
      </w:r>
      <w:r w:rsidR="009A4E4D">
        <w:rPr>
          <w:rFonts w:ascii="Times New Roman" w:hAnsi="Times New Roman" w:cs="Times New Roman"/>
          <w:sz w:val="24"/>
          <w:szCs w:val="24"/>
        </w:rPr>
        <w:t xml:space="preserve">of those practices </w:t>
      </w:r>
      <w:r w:rsidR="002A425D">
        <w:rPr>
          <w:rFonts w:ascii="Times New Roman" w:hAnsi="Times New Roman" w:cs="Times New Roman"/>
          <w:sz w:val="24"/>
          <w:szCs w:val="24"/>
        </w:rPr>
        <w:t xml:space="preserve">from which </w:t>
      </w:r>
      <w:proofErr w:type="spellStart"/>
      <w:r w:rsidR="002A425D">
        <w:rPr>
          <w:rFonts w:ascii="Times New Roman" w:hAnsi="Times New Roman" w:cs="Times New Roman"/>
          <w:sz w:val="24"/>
          <w:szCs w:val="24"/>
        </w:rPr>
        <w:t>anonymised</w:t>
      </w:r>
      <w:proofErr w:type="spellEnd"/>
      <w:r w:rsidR="002A425D">
        <w:rPr>
          <w:rFonts w:ascii="Times New Roman" w:hAnsi="Times New Roman" w:cs="Times New Roman"/>
          <w:sz w:val="24"/>
          <w:szCs w:val="24"/>
        </w:rPr>
        <w:t xml:space="preserve"> data w</w:t>
      </w:r>
      <w:r w:rsidR="007C594B">
        <w:rPr>
          <w:rFonts w:ascii="Times New Roman" w:hAnsi="Times New Roman" w:cs="Times New Roman"/>
          <w:sz w:val="24"/>
          <w:szCs w:val="24"/>
        </w:rPr>
        <w:t>ere</w:t>
      </w:r>
      <w:r w:rsidR="002A425D">
        <w:rPr>
          <w:rFonts w:ascii="Times New Roman" w:hAnsi="Times New Roman" w:cs="Times New Roman"/>
          <w:sz w:val="24"/>
          <w:szCs w:val="24"/>
        </w:rPr>
        <w:t xml:space="preserve"> extracted </w:t>
      </w:r>
      <w:r w:rsidR="007C594B">
        <w:rPr>
          <w:rFonts w:ascii="Times New Roman" w:hAnsi="Times New Roman" w:cs="Times New Roman"/>
          <w:sz w:val="24"/>
          <w:szCs w:val="24"/>
        </w:rPr>
        <w:t>did</w:t>
      </w:r>
      <w:r w:rsidR="002A425D">
        <w:rPr>
          <w:rFonts w:ascii="Times New Roman" w:hAnsi="Times New Roman" w:cs="Times New Roman"/>
          <w:sz w:val="24"/>
          <w:szCs w:val="24"/>
        </w:rPr>
        <w:t xml:space="preserve"> not differ</w:t>
      </w:r>
      <w:r w:rsidR="007C594B">
        <w:rPr>
          <w:rFonts w:ascii="Times New Roman" w:hAnsi="Times New Roman" w:cs="Times New Roman"/>
          <w:sz w:val="24"/>
          <w:szCs w:val="24"/>
        </w:rPr>
        <w:t xml:space="preserve"> significantly from</w:t>
      </w:r>
      <w:r w:rsidR="002A425D">
        <w:rPr>
          <w:rFonts w:ascii="Times New Roman" w:hAnsi="Times New Roman" w:cs="Times New Roman"/>
          <w:sz w:val="24"/>
          <w:szCs w:val="24"/>
        </w:rPr>
        <w:t xml:space="preserve"> that of all</w:t>
      </w:r>
      <w:r w:rsidR="00603253">
        <w:rPr>
          <w:rFonts w:ascii="Times New Roman" w:hAnsi="Times New Roman" w:cs="Times New Roman"/>
          <w:sz w:val="24"/>
          <w:szCs w:val="24"/>
        </w:rPr>
        <w:t xml:space="preserve"> other </w:t>
      </w:r>
      <w:r w:rsidR="002A425D">
        <w:rPr>
          <w:rFonts w:ascii="Times New Roman" w:hAnsi="Times New Roman" w:cs="Times New Roman"/>
          <w:sz w:val="24"/>
          <w:szCs w:val="24"/>
        </w:rPr>
        <w:t>practices in south London (</w:t>
      </w:r>
      <w:r w:rsidR="001472B4">
        <w:rPr>
          <w:rFonts w:ascii="Times New Roman" w:hAnsi="Times New Roman" w:cs="Times New Roman"/>
          <w:sz w:val="24"/>
          <w:szCs w:val="24"/>
        </w:rPr>
        <w:t>t(440)=0.57, p=0.57</w:t>
      </w:r>
      <w:r w:rsidR="002A425D">
        <w:rPr>
          <w:rFonts w:ascii="Times New Roman" w:hAnsi="Times New Roman" w:cs="Times New Roman"/>
          <w:sz w:val="24"/>
          <w:szCs w:val="24"/>
        </w:rPr>
        <w:t>).</w:t>
      </w:r>
      <w:r w:rsidR="00D0286D">
        <w:rPr>
          <w:rFonts w:ascii="Times New Roman" w:hAnsi="Times New Roman" w:cs="Times New Roman"/>
          <w:sz w:val="24"/>
          <w:szCs w:val="24"/>
        </w:rPr>
        <w:t>[23]</w:t>
      </w:r>
    </w:p>
    <w:p w14:paraId="6731652D" w14:textId="70193E50" w:rsidR="000C45F7" w:rsidRPr="003F3A43" w:rsidRDefault="00BA29E8" w:rsidP="00146777">
      <w:pPr>
        <w:spacing w:line="480" w:lineRule="auto"/>
        <w:rPr>
          <w:rFonts w:ascii="Times New Roman" w:hAnsi="Times New Roman" w:cs="Times New Roman"/>
          <w:i/>
          <w:sz w:val="24"/>
          <w:szCs w:val="24"/>
        </w:rPr>
      </w:pPr>
      <w:r w:rsidRPr="003F3A43">
        <w:rPr>
          <w:rFonts w:ascii="Times New Roman" w:hAnsi="Times New Roman" w:cs="Times New Roman"/>
          <w:i/>
          <w:sz w:val="24"/>
          <w:szCs w:val="24"/>
        </w:rPr>
        <w:t>Participation biases</w:t>
      </w:r>
    </w:p>
    <w:p w14:paraId="2C7067D9" w14:textId="3741969E" w:rsidR="00D124EF" w:rsidRDefault="00B636DE" w:rsidP="0014677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QRisk2 </w:t>
      </w:r>
      <w:r w:rsidR="00B90E31">
        <w:rPr>
          <w:rFonts w:ascii="Times New Roman" w:hAnsi="Times New Roman" w:cs="Times New Roman"/>
          <w:sz w:val="24"/>
          <w:szCs w:val="24"/>
        </w:rPr>
        <w:t xml:space="preserve">and sociodemographic </w:t>
      </w:r>
      <w:r>
        <w:rPr>
          <w:rFonts w:ascii="Times New Roman" w:hAnsi="Times New Roman" w:cs="Times New Roman"/>
          <w:sz w:val="24"/>
          <w:szCs w:val="24"/>
        </w:rPr>
        <w:t xml:space="preserve">data </w:t>
      </w:r>
      <w:r w:rsidR="00FB2397">
        <w:rPr>
          <w:rFonts w:ascii="Times New Roman" w:hAnsi="Times New Roman" w:cs="Times New Roman"/>
          <w:sz w:val="24"/>
          <w:szCs w:val="24"/>
        </w:rPr>
        <w:t>of responders (n=1489) and non-responders (n=7413)</w:t>
      </w:r>
      <w:r w:rsidR="001F7484">
        <w:rPr>
          <w:rFonts w:ascii="Times New Roman" w:hAnsi="Times New Roman" w:cs="Times New Roman"/>
          <w:sz w:val="24"/>
          <w:szCs w:val="24"/>
        </w:rPr>
        <w:t>, and the results of the adjusted logistic regression,</w:t>
      </w:r>
      <w:r w:rsidR="00FB2397">
        <w:rPr>
          <w:rFonts w:ascii="Times New Roman" w:hAnsi="Times New Roman" w:cs="Times New Roman"/>
          <w:sz w:val="24"/>
          <w:szCs w:val="24"/>
        </w:rPr>
        <w:t xml:space="preserve"> </w:t>
      </w:r>
      <w:r w:rsidR="001F7484">
        <w:rPr>
          <w:rFonts w:ascii="Times New Roman" w:hAnsi="Times New Roman" w:cs="Times New Roman"/>
          <w:sz w:val="24"/>
          <w:szCs w:val="24"/>
        </w:rPr>
        <w:t>are</w:t>
      </w:r>
      <w:r>
        <w:rPr>
          <w:rFonts w:ascii="Times New Roman" w:hAnsi="Times New Roman" w:cs="Times New Roman"/>
          <w:sz w:val="24"/>
          <w:szCs w:val="24"/>
        </w:rPr>
        <w:t xml:space="preserve"> presented in Table 2. </w:t>
      </w:r>
      <w:r w:rsidR="00B90E31">
        <w:rPr>
          <w:rFonts w:ascii="Times New Roman" w:hAnsi="Times New Roman" w:cs="Times New Roman"/>
          <w:sz w:val="24"/>
          <w:szCs w:val="24"/>
        </w:rPr>
        <w:t xml:space="preserve">The mean QRisk2 score of all patients invited to participate was 25.2%, </w:t>
      </w:r>
      <w:r w:rsidR="00135C9B">
        <w:rPr>
          <w:rFonts w:ascii="Times New Roman" w:hAnsi="Times New Roman" w:cs="Times New Roman"/>
          <w:sz w:val="24"/>
          <w:szCs w:val="24"/>
        </w:rPr>
        <w:t xml:space="preserve">and </w:t>
      </w:r>
      <w:r w:rsidR="00B90E31">
        <w:rPr>
          <w:rFonts w:ascii="Times New Roman" w:hAnsi="Times New Roman" w:cs="Times New Roman"/>
          <w:sz w:val="24"/>
          <w:szCs w:val="24"/>
        </w:rPr>
        <w:t>69.9% were of white ethnic background</w:t>
      </w:r>
      <w:r w:rsidR="001F7484">
        <w:rPr>
          <w:rFonts w:ascii="Times New Roman" w:hAnsi="Times New Roman" w:cs="Times New Roman"/>
          <w:sz w:val="24"/>
          <w:szCs w:val="24"/>
        </w:rPr>
        <w:t xml:space="preserve"> (13.9% </w:t>
      </w:r>
      <w:r w:rsidR="009B783D">
        <w:rPr>
          <w:rFonts w:ascii="Times New Roman" w:hAnsi="Times New Roman" w:cs="Times New Roman"/>
          <w:sz w:val="24"/>
          <w:szCs w:val="24"/>
        </w:rPr>
        <w:t>were of non-white</w:t>
      </w:r>
      <w:r w:rsidR="001F7484">
        <w:rPr>
          <w:rFonts w:ascii="Times New Roman" w:hAnsi="Times New Roman" w:cs="Times New Roman"/>
          <w:sz w:val="24"/>
          <w:szCs w:val="24"/>
        </w:rPr>
        <w:t xml:space="preserve"> ethnic background and 16.2% had no ethnicity data recorded)</w:t>
      </w:r>
      <w:r w:rsidR="00135C9B">
        <w:rPr>
          <w:rFonts w:ascii="Times New Roman" w:hAnsi="Times New Roman" w:cs="Times New Roman"/>
          <w:sz w:val="24"/>
          <w:szCs w:val="24"/>
        </w:rPr>
        <w:t xml:space="preserve">. </w:t>
      </w:r>
      <w:r w:rsidR="009C5555">
        <w:rPr>
          <w:rFonts w:ascii="Times New Roman" w:hAnsi="Times New Roman" w:cs="Times New Roman"/>
          <w:sz w:val="24"/>
          <w:szCs w:val="24"/>
        </w:rPr>
        <w:t>The median</w:t>
      </w:r>
      <w:r w:rsidR="008966B5">
        <w:rPr>
          <w:rFonts w:ascii="Times New Roman" w:hAnsi="Times New Roman" w:cs="Times New Roman"/>
          <w:sz w:val="24"/>
          <w:szCs w:val="24"/>
        </w:rPr>
        <w:t xml:space="preserve"> (interquartile range)</w:t>
      </w:r>
      <w:r w:rsidR="009C5555">
        <w:rPr>
          <w:rFonts w:ascii="Times New Roman" w:hAnsi="Times New Roman" w:cs="Times New Roman"/>
          <w:sz w:val="24"/>
          <w:szCs w:val="24"/>
        </w:rPr>
        <w:t xml:space="preserve"> IMD 2010 rank </w:t>
      </w:r>
      <w:r w:rsidR="008966B5">
        <w:rPr>
          <w:rFonts w:ascii="Times New Roman" w:hAnsi="Times New Roman" w:cs="Times New Roman"/>
          <w:sz w:val="24"/>
          <w:szCs w:val="24"/>
        </w:rPr>
        <w:t xml:space="preserve">for all patients </w:t>
      </w:r>
      <w:r w:rsidR="009C5555">
        <w:rPr>
          <w:rFonts w:ascii="Times New Roman" w:hAnsi="Times New Roman" w:cs="Times New Roman"/>
          <w:sz w:val="24"/>
          <w:szCs w:val="24"/>
        </w:rPr>
        <w:t xml:space="preserve">was </w:t>
      </w:r>
      <w:r w:rsidR="008966B5">
        <w:rPr>
          <w:rFonts w:ascii="Times New Roman" w:hAnsi="Times New Roman" w:cs="Times New Roman"/>
          <w:sz w:val="24"/>
          <w:szCs w:val="24"/>
        </w:rPr>
        <w:t>13489 (7618-22804</w:t>
      </w:r>
      <w:r w:rsidR="00F4706C">
        <w:rPr>
          <w:rFonts w:ascii="Times New Roman" w:hAnsi="Times New Roman" w:cs="Times New Roman"/>
          <w:sz w:val="24"/>
          <w:szCs w:val="24"/>
        </w:rPr>
        <w:t>)</w:t>
      </w:r>
      <w:r w:rsidR="008966B5">
        <w:rPr>
          <w:rFonts w:ascii="Times New Roman" w:hAnsi="Times New Roman" w:cs="Times New Roman"/>
          <w:sz w:val="24"/>
          <w:szCs w:val="24"/>
        </w:rPr>
        <w:t>.</w:t>
      </w:r>
      <w:r w:rsidR="001F7484">
        <w:rPr>
          <w:rFonts w:ascii="Times New Roman" w:hAnsi="Times New Roman" w:cs="Times New Roman"/>
          <w:sz w:val="24"/>
          <w:szCs w:val="24"/>
        </w:rPr>
        <w:t xml:space="preserve"> The mean age of all patients at the time of invite was 67.3 (5.7) years, and 20.7% were female.</w:t>
      </w:r>
    </w:p>
    <w:p w14:paraId="064244B1" w14:textId="02807BCB" w:rsidR="00BF3643" w:rsidRPr="001F7484" w:rsidRDefault="001F7484" w:rsidP="00146777">
      <w:pPr>
        <w:spacing w:line="480" w:lineRule="auto"/>
        <w:rPr>
          <w:rFonts w:ascii="Times New Roman" w:hAnsi="Times New Roman" w:cs="Times New Roman"/>
          <w:color w:val="FF0000"/>
          <w:sz w:val="24"/>
          <w:szCs w:val="24"/>
        </w:rPr>
      </w:pPr>
      <w:r>
        <w:rPr>
          <w:rFonts w:ascii="Times New Roman" w:hAnsi="Times New Roman" w:cs="Times New Roman"/>
          <w:sz w:val="24"/>
          <w:szCs w:val="24"/>
        </w:rPr>
        <w:t>As CVD risk increase</w:t>
      </w:r>
      <w:r w:rsidR="002954F3">
        <w:rPr>
          <w:rFonts w:ascii="Times New Roman" w:hAnsi="Times New Roman" w:cs="Times New Roman"/>
          <w:sz w:val="24"/>
          <w:szCs w:val="24"/>
        </w:rPr>
        <w:t>d</w:t>
      </w:r>
      <w:r>
        <w:rPr>
          <w:rFonts w:ascii="Times New Roman" w:hAnsi="Times New Roman" w:cs="Times New Roman"/>
          <w:sz w:val="24"/>
          <w:szCs w:val="24"/>
        </w:rPr>
        <w:t xml:space="preserve"> the odds of response decrease</w:t>
      </w:r>
      <w:r w:rsidR="002954F3">
        <w:rPr>
          <w:rFonts w:ascii="Times New Roman" w:hAnsi="Times New Roman" w:cs="Times New Roman"/>
          <w:sz w:val="24"/>
          <w:szCs w:val="24"/>
        </w:rPr>
        <w:t>d</w:t>
      </w:r>
      <w:r w:rsidRPr="001F7484">
        <w:rPr>
          <w:rFonts w:ascii="Times New Roman" w:hAnsi="Times New Roman" w:cs="Times New Roman"/>
          <w:sz w:val="24"/>
          <w:szCs w:val="24"/>
        </w:rPr>
        <w:t xml:space="preserve"> </w:t>
      </w:r>
      <w:r w:rsidRPr="000A1AEB">
        <w:rPr>
          <w:rFonts w:ascii="Times New Roman" w:hAnsi="Times New Roman" w:cs="Times New Roman"/>
          <w:sz w:val="24"/>
          <w:szCs w:val="24"/>
        </w:rPr>
        <w:t>(</w:t>
      </w:r>
      <w:r>
        <w:rPr>
          <w:rFonts w:ascii="Times New Roman" w:hAnsi="Times New Roman" w:cs="Times New Roman"/>
          <w:sz w:val="24"/>
          <w:szCs w:val="24"/>
        </w:rPr>
        <w:t>A</w:t>
      </w:r>
      <w:r w:rsidRPr="000A1AEB">
        <w:rPr>
          <w:rFonts w:ascii="Times New Roman" w:hAnsi="Times New Roman" w:cs="Times New Roman"/>
          <w:sz w:val="24"/>
          <w:szCs w:val="24"/>
        </w:rPr>
        <w:t>OR 0.</w:t>
      </w:r>
      <w:r>
        <w:rPr>
          <w:rFonts w:ascii="Times New Roman" w:hAnsi="Times New Roman" w:cs="Times New Roman"/>
          <w:sz w:val="24"/>
          <w:szCs w:val="24"/>
        </w:rPr>
        <w:t>8</w:t>
      </w:r>
      <w:r w:rsidR="00687830">
        <w:rPr>
          <w:rFonts w:ascii="Times New Roman" w:hAnsi="Times New Roman" w:cs="Times New Roman"/>
          <w:sz w:val="24"/>
          <w:szCs w:val="24"/>
        </w:rPr>
        <w:t>2</w:t>
      </w:r>
      <w:r w:rsidR="002E3B14">
        <w:rPr>
          <w:rFonts w:ascii="Times New Roman" w:hAnsi="Times New Roman" w:cs="Times New Roman"/>
          <w:sz w:val="24"/>
          <w:szCs w:val="24"/>
        </w:rPr>
        <w:t xml:space="preserve"> per 5 percentage points</w:t>
      </w:r>
      <w:r w:rsidRPr="000A1AEB">
        <w:rPr>
          <w:rFonts w:ascii="Times New Roman" w:hAnsi="Times New Roman" w:cs="Times New Roman"/>
          <w:sz w:val="24"/>
          <w:szCs w:val="24"/>
        </w:rPr>
        <w:t xml:space="preserve">; 95% CI </w:t>
      </w:r>
      <w:r>
        <w:rPr>
          <w:rFonts w:ascii="Times New Roman" w:hAnsi="Times New Roman" w:cs="Times New Roman"/>
          <w:sz w:val="24"/>
          <w:szCs w:val="24"/>
        </w:rPr>
        <w:t>0.77-0.88</w:t>
      </w:r>
      <w:r w:rsidRPr="000A1AEB">
        <w:rPr>
          <w:rFonts w:ascii="Times New Roman" w:hAnsi="Times New Roman" w:cs="Times New Roman"/>
          <w:sz w:val="24"/>
          <w:szCs w:val="24"/>
        </w:rPr>
        <w:t xml:space="preserve">); for every 5 point increase in QRisk2 score </w:t>
      </w:r>
      <w:r>
        <w:rPr>
          <w:rFonts w:ascii="Times New Roman" w:hAnsi="Times New Roman" w:cs="Times New Roman"/>
          <w:sz w:val="24"/>
          <w:szCs w:val="24"/>
        </w:rPr>
        <w:t>the odds of responding decrease</w:t>
      </w:r>
      <w:r w:rsidR="002954F3">
        <w:rPr>
          <w:rFonts w:ascii="Times New Roman" w:hAnsi="Times New Roman" w:cs="Times New Roman"/>
          <w:sz w:val="24"/>
          <w:szCs w:val="24"/>
        </w:rPr>
        <w:t>d</w:t>
      </w:r>
      <w:r>
        <w:rPr>
          <w:rFonts w:ascii="Times New Roman" w:hAnsi="Times New Roman" w:cs="Times New Roman"/>
          <w:sz w:val="24"/>
          <w:szCs w:val="24"/>
        </w:rPr>
        <w:t xml:space="preserve"> by</w:t>
      </w:r>
      <w:r w:rsidRPr="000A1AEB">
        <w:rPr>
          <w:rFonts w:ascii="Times New Roman" w:hAnsi="Times New Roman" w:cs="Times New Roman"/>
          <w:sz w:val="24"/>
          <w:szCs w:val="24"/>
        </w:rPr>
        <w:t xml:space="preserve"> </w:t>
      </w:r>
      <w:r w:rsidRPr="000A1AEB">
        <w:rPr>
          <w:rFonts w:ascii="Times New Roman" w:hAnsi="Times New Roman" w:cs="Times New Roman"/>
          <w:sz w:val="24"/>
          <w:szCs w:val="24"/>
        </w:rPr>
        <w:lastRenderedPageBreak/>
        <w:t>1</w:t>
      </w:r>
      <w:r w:rsidR="00687830">
        <w:rPr>
          <w:rFonts w:ascii="Times New Roman" w:hAnsi="Times New Roman" w:cs="Times New Roman"/>
          <w:sz w:val="24"/>
          <w:szCs w:val="24"/>
        </w:rPr>
        <w:t>8</w:t>
      </w:r>
      <w:r w:rsidRPr="000A1AEB">
        <w:rPr>
          <w:rFonts w:ascii="Times New Roman" w:hAnsi="Times New Roman" w:cs="Times New Roman"/>
          <w:sz w:val="24"/>
          <w:szCs w:val="24"/>
        </w:rPr>
        <w:t>%.</w:t>
      </w:r>
      <w:r>
        <w:rPr>
          <w:rFonts w:ascii="Times New Roman" w:hAnsi="Times New Roman" w:cs="Times New Roman"/>
          <w:sz w:val="24"/>
          <w:szCs w:val="24"/>
        </w:rPr>
        <w:t xml:space="preserve"> </w:t>
      </w:r>
      <w:r w:rsidRPr="009B783D">
        <w:rPr>
          <w:rFonts w:ascii="Times New Roman" w:hAnsi="Times New Roman" w:cs="Times New Roman"/>
          <w:sz w:val="24"/>
          <w:szCs w:val="24"/>
        </w:rPr>
        <w:t>Response was lower in patients of black African or Caribbean ethnicity (AOR 0.6</w:t>
      </w:r>
      <w:r w:rsidR="00687830">
        <w:rPr>
          <w:rFonts w:ascii="Times New Roman" w:hAnsi="Times New Roman" w:cs="Times New Roman"/>
          <w:sz w:val="24"/>
          <w:szCs w:val="24"/>
        </w:rPr>
        <w:t>7</w:t>
      </w:r>
      <w:r w:rsidRPr="009B783D">
        <w:rPr>
          <w:rFonts w:ascii="Times New Roman" w:hAnsi="Times New Roman" w:cs="Times New Roman"/>
          <w:sz w:val="24"/>
          <w:szCs w:val="24"/>
        </w:rPr>
        <w:t>; 95% CI 0.45-0.9</w:t>
      </w:r>
      <w:r w:rsidR="00687830">
        <w:rPr>
          <w:rFonts w:ascii="Times New Roman" w:hAnsi="Times New Roman" w:cs="Times New Roman"/>
          <w:sz w:val="24"/>
          <w:szCs w:val="24"/>
        </w:rPr>
        <w:t>8</w:t>
      </w:r>
      <w:r w:rsidRPr="009B783D">
        <w:rPr>
          <w:rFonts w:ascii="Times New Roman" w:hAnsi="Times New Roman" w:cs="Times New Roman"/>
          <w:sz w:val="24"/>
          <w:szCs w:val="24"/>
        </w:rPr>
        <w:t xml:space="preserve">) and those with missing ethnicity data (AOR 0.55; 95% CI 0.46-0.66) compared to white ethnicity. The </w:t>
      </w:r>
      <w:r w:rsidR="002F186F" w:rsidRPr="009B783D">
        <w:rPr>
          <w:rFonts w:ascii="Times New Roman" w:hAnsi="Times New Roman" w:cs="Times New Roman"/>
          <w:sz w:val="24"/>
          <w:szCs w:val="24"/>
        </w:rPr>
        <w:t xml:space="preserve">odds of </w:t>
      </w:r>
      <w:r w:rsidRPr="009B783D">
        <w:rPr>
          <w:rFonts w:ascii="Times New Roman" w:hAnsi="Times New Roman" w:cs="Times New Roman"/>
          <w:sz w:val="24"/>
          <w:szCs w:val="24"/>
        </w:rPr>
        <w:t>respon</w:t>
      </w:r>
      <w:r w:rsidR="002F186F" w:rsidRPr="009B783D">
        <w:rPr>
          <w:rFonts w:ascii="Times New Roman" w:hAnsi="Times New Roman" w:cs="Times New Roman"/>
          <w:sz w:val="24"/>
          <w:szCs w:val="24"/>
        </w:rPr>
        <w:t>se from</w:t>
      </w:r>
      <w:r w:rsidRPr="009B783D">
        <w:rPr>
          <w:rFonts w:ascii="Times New Roman" w:hAnsi="Times New Roman" w:cs="Times New Roman"/>
          <w:sz w:val="24"/>
          <w:szCs w:val="24"/>
        </w:rPr>
        <w:t xml:space="preserve"> Asian and other ethnic backgrounds were not significantly different to that of patients of white ethnicity. </w:t>
      </w:r>
      <w:r w:rsidR="00F4706C">
        <w:rPr>
          <w:rFonts w:ascii="Times New Roman" w:hAnsi="Times New Roman" w:cs="Times New Roman"/>
          <w:color w:val="000000" w:themeColor="text1"/>
          <w:sz w:val="24"/>
          <w:szCs w:val="24"/>
        </w:rPr>
        <w:t xml:space="preserve">A median test found the IMD ranks of responders </w:t>
      </w:r>
      <w:r w:rsidR="00F4706C">
        <w:rPr>
          <w:rFonts w:ascii="Times New Roman" w:hAnsi="Times New Roman" w:cs="Times New Roman"/>
          <w:sz w:val="24"/>
          <w:szCs w:val="24"/>
        </w:rPr>
        <w:t>(</w:t>
      </w:r>
      <w:r w:rsidR="00F4706C" w:rsidRPr="008966B5">
        <w:rPr>
          <w:rFonts w:ascii="Times New Roman" w:hAnsi="Times New Roman" w:cs="Times New Roman"/>
          <w:sz w:val="24"/>
          <w:szCs w:val="24"/>
        </w:rPr>
        <w:t>15314</w:t>
      </w:r>
      <w:r w:rsidR="00F4706C">
        <w:rPr>
          <w:rFonts w:ascii="Times New Roman" w:hAnsi="Times New Roman" w:cs="Times New Roman"/>
          <w:sz w:val="24"/>
          <w:szCs w:val="24"/>
        </w:rPr>
        <w:t xml:space="preserve">; </w:t>
      </w:r>
      <w:r w:rsidR="00F4706C" w:rsidRPr="008966B5">
        <w:rPr>
          <w:rFonts w:ascii="Times New Roman" w:hAnsi="Times New Roman" w:cs="Times New Roman"/>
          <w:sz w:val="24"/>
          <w:szCs w:val="24"/>
        </w:rPr>
        <w:t xml:space="preserve">9285-24774) </w:t>
      </w:r>
      <w:r w:rsidR="00797095">
        <w:rPr>
          <w:rFonts w:ascii="Times New Roman" w:hAnsi="Times New Roman" w:cs="Times New Roman"/>
          <w:sz w:val="24"/>
          <w:szCs w:val="24"/>
        </w:rPr>
        <w:t>was significantly higher than</w:t>
      </w:r>
      <w:r w:rsidR="00F4706C" w:rsidRPr="008966B5">
        <w:rPr>
          <w:rFonts w:ascii="Times New Roman" w:hAnsi="Times New Roman" w:cs="Times New Roman"/>
          <w:sz w:val="24"/>
          <w:szCs w:val="24"/>
        </w:rPr>
        <w:t xml:space="preserve"> </w:t>
      </w:r>
      <w:r w:rsidR="00F4706C">
        <w:rPr>
          <w:rFonts w:ascii="Times New Roman" w:hAnsi="Times New Roman" w:cs="Times New Roman"/>
          <w:sz w:val="24"/>
          <w:szCs w:val="24"/>
        </w:rPr>
        <w:t>non-</w:t>
      </w:r>
      <w:r w:rsidR="00F4706C" w:rsidRPr="008966B5">
        <w:rPr>
          <w:rFonts w:ascii="Times New Roman" w:hAnsi="Times New Roman" w:cs="Times New Roman"/>
          <w:sz w:val="24"/>
          <w:szCs w:val="24"/>
        </w:rPr>
        <w:t>responder</w:t>
      </w:r>
      <w:r w:rsidR="00F4706C">
        <w:rPr>
          <w:rFonts w:ascii="Times New Roman" w:hAnsi="Times New Roman" w:cs="Times New Roman"/>
          <w:sz w:val="24"/>
          <w:szCs w:val="24"/>
        </w:rPr>
        <w:t>s (</w:t>
      </w:r>
      <w:r w:rsidR="00F4706C" w:rsidRPr="008966B5">
        <w:rPr>
          <w:rFonts w:ascii="Times New Roman" w:hAnsi="Times New Roman" w:cs="Times New Roman"/>
          <w:sz w:val="24"/>
          <w:szCs w:val="24"/>
        </w:rPr>
        <w:t>12854</w:t>
      </w:r>
      <w:r w:rsidR="00F4706C">
        <w:rPr>
          <w:rFonts w:ascii="Times New Roman" w:hAnsi="Times New Roman" w:cs="Times New Roman"/>
          <w:sz w:val="24"/>
          <w:szCs w:val="24"/>
        </w:rPr>
        <w:t xml:space="preserve">; </w:t>
      </w:r>
      <w:r w:rsidR="00F4706C" w:rsidRPr="008966B5">
        <w:rPr>
          <w:rFonts w:ascii="Times New Roman" w:hAnsi="Times New Roman" w:cs="Times New Roman"/>
          <w:sz w:val="24"/>
          <w:szCs w:val="24"/>
        </w:rPr>
        <w:t>7411-22330</w:t>
      </w:r>
      <w:r w:rsidR="00F4706C">
        <w:rPr>
          <w:rFonts w:ascii="Times New Roman" w:hAnsi="Times New Roman" w:cs="Times New Roman"/>
          <w:sz w:val="24"/>
          <w:szCs w:val="24"/>
        </w:rPr>
        <w:t>) (p&lt;0.001). The odds of response in the</w:t>
      </w:r>
      <w:r w:rsidR="00F4706C">
        <w:rPr>
          <w:rFonts w:ascii="Times New Roman" w:hAnsi="Times New Roman" w:cs="Times New Roman"/>
          <w:color w:val="000000" w:themeColor="text1"/>
          <w:sz w:val="24"/>
          <w:szCs w:val="24"/>
        </w:rPr>
        <w:t xml:space="preserve"> fourth </w:t>
      </w:r>
      <w:r w:rsidR="00F4706C" w:rsidRPr="009B783D">
        <w:rPr>
          <w:rFonts w:ascii="Times New Roman" w:hAnsi="Times New Roman" w:cs="Times New Roman"/>
          <w:sz w:val="24"/>
          <w:szCs w:val="24"/>
        </w:rPr>
        <w:t>(AOR 0.</w:t>
      </w:r>
      <w:r w:rsidR="00F4706C">
        <w:rPr>
          <w:rFonts w:ascii="Times New Roman" w:hAnsi="Times New Roman" w:cs="Times New Roman"/>
          <w:sz w:val="24"/>
          <w:szCs w:val="24"/>
        </w:rPr>
        <w:t>70</w:t>
      </w:r>
      <w:r w:rsidR="00F4706C" w:rsidRPr="009B783D">
        <w:rPr>
          <w:rFonts w:ascii="Times New Roman" w:hAnsi="Times New Roman" w:cs="Times New Roman"/>
          <w:sz w:val="24"/>
          <w:szCs w:val="24"/>
        </w:rPr>
        <w:t>; 95% CI 0.</w:t>
      </w:r>
      <w:r w:rsidR="00F4706C">
        <w:rPr>
          <w:rFonts w:ascii="Times New Roman" w:hAnsi="Times New Roman" w:cs="Times New Roman"/>
          <w:sz w:val="24"/>
          <w:szCs w:val="24"/>
        </w:rPr>
        <w:t>5</w:t>
      </w:r>
      <w:r w:rsidR="00F4706C" w:rsidRPr="009B783D">
        <w:rPr>
          <w:rFonts w:ascii="Times New Roman" w:hAnsi="Times New Roman" w:cs="Times New Roman"/>
          <w:sz w:val="24"/>
          <w:szCs w:val="24"/>
        </w:rPr>
        <w:t>6-0.</w:t>
      </w:r>
      <w:r w:rsidR="00F4706C">
        <w:rPr>
          <w:rFonts w:ascii="Times New Roman" w:hAnsi="Times New Roman" w:cs="Times New Roman"/>
          <w:sz w:val="24"/>
          <w:szCs w:val="24"/>
        </w:rPr>
        <w:t>87</w:t>
      </w:r>
      <w:r w:rsidR="00F4706C" w:rsidRPr="009B783D">
        <w:rPr>
          <w:rFonts w:ascii="Times New Roman" w:hAnsi="Times New Roman" w:cs="Times New Roman"/>
          <w:sz w:val="24"/>
          <w:szCs w:val="24"/>
        </w:rPr>
        <w:t>)</w:t>
      </w:r>
      <w:r w:rsidR="00F4706C">
        <w:rPr>
          <w:rFonts w:ascii="Times New Roman" w:hAnsi="Times New Roman" w:cs="Times New Roman"/>
          <w:sz w:val="24"/>
          <w:szCs w:val="24"/>
        </w:rPr>
        <w:t xml:space="preserve"> </w:t>
      </w:r>
      <w:r w:rsidR="00F4706C">
        <w:rPr>
          <w:rFonts w:ascii="Times New Roman" w:hAnsi="Times New Roman" w:cs="Times New Roman"/>
          <w:color w:val="000000" w:themeColor="text1"/>
          <w:sz w:val="24"/>
          <w:szCs w:val="24"/>
        </w:rPr>
        <w:t xml:space="preserve">and fifth </w:t>
      </w:r>
      <w:r w:rsidR="00F4706C" w:rsidRPr="009B783D">
        <w:rPr>
          <w:rFonts w:ascii="Times New Roman" w:hAnsi="Times New Roman" w:cs="Times New Roman"/>
          <w:sz w:val="24"/>
          <w:szCs w:val="24"/>
        </w:rPr>
        <w:t>(AOR 0.5</w:t>
      </w:r>
      <w:r w:rsidR="00F4706C">
        <w:rPr>
          <w:rFonts w:ascii="Times New Roman" w:hAnsi="Times New Roman" w:cs="Times New Roman"/>
          <w:sz w:val="24"/>
          <w:szCs w:val="24"/>
        </w:rPr>
        <w:t>2</w:t>
      </w:r>
      <w:r w:rsidR="00F4706C" w:rsidRPr="009B783D">
        <w:rPr>
          <w:rFonts w:ascii="Times New Roman" w:hAnsi="Times New Roman" w:cs="Times New Roman"/>
          <w:sz w:val="24"/>
          <w:szCs w:val="24"/>
        </w:rPr>
        <w:t>; 95% CI 0.4</w:t>
      </w:r>
      <w:r w:rsidR="00F4706C">
        <w:rPr>
          <w:rFonts w:ascii="Times New Roman" w:hAnsi="Times New Roman" w:cs="Times New Roman"/>
          <w:sz w:val="24"/>
          <w:szCs w:val="24"/>
        </w:rPr>
        <w:t>0</w:t>
      </w:r>
      <w:r w:rsidR="00F4706C" w:rsidRPr="009B783D">
        <w:rPr>
          <w:rFonts w:ascii="Times New Roman" w:hAnsi="Times New Roman" w:cs="Times New Roman"/>
          <w:sz w:val="24"/>
          <w:szCs w:val="24"/>
        </w:rPr>
        <w:t>-0.6</w:t>
      </w:r>
      <w:r w:rsidR="00F4706C">
        <w:rPr>
          <w:rFonts w:ascii="Times New Roman" w:hAnsi="Times New Roman" w:cs="Times New Roman"/>
          <w:sz w:val="24"/>
          <w:szCs w:val="24"/>
        </w:rPr>
        <w:t>8</w:t>
      </w:r>
      <w:r w:rsidR="00F4706C" w:rsidRPr="009B783D">
        <w:rPr>
          <w:rFonts w:ascii="Times New Roman" w:hAnsi="Times New Roman" w:cs="Times New Roman"/>
          <w:sz w:val="24"/>
          <w:szCs w:val="24"/>
        </w:rPr>
        <w:t>)</w:t>
      </w:r>
      <w:r w:rsidR="00F4706C">
        <w:rPr>
          <w:rFonts w:ascii="Times New Roman" w:hAnsi="Times New Roman" w:cs="Times New Roman"/>
          <w:sz w:val="24"/>
          <w:szCs w:val="24"/>
        </w:rPr>
        <w:t xml:space="preserve"> </w:t>
      </w:r>
      <w:r w:rsidR="00F4706C">
        <w:rPr>
          <w:rFonts w:ascii="Times New Roman" w:hAnsi="Times New Roman" w:cs="Times New Roman"/>
          <w:color w:val="000000" w:themeColor="text1"/>
          <w:sz w:val="24"/>
          <w:szCs w:val="24"/>
        </w:rPr>
        <w:t xml:space="preserve">most deprived quintiles were significantly </w:t>
      </w:r>
      <w:r w:rsidR="005E0D47">
        <w:rPr>
          <w:rFonts w:ascii="Times New Roman" w:hAnsi="Times New Roman" w:cs="Times New Roman"/>
          <w:color w:val="000000" w:themeColor="text1"/>
          <w:sz w:val="24"/>
          <w:szCs w:val="24"/>
        </w:rPr>
        <w:t>lower than the least deprived quartile</w:t>
      </w:r>
      <w:r w:rsidR="00F470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00FE75EE" w:rsidRPr="003F3A43">
        <w:rPr>
          <w:rFonts w:ascii="Times New Roman" w:hAnsi="Times New Roman" w:cs="Times New Roman"/>
          <w:sz w:val="24"/>
          <w:szCs w:val="24"/>
        </w:rPr>
        <w:t>espon</w:t>
      </w:r>
      <w:r w:rsidR="0087134F">
        <w:rPr>
          <w:rFonts w:ascii="Times New Roman" w:hAnsi="Times New Roman" w:cs="Times New Roman"/>
          <w:sz w:val="24"/>
          <w:szCs w:val="24"/>
        </w:rPr>
        <w:t>se w</w:t>
      </w:r>
      <w:r>
        <w:rPr>
          <w:rFonts w:ascii="Times New Roman" w:hAnsi="Times New Roman" w:cs="Times New Roman"/>
          <w:sz w:val="24"/>
          <w:szCs w:val="24"/>
        </w:rPr>
        <w:t>as</w:t>
      </w:r>
      <w:r w:rsidR="0087134F">
        <w:rPr>
          <w:rFonts w:ascii="Times New Roman" w:hAnsi="Times New Roman" w:cs="Times New Roman"/>
          <w:sz w:val="24"/>
          <w:szCs w:val="24"/>
        </w:rPr>
        <w:t xml:space="preserve"> higher with increasing age</w:t>
      </w:r>
      <w:r w:rsidR="00FE75EE" w:rsidRPr="003F3A43">
        <w:rPr>
          <w:rFonts w:ascii="Times New Roman" w:hAnsi="Times New Roman" w:cs="Times New Roman"/>
          <w:sz w:val="24"/>
          <w:szCs w:val="24"/>
        </w:rPr>
        <w:t xml:space="preserve"> </w:t>
      </w:r>
      <w:r w:rsidR="005B5D97">
        <w:rPr>
          <w:rFonts w:ascii="Times New Roman" w:hAnsi="Times New Roman" w:cs="Times New Roman"/>
          <w:sz w:val="24"/>
          <w:szCs w:val="24"/>
        </w:rPr>
        <w:t>(</w:t>
      </w:r>
      <w:r w:rsidR="00E7608D">
        <w:rPr>
          <w:rFonts w:ascii="Times New Roman" w:hAnsi="Times New Roman" w:cs="Times New Roman"/>
          <w:sz w:val="24"/>
          <w:szCs w:val="24"/>
        </w:rPr>
        <w:t>A</w:t>
      </w:r>
      <w:r w:rsidR="00FE75EE" w:rsidRPr="003F3A43">
        <w:rPr>
          <w:rFonts w:ascii="Times New Roman" w:hAnsi="Times New Roman" w:cs="Times New Roman"/>
          <w:sz w:val="24"/>
          <w:szCs w:val="24"/>
        </w:rPr>
        <w:t>OR 1.</w:t>
      </w:r>
      <w:r w:rsidR="00E7608D">
        <w:rPr>
          <w:rFonts w:ascii="Times New Roman" w:hAnsi="Times New Roman" w:cs="Times New Roman"/>
          <w:sz w:val="24"/>
          <w:szCs w:val="24"/>
        </w:rPr>
        <w:t>19</w:t>
      </w:r>
      <w:r w:rsidR="00797095">
        <w:rPr>
          <w:rFonts w:ascii="Times New Roman" w:hAnsi="Times New Roman" w:cs="Times New Roman"/>
          <w:sz w:val="24"/>
          <w:szCs w:val="24"/>
        </w:rPr>
        <w:t xml:space="preserve"> per 5 years</w:t>
      </w:r>
      <w:r w:rsidR="00D710AC">
        <w:rPr>
          <w:rFonts w:ascii="Times New Roman" w:hAnsi="Times New Roman" w:cs="Times New Roman"/>
          <w:sz w:val="24"/>
          <w:szCs w:val="24"/>
        </w:rPr>
        <w:t xml:space="preserve">; 95% CI </w:t>
      </w:r>
      <w:r w:rsidR="00E7608D">
        <w:rPr>
          <w:rFonts w:ascii="Times New Roman" w:hAnsi="Times New Roman" w:cs="Times New Roman"/>
          <w:sz w:val="24"/>
          <w:szCs w:val="24"/>
        </w:rPr>
        <w:t>1.12-1.26</w:t>
      </w:r>
      <w:r w:rsidR="005B5D97">
        <w:rPr>
          <w:rFonts w:ascii="Times New Roman" w:hAnsi="Times New Roman" w:cs="Times New Roman"/>
          <w:sz w:val="24"/>
          <w:szCs w:val="24"/>
        </w:rPr>
        <w:t>)</w:t>
      </w:r>
      <w:r w:rsidR="00501F5E">
        <w:rPr>
          <w:rFonts w:ascii="Times New Roman" w:hAnsi="Times New Roman" w:cs="Times New Roman"/>
          <w:sz w:val="24"/>
          <w:szCs w:val="24"/>
        </w:rPr>
        <w:t>;</w:t>
      </w:r>
      <w:r w:rsidR="00501F5E" w:rsidRPr="00D710AC">
        <w:rPr>
          <w:rFonts w:ascii="Times New Roman" w:hAnsi="Times New Roman" w:cs="Times New Roman"/>
          <w:sz w:val="24"/>
          <w:szCs w:val="24"/>
        </w:rPr>
        <w:t xml:space="preserve"> </w:t>
      </w:r>
      <w:r w:rsidR="00282CDE">
        <w:rPr>
          <w:rFonts w:ascii="Times New Roman" w:hAnsi="Times New Roman" w:cs="Times New Roman"/>
          <w:sz w:val="24"/>
          <w:szCs w:val="24"/>
        </w:rPr>
        <w:t>the odds of</w:t>
      </w:r>
      <w:r w:rsidR="002D637B">
        <w:rPr>
          <w:rFonts w:ascii="Times New Roman" w:hAnsi="Times New Roman" w:cs="Times New Roman"/>
          <w:sz w:val="24"/>
          <w:szCs w:val="24"/>
        </w:rPr>
        <w:t xml:space="preserve"> respon</w:t>
      </w:r>
      <w:r>
        <w:rPr>
          <w:rFonts w:ascii="Times New Roman" w:hAnsi="Times New Roman" w:cs="Times New Roman"/>
          <w:sz w:val="24"/>
          <w:szCs w:val="24"/>
        </w:rPr>
        <w:t>ding</w:t>
      </w:r>
      <w:r w:rsidR="002D637B">
        <w:rPr>
          <w:rFonts w:ascii="Times New Roman" w:hAnsi="Times New Roman" w:cs="Times New Roman"/>
          <w:sz w:val="24"/>
          <w:szCs w:val="24"/>
        </w:rPr>
        <w:t xml:space="preserve"> </w:t>
      </w:r>
      <w:r w:rsidR="0087134F">
        <w:rPr>
          <w:rFonts w:ascii="Times New Roman" w:hAnsi="Times New Roman" w:cs="Times New Roman"/>
          <w:sz w:val="24"/>
          <w:szCs w:val="24"/>
        </w:rPr>
        <w:t>increas</w:t>
      </w:r>
      <w:r w:rsidR="00282CDE">
        <w:rPr>
          <w:rFonts w:ascii="Times New Roman" w:hAnsi="Times New Roman" w:cs="Times New Roman"/>
          <w:sz w:val="24"/>
          <w:szCs w:val="24"/>
        </w:rPr>
        <w:t>e</w:t>
      </w:r>
      <w:r w:rsidR="002954F3">
        <w:rPr>
          <w:rFonts w:ascii="Times New Roman" w:hAnsi="Times New Roman" w:cs="Times New Roman"/>
          <w:sz w:val="24"/>
          <w:szCs w:val="24"/>
        </w:rPr>
        <w:t>d</w:t>
      </w:r>
      <w:r w:rsidR="00501F5E" w:rsidRPr="000A1AEB">
        <w:rPr>
          <w:rFonts w:ascii="Times New Roman" w:hAnsi="Times New Roman" w:cs="Times New Roman"/>
          <w:sz w:val="24"/>
          <w:szCs w:val="24"/>
        </w:rPr>
        <w:t xml:space="preserve"> </w:t>
      </w:r>
      <w:r w:rsidR="002D637B">
        <w:rPr>
          <w:rFonts w:ascii="Times New Roman" w:hAnsi="Times New Roman" w:cs="Times New Roman"/>
          <w:sz w:val="24"/>
          <w:szCs w:val="24"/>
        </w:rPr>
        <w:t xml:space="preserve">by </w:t>
      </w:r>
      <w:r w:rsidR="0087134F">
        <w:rPr>
          <w:rFonts w:ascii="Times New Roman" w:hAnsi="Times New Roman" w:cs="Times New Roman"/>
          <w:sz w:val="24"/>
          <w:szCs w:val="24"/>
        </w:rPr>
        <w:t>19</w:t>
      </w:r>
      <w:r w:rsidR="00501F5E" w:rsidRPr="000A1AEB">
        <w:rPr>
          <w:rFonts w:ascii="Times New Roman" w:hAnsi="Times New Roman" w:cs="Times New Roman"/>
          <w:sz w:val="24"/>
          <w:szCs w:val="24"/>
        </w:rPr>
        <w:t>%</w:t>
      </w:r>
      <w:r w:rsidR="00417995" w:rsidRPr="000A1AEB">
        <w:rPr>
          <w:rFonts w:ascii="Times New Roman" w:hAnsi="Times New Roman" w:cs="Times New Roman"/>
          <w:sz w:val="24"/>
          <w:szCs w:val="24"/>
        </w:rPr>
        <w:t xml:space="preserve"> </w:t>
      </w:r>
      <w:r w:rsidR="00A3504F" w:rsidRPr="000A1AEB">
        <w:rPr>
          <w:rFonts w:ascii="Times New Roman" w:hAnsi="Times New Roman" w:cs="Times New Roman"/>
          <w:sz w:val="24"/>
          <w:szCs w:val="24"/>
        </w:rPr>
        <w:t>for each 5 year increase in age</w:t>
      </w:r>
      <w:r>
        <w:rPr>
          <w:rFonts w:ascii="Times New Roman" w:hAnsi="Times New Roman" w:cs="Times New Roman"/>
          <w:sz w:val="24"/>
          <w:szCs w:val="24"/>
        </w:rPr>
        <w:t xml:space="preserve">. </w:t>
      </w:r>
      <w:r w:rsidR="002F186F">
        <w:rPr>
          <w:rFonts w:ascii="Times New Roman" w:hAnsi="Times New Roman" w:cs="Times New Roman"/>
          <w:sz w:val="24"/>
          <w:szCs w:val="24"/>
        </w:rPr>
        <w:t>Odds of r</w:t>
      </w:r>
      <w:r>
        <w:rPr>
          <w:rFonts w:ascii="Times New Roman" w:hAnsi="Times New Roman" w:cs="Times New Roman"/>
          <w:sz w:val="24"/>
          <w:szCs w:val="24"/>
        </w:rPr>
        <w:t>espon</w:t>
      </w:r>
      <w:r w:rsidR="002F186F">
        <w:rPr>
          <w:rFonts w:ascii="Times New Roman" w:hAnsi="Times New Roman" w:cs="Times New Roman"/>
          <w:sz w:val="24"/>
          <w:szCs w:val="24"/>
        </w:rPr>
        <w:t>ding</w:t>
      </w:r>
      <w:r>
        <w:rPr>
          <w:rFonts w:ascii="Times New Roman" w:hAnsi="Times New Roman" w:cs="Times New Roman"/>
          <w:sz w:val="24"/>
          <w:szCs w:val="24"/>
        </w:rPr>
        <w:t xml:space="preserve"> w</w:t>
      </w:r>
      <w:r w:rsidR="002F186F">
        <w:rPr>
          <w:rFonts w:ascii="Times New Roman" w:hAnsi="Times New Roman" w:cs="Times New Roman"/>
          <w:sz w:val="24"/>
          <w:szCs w:val="24"/>
        </w:rPr>
        <w:t>ere</w:t>
      </w:r>
      <w:r>
        <w:rPr>
          <w:rFonts w:ascii="Times New Roman" w:hAnsi="Times New Roman" w:cs="Times New Roman"/>
          <w:sz w:val="24"/>
          <w:szCs w:val="24"/>
        </w:rPr>
        <w:t xml:space="preserve"> higher </w:t>
      </w:r>
      <w:r w:rsidR="00282CDE">
        <w:rPr>
          <w:rFonts w:ascii="Times New Roman" w:hAnsi="Times New Roman" w:cs="Times New Roman"/>
          <w:sz w:val="24"/>
          <w:szCs w:val="24"/>
        </w:rPr>
        <w:t>in</w:t>
      </w:r>
      <w:r w:rsidR="0087134F">
        <w:rPr>
          <w:rFonts w:ascii="Times New Roman" w:hAnsi="Times New Roman" w:cs="Times New Roman"/>
          <w:sz w:val="24"/>
          <w:szCs w:val="24"/>
        </w:rPr>
        <w:t xml:space="preserve"> ma</w:t>
      </w:r>
      <w:r w:rsidR="00501F5E" w:rsidRPr="000A1AEB">
        <w:rPr>
          <w:rFonts w:ascii="Times New Roman" w:hAnsi="Times New Roman" w:cs="Times New Roman"/>
          <w:sz w:val="24"/>
          <w:szCs w:val="24"/>
        </w:rPr>
        <w:t xml:space="preserve">le </w:t>
      </w:r>
      <w:r>
        <w:rPr>
          <w:rFonts w:ascii="Times New Roman" w:hAnsi="Times New Roman" w:cs="Times New Roman"/>
          <w:sz w:val="24"/>
          <w:szCs w:val="24"/>
        </w:rPr>
        <w:t xml:space="preserve">compared to female </w:t>
      </w:r>
      <w:r w:rsidR="00501F5E" w:rsidRPr="000A1AEB">
        <w:rPr>
          <w:rFonts w:ascii="Times New Roman" w:hAnsi="Times New Roman" w:cs="Times New Roman"/>
          <w:sz w:val="24"/>
          <w:szCs w:val="24"/>
        </w:rPr>
        <w:t>patients</w:t>
      </w:r>
      <w:r w:rsidR="0087134F">
        <w:rPr>
          <w:rFonts w:ascii="Times New Roman" w:hAnsi="Times New Roman" w:cs="Times New Roman"/>
          <w:sz w:val="24"/>
          <w:szCs w:val="24"/>
        </w:rPr>
        <w:t xml:space="preserve"> </w:t>
      </w:r>
      <w:r w:rsidR="005B5D97" w:rsidRPr="000A1AEB">
        <w:rPr>
          <w:rFonts w:ascii="Times New Roman" w:hAnsi="Times New Roman" w:cs="Times New Roman"/>
          <w:sz w:val="24"/>
          <w:szCs w:val="24"/>
        </w:rPr>
        <w:t>(</w:t>
      </w:r>
      <w:r w:rsidR="00E7608D">
        <w:rPr>
          <w:rFonts w:ascii="Times New Roman" w:hAnsi="Times New Roman" w:cs="Times New Roman"/>
          <w:sz w:val="24"/>
          <w:szCs w:val="24"/>
        </w:rPr>
        <w:t>A</w:t>
      </w:r>
      <w:r w:rsidR="00FE75EE" w:rsidRPr="000A1AEB">
        <w:rPr>
          <w:rFonts w:ascii="Times New Roman" w:hAnsi="Times New Roman" w:cs="Times New Roman"/>
          <w:sz w:val="24"/>
          <w:szCs w:val="24"/>
        </w:rPr>
        <w:t>OR 1.2</w:t>
      </w:r>
      <w:r w:rsidR="005E0D47">
        <w:rPr>
          <w:rFonts w:ascii="Times New Roman" w:hAnsi="Times New Roman" w:cs="Times New Roman"/>
          <w:sz w:val="24"/>
          <w:szCs w:val="24"/>
        </w:rPr>
        <w:t>5</w:t>
      </w:r>
      <w:r w:rsidR="00D710AC" w:rsidRPr="000A1AEB">
        <w:rPr>
          <w:rFonts w:ascii="Times New Roman" w:hAnsi="Times New Roman" w:cs="Times New Roman"/>
          <w:sz w:val="24"/>
          <w:szCs w:val="24"/>
        </w:rPr>
        <w:t>; 95% CI 1.0</w:t>
      </w:r>
      <w:r w:rsidR="005E0D47">
        <w:rPr>
          <w:rFonts w:ascii="Times New Roman" w:hAnsi="Times New Roman" w:cs="Times New Roman"/>
          <w:sz w:val="24"/>
          <w:szCs w:val="24"/>
        </w:rPr>
        <w:t>8</w:t>
      </w:r>
      <w:r w:rsidR="00D710AC" w:rsidRPr="000A1AEB">
        <w:rPr>
          <w:rFonts w:ascii="Times New Roman" w:hAnsi="Times New Roman" w:cs="Times New Roman"/>
          <w:sz w:val="24"/>
          <w:szCs w:val="24"/>
        </w:rPr>
        <w:t>-1.</w:t>
      </w:r>
      <w:r w:rsidR="005E0D47">
        <w:rPr>
          <w:rFonts w:ascii="Times New Roman" w:hAnsi="Times New Roman" w:cs="Times New Roman"/>
          <w:sz w:val="24"/>
          <w:szCs w:val="24"/>
        </w:rPr>
        <w:t>45</w:t>
      </w:r>
      <w:r w:rsidR="005B5D97" w:rsidRPr="000A1AEB">
        <w:rPr>
          <w:rFonts w:ascii="Times New Roman" w:hAnsi="Times New Roman" w:cs="Times New Roman"/>
          <w:sz w:val="24"/>
          <w:szCs w:val="24"/>
        </w:rPr>
        <w:t>)</w:t>
      </w:r>
      <w:r w:rsidR="00282CDE">
        <w:rPr>
          <w:rFonts w:ascii="Times New Roman" w:hAnsi="Times New Roman" w:cs="Times New Roman"/>
          <w:sz w:val="24"/>
          <w:szCs w:val="24"/>
        </w:rPr>
        <w:t xml:space="preserve"> </w:t>
      </w:r>
    </w:p>
    <w:p w14:paraId="032B8A67" w14:textId="093F36CA" w:rsidR="00F24CAB" w:rsidRDefault="005F061B" w:rsidP="00146777">
      <w:pPr>
        <w:spacing w:line="480" w:lineRule="auto"/>
        <w:rPr>
          <w:rFonts w:ascii="Times New Roman" w:hAnsi="Times New Roman" w:cs="Times New Roman"/>
          <w:sz w:val="24"/>
          <w:szCs w:val="24"/>
        </w:rPr>
      </w:pPr>
      <w:r w:rsidRPr="00807034">
        <w:rPr>
          <w:rFonts w:ascii="Times New Roman" w:hAnsi="Times New Roman" w:cs="Times New Roman"/>
          <w:sz w:val="24"/>
          <w:szCs w:val="24"/>
        </w:rPr>
        <w:t>Pairwise comparisons were conducted</w:t>
      </w:r>
      <w:r w:rsidR="00FA46A3" w:rsidRPr="00807034">
        <w:rPr>
          <w:rFonts w:ascii="Times New Roman" w:hAnsi="Times New Roman" w:cs="Times New Roman"/>
          <w:sz w:val="24"/>
          <w:szCs w:val="24"/>
        </w:rPr>
        <w:t xml:space="preserve"> to explore differences</w:t>
      </w:r>
      <w:r w:rsidR="00180156" w:rsidRPr="00807034">
        <w:rPr>
          <w:rFonts w:ascii="Times New Roman" w:hAnsi="Times New Roman" w:cs="Times New Roman"/>
          <w:sz w:val="24"/>
          <w:szCs w:val="24"/>
        </w:rPr>
        <w:t xml:space="preserve"> in response</w:t>
      </w:r>
      <w:r w:rsidR="00FA46A3" w:rsidRPr="00807034">
        <w:rPr>
          <w:rFonts w:ascii="Times New Roman" w:hAnsi="Times New Roman" w:cs="Times New Roman"/>
          <w:sz w:val="24"/>
          <w:szCs w:val="24"/>
        </w:rPr>
        <w:t xml:space="preserve"> between </w:t>
      </w:r>
      <w:r w:rsidR="002F186F" w:rsidRPr="00807034">
        <w:rPr>
          <w:rFonts w:ascii="Times New Roman" w:hAnsi="Times New Roman" w:cs="Times New Roman"/>
          <w:sz w:val="24"/>
          <w:szCs w:val="24"/>
        </w:rPr>
        <w:t>each of the non-white</w:t>
      </w:r>
      <w:r w:rsidR="00282CDE" w:rsidRPr="00807034">
        <w:rPr>
          <w:rFonts w:ascii="Times New Roman" w:hAnsi="Times New Roman" w:cs="Times New Roman"/>
          <w:sz w:val="24"/>
          <w:szCs w:val="24"/>
        </w:rPr>
        <w:t xml:space="preserve"> </w:t>
      </w:r>
      <w:r w:rsidR="00FA46A3" w:rsidRPr="00807034">
        <w:rPr>
          <w:rFonts w:ascii="Times New Roman" w:hAnsi="Times New Roman" w:cs="Times New Roman"/>
          <w:sz w:val="24"/>
          <w:szCs w:val="24"/>
        </w:rPr>
        <w:t>ethnic group</w:t>
      </w:r>
      <w:r w:rsidR="002F186F" w:rsidRPr="00807034">
        <w:rPr>
          <w:rFonts w:ascii="Times New Roman" w:hAnsi="Times New Roman" w:cs="Times New Roman"/>
          <w:sz w:val="24"/>
          <w:szCs w:val="24"/>
        </w:rPr>
        <w:t>s</w:t>
      </w:r>
      <w:r w:rsidRPr="00807034">
        <w:rPr>
          <w:rFonts w:ascii="Times New Roman" w:hAnsi="Times New Roman" w:cs="Times New Roman"/>
          <w:sz w:val="24"/>
          <w:szCs w:val="24"/>
        </w:rPr>
        <w:t xml:space="preserve">, </w:t>
      </w:r>
      <w:r w:rsidR="00FA46A3" w:rsidRPr="00807034">
        <w:rPr>
          <w:rFonts w:ascii="Times New Roman" w:hAnsi="Times New Roman" w:cs="Times New Roman"/>
          <w:sz w:val="24"/>
          <w:szCs w:val="24"/>
        </w:rPr>
        <w:t xml:space="preserve">but there were no significant differences. </w:t>
      </w:r>
      <w:r w:rsidR="00145A57" w:rsidRPr="00807034">
        <w:rPr>
          <w:rFonts w:ascii="Times New Roman" w:hAnsi="Times New Roman" w:cs="Times New Roman"/>
          <w:sz w:val="24"/>
          <w:szCs w:val="24"/>
        </w:rPr>
        <w:t>Response rates of patients with missing ethnicity data were significantly lower than that of p</w:t>
      </w:r>
      <w:r w:rsidR="00FA46A3" w:rsidRPr="00807034">
        <w:rPr>
          <w:rFonts w:ascii="Times New Roman" w:hAnsi="Times New Roman" w:cs="Times New Roman"/>
          <w:sz w:val="24"/>
          <w:szCs w:val="24"/>
        </w:rPr>
        <w:t xml:space="preserve">atients of south Asian ethnicity </w:t>
      </w:r>
      <w:r w:rsidR="001472B4" w:rsidRPr="00807034">
        <w:rPr>
          <w:rFonts w:ascii="Times New Roman" w:hAnsi="Times New Roman" w:cs="Times New Roman"/>
          <w:sz w:val="24"/>
          <w:szCs w:val="24"/>
        </w:rPr>
        <w:t>(p=0</w:t>
      </w:r>
      <w:r w:rsidRPr="00807034">
        <w:rPr>
          <w:rFonts w:ascii="Times New Roman" w:hAnsi="Times New Roman" w:cs="Times New Roman"/>
          <w:sz w:val="24"/>
          <w:szCs w:val="24"/>
        </w:rPr>
        <w:t>.002).</w:t>
      </w:r>
      <w:r w:rsidR="00DA771B" w:rsidRPr="00807034">
        <w:rPr>
          <w:rFonts w:ascii="Times New Roman" w:hAnsi="Times New Roman" w:cs="Times New Roman"/>
          <w:sz w:val="24"/>
          <w:szCs w:val="24"/>
        </w:rPr>
        <w:t xml:space="preserve"> </w:t>
      </w:r>
      <w:r w:rsidR="00433835" w:rsidRPr="00807034">
        <w:rPr>
          <w:rFonts w:ascii="Times New Roman" w:hAnsi="Times New Roman" w:cs="Times New Roman"/>
          <w:sz w:val="24"/>
          <w:szCs w:val="24"/>
        </w:rPr>
        <w:t>Due to small numbers of invi</w:t>
      </w:r>
      <w:r w:rsidR="00101D23" w:rsidRPr="00807034">
        <w:rPr>
          <w:rFonts w:ascii="Times New Roman" w:hAnsi="Times New Roman" w:cs="Times New Roman"/>
          <w:sz w:val="24"/>
          <w:szCs w:val="24"/>
        </w:rPr>
        <w:t>t</w:t>
      </w:r>
      <w:r w:rsidR="002F186F" w:rsidRPr="00807034">
        <w:rPr>
          <w:rFonts w:ascii="Times New Roman" w:hAnsi="Times New Roman" w:cs="Times New Roman"/>
          <w:sz w:val="24"/>
          <w:szCs w:val="24"/>
        </w:rPr>
        <w:t>ations to</w:t>
      </w:r>
      <w:r w:rsidR="00101D23" w:rsidRPr="00807034">
        <w:rPr>
          <w:rFonts w:ascii="Times New Roman" w:hAnsi="Times New Roman" w:cs="Times New Roman"/>
          <w:sz w:val="24"/>
          <w:szCs w:val="24"/>
        </w:rPr>
        <w:t xml:space="preserve"> </w:t>
      </w:r>
      <w:r w:rsidR="002F186F" w:rsidRPr="00807034">
        <w:rPr>
          <w:rFonts w:ascii="Times New Roman" w:hAnsi="Times New Roman" w:cs="Times New Roman"/>
          <w:sz w:val="24"/>
          <w:szCs w:val="24"/>
        </w:rPr>
        <w:t xml:space="preserve">patients of </w:t>
      </w:r>
      <w:r w:rsidR="00101D23" w:rsidRPr="00807034">
        <w:rPr>
          <w:rFonts w:ascii="Times New Roman" w:hAnsi="Times New Roman" w:cs="Times New Roman"/>
          <w:sz w:val="24"/>
          <w:szCs w:val="24"/>
        </w:rPr>
        <w:t>non-white ethnic</w:t>
      </w:r>
      <w:r w:rsidR="002F186F" w:rsidRPr="00807034">
        <w:rPr>
          <w:rFonts w:ascii="Times New Roman" w:hAnsi="Times New Roman" w:cs="Times New Roman"/>
          <w:sz w:val="24"/>
          <w:szCs w:val="24"/>
        </w:rPr>
        <w:t>ity</w:t>
      </w:r>
      <w:r w:rsidR="00433835" w:rsidRPr="00807034">
        <w:rPr>
          <w:rFonts w:ascii="Times New Roman" w:hAnsi="Times New Roman" w:cs="Times New Roman"/>
          <w:sz w:val="24"/>
          <w:szCs w:val="24"/>
        </w:rPr>
        <w:t xml:space="preserve">, a sensitivity analysis was undertaken to investigate predictors of response to invitation with ethnicity removed from the model. </w:t>
      </w:r>
      <w:r w:rsidR="00807034" w:rsidRPr="00807034">
        <w:rPr>
          <w:rFonts w:ascii="Times New Roman" w:hAnsi="Times New Roman" w:cs="Times New Roman"/>
          <w:sz w:val="24"/>
          <w:szCs w:val="24"/>
        </w:rPr>
        <w:t xml:space="preserve">Lower CVD risk (p&lt;0.001), </w:t>
      </w:r>
      <w:r w:rsidR="005E0D47">
        <w:rPr>
          <w:rFonts w:ascii="Times New Roman" w:hAnsi="Times New Roman" w:cs="Times New Roman"/>
          <w:sz w:val="24"/>
          <w:szCs w:val="24"/>
        </w:rPr>
        <w:t>lower levels of deprivation</w:t>
      </w:r>
      <w:r w:rsidR="00807034" w:rsidRPr="00807034">
        <w:rPr>
          <w:rFonts w:ascii="Times New Roman" w:hAnsi="Times New Roman" w:cs="Times New Roman"/>
          <w:sz w:val="24"/>
          <w:szCs w:val="24"/>
        </w:rPr>
        <w:t xml:space="preserve"> (p=0.0</w:t>
      </w:r>
      <w:r w:rsidR="005E0D47">
        <w:rPr>
          <w:rFonts w:ascii="Times New Roman" w:hAnsi="Times New Roman" w:cs="Times New Roman"/>
          <w:sz w:val="24"/>
          <w:szCs w:val="24"/>
        </w:rPr>
        <w:t>01</w:t>
      </w:r>
      <w:r w:rsidR="00807034" w:rsidRPr="00807034">
        <w:rPr>
          <w:rFonts w:ascii="Times New Roman" w:hAnsi="Times New Roman" w:cs="Times New Roman"/>
          <w:sz w:val="24"/>
          <w:szCs w:val="24"/>
        </w:rPr>
        <w:t>), o</w:t>
      </w:r>
      <w:r w:rsidR="005725DF" w:rsidRPr="00807034">
        <w:rPr>
          <w:rFonts w:ascii="Times New Roman" w:hAnsi="Times New Roman" w:cs="Times New Roman"/>
          <w:sz w:val="24"/>
          <w:szCs w:val="24"/>
        </w:rPr>
        <w:t>lder a</w:t>
      </w:r>
      <w:r w:rsidR="00535A5B" w:rsidRPr="00807034">
        <w:rPr>
          <w:rFonts w:ascii="Times New Roman" w:hAnsi="Times New Roman" w:cs="Times New Roman"/>
          <w:sz w:val="24"/>
          <w:szCs w:val="24"/>
        </w:rPr>
        <w:t>ge (p&lt;0.001)</w:t>
      </w:r>
      <w:r w:rsidR="00807034" w:rsidRPr="00807034">
        <w:rPr>
          <w:rFonts w:ascii="Times New Roman" w:hAnsi="Times New Roman" w:cs="Times New Roman"/>
          <w:sz w:val="24"/>
          <w:szCs w:val="24"/>
        </w:rPr>
        <w:t xml:space="preserve"> and</w:t>
      </w:r>
      <w:r w:rsidR="00535A5B" w:rsidRPr="00807034">
        <w:rPr>
          <w:rFonts w:ascii="Times New Roman" w:hAnsi="Times New Roman" w:cs="Times New Roman"/>
          <w:sz w:val="24"/>
          <w:szCs w:val="24"/>
        </w:rPr>
        <w:t xml:space="preserve"> male </w:t>
      </w:r>
      <w:r w:rsidR="001A350B">
        <w:rPr>
          <w:rFonts w:ascii="Times New Roman" w:hAnsi="Times New Roman" w:cs="Times New Roman"/>
          <w:sz w:val="24"/>
          <w:szCs w:val="24"/>
        </w:rPr>
        <w:t>sex</w:t>
      </w:r>
      <w:r w:rsidR="00535A5B" w:rsidRPr="00807034">
        <w:rPr>
          <w:rFonts w:ascii="Times New Roman" w:hAnsi="Times New Roman" w:cs="Times New Roman"/>
          <w:sz w:val="24"/>
          <w:szCs w:val="24"/>
        </w:rPr>
        <w:t xml:space="preserve"> (p=0.01</w:t>
      </w:r>
      <w:r w:rsidR="005E0D47">
        <w:rPr>
          <w:rFonts w:ascii="Times New Roman" w:hAnsi="Times New Roman" w:cs="Times New Roman"/>
          <w:sz w:val="24"/>
          <w:szCs w:val="24"/>
        </w:rPr>
        <w:t>5</w:t>
      </w:r>
      <w:r w:rsidR="00535A5B" w:rsidRPr="00807034">
        <w:rPr>
          <w:rFonts w:ascii="Times New Roman" w:hAnsi="Times New Roman" w:cs="Times New Roman"/>
          <w:sz w:val="24"/>
          <w:szCs w:val="24"/>
        </w:rPr>
        <w:t xml:space="preserve">) </w:t>
      </w:r>
      <w:r w:rsidRPr="00807034">
        <w:rPr>
          <w:rFonts w:ascii="Times New Roman" w:hAnsi="Times New Roman" w:cs="Times New Roman"/>
          <w:sz w:val="24"/>
          <w:szCs w:val="24"/>
        </w:rPr>
        <w:t>remained significant predictors of response.</w:t>
      </w:r>
    </w:p>
    <w:p w14:paraId="716329F7" w14:textId="77777777" w:rsidR="001B05C9" w:rsidRPr="00807034" w:rsidRDefault="001B05C9" w:rsidP="00146777">
      <w:pPr>
        <w:spacing w:line="480" w:lineRule="auto"/>
        <w:rPr>
          <w:rFonts w:ascii="Times New Roman" w:hAnsi="Times New Roman" w:cs="Times New Roman"/>
          <w:sz w:val="24"/>
          <w:szCs w:val="24"/>
        </w:rPr>
      </w:pPr>
    </w:p>
    <w:p w14:paraId="46FA591A" w14:textId="5BFDDE27" w:rsidR="00075E98" w:rsidRPr="00771D7E" w:rsidRDefault="00075E98" w:rsidP="00146777">
      <w:pPr>
        <w:spacing w:line="480" w:lineRule="auto"/>
        <w:rPr>
          <w:rFonts w:ascii="Times New Roman" w:hAnsi="Times New Roman" w:cs="Times New Roman"/>
          <w:b/>
          <w:sz w:val="28"/>
          <w:szCs w:val="28"/>
        </w:rPr>
      </w:pPr>
      <w:r w:rsidRPr="00771D7E">
        <w:rPr>
          <w:rFonts w:ascii="Times New Roman" w:hAnsi="Times New Roman" w:cs="Times New Roman"/>
          <w:b/>
          <w:sz w:val="28"/>
          <w:szCs w:val="28"/>
        </w:rPr>
        <w:t>Discussion</w:t>
      </w:r>
    </w:p>
    <w:p w14:paraId="39490883" w14:textId="26A2CFEE" w:rsidR="0023748F" w:rsidRPr="001B05C9" w:rsidRDefault="002F186F" w:rsidP="001467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 this</w:t>
      </w:r>
      <w:r w:rsidR="00B91002">
        <w:rPr>
          <w:rFonts w:ascii="Times New Roman" w:hAnsi="Times New Roman" w:cs="Times New Roman"/>
          <w:sz w:val="24"/>
          <w:szCs w:val="24"/>
        </w:rPr>
        <w:t xml:space="preserve"> cross</w:t>
      </w:r>
      <w:r w:rsidR="007F1FED">
        <w:rPr>
          <w:rFonts w:ascii="Times New Roman" w:hAnsi="Times New Roman" w:cs="Times New Roman"/>
          <w:sz w:val="24"/>
          <w:szCs w:val="24"/>
        </w:rPr>
        <w:t>-</w:t>
      </w:r>
      <w:r w:rsidR="00B91002">
        <w:rPr>
          <w:rFonts w:ascii="Times New Roman" w:hAnsi="Times New Roman" w:cs="Times New Roman"/>
          <w:sz w:val="24"/>
          <w:szCs w:val="24"/>
        </w:rPr>
        <w:t xml:space="preserve">sectional </w:t>
      </w:r>
      <w:r>
        <w:rPr>
          <w:rFonts w:ascii="Times New Roman" w:hAnsi="Times New Roman" w:cs="Times New Roman"/>
          <w:sz w:val="24"/>
          <w:szCs w:val="24"/>
        </w:rPr>
        <w:t>study of response to an invitation to take part in a RCT of an intensive lifestyle intervention for primary prevention of CVD, we found that</w:t>
      </w:r>
      <w:r w:rsidR="00B91002">
        <w:rPr>
          <w:rFonts w:ascii="Times New Roman" w:hAnsi="Times New Roman" w:cs="Times New Roman"/>
          <w:sz w:val="24"/>
          <w:szCs w:val="24"/>
        </w:rPr>
        <w:t xml:space="preserve"> </w:t>
      </w:r>
      <w:r w:rsidR="00807034">
        <w:rPr>
          <w:rFonts w:ascii="Times New Roman" w:hAnsi="Times New Roman" w:cs="Times New Roman"/>
          <w:sz w:val="24"/>
          <w:szCs w:val="24"/>
        </w:rPr>
        <w:t xml:space="preserve">likelihood of response reduced with increasing CVD risk in </w:t>
      </w:r>
      <w:r w:rsidR="007B399A">
        <w:rPr>
          <w:rFonts w:ascii="Times New Roman" w:hAnsi="Times New Roman" w:cs="Times New Roman"/>
          <w:sz w:val="24"/>
          <w:szCs w:val="24"/>
        </w:rPr>
        <w:t>a</w:t>
      </w:r>
      <w:r w:rsidR="00807034">
        <w:rPr>
          <w:rFonts w:ascii="Times New Roman" w:hAnsi="Times New Roman" w:cs="Times New Roman"/>
          <w:sz w:val="24"/>
          <w:szCs w:val="24"/>
        </w:rPr>
        <w:t xml:space="preserve"> population</w:t>
      </w:r>
      <w:r w:rsidR="005A2E5D">
        <w:rPr>
          <w:rFonts w:ascii="Times New Roman" w:hAnsi="Times New Roman" w:cs="Times New Roman"/>
          <w:sz w:val="24"/>
          <w:szCs w:val="24"/>
        </w:rPr>
        <w:t xml:space="preserve"> who were all at high risk of CVD</w:t>
      </w:r>
      <w:r>
        <w:rPr>
          <w:rFonts w:ascii="Times New Roman" w:hAnsi="Times New Roman" w:cs="Times New Roman"/>
          <w:sz w:val="24"/>
          <w:szCs w:val="24"/>
        </w:rPr>
        <w:t>.</w:t>
      </w:r>
      <w:r w:rsidR="00B91002">
        <w:rPr>
          <w:rFonts w:ascii="Times New Roman" w:hAnsi="Times New Roman" w:cs="Times New Roman"/>
          <w:sz w:val="24"/>
          <w:szCs w:val="24"/>
        </w:rPr>
        <w:t xml:space="preserve"> </w:t>
      </w:r>
      <w:r w:rsidR="00807034">
        <w:rPr>
          <w:rFonts w:ascii="Times New Roman" w:hAnsi="Times New Roman" w:cs="Times New Roman"/>
          <w:sz w:val="24"/>
          <w:szCs w:val="24"/>
        </w:rPr>
        <w:t xml:space="preserve">Black </w:t>
      </w:r>
      <w:r w:rsidR="00807034">
        <w:rPr>
          <w:rFonts w:ascii="Times New Roman" w:hAnsi="Times New Roman" w:cs="Times New Roman"/>
          <w:sz w:val="24"/>
          <w:szCs w:val="24"/>
        </w:rPr>
        <w:lastRenderedPageBreak/>
        <w:t xml:space="preserve">African or Caribbean patients were less likely to respond than those of white ethnicity, although there were small numbers of black African or Caribbean </w:t>
      </w:r>
      <w:r w:rsidR="00D137C1">
        <w:rPr>
          <w:rFonts w:ascii="Times New Roman" w:hAnsi="Times New Roman" w:cs="Times New Roman"/>
          <w:sz w:val="24"/>
          <w:szCs w:val="24"/>
        </w:rPr>
        <w:t xml:space="preserve">patients </w:t>
      </w:r>
      <w:r w:rsidR="00807034">
        <w:rPr>
          <w:rFonts w:ascii="Times New Roman" w:hAnsi="Times New Roman" w:cs="Times New Roman"/>
          <w:sz w:val="24"/>
          <w:szCs w:val="24"/>
        </w:rPr>
        <w:t xml:space="preserve">invited. South Asian patients were as likely to respond as those of white ethnicity. We also observed high rates of missing ethnicity data on medical records and this group was less likely to respond compared to patients of white or south Asian ethnicity. </w:t>
      </w:r>
      <w:r w:rsidR="005A2E5D">
        <w:rPr>
          <w:rFonts w:ascii="Times New Roman" w:hAnsi="Times New Roman" w:cs="Times New Roman"/>
          <w:sz w:val="24"/>
          <w:szCs w:val="24"/>
        </w:rPr>
        <w:t>Likelihood of response also reduced with increasing deprivation</w:t>
      </w:r>
      <w:r w:rsidR="005E0D47">
        <w:rPr>
          <w:rFonts w:ascii="Times New Roman" w:hAnsi="Times New Roman" w:cs="Times New Roman"/>
          <w:sz w:val="24"/>
          <w:szCs w:val="24"/>
        </w:rPr>
        <w:t>.</w:t>
      </w:r>
      <w:r w:rsidR="005A2E5D">
        <w:rPr>
          <w:rFonts w:ascii="Times New Roman" w:hAnsi="Times New Roman" w:cs="Times New Roman"/>
          <w:sz w:val="24"/>
          <w:szCs w:val="24"/>
        </w:rPr>
        <w:t xml:space="preserve"> </w:t>
      </w:r>
      <w:r w:rsidR="005E0D47">
        <w:rPr>
          <w:rFonts w:ascii="Times New Roman" w:hAnsi="Times New Roman" w:cs="Times New Roman"/>
          <w:sz w:val="24"/>
          <w:szCs w:val="24"/>
        </w:rPr>
        <w:t>O</w:t>
      </w:r>
      <w:r w:rsidR="005A2E5D">
        <w:rPr>
          <w:rFonts w:ascii="Times New Roman" w:hAnsi="Times New Roman" w:cs="Times New Roman"/>
          <w:sz w:val="24"/>
          <w:szCs w:val="24"/>
        </w:rPr>
        <w:t xml:space="preserve">lder age and male </w:t>
      </w:r>
      <w:r w:rsidR="001A350B">
        <w:rPr>
          <w:rFonts w:ascii="Times New Roman" w:hAnsi="Times New Roman" w:cs="Times New Roman"/>
          <w:sz w:val="24"/>
          <w:szCs w:val="24"/>
        </w:rPr>
        <w:t>sex</w:t>
      </w:r>
      <w:r w:rsidR="005E0D47">
        <w:rPr>
          <w:rFonts w:ascii="Times New Roman" w:hAnsi="Times New Roman" w:cs="Times New Roman"/>
          <w:sz w:val="24"/>
          <w:szCs w:val="24"/>
        </w:rPr>
        <w:t xml:space="preserve"> predicted greater rates of response</w:t>
      </w:r>
      <w:r>
        <w:rPr>
          <w:rFonts w:ascii="Times New Roman" w:hAnsi="Times New Roman" w:cs="Times New Roman"/>
          <w:sz w:val="24"/>
          <w:szCs w:val="24"/>
        </w:rPr>
        <w:t>.</w:t>
      </w:r>
    </w:p>
    <w:p w14:paraId="17996192" w14:textId="3AFA8EE7" w:rsidR="0023748F" w:rsidRPr="0023748F" w:rsidRDefault="0023748F" w:rsidP="00E92BA2">
      <w:pPr>
        <w:pStyle w:val="ListParagraph"/>
        <w:spacing w:before="240" w:line="480" w:lineRule="auto"/>
        <w:ind w:left="0"/>
        <w:rPr>
          <w:rFonts w:ascii="Times New Roman" w:hAnsi="Times New Roman" w:cs="Times New Roman"/>
          <w:i/>
          <w:sz w:val="24"/>
          <w:szCs w:val="24"/>
        </w:rPr>
      </w:pPr>
      <w:r w:rsidRPr="0023748F">
        <w:rPr>
          <w:rFonts w:ascii="Times New Roman" w:hAnsi="Times New Roman" w:cs="Times New Roman"/>
          <w:i/>
          <w:sz w:val="24"/>
          <w:szCs w:val="24"/>
        </w:rPr>
        <w:t>Strengths and limitations</w:t>
      </w:r>
    </w:p>
    <w:p w14:paraId="142F06AC" w14:textId="0A00269F" w:rsidR="00FF5ACC" w:rsidRDefault="00121DBF" w:rsidP="00CC5A0B">
      <w:pPr>
        <w:spacing w:line="480" w:lineRule="auto"/>
        <w:rPr>
          <w:rFonts w:ascii="Times New Roman" w:hAnsi="Times New Roman" w:cs="Times New Roman"/>
          <w:sz w:val="24"/>
          <w:szCs w:val="24"/>
        </w:rPr>
      </w:pPr>
      <w:r w:rsidRPr="003F3A43">
        <w:rPr>
          <w:rFonts w:ascii="Times New Roman" w:hAnsi="Times New Roman" w:cs="Times New Roman"/>
          <w:sz w:val="24"/>
          <w:szCs w:val="24"/>
        </w:rPr>
        <w:t xml:space="preserve">The main strengths of the study are </w:t>
      </w:r>
      <w:r w:rsidR="00D2691D">
        <w:rPr>
          <w:rFonts w:ascii="Times New Roman" w:hAnsi="Times New Roman" w:cs="Times New Roman"/>
          <w:sz w:val="24"/>
          <w:szCs w:val="24"/>
        </w:rPr>
        <w:t xml:space="preserve">the </w:t>
      </w:r>
      <w:r w:rsidRPr="003F3A43">
        <w:rPr>
          <w:rFonts w:ascii="Times New Roman" w:hAnsi="Times New Roman" w:cs="Times New Roman"/>
          <w:sz w:val="24"/>
          <w:szCs w:val="24"/>
        </w:rPr>
        <w:t>large sample size and the opportunit</w:t>
      </w:r>
      <w:r w:rsidR="00D2691D">
        <w:rPr>
          <w:rFonts w:ascii="Times New Roman" w:hAnsi="Times New Roman" w:cs="Times New Roman"/>
          <w:sz w:val="24"/>
          <w:szCs w:val="24"/>
        </w:rPr>
        <w:t xml:space="preserve">y to assess </w:t>
      </w:r>
      <w:r w:rsidR="002F186F">
        <w:rPr>
          <w:rFonts w:ascii="Times New Roman" w:hAnsi="Times New Roman" w:cs="Times New Roman"/>
          <w:sz w:val="24"/>
          <w:szCs w:val="24"/>
        </w:rPr>
        <w:t>response</w:t>
      </w:r>
      <w:r w:rsidR="00D2691D">
        <w:rPr>
          <w:rFonts w:ascii="Times New Roman" w:hAnsi="Times New Roman" w:cs="Times New Roman"/>
          <w:sz w:val="24"/>
          <w:szCs w:val="24"/>
        </w:rPr>
        <w:t xml:space="preserve"> bias</w:t>
      </w:r>
      <w:r w:rsidRPr="003F3A43">
        <w:rPr>
          <w:rFonts w:ascii="Times New Roman" w:hAnsi="Times New Roman" w:cs="Times New Roman"/>
          <w:sz w:val="24"/>
          <w:szCs w:val="24"/>
        </w:rPr>
        <w:t xml:space="preserve"> in a multi-ethnic and </w:t>
      </w:r>
      <w:r w:rsidR="00D2691D">
        <w:rPr>
          <w:rFonts w:ascii="Times New Roman" w:hAnsi="Times New Roman" w:cs="Times New Roman"/>
          <w:sz w:val="24"/>
          <w:szCs w:val="24"/>
        </w:rPr>
        <w:t>socio-economically varied setting</w:t>
      </w:r>
      <w:r w:rsidRPr="003F3A43">
        <w:rPr>
          <w:rFonts w:ascii="Times New Roman" w:hAnsi="Times New Roman" w:cs="Times New Roman"/>
          <w:sz w:val="24"/>
          <w:szCs w:val="24"/>
        </w:rPr>
        <w:t xml:space="preserve">, which few lifestyle </w:t>
      </w:r>
      <w:r w:rsidR="00374B92">
        <w:rPr>
          <w:rFonts w:ascii="Times New Roman" w:hAnsi="Times New Roman" w:cs="Times New Roman"/>
          <w:sz w:val="24"/>
          <w:szCs w:val="24"/>
        </w:rPr>
        <w:t xml:space="preserve">intervention trials have </w:t>
      </w:r>
      <w:r w:rsidR="00B21326">
        <w:rPr>
          <w:rFonts w:ascii="Times New Roman" w:hAnsi="Times New Roman" w:cs="Times New Roman"/>
          <w:sz w:val="24"/>
          <w:szCs w:val="24"/>
        </w:rPr>
        <w:t>achieved</w:t>
      </w:r>
      <w:r w:rsidRPr="003F3A43">
        <w:rPr>
          <w:rFonts w:ascii="Times New Roman" w:hAnsi="Times New Roman" w:cs="Times New Roman"/>
          <w:sz w:val="24"/>
          <w:szCs w:val="24"/>
        </w:rPr>
        <w:t>.</w:t>
      </w:r>
      <w:r w:rsidR="00D0286D">
        <w:rPr>
          <w:rFonts w:ascii="Times New Roman" w:hAnsi="Times New Roman" w:cs="Times New Roman"/>
          <w:sz w:val="24"/>
          <w:szCs w:val="24"/>
        </w:rPr>
        <w:t>[12]</w:t>
      </w:r>
      <w:r w:rsidRPr="003F3A43">
        <w:rPr>
          <w:rFonts w:ascii="Times New Roman" w:hAnsi="Times New Roman" w:cs="Times New Roman"/>
          <w:sz w:val="24"/>
          <w:szCs w:val="24"/>
        </w:rPr>
        <w:t xml:space="preserve"> </w:t>
      </w:r>
      <w:r w:rsidR="002D4BF3">
        <w:rPr>
          <w:rFonts w:ascii="Times New Roman" w:hAnsi="Times New Roman" w:cs="Times New Roman"/>
          <w:sz w:val="24"/>
          <w:szCs w:val="24"/>
        </w:rPr>
        <w:t xml:space="preserve">Access to </w:t>
      </w:r>
      <w:proofErr w:type="spellStart"/>
      <w:r w:rsidR="002D4BF3">
        <w:rPr>
          <w:rFonts w:ascii="Times New Roman" w:hAnsi="Times New Roman" w:cs="Times New Roman"/>
          <w:sz w:val="24"/>
          <w:szCs w:val="24"/>
        </w:rPr>
        <w:t>anonymised</w:t>
      </w:r>
      <w:proofErr w:type="spellEnd"/>
      <w:r w:rsidR="002D4BF3">
        <w:rPr>
          <w:rFonts w:ascii="Times New Roman" w:hAnsi="Times New Roman" w:cs="Times New Roman"/>
          <w:sz w:val="24"/>
          <w:szCs w:val="24"/>
        </w:rPr>
        <w:t xml:space="preserve"> </w:t>
      </w:r>
      <w:r w:rsidR="0015700D" w:rsidRPr="0015700D">
        <w:rPr>
          <w:rFonts w:ascii="Times New Roman" w:hAnsi="Times New Roman" w:cs="Times New Roman"/>
          <w:sz w:val="24"/>
          <w:szCs w:val="24"/>
        </w:rPr>
        <w:t xml:space="preserve">CVD risk and sociodemographic data </w:t>
      </w:r>
      <w:r w:rsidR="002039CB">
        <w:rPr>
          <w:rFonts w:ascii="Times New Roman" w:hAnsi="Times New Roman" w:cs="Times New Roman"/>
          <w:sz w:val="24"/>
          <w:szCs w:val="24"/>
        </w:rPr>
        <w:t xml:space="preserve">of </w:t>
      </w:r>
      <w:r w:rsidR="002D4BF3">
        <w:rPr>
          <w:rFonts w:ascii="Times New Roman" w:hAnsi="Times New Roman" w:cs="Times New Roman"/>
          <w:sz w:val="24"/>
          <w:szCs w:val="24"/>
        </w:rPr>
        <w:t>large numbers of</w:t>
      </w:r>
      <w:r w:rsidR="002039CB">
        <w:rPr>
          <w:rFonts w:ascii="Times New Roman" w:hAnsi="Times New Roman" w:cs="Times New Roman"/>
          <w:sz w:val="24"/>
          <w:szCs w:val="24"/>
        </w:rPr>
        <w:t xml:space="preserve"> </w:t>
      </w:r>
      <w:r w:rsidR="002D4BF3">
        <w:rPr>
          <w:rFonts w:ascii="Times New Roman" w:hAnsi="Times New Roman" w:cs="Times New Roman"/>
          <w:sz w:val="24"/>
          <w:szCs w:val="24"/>
        </w:rPr>
        <w:t xml:space="preserve">non-responders, including those who may typically </w:t>
      </w:r>
      <w:r w:rsidR="002039CB">
        <w:rPr>
          <w:rFonts w:ascii="Times New Roman" w:hAnsi="Times New Roman" w:cs="Times New Roman"/>
          <w:sz w:val="24"/>
          <w:szCs w:val="24"/>
        </w:rPr>
        <w:t>be difficult to reach and unlikely to provide research data, is a unique aspect of this study. A</w:t>
      </w:r>
      <w:r w:rsidR="0015700D">
        <w:rPr>
          <w:rFonts w:ascii="Times New Roman" w:hAnsi="Times New Roman" w:cs="Times New Roman"/>
          <w:sz w:val="24"/>
          <w:szCs w:val="24"/>
        </w:rPr>
        <w:t xml:space="preserve">s </w:t>
      </w:r>
      <w:r w:rsidR="002039CB">
        <w:rPr>
          <w:rFonts w:ascii="Times New Roman" w:hAnsi="Times New Roman" w:cs="Times New Roman"/>
          <w:sz w:val="24"/>
          <w:szCs w:val="24"/>
        </w:rPr>
        <w:t xml:space="preserve">a consequence of this methodology </w:t>
      </w:r>
      <w:r w:rsidR="0015700D">
        <w:rPr>
          <w:rFonts w:ascii="Times New Roman" w:hAnsi="Times New Roman" w:cs="Times New Roman"/>
          <w:sz w:val="24"/>
          <w:szCs w:val="24"/>
        </w:rPr>
        <w:t>we did not have informed co</w:t>
      </w:r>
      <w:r w:rsidR="00C44689">
        <w:rPr>
          <w:rFonts w:ascii="Times New Roman" w:hAnsi="Times New Roman" w:cs="Times New Roman"/>
          <w:sz w:val="24"/>
          <w:szCs w:val="24"/>
        </w:rPr>
        <w:t xml:space="preserve">nsent </w:t>
      </w:r>
      <w:r w:rsidR="002039CB">
        <w:rPr>
          <w:rFonts w:ascii="Times New Roman" w:hAnsi="Times New Roman" w:cs="Times New Roman"/>
          <w:sz w:val="24"/>
          <w:szCs w:val="24"/>
        </w:rPr>
        <w:t>to</w:t>
      </w:r>
      <w:r w:rsidR="00C44689">
        <w:rPr>
          <w:rFonts w:ascii="Times New Roman" w:hAnsi="Times New Roman" w:cs="Times New Roman"/>
          <w:sz w:val="24"/>
          <w:szCs w:val="24"/>
        </w:rPr>
        <w:t xml:space="preserve"> access </w:t>
      </w:r>
      <w:r w:rsidR="0015700D">
        <w:rPr>
          <w:rFonts w:ascii="Times New Roman" w:hAnsi="Times New Roman" w:cs="Times New Roman"/>
          <w:sz w:val="24"/>
          <w:szCs w:val="24"/>
        </w:rPr>
        <w:t xml:space="preserve">medical records for further information and so there is a risk of residual confounding by employment status, education and </w:t>
      </w:r>
      <w:proofErr w:type="gramStart"/>
      <w:r w:rsidR="0015700D">
        <w:rPr>
          <w:rFonts w:ascii="Times New Roman" w:hAnsi="Times New Roman" w:cs="Times New Roman"/>
          <w:sz w:val="24"/>
          <w:szCs w:val="24"/>
        </w:rPr>
        <w:t>comorbidities.[</w:t>
      </w:r>
      <w:proofErr w:type="gramEnd"/>
      <w:r w:rsidR="0015700D">
        <w:rPr>
          <w:rFonts w:ascii="Times New Roman" w:hAnsi="Times New Roman" w:cs="Times New Roman"/>
          <w:sz w:val="24"/>
          <w:szCs w:val="24"/>
        </w:rPr>
        <w:t xml:space="preserve">11] </w:t>
      </w:r>
      <w:r w:rsidR="00C44689">
        <w:rPr>
          <w:rFonts w:ascii="Times New Roman" w:hAnsi="Times New Roman" w:cs="Times New Roman"/>
          <w:sz w:val="24"/>
          <w:szCs w:val="24"/>
        </w:rPr>
        <w:t xml:space="preserve">We </w:t>
      </w:r>
      <w:r w:rsidR="007F1FED">
        <w:rPr>
          <w:rFonts w:ascii="Times New Roman" w:hAnsi="Times New Roman" w:cs="Times New Roman"/>
          <w:sz w:val="24"/>
          <w:szCs w:val="24"/>
        </w:rPr>
        <w:t>retrieve</w:t>
      </w:r>
      <w:r w:rsidR="00C44689">
        <w:rPr>
          <w:rFonts w:ascii="Times New Roman" w:hAnsi="Times New Roman" w:cs="Times New Roman"/>
          <w:sz w:val="24"/>
          <w:szCs w:val="24"/>
        </w:rPr>
        <w:t>d</w:t>
      </w:r>
      <w:r w:rsidR="009243B9">
        <w:rPr>
          <w:rFonts w:ascii="Times New Roman" w:hAnsi="Times New Roman" w:cs="Times New Roman"/>
          <w:sz w:val="24"/>
          <w:szCs w:val="24"/>
        </w:rPr>
        <w:t xml:space="preserve"> </w:t>
      </w:r>
      <w:r w:rsidR="007F1FED">
        <w:rPr>
          <w:rFonts w:ascii="Times New Roman" w:hAnsi="Times New Roman" w:cs="Times New Roman"/>
          <w:sz w:val="24"/>
          <w:szCs w:val="24"/>
        </w:rPr>
        <w:t xml:space="preserve">data </w:t>
      </w:r>
      <w:r w:rsidR="0017791C">
        <w:rPr>
          <w:rFonts w:ascii="Times New Roman" w:hAnsi="Times New Roman" w:cs="Times New Roman"/>
          <w:sz w:val="24"/>
          <w:szCs w:val="24"/>
        </w:rPr>
        <w:t>from</w:t>
      </w:r>
      <w:r w:rsidR="007F1FED">
        <w:rPr>
          <w:rFonts w:ascii="Times New Roman" w:hAnsi="Times New Roman" w:cs="Times New Roman"/>
          <w:sz w:val="24"/>
          <w:szCs w:val="24"/>
        </w:rPr>
        <w:t xml:space="preserve"> </w:t>
      </w:r>
      <w:r w:rsidR="00B21326">
        <w:rPr>
          <w:rFonts w:ascii="Times New Roman" w:hAnsi="Times New Roman" w:cs="Times New Roman"/>
          <w:sz w:val="24"/>
          <w:szCs w:val="24"/>
        </w:rPr>
        <w:t xml:space="preserve">approximately </w:t>
      </w:r>
      <w:r w:rsidR="007F1FED">
        <w:rPr>
          <w:rFonts w:ascii="Times New Roman" w:hAnsi="Times New Roman" w:cs="Times New Roman"/>
          <w:sz w:val="24"/>
          <w:szCs w:val="24"/>
        </w:rPr>
        <w:t xml:space="preserve">half of the participating </w:t>
      </w:r>
      <w:r w:rsidR="005A2E5D">
        <w:rPr>
          <w:rFonts w:ascii="Times New Roman" w:hAnsi="Times New Roman" w:cs="Times New Roman"/>
          <w:sz w:val="24"/>
          <w:szCs w:val="24"/>
        </w:rPr>
        <w:t xml:space="preserve">general </w:t>
      </w:r>
      <w:r w:rsidR="009243B9">
        <w:rPr>
          <w:rFonts w:ascii="Times New Roman" w:hAnsi="Times New Roman" w:cs="Times New Roman"/>
          <w:sz w:val="24"/>
          <w:szCs w:val="24"/>
        </w:rPr>
        <w:t>practices</w:t>
      </w:r>
      <w:r w:rsidR="00D2691D">
        <w:rPr>
          <w:rFonts w:ascii="Times New Roman" w:hAnsi="Times New Roman" w:cs="Times New Roman"/>
          <w:sz w:val="24"/>
          <w:szCs w:val="24"/>
        </w:rPr>
        <w:t xml:space="preserve">, but </w:t>
      </w:r>
      <w:r w:rsidR="00C44689">
        <w:rPr>
          <w:rFonts w:ascii="Times New Roman" w:hAnsi="Times New Roman" w:cs="Times New Roman"/>
          <w:sz w:val="24"/>
          <w:szCs w:val="24"/>
        </w:rPr>
        <w:t xml:space="preserve">as </w:t>
      </w:r>
      <w:r w:rsidR="00D2691D">
        <w:rPr>
          <w:rFonts w:ascii="Times New Roman" w:hAnsi="Times New Roman" w:cs="Times New Roman"/>
          <w:sz w:val="24"/>
          <w:szCs w:val="24"/>
        </w:rPr>
        <w:t>there w</w:t>
      </w:r>
      <w:r w:rsidR="00506D49">
        <w:rPr>
          <w:rFonts w:ascii="Times New Roman" w:hAnsi="Times New Roman" w:cs="Times New Roman"/>
          <w:sz w:val="24"/>
          <w:szCs w:val="24"/>
        </w:rPr>
        <w:t>as no difference</w:t>
      </w:r>
      <w:r w:rsidR="00D2691D">
        <w:rPr>
          <w:rFonts w:ascii="Times New Roman" w:hAnsi="Times New Roman" w:cs="Times New Roman"/>
          <w:sz w:val="24"/>
          <w:szCs w:val="24"/>
        </w:rPr>
        <w:t xml:space="preserve"> in </w:t>
      </w:r>
      <w:r w:rsidR="00506D49">
        <w:rPr>
          <w:rFonts w:ascii="Times New Roman" w:hAnsi="Times New Roman" w:cs="Times New Roman"/>
          <w:sz w:val="24"/>
          <w:szCs w:val="24"/>
        </w:rPr>
        <w:t xml:space="preserve">mean </w:t>
      </w:r>
      <w:r w:rsidR="00C44689">
        <w:rPr>
          <w:rFonts w:ascii="Times New Roman" w:hAnsi="Times New Roman" w:cs="Times New Roman"/>
          <w:sz w:val="24"/>
          <w:szCs w:val="24"/>
        </w:rPr>
        <w:t xml:space="preserve">general </w:t>
      </w:r>
      <w:r w:rsidR="00D2691D">
        <w:rPr>
          <w:rFonts w:ascii="Times New Roman" w:hAnsi="Times New Roman" w:cs="Times New Roman"/>
          <w:sz w:val="24"/>
          <w:szCs w:val="24"/>
        </w:rPr>
        <w:t xml:space="preserve">practice level </w:t>
      </w:r>
      <w:r w:rsidR="0056067C">
        <w:rPr>
          <w:rFonts w:ascii="Times New Roman" w:hAnsi="Times New Roman" w:cs="Times New Roman"/>
          <w:sz w:val="24"/>
          <w:szCs w:val="24"/>
        </w:rPr>
        <w:t>depriv</w:t>
      </w:r>
      <w:r w:rsidR="0017791C">
        <w:rPr>
          <w:rFonts w:ascii="Times New Roman" w:hAnsi="Times New Roman" w:cs="Times New Roman"/>
          <w:sz w:val="24"/>
          <w:szCs w:val="24"/>
        </w:rPr>
        <w:t xml:space="preserve">ation </w:t>
      </w:r>
      <w:r w:rsidR="00C44689">
        <w:rPr>
          <w:rFonts w:ascii="Times New Roman" w:hAnsi="Times New Roman" w:cs="Times New Roman"/>
          <w:sz w:val="24"/>
          <w:szCs w:val="24"/>
        </w:rPr>
        <w:t xml:space="preserve">compared with </w:t>
      </w:r>
      <w:r w:rsidR="00506D49">
        <w:rPr>
          <w:rFonts w:ascii="Times New Roman" w:hAnsi="Times New Roman" w:cs="Times New Roman"/>
          <w:sz w:val="24"/>
          <w:szCs w:val="24"/>
        </w:rPr>
        <w:t xml:space="preserve">all </w:t>
      </w:r>
      <w:r w:rsidR="0017791C">
        <w:rPr>
          <w:rFonts w:ascii="Times New Roman" w:hAnsi="Times New Roman" w:cs="Times New Roman"/>
          <w:sz w:val="24"/>
          <w:szCs w:val="24"/>
        </w:rPr>
        <w:t>other</w:t>
      </w:r>
      <w:r w:rsidR="00D2691D">
        <w:rPr>
          <w:rFonts w:ascii="Times New Roman" w:hAnsi="Times New Roman" w:cs="Times New Roman"/>
          <w:sz w:val="24"/>
          <w:szCs w:val="24"/>
        </w:rPr>
        <w:t xml:space="preserve"> practice</w:t>
      </w:r>
      <w:r w:rsidR="0017791C">
        <w:rPr>
          <w:rFonts w:ascii="Times New Roman" w:hAnsi="Times New Roman" w:cs="Times New Roman"/>
          <w:sz w:val="24"/>
          <w:szCs w:val="24"/>
        </w:rPr>
        <w:t>s</w:t>
      </w:r>
      <w:r w:rsidR="0056067C">
        <w:rPr>
          <w:rFonts w:ascii="Times New Roman" w:hAnsi="Times New Roman" w:cs="Times New Roman"/>
          <w:sz w:val="24"/>
          <w:szCs w:val="24"/>
        </w:rPr>
        <w:t xml:space="preserve"> in south London</w:t>
      </w:r>
      <w:r w:rsidR="00C44689">
        <w:rPr>
          <w:rFonts w:ascii="Times New Roman" w:hAnsi="Times New Roman" w:cs="Times New Roman"/>
          <w:sz w:val="24"/>
          <w:szCs w:val="24"/>
        </w:rPr>
        <w:t xml:space="preserve"> it is unlikely this was a significant source of bias</w:t>
      </w:r>
      <w:r w:rsidR="009243B9">
        <w:rPr>
          <w:rFonts w:ascii="Times New Roman" w:hAnsi="Times New Roman" w:cs="Times New Roman"/>
          <w:sz w:val="24"/>
          <w:szCs w:val="24"/>
        </w:rPr>
        <w:t>.</w:t>
      </w:r>
      <w:r w:rsidR="00C5771D">
        <w:rPr>
          <w:rFonts w:ascii="Times New Roman" w:hAnsi="Times New Roman" w:cs="Times New Roman"/>
          <w:sz w:val="24"/>
          <w:szCs w:val="24"/>
        </w:rPr>
        <w:t xml:space="preserve"> </w:t>
      </w:r>
      <w:r w:rsidR="00C44689">
        <w:rPr>
          <w:rFonts w:ascii="Times New Roman" w:hAnsi="Times New Roman" w:cs="Times New Roman"/>
          <w:sz w:val="24"/>
          <w:szCs w:val="24"/>
        </w:rPr>
        <w:t xml:space="preserve">Other </w:t>
      </w:r>
      <w:r w:rsidRPr="003F3A43">
        <w:rPr>
          <w:rFonts w:ascii="Times New Roman" w:hAnsi="Times New Roman" w:cs="Times New Roman"/>
          <w:sz w:val="24"/>
          <w:szCs w:val="24"/>
        </w:rPr>
        <w:t xml:space="preserve">studies have </w:t>
      </w:r>
      <w:r w:rsidR="005A2E5D">
        <w:rPr>
          <w:rFonts w:ascii="Times New Roman" w:hAnsi="Times New Roman" w:cs="Times New Roman"/>
          <w:sz w:val="24"/>
          <w:szCs w:val="24"/>
        </w:rPr>
        <w:t xml:space="preserve">reported </w:t>
      </w:r>
      <w:r w:rsidRPr="003F3A43">
        <w:rPr>
          <w:rFonts w:ascii="Times New Roman" w:hAnsi="Times New Roman" w:cs="Times New Roman"/>
          <w:sz w:val="24"/>
          <w:szCs w:val="24"/>
        </w:rPr>
        <w:t>more detailed data on a smaller number of non-participants, including qualitative feedback on</w:t>
      </w:r>
      <w:r w:rsidR="009E6D64">
        <w:rPr>
          <w:rFonts w:ascii="Times New Roman" w:hAnsi="Times New Roman" w:cs="Times New Roman"/>
          <w:sz w:val="24"/>
          <w:szCs w:val="24"/>
        </w:rPr>
        <w:t xml:space="preserve"> reason for n</w:t>
      </w:r>
      <w:r w:rsidR="00374B92">
        <w:rPr>
          <w:rFonts w:ascii="Times New Roman" w:hAnsi="Times New Roman" w:cs="Times New Roman"/>
          <w:sz w:val="24"/>
          <w:szCs w:val="24"/>
        </w:rPr>
        <w:t>on-</w:t>
      </w:r>
      <w:proofErr w:type="gramStart"/>
      <w:r w:rsidR="00374B92">
        <w:rPr>
          <w:rFonts w:ascii="Times New Roman" w:hAnsi="Times New Roman" w:cs="Times New Roman"/>
          <w:sz w:val="24"/>
          <w:szCs w:val="24"/>
        </w:rPr>
        <w:t>participation</w:t>
      </w:r>
      <w:r w:rsidR="00C44689">
        <w:rPr>
          <w:rFonts w:ascii="Times New Roman" w:hAnsi="Times New Roman" w:cs="Times New Roman"/>
          <w:sz w:val="24"/>
          <w:szCs w:val="24"/>
        </w:rPr>
        <w:t>,</w:t>
      </w:r>
      <w:r w:rsidR="00D0286D">
        <w:rPr>
          <w:rFonts w:ascii="Times New Roman" w:hAnsi="Times New Roman" w:cs="Times New Roman"/>
          <w:sz w:val="24"/>
          <w:szCs w:val="24"/>
        </w:rPr>
        <w:t>[</w:t>
      </w:r>
      <w:proofErr w:type="gramEnd"/>
      <w:r w:rsidR="00D0286D">
        <w:rPr>
          <w:rFonts w:ascii="Times New Roman" w:hAnsi="Times New Roman" w:cs="Times New Roman"/>
          <w:sz w:val="24"/>
          <w:szCs w:val="24"/>
        </w:rPr>
        <w:t>11,15,24-26]</w:t>
      </w:r>
      <w:r w:rsidR="00975D39">
        <w:rPr>
          <w:rFonts w:ascii="Times New Roman" w:hAnsi="Times New Roman" w:cs="Times New Roman"/>
          <w:sz w:val="24"/>
          <w:szCs w:val="24"/>
        </w:rPr>
        <w:t xml:space="preserve"> </w:t>
      </w:r>
      <w:r w:rsidR="00C44689">
        <w:rPr>
          <w:rFonts w:ascii="Times New Roman" w:hAnsi="Times New Roman" w:cs="Times New Roman"/>
          <w:sz w:val="24"/>
          <w:szCs w:val="24"/>
        </w:rPr>
        <w:t xml:space="preserve">but the current study benefits from an enhanced reach and greater power to demonstrate response biases. </w:t>
      </w:r>
    </w:p>
    <w:p w14:paraId="2CC7C58A" w14:textId="5635210A" w:rsidR="005533F6" w:rsidRPr="003F3A43" w:rsidRDefault="005533F6" w:rsidP="00CC5A0B">
      <w:pPr>
        <w:spacing w:line="480" w:lineRule="auto"/>
        <w:rPr>
          <w:rFonts w:ascii="Times New Roman" w:hAnsi="Times New Roman" w:cs="Times New Roman"/>
          <w:sz w:val="24"/>
          <w:szCs w:val="24"/>
        </w:rPr>
      </w:pPr>
      <w:r>
        <w:rPr>
          <w:rFonts w:ascii="Times New Roman" w:hAnsi="Times New Roman" w:cs="Times New Roman"/>
          <w:sz w:val="24"/>
          <w:szCs w:val="24"/>
        </w:rPr>
        <w:t>The methodology of recruitment to the MOVE IT trial relied upon general practice database</w:t>
      </w:r>
      <w:r w:rsidR="00F733CA">
        <w:rPr>
          <w:rFonts w:ascii="Times New Roman" w:hAnsi="Times New Roman" w:cs="Times New Roman"/>
          <w:sz w:val="24"/>
          <w:szCs w:val="24"/>
        </w:rPr>
        <w:t xml:space="preserve"> calculations of QRisk2 score, and these calculations were used in the current </w:t>
      </w:r>
      <w:r w:rsidR="00FF5ACC">
        <w:rPr>
          <w:rFonts w:ascii="Times New Roman" w:hAnsi="Times New Roman" w:cs="Times New Roman"/>
          <w:sz w:val="24"/>
          <w:szCs w:val="24"/>
        </w:rPr>
        <w:t>analysis</w:t>
      </w:r>
      <w:r w:rsidR="00F733CA">
        <w:rPr>
          <w:rFonts w:ascii="Times New Roman" w:hAnsi="Times New Roman" w:cs="Times New Roman"/>
          <w:sz w:val="24"/>
          <w:szCs w:val="24"/>
        </w:rPr>
        <w:t xml:space="preserve">. We did not seek ethical approval to assess the </w:t>
      </w:r>
      <w:r w:rsidR="004D2F59">
        <w:rPr>
          <w:rFonts w:ascii="Times New Roman" w:hAnsi="Times New Roman" w:cs="Times New Roman"/>
          <w:sz w:val="24"/>
          <w:szCs w:val="24"/>
        </w:rPr>
        <w:t xml:space="preserve">underlying data used in the </w:t>
      </w:r>
      <w:r w:rsidR="00F733CA">
        <w:rPr>
          <w:rFonts w:ascii="Times New Roman" w:hAnsi="Times New Roman" w:cs="Times New Roman"/>
          <w:sz w:val="24"/>
          <w:szCs w:val="24"/>
        </w:rPr>
        <w:t>QRisk2 calculations</w:t>
      </w:r>
      <w:r w:rsidR="004D2F59">
        <w:rPr>
          <w:rFonts w:ascii="Times New Roman" w:hAnsi="Times New Roman" w:cs="Times New Roman"/>
          <w:sz w:val="24"/>
          <w:szCs w:val="24"/>
        </w:rPr>
        <w:t xml:space="preserve">. It may be </w:t>
      </w:r>
      <w:r w:rsidR="004D2F59">
        <w:rPr>
          <w:rFonts w:ascii="Times New Roman" w:hAnsi="Times New Roman" w:cs="Times New Roman"/>
          <w:sz w:val="24"/>
          <w:szCs w:val="24"/>
        </w:rPr>
        <w:lastRenderedPageBreak/>
        <w:t xml:space="preserve">that large proportions of clinical data such as blood pressure, weight and </w:t>
      </w:r>
      <w:proofErr w:type="spellStart"/>
      <w:r w:rsidR="004D2F59">
        <w:rPr>
          <w:rFonts w:ascii="Times New Roman" w:hAnsi="Times New Roman" w:cs="Times New Roman"/>
          <w:sz w:val="24"/>
          <w:szCs w:val="24"/>
        </w:rPr>
        <w:t>cholesterol:HDL</w:t>
      </w:r>
      <w:proofErr w:type="spellEnd"/>
      <w:r w:rsidR="004D2F59">
        <w:rPr>
          <w:rFonts w:ascii="Times New Roman" w:hAnsi="Times New Roman" w:cs="Times New Roman"/>
          <w:sz w:val="24"/>
          <w:szCs w:val="24"/>
        </w:rPr>
        <w:t xml:space="preserve"> ratio </w:t>
      </w:r>
      <w:proofErr w:type="gramStart"/>
      <w:r w:rsidR="004D2F59">
        <w:rPr>
          <w:rFonts w:ascii="Times New Roman" w:hAnsi="Times New Roman" w:cs="Times New Roman"/>
          <w:sz w:val="24"/>
          <w:szCs w:val="24"/>
        </w:rPr>
        <w:t>were</w:t>
      </w:r>
      <w:proofErr w:type="gramEnd"/>
      <w:r w:rsidR="004D2F59">
        <w:rPr>
          <w:rFonts w:ascii="Times New Roman" w:hAnsi="Times New Roman" w:cs="Times New Roman"/>
          <w:sz w:val="24"/>
          <w:szCs w:val="24"/>
        </w:rPr>
        <w:t xml:space="preserve"> missing, which has been demonstrated previously [</w:t>
      </w:r>
      <w:r w:rsidR="00CC5A0B">
        <w:rPr>
          <w:rFonts w:ascii="Times New Roman" w:hAnsi="Times New Roman" w:cs="Times New Roman"/>
          <w:sz w:val="24"/>
          <w:szCs w:val="24"/>
        </w:rPr>
        <w:t>27</w:t>
      </w:r>
      <w:r w:rsidR="004D2F59">
        <w:rPr>
          <w:rFonts w:ascii="Times New Roman" w:hAnsi="Times New Roman" w:cs="Times New Roman"/>
          <w:sz w:val="24"/>
          <w:szCs w:val="24"/>
        </w:rPr>
        <w:t xml:space="preserve">], in which case they would be replaced with age- and sex-weighted averages. Additionally, where clinical data is present, accuracy of QRisk2 scores may be compromised by the length of time since clinical data had been collected. </w:t>
      </w:r>
      <w:r w:rsidR="00FF5ACC">
        <w:rPr>
          <w:rFonts w:ascii="Times New Roman" w:hAnsi="Times New Roman" w:cs="Times New Roman"/>
          <w:sz w:val="24"/>
          <w:szCs w:val="24"/>
        </w:rPr>
        <w:t>In future analyses, the extraction of more detailed data from medical records would allow for a sensitivity analysis to explore the effect of missing or outdated data on outcomes.</w:t>
      </w:r>
    </w:p>
    <w:p w14:paraId="00C8C386" w14:textId="4BFF50F6" w:rsidR="00B116C3" w:rsidRDefault="005E515B" w:rsidP="00E92BA2">
      <w:pPr>
        <w:spacing w:before="240" w:after="0" w:line="480" w:lineRule="auto"/>
        <w:rPr>
          <w:rFonts w:ascii="Times New Roman" w:hAnsi="Times New Roman" w:cs="Times New Roman"/>
          <w:sz w:val="24"/>
          <w:szCs w:val="24"/>
        </w:rPr>
      </w:pPr>
      <w:r w:rsidRPr="003F3A43">
        <w:rPr>
          <w:rFonts w:ascii="Times New Roman" w:hAnsi="Times New Roman" w:cs="Times New Roman"/>
          <w:sz w:val="24"/>
          <w:szCs w:val="24"/>
        </w:rPr>
        <w:t>The use of a 20% QRisk2 score as a screening criteria led to invitation</w:t>
      </w:r>
      <w:r w:rsidR="00C44689">
        <w:rPr>
          <w:rFonts w:ascii="Times New Roman" w:hAnsi="Times New Roman" w:cs="Times New Roman"/>
          <w:sz w:val="24"/>
          <w:szCs w:val="24"/>
        </w:rPr>
        <w:t xml:space="preserve">s to participate being sent to </w:t>
      </w:r>
      <w:r w:rsidRPr="003F3A43">
        <w:rPr>
          <w:rFonts w:ascii="Times New Roman" w:hAnsi="Times New Roman" w:cs="Times New Roman"/>
          <w:sz w:val="24"/>
          <w:szCs w:val="24"/>
        </w:rPr>
        <w:t>older</w:t>
      </w:r>
      <w:r w:rsidR="00C44689">
        <w:rPr>
          <w:rFonts w:ascii="Times New Roman" w:hAnsi="Times New Roman" w:cs="Times New Roman"/>
          <w:sz w:val="24"/>
          <w:szCs w:val="24"/>
        </w:rPr>
        <w:t>, and more male,</w:t>
      </w:r>
      <w:r w:rsidRPr="003F3A43">
        <w:rPr>
          <w:rFonts w:ascii="Times New Roman" w:hAnsi="Times New Roman" w:cs="Times New Roman"/>
          <w:sz w:val="24"/>
          <w:szCs w:val="24"/>
        </w:rPr>
        <w:t xml:space="preserve"> </w:t>
      </w:r>
      <w:r w:rsidR="00C44689">
        <w:rPr>
          <w:rFonts w:ascii="Times New Roman" w:hAnsi="Times New Roman" w:cs="Times New Roman"/>
          <w:sz w:val="24"/>
          <w:szCs w:val="24"/>
        </w:rPr>
        <w:t>patients</w:t>
      </w:r>
      <w:r w:rsidRPr="003F3A43">
        <w:rPr>
          <w:rFonts w:ascii="Times New Roman" w:hAnsi="Times New Roman" w:cs="Times New Roman"/>
          <w:sz w:val="24"/>
          <w:szCs w:val="24"/>
        </w:rPr>
        <w:t xml:space="preserve"> as age</w:t>
      </w:r>
      <w:r w:rsidR="00C44689">
        <w:rPr>
          <w:rFonts w:ascii="Times New Roman" w:hAnsi="Times New Roman" w:cs="Times New Roman"/>
          <w:sz w:val="24"/>
          <w:szCs w:val="24"/>
        </w:rPr>
        <w:t xml:space="preserve"> and male </w:t>
      </w:r>
      <w:r w:rsidR="001A350B">
        <w:rPr>
          <w:rFonts w:ascii="Times New Roman" w:hAnsi="Times New Roman" w:cs="Times New Roman"/>
          <w:sz w:val="24"/>
          <w:szCs w:val="24"/>
        </w:rPr>
        <w:t>sex</w:t>
      </w:r>
      <w:r w:rsidRPr="003F3A43">
        <w:rPr>
          <w:rFonts w:ascii="Times New Roman" w:hAnsi="Times New Roman" w:cs="Times New Roman"/>
          <w:sz w:val="24"/>
          <w:szCs w:val="24"/>
        </w:rPr>
        <w:t xml:space="preserve"> </w:t>
      </w:r>
      <w:r w:rsidR="00C44689">
        <w:rPr>
          <w:rFonts w:ascii="Times New Roman" w:hAnsi="Times New Roman" w:cs="Times New Roman"/>
          <w:sz w:val="24"/>
          <w:szCs w:val="24"/>
        </w:rPr>
        <w:t>are given a large</w:t>
      </w:r>
      <w:r w:rsidRPr="003F3A43">
        <w:rPr>
          <w:rFonts w:ascii="Times New Roman" w:hAnsi="Times New Roman" w:cs="Times New Roman"/>
          <w:sz w:val="24"/>
          <w:szCs w:val="24"/>
        </w:rPr>
        <w:t xml:space="preserve"> weig</w:t>
      </w:r>
      <w:r w:rsidR="005511C6">
        <w:rPr>
          <w:rFonts w:ascii="Times New Roman" w:hAnsi="Times New Roman" w:cs="Times New Roman"/>
          <w:sz w:val="24"/>
          <w:szCs w:val="24"/>
        </w:rPr>
        <w:t>h</w:t>
      </w:r>
      <w:r w:rsidR="00374B92">
        <w:rPr>
          <w:rFonts w:ascii="Times New Roman" w:hAnsi="Times New Roman" w:cs="Times New Roman"/>
          <w:sz w:val="24"/>
          <w:szCs w:val="24"/>
        </w:rPr>
        <w:t xml:space="preserve">ting in the QRisk2 </w:t>
      </w:r>
      <w:proofErr w:type="gramStart"/>
      <w:r w:rsidR="00374B92">
        <w:rPr>
          <w:rFonts w:ascii="Times New Roman" w:hAnsi="Times New Roman" w:cs="Times New Roman"/>
          <w:sz w:val="24"/>
          <w:szCs w:val="24"/>
        </w:rPr>
        <w:t>algorithm</w:t>
      </w:r>
      <w:r w:rsidR="00C145B4">
        <w:rPr>
          <w:rFonts w:ascii="Times New Roman" w:hAnsi="Times New Roman" w:cs="Times New Roman"/>
          <w:sz w:val="24"/>
          <w:szCs w:val="24"/>
        </w:rPr>
        <w:t>.</w:t>
      </w:r>
      <w:r w:rsidR="00C44689">
        <w:rPr>
          <w:rFonts w:ascii="Times New Roman" w:hAnsi="Times New Roman" w:cs="Times New Roman"/>
          <w:sz w:val="24"/>
          <w:szCs w:val="24"/>
        </w:rPr>
        <w:t>[</w:t>
      </w:r>
      <w:proofErr w:type="gramEnd"/>
      <w:r w:rsidR="00C44689">
        <w:rPr>
          <w:rFonts w:ascii="Times New Roman" w:hAnsi="Times New Roman" w:cs="Times New Roman"/>
          <w:sz w:val="24"/>
          <w:szCs w:val="24"/>
        </w:rPr>
        <w:t>6</w:t>
      </w:r>
      <w:r w:rsidR="00D0286D">
        <w:rPr>
          <w:rFonts w:ascii="Times New Roman" w:hAnsi="Times New Roman" w:cs="Times New Roman"/>
          <w:sz w:val="24"/>
          <w:szCs w:val="24"/>
        </w:rPr>
        <w:t>]</w:t>
      </w:r>
      <w:r w:rsidRPr="003F3A43">
        <w:rPr>
          <w:rFonts w:ascii="Times New Roman" w:hAnsi="Times New Roman" w:cs="Times New Roman"/>
          <w:sz w:val="24"/>
          <w:szCs w:val="24"/>
        </w:rPr>
        <w:t xml:space="preserve"> </w:t>
      </w:r>
      <w:r w:rsidR="00C44689">
        <w:rPr>
          <w:rFonts w:ascii="Times New Roman" w:hAnsi="Times New Roman" w:cs="Times New Roman"/>
          <w:sz w:val="24"/>
          <w:szCs w:val="24"/>
        </w:rPr>
        <w:t>Similarly, s</w:t>
      </w:r>
      <w:r w:rsidR="00C145B4">
        <w:rPr>
          <w:rFonts w:ascii="Times New Roman" w:hAnsi="Times New Roman" w:cs="Times New Roman"/>
          <w:sz w:val="24"/>
          <w:szCs w:val="24"/>
        </w:rPr>
        <w:t xml:space="preserve">outh Asian ethnicity </w:t>
      </w:r>
      <w:r w:rsidR="00F6785F">
        <w:rPr>
          <w:rFonts w:ascii="Times New Roman" w:hAnsi="Times New Roman" w:cs="Times New Roman"/>
          <w:sz w:val="24"/>
          <w:szCs w:val="24"/>
        </w:rPr>
        <w:t>contribute</w:t>
      </w:r>
      <w:r w:rsidR="00C44689">
        <w:rPr>
          <w:rFonts w:ascii="Times New Roman" w:hAnsi="Times New Roman" w:cs="Times New Roman"/>
          <w:sz w:val="24"/>
          <w:szCs w:val="24"/>
        </w:rPr>
        <w:t>s</w:t>
      </w:r>
      <w:r w:rsidR="00F6785F">
        <w:rPr>
          <w:rFonts w:ascii="Times New Roman" w:hAnsi="Times New Roman" w:cs="Times New Roman"/>
          <w:sz w:val="24"/>
          <w:szCs w:val="24"/>
        </w:rPr>
        <w:t xml:space="preserve"> to an increased</w:t>
      </w:r>
      <w:r w:rsidR="00C145B4">
        <w:rPr>
          <w:rFonts w:ascii="Times New Roman" w:hAnsi="Times New Roman" w:cs="Times New Roman"/>
          <w:sz w:val="24"/>
          <w:szCs w:val="24"/>
        </w:rPr>
        <w:t xml:space="preserve"> QRisk2 score</w:t>
      </w:r>
      <w:r w:rsidR="005A2E5D">
        <w:rPr>
          <w:rFonts w:ascii="Times New Roman" w:hAnsi="Times New Roman" w:cs="Times New Roman"/>
          <w:sz w:val="24"/>
          <w:szCs w:val="24"/>
        </w:rPr>
        <w:t xml:space="preserve"> and </w:t>
      </w:r>
      <w:r w:rsidR="00C145B4">
        <w:rPr>
          <w:rFonts w:ascii="Times New Roman" w:hAnsi="Times New Roman" w:cs="Times New Roman"/>
          <w:sz w:val="24"/>
          <w:szCs w:val="24"/>
        </w:rPr>
        <w:t xml:space="preserve">black African or Caribbean ethnicity </w:t>
      </w:r>
      <w:r w:rsidR="005A2E5D">
        <w:rPr>
          <w:rFonts w:ascii="Times New Roman" w:hAnsi="Times New Roman" w:cs="Times New Roman"/>
          <w:sz w:val="24"/>
          <w:szCs w:val="24"/>
        </w:rPr>
        <w:t xml:space="preserve">to </w:t>
      </w:r>
      <w:r w:rsidR="00C145B4">
        <w:rPr>
          <w:rFonts w:ascii="Times New Roman" w:hAnsi="Times New Roman" w:cs="Times New Roman"/>
          <w:sz w:val="24"/>
          <w:szCs w:val="24"/>
        </w:rPr>
        <w:t xml:space="preserve">a lower </w:t>
      </w:r>
      <w:r w:rsidR="005A2E5D">
        <w:rPr>
          <w:rFonts w:ascii="Times New Roman" w:hAnsi="Times New Roman" w:cs="Times New Roman"/>
          <w:sz w:val="24"/>
          <w:szCs w:val="24"/>
        </w:rPr>
        <w:t>QRisk2</w:t>
      </w:r>
      <w:r w:rsidR="00C145B4">
        <w:rPr>
          <w:rFonts w:ascii="Times New Roman" w:hAnsi="Times New Roman" w:cs="Times New Roman"/>
          <w:sz w:val="24"/>
          <w:szCs w:val="24"/>
        </w:rPr>
        <w:t xml:space="preserve"> score</w:t>
      </w:r>
      <w:r w:rsidR="007B399A">
        <w:rPr>
          <w:rFonts w:ascii="Times New Roman" w:hAnsi="Times New Roman" w:cs="Times New Roman"/>
          <w:sz w:val="24"/>
          <w:szCs w:val="24"/>
        </w:rPr>
        <w:t xml:space="preserve"> compared to white ethnicity</w:t>
      </w:r>
      <w:r w:rsidR="00C44689">
        <w:rPr>
          <w:rFonts w:ascii="Times New Roman" w:hAnsi="Times New Roman" w:cs="Times New Roman"/>
          <w:sz w:val="24"/>
          <w:szCs w:val="24"/>
        </w:rPr>
        <w:t>. T</w:t>
      </w:r>
      <w:r w:rsidR="005A2E5D">
        <w:rPr>
          <w:rFonts w:ascii="Times New Roman" w:hAnsi="Times New Roman" w:cs="Times New Roman"/>
          <w:sz w:val="24"/>
          <w:szCs w:val="24"/>
        </w:rPr>
        <w:t>here</w:t>
      </w:r>
      <w:r w:rsidR="009D4238">
        <w:rPr>
          <w:rFonts w:ascii="Times New Roman" w:hAnsi="Times New Roman" w:cs="Times New Roman"/>
          <w:sz w:val="24"/>
          <w:szCs w:val="24"/>
        </w:rPr>
        <w:t xml:space="preserve">fore the use of </w:t>
      </w:r>
      <w:r w:rsidR="009B3E80">
        <w:rPr>
          <w:rFonts w:ascii="Times New Roman" w:hAnsi="Times New Roman" w:cs="Times New Roman"/>
          <w:sz w:val="24"/>
          <w:szCs w:val="24"/>
        </w:rPr>
        <w:t xml:space="preserve">an absolute </w:t>
      </w:r>
      <w:r w:rsidR="009D4238">
        <w:rPr>
          <w:rFonts w:ascii="Times New Roman" w:hAnsi="Times New Roman" w:cs="Times New Roman"/>
          <w:sz w:val="24"/>
          <w:szCs w:val="24"/>
        </w:rPr>
        <w:t xml:space="preserve">QRisk2 </w:t>
      </w:r>
      <w:r w:rsidR="009B3E80">
        <w:rPr>
          <w:rFonts w:ascii="Times New Roman" w:hAnsi="Times New Roman" w:cs="Times New Roman"/>
          <w:sz w:val="24"/>
          <w:szCs w:val="24"/>
        </w:rPr>
        <w:t xml:space="preserve">score </w:t>
      </w:r>
      <w:r w:rsidR="009D4238">
        <w:rPr>
          <w:rFonts w:ascii="Times New Roman" w:hAnsi="Times New Roman" w:cs="Times New Roman"/>
          <w:sz w:val="24"/>
          <w:szCs w:val="24"/>
        </w:rPr>
        <w:t xml:space="preserve">as a screening tool in recruitment contributed to limited demographic difference within the </w:t>
      </w:r>
      <w:r w:rsidR="005A2E5D">
        <w:rPr>
          <w:rFonts w:ascii="Times New Roman" w:hAnsi="Times New Roman" w:cs="Times New Roman"/>
          <w:sz w:val="24"/>
          <w:szCs w:val="24"/>
        </w:rPr>
        <w:t>target population</w:t>
      </w:r>
      <w:r w:rsidR="009D4238">
        <w:rPr>
          <w:rFonts w:ascii="Times New Roman" w:hAnsi="Times New Roman" w:cs="Times New Roman"/>
          <w:sz w:val="24"/>
          <w:szCs w:val="24"/>
        </w:rPr>
        <w:t>.</w:t>
      </w:r>
      <w:r w:rsidR="00B875B3">
        <w:rPr>
          <w:rFonts w:ascii="Times New Roman" w:hAnsi="Times New Roman" w:cs="Times New Roman"/>
          <w:sz w:val="24"/>
          <w:szCs w:val="24"/>
        </w:rPr>
        <w:t xml:space="preserve"> Alternative recruitment strategies may include the specification of individual risk factors in the search strategy,[2</w:t>
      </w:r>
      <w:r w:rsidR="00BB38CD">
        <w:rPr>
          <w:rFonts w:ascii="Times New Roman" w:hAnsi="Times New Roman" w:cs="Times New Roman"/>
          <w:sz w:val="24"/>
          <w:szCs w:val="24"/>
        </w:rPr>
        <w:t>8</w:t>
      </w:r>
      <w:r w:rsidR="00B875B3">
        <w:rPr>
          <w:rFonts w:ascii="Times New Roman" w:hAnsi="Times New Roman" w:cs="Times New Roman"/>
          <w:sz w:val="24"/>
          <w:szCs w:val="24"/>
        </w:rPr>
        <w:t>] a relative CVD risk score incorporating a comparison with the average score for an individual of the same age, sex and ethnicity, or a lifetime CVD risk score which tends to identify younger patients.</w:t>
      </w:r>
      <w:r w:rsidR="00E2301F">
        <w:rPr>
          <w:rFonts w:ascii="Times New Roman" w:hAnsi="Times New Roman" w:cs="Times New Roman"/>
          <w:sz w:val="24"/>
          <w:szCs w:val="24"/>
        </w:rPr>
        <w:t>[</w:t>
      </w:r>
      <w:r w:rsidR="00BB38CD">
        <w:rPr>
          <w:rFonts w:ascii="Times New Roman" w:hAnsi="Times New Roman" w:cs="Times New Roman"/>
          <w:sz w:val="24"/>
          <w:szCs w:val="24"/>
        </w:rPr>
        <w:t>29</w:t>
      </w:r>
      <w:r w:rsidR="00B875B3">
        <w:rPr>
          <w:rFonts w:ascii="Times New Roman" w:hAnsi="Times New Roman" w:cs="Times New Roman"/>
          <w:sz w:val="24"/>
          <w:szCs w:val="24"/>
        </w:rPr>
        <w:t>,</w:t>
      </w:r>
      <w:r w:rsidR="00BB38CD">
        <w:rPr>
          <w:rFonts w:ascii="Times New Roman" w:hAnsi="Times New Roman" w:cs="Times New Roman"/>
          <w:sz w:val="24"/>
          <w:szCs w:val="24"/>
        </w:rPr>
        <w:t>30</w:t>
      </w:r>
      <w:r w:rsidR="00E2301F">
        <w:rPr>
          <w:rFonts w:ascii="Times New Roman" w:hAnsi="Times New Roman" w:cs="Times New Roman"/>
          <w:sz w:val="24"/>
          <w:szCs w:val="24"/>
        </w:rPr>
        <w:t>]</w:t>
      </w:r>
      <w:r w:rsidRPr="003F3A43">
        <w:rPr>
          <w:rFonts w:ascii="Times New Roman" w:hAnsi="Times New Roman" w:cs="Times New Roman"/>
          <w:sz w:val="24"/>
          <w:szCs w:val="24"/>
        </w:rPr>
        <w:t xml:space="preserve"> Th</w:t>
      </w:r>
      <w:r w:rsidR="00B875B3">
        <w:rPr>
          <w:rFonts w:ascii="Times New Roman" w:hAnsi="Times New Roman" w:cs="Times New Roman"/>
          <w:sz w:val="24"/>
          <w:szCs w:val="24"/>
        </w:rPr>
        <w:t xml:space="preserve">ese approaches may </w:t>
      </w:r>
      <w:r w:rsidR="00CA4AC4">
        <w:rPr>
          <w:rFonts w:ascii="Times New Roman" w:hAnsi="Times New Roman" w:cs="Times New Roman"/>
          <w:sz w:val="24"/>
          <w:szCs w:val="24"/>
        </w:rPr>
        <w:t xml:space="preserve">assist in identifying patients </w:t>
      </w:r>
      <w:r w:rsidRPr="003F3A43">
        <w:rPr>
          <w:rFonts w:ascii="Times New Roman" w:hAnsi="Times New Roman" w:cs="Times New Roman"/>
          <w:sz w:val="24"/>
          <w:szCs w:val="24"/>
        </w:rPr>
        <w:t xml:space="preserve">whose modifiable, rather than non-modifiable, risk factors suggest they </w:t>
      </w:r>
      <w:r w:rsidR="00B875B3">
        <w:rPr>
          <w:rFonts w:ascii="Times New Roman" w:hAnsi="Times New Roman" w:cs="Times New Roman"/>
          <w:sz w:val="24"/>
          <w:szCs w:val="24"/>
        </w:rPr>
        <w:t>would</w:t>
      </w:r>
      <w:r w:rsidRPr="003F3A43">
        <w:rPr>
          <w:rFonts w:ascii="Times New Roman" w:hAnsi="Times New Roman" w:cs="Times New Roman"/>
          <w:sz w:val="24"/>
          <w:szCs w:val="24"/>
        </w:rPr>
        <w:t xml:space="preserve"> benefit from the intervention as well as increasing the likelihood of a more diverse and representative study sample. </w:t>
      </w:r>
    </w:p>
    <w:p w14:paraId="5660CD6D" w14:textId="76B79870" w:rsidR="0023748F" w:rsidRPr="0023748F" w:rsidRDefault="0023748F" w:rsidP="00146777">
      <w:pPr>
        <w:pStyle w:val="ListParagraph"/>
        <w:spacing w:before="240" w:line="480" w:lineRule="auto"/>
        <w:ind w:left="0"/>
        <w:rPr>
          <w:rFonts w:ascii="Times New Roman" w:hAnsi="Times New Roman" w:cs="Times New Roman"/>
          <w:i/>
          <w:sz w:val="24"/>
          <w:szCs w:val="24"/>
        </w:rPr>
      </w:pPr>
      <w:r>
        <w:rPr>
          <w:rFonts w:ascii="Times New Roman" w:hAnsi="Times New Roman" w:cs="Times New Roman"/>
          <w:i/>
          <w:sz w:val="24"/>
          <w:szCs w:val="24"/>
        </w:rPr>
        <w:t>Interpretation and comparison with other studies</w:t>
      </w:r>
    </w:p>
    <w:p w14:paraId="30E157A8" w14:textId="1504A540" w:rsidR="00415E1B" w:rsidRDefault="00813978" w:rsidP="00415E1B">
      <w:pPr>
        <w:pStyle w:val="ListParagraph"/>
        <w:spacing w:before="240" w:line="480" w:lineRule="auto"/>
        <w:ind w:left="0"/>
        <w:rPr>
          <w:rFonts w:ascii="Times New Roman" w:hAnsi="Times New Roman" w:cs="Times New Roman"/>
          <w:sz w:val="24"/>
          <w:szCs w:val="24"/>
        </w:rPr>
      </w:pPr>
      <w:r>
        <w:rPr>
          <w:rFonts w:ascii="Times New Roman" w:hAnsi="Times New Roman" w:cs="Times New Roman"/>
          <w:sz w:val="24"/>
          <w:szCs w:val="24"/>
        </w:rPr>
        <w:t>P</w:t>
      </w:r>
      <w:r w:rsidRPr="003F3A43">
        <w:rPr>
          <w:rFonts w:ascii="Times New Roman" w:hAnsi="Times New Roman" w:cs="Times New Roman"/>
          <w:sz w:val="24"/>
          <w:szCs w:val="24"/>
        </w:rPr>
        <w:t xml:space="preserve">revious studies </w:t>
      </w:r>
      <w:r>
        <w:rPr>
          <w:rFonts w:ascii="Times New Roman" w:hAnsi="Times New Roman" w:cs="Times New Roman"/>
          <w:sz w:val="24"/>
          <w:szCs w:val="24"/>
        </w:rPr>
        <w:t xml:space="preserve">have found both </w:t>
      </w:r>
      <w:r w:rsidR="002039CB">
        <w:rPr>
          <w:rFonts w:ascii="Times New Roman" w:hAnsi="Times New Roman" w:cs="Times New Roman"/>
          <w:sz w:val="24"/>
          <w:szCs w:val="24"/>
        </w:rPr>
        <w:t>higher levels of</w:t>
      </w:r>
      <w:r w:rsidRPr="003F3A43">
        <w:rPr>
          <w:rFonts w:ascii="Times New Roman" w:hAnsi="Times New Roman" w:cs="Times New Roman"/>
          <w:sz w:val="24"/>
          <w:szCs w:val="24"/>
        </w:rPr>
        <w:t xml:space="preserve"> self-reported health and greater self-reported activity levels</w:t>
      </w:r>
      <w:r>
        <w:rPr>
          <w:rFonts w:ascii="Times New Roman" w:hAnsi="Times New Roman" w:cs="Times New Roman"/>
          <w:sz w:val="24"/>
          <w:szCs w:val="24"/>
        </w:rPr>
        <w:t>,[10,14,16,17]</w:t>
      </w:r>
      <w:r w:rsidRPr="003F3A43">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2039CB">
        <w:rPr>
          <w:rFonts w:ascii="Times New Roman" w:hAnsi="Times New Roman" w:cs="Times New Roman"/>
          <w:sz w:val="24"/>
          <w:szCs w:val="24"/>
        </w:rPr>
        <w:t>lower levels of</w:t>
      </w:r>
      <w:r w:rsidRPr="003F3A43">
        <w:rPr>
          <w:rFonts w:ascii="Times New Roman" w:hAnsi="Times New Roman" w:cs="Times New Roman"/>
          <w:sz w:val="24"/>
          <w:szCs w:val="24"/>
        </w:rPr>
        <w:t xml:space="preserve"> self-reported health, </w:t>
      </w:r>
      <w:r>
        <w:rPr>
          <w:rFonts w:ascii="Times New Roman" w:hAnsi="Times New Roman" w:cs="Times New Roman"/>
          <w:sz w:val="24"/>
          <w:szCs w:val="24"/>
        </w:rPr>
        <w:t>lower activity levels and a higher CVD risk profile</w:t>
      </w:r>
      <w:r w:rsidRPr="003F3A43">
        <w:rPr>
          <w:rFonts w:ascii="Times New Roman" w:hAnsi="Times New Roman" w:cs="Times New Roman"/>
          <w:sz w:val="24"/>
          <w:szCs w:val="24"/>
        </w:rPr>
        <w:t xml:space="preserve"> in participants</w:t>
      </w:r>
      <w:r>
        <w:rPr>
          <w:rFonts w:ascii="Times New Roman" w:hAnsi="Times New Roman" w:cs="Times New Roman"/>
          <w:sz w:val="24"/>
          <w:szCs w:val="24"/>
        </w:rPr>
        <w:t xml:space="preserve"> compared to non-participants.[11,13-15]</w:t>
      </w:r>
      <w:r w:rsidR="00506D49">
        <w:rPr>
          <w:rFonts w:ascii="Times New Roman" w:hAnsi="Times New Roman" w:cs="Times New Roman"/>
          <w:sz w:val="24"/>
          <w:szCs w:val="24"/>
        </w:rPr>
        <w:t xml:space="preserve"> These </w:t>
      </w:r>
      <w:r w:rsidR="00506D49">
        <w:rPr>
          <w:rFonts w:ascii="Times New Roman" w:hAnsi="Times New Roman" w:cs="Times New Roman"/>
          <w:sz w:val="24"/>
          <w:szCs w:val="24"/>
        </w:rPr>
        <w:lastRenderedPageBreak/>
        <w:t>contradictory findings may relate to variations in recruitment metho</w:t>
      </w:r>
      <w:r w:rsidR="00A44962">
        <w:rPr>
          <w:rFonts w:ascii="Times New Roman" w:hAnsi="Times New Roman" w:cs="Times New Roman"/>
          <w:sz w:val="24"/>
          <w:szCs w:val="24"/>
        </w:rPr>
        <w:t xml:space="preserve">dology, </w:t>
      </w:r>
      <w:r w:rsidR="00506D49">
        <w:rPr>
          <w:rFonts w:ascii="Times New Roman" w:hAnsi="Times New Roman" w:cs="Times New Roman"/>
          <w:sz w:val="24"/>
          <w:szCs w:val="24"/>
        </w:rPr>
        <w:t>the particular target population involved</w:t>
      </w:r>
      <w:r w:rsidR="00A44962">
        <w:rPr>
          <w:rFonts w:ascii="Times New Roman" w:hAnsi="Times New Roman" w:cs="Times New Roman"/>
          <w:sz w:val="24"/>
          <w:szCs w:val="24"/>
        </w:rPr>
        <w:t xml:space="preserve"> and the aims of the trial</w:t>
      </w:r>
      <w:r w:rsidR="00506D49">
        <w:rPr>
          <w:rFonts w:ascii="Times New Roman" w:hAnsi="Times New Roman" w:cs="Times New Roman"/>
          <w:sz w:val="24"/>
          <w:szCs w:val="24"/>
        </w:rPr>
        <w:t xml:space="preserve">. </w:t>
      </w:r>
      <w:r w:rsidR="009B4D15">
        <w:rPr>
          <w:rFonts w:ascii="Times New Roman" w:hAnsi="Times New Roman" w:cs="Times New Roman"/>
          <w:sz w:val="24"/>
          <w:szCs w:val="24"/>
        </w:rPr>
        <w:t>As t</w:t>
      </w:r>
      <w:r w:rsidRPr="003F3A43">
        <w:rPr>
          <w:rFonts w:ascii="Times New Roman" w:hAnsi="Times New Roman" w:cs="Times New Roman"/>
          <w:sz w:val="24"/>
          <w:szCs w:val="24"/>
        </w:rPr>
        <w:t xml:space="preserve">he current study assessed </w:t>
      </w:r>
      <w:r w:rsidR="00506D49">
        <w:rPr>
          <w:rFonts w:ascii="Times New Roman" w:hAnsi="Times New Roman" w:cs="Times New Roman"/>
          <w:sz w:val="24"/>
          <w:szCs w:val="24"/>
        </w:rPr>
        <w:t>those who did not respond to an invitation and who are by definition hard to reach</w:t>
      </w:r>
      <w:r w:rsidR="009B4D15">
        <w:rPr>
          <w:rFonts w:ascii="Times New Roman" w:hAnsi="Times New Roman" w:cs="Times New Roman"/>
          <w:sz w:val="24"/>
          <w:szCs w:val="24"/>
        </w:rPr>
        <w:t>, we</w:t>
      </w:r>
      <w:r w:rsidRPr="003F3A43">
        <w:rPr>
          <w:rFonts w:ascii="Times New Roman" w:hAnsi="Times New Roman" w:cs="Times New Roman"/>
          <w:sz w:val="24"/>
          <w:szCs w:val="24"/>
        </w:rPr>
        <w:t xml:space="preserve"> could not </w:t>
      </w:r>
      <w:r w:rsidR="009B4D15">
        <w:rPr>
          <w:rFonts w:ascii="Times New Roman" w:hAnsi="Times New Roman" w:cs="Times New Roman"/>
          <w:sz w:val="24"/>
          <w:szCs w:val="24"/>
        </w:rPr>
        <w:t>compare</w:t>
      </w:r>
      <w:r w:rsidRPr="003F3A43">
        <w:rPr>
          <w:rFonts w:ascii="Times New Roman" w:hAnsi="Times New Roman" w:cs="Times New Roman"/>
          <w:sz w:val="24"/>
          <w:szCs w:val="24"/>
        </w:rPr>
        <w:t xml:space="preserve"> self-reported physical activity or health problems </w:t>
      </w:r>
      <w:r>
        <w:rPr>
          <w:rFonts w:ascii="Times New Roman" w:hAnsi="Times New Roman" w:cs="Times New Roman"/>
          <w:sz w:val="24"/>
          <w:szCs w:val="24"/>
        </w:rPr>
        <w:t xml:space="preserve">in </w:t>
      </w:r>
      <w:r w:rsidR="00506D49">
        <w:rPr>
          <w:rFonts w:ascii="Times New Roman" w:hAnsi="Times New Roman" w:cs="Times New Roman"/>
          <w:sz w:val="24"/>
          <w:szCs w:val="24"/>
        </w:rPr>
        <w:t xml:space="preserve">responders and </w:t>
      </w:r>
      <w:r>
        <w:rPr>
          <w:rFonts w:ascii="Times New Roman" w:hAnsi="Times New Roman" w:cs="Times New Roman"/>
          <w:sz w:val="24"/>
          <w:szCs w:val="24"/>
        </w:rPr>
        <w:t xml:space="preserve">non-responders, but had the advantage of reporting a </w:t>
      </w:r>
      <w:proofErr w:type="spellStart"/>
      <w:r>
        <w:rPr>
          <w:rFonts w:ascii="Times New Roman" w:hAnsi="Times New Roman" w:cs="Times New Roman"/>
          <w:sz w:val="24"/>
          <w:szCs w:val="24"/>
        </w:rPr>
        <w:t>standardised</w:t>
      </w:r>
      <w:proofErr w:type="spellEnd"/>
      <w:r>
        <w:rPr>
          <w:rFonts w:ascii="Times New Roman" w:hAnsi="Times New Roman" w:cs="Times New Roman"/>
          <w:sz w:val="24"/>
          <w:szCs w:val="24"/>
        </w:rPr>
        <w:t xml:space="preserve"> </w:t>
      </w:r>
      <w:r w:rsidR="00A44962">
        <w:rPr>
          <w:rFonts w:ascii="Times New Roman" w:hAnsi="Times New Roman" w:cs="Times New Roman"/>
          <w:sz w:val="24"/>
          <w:szCs w:val="24"/>
        </w:rPr>
        <w:t xml:space="preserve">CVD </w:t>
      </w:r>
      <w:r>
        <w:rPr>
          <w:rFonts w:ascii="Times New Roman" w:hAnsi="Times New Roman" w:cs="Times New Roman"/>
          <w:sz w:val="24"/>
          <w:szCs w:val="24"/>
        </w:rPr>
        <w:t>risk algorithm score</w:t>
      </w:r>
      <w:r w:rsidRPr="003F3A43">
        <w:rPr>
          <w:rFonts w:ascii="Times New Roman" w:hAnsi="Times New Roman" w:cs="Times New Roman"/>
          <w:sz w:val="24"/>
          <w:szCs w:val="24"/>
        </w:rPr>
        <w:t xml:space="preserve">. </w:t>
      </w:r>
      <w:r>
        <w:rPr>
          <w:rFonts w:ascii="Times New Roman" w:hAnsi="Times New Roman" w:cs="Times New Roman"/>
          <w:sz w:val="24"/>
          <w:szCs w:val="24"/>
        </w:rPr>
        <w:t>A</w:t>
      </w:r>
      <w:r w:rsidRPr="003F3A43">
        <w:rPr>
          <w:rFonts w:ascii="Times New Roman" w:hAnsi="Times New Roman" w:cs="Times New Roman"/>
          <w:sz w:val="24"/>
          <w:szCs w:val="24"/>
        </w:rPr>
        <w:t xml:space="preserve">lready </w:t>
      </w:r>
      <w:r>
        <w:rPr>
          <w:rFonts w:ascii="Times New Roman" w:hAnsi="Times New Roman" w:cs="Times New Roman"/>
          <w:sz w:val="24"/>
          <w:szCs w:val="24"/>
        </w:rPr>
        <w:t xml:space="preserve">feeling </w:t>
      </w:r>
      <w:r w:rsidRPr="003F3A43">
        <w:rPr>
          <w:rFonts w:ascii="Times New Roman" w:hAnsi="Times New Roman" w:cs="Times New Roman"/>
          <w:sz w:val="24"/>
          <w:szCs w:val="24"/>
        </w:rPr>
        <w:t>healthy is a frequently cited</w:t>
      </w:r>
      <w:r>
        <w:rPr>
          <w:rFonts w:ascii="Times New Roman" w:hAnsi="Times New Roman" w:cs="Times New Roman"/>
          <w:sz w:val="24"/>
          <w:szCs w:val="24"/>
        </w:rPr>
        <w:t xml:space="preserve"> cause of non-participation,[11,15,24-26]</w:t>
      </w:r>
      <w:r w:rsidRPr="003F3A4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2039CB">
        <w:rPr>
          <w:rFonts w:ascii="Times New Roman" w:hAnsi="Times New Roman" w:cs="Times New Roman"/>
          <w:sz w:val="24"/>
          <w:szCs w:val="24"/>
        </w:rPr>
        <w:t>using</w:t>
      </w:r>
      <w:r w:rsidR="00506D49">
        <w:rPr>
          <w:rFonts w:ascii="Times New Roman" w:hAnsi="Times New Roman" w:cs="Times New Roman"/>
          <w:sz w:val="24"/>
          <w:szCs w:val="24"/>
        </w:rPr>
        <w:t xml:space="preserve"> a QRisk2 cutoff score of 20% </w:t>
      </w:r>
      <w:r w:rsidR="002039CB">
        <w:rPr>
          <w:rFonts w:ascii="Times New Roman" w:hAnsi="Times New Roman" w:cs="Times New Roman"/>
          <w:sz w:val="24"/>
          <w:szCs w:val="24"/>
        </w:rPr>
        <w:t>in the current study meant that all</w:t>
      </w:r>
      <w:r w:rsidRPr="003F3A43">
        <w:rPr>
          <w:rFonts w:ascii="Times New Roman" w:hAnsi="Times New Roman" w:cs="Times New Roman"/>
          <w:sz w:val="24"/>
          <w:szCs w:val="24"/>
        </w:rPr>
        <w:t xml:space="preserve"> those invited to participate would be considered at high risk of CVD,</w:t>
      </w:r>
      <w:r>
        <w:rPr>
          <w:rFonts w:ascii="Times New Roman" w:hAnsi="Times New Roman" w:cs="Times New Roman"/>
          <w:sz w:val="24"/>
          <w:szCs w:val="24"/>
        </w:rPr>
        <w:t>[</w:t>
      </w:r>
      <w:r w:rsidR="00C63940">
        <w:rPr>
          <w:rFonts w:ascii="Times New Roman" w:hAnsi="Times New Roman" w:cs="Times New Roman"/>
          <w:sz w:val="24"/>
          <w:szCs w:val="24"/>
        </w:rPr>
        <w:t>3</w:t>
      </w:r>
      <w:r w:rsidR="00BB38CD">
        <w:rPr>
          <w:rFonts w:ascii="Times New Roman" w:hAnsi="Times New Roman" w:cs="Times New Roman"/>
          <w:sz w:val="24"/>
          <w:szCs w:val="24"/>
        </w:rPr>
        <w:t>1</w:t>
      </w:r>
      <w:r>
        <w:rPr>
          <w:rFonts w:ascii="Times New Roman" w:hAnsi="Times New Roman" w:cs="Times New Roman"/>
          <w:sz w:val="24"/>
          <w:szCs w:val="24"/>
        </w:rPr>
        <w:t>]</w:t>
      </w:r>
      <w:r w:rsidRPr="003F3A43">
        <w:rPr>
          <w:rFonts w:ascii="Times New Roman" w:hAnsi="Times New Roman" w:cs="Times New Roman"/>
          <w:sz w:val="24"/>
          <w:szCs w:val="24"/>
        </w:rPr>
        <w:t xml:space="preserve"> a fact which was communicated to patients in the invitation letter. Th</w:t>
      </w:r>
      <w:r>
        <w:rPr>
          <w:rFonts w:ascii="Times New Roman" w:hAnsi="Times New Roman" w:cs="Times New Roman"/>
          <w:sz w:val="24"/>
          <w:szCs w:val="24"/>
        </w:rPr>
        <w:t>ose patients at the highest risk level may not respond due to a number of reasons which could be explored through qualitative work.</w:t>
      </w:r>
    </w:p>
    <w:p w14:paraId="2FA00156" w14:textId="77777777" w:rsidR="00E92BA2" w:rsidRDefault="00E92BA2" w:rsidP="00E92BA2">
      <w:pPr>
        <w:pStyle w:val="ListParagraph"/>
        <w:spacing w:before="240" w:line="480" w:lineRule="auto"/>
        <w:ind w:left="0"/>
        <w:rPr>
          <w:rFonts w:ascii="Times New Roman" w:hAnsi="Times New Roman" w:cs="Times New Roman"/>
          <w:sz w:val="24"/>
          <w:szCs w:val="24"/>
        </w:rPr>
      </w:pPr>
    </w:p>
    <w:p w14:paraId="6D392795" w14:textId="09990751" w:rsidR="00813978" w:rsidRDefault="00813978" w:rsidP="00E92BA2">
      <w:pPr>
        <w:pStyle w:val="ListParagraph"/>
        <w:spacing w:before="240" w:line="480" w:lineRule="auto"/>
        <w:ind w:left="0"/>
        <w:rPr>
          <w:rFonts w:ascii="Times New Roman" w:hAnsi="Times New Roman" w:cs="Times New Roman"/>
          <w:sz w:val="24"/>
          <w:szCs w:val="24"/>
        </w:rPr>
      </w:pPr>
      <w:r>
        <w:rPr>
          <w:rFonts w:ascii="Times New Roman" w:hAnsi="Times New Roman" w:cs="Times New Roman"/>
          <w:sz w:val="24"/>
          <w:szCs w:val="24"/>
        </w:rPr>
        <w:t>Previous studies have found greater response rates in those of</w:t>
      </w:r>
      <w:r w:rsidRPr="003F3A43">
        <w:rPr>
          <w:rFonts w:ascii="Times New Roman" w:hAnsi="Times New Roman" w:cs="Times New Roman"/>
          <w:sz w:val="24"/>
          <w:szCs w:val="24"/>
        </w:rPr>
        <w:t xml:space="preserve"> white ethnic backgro</w:t>
      </w:r>
      <w:r>
        <w:rPr>
          <w:rFonts w:ascii="Times New Roman" w:hAnsi="Times New Roman" w:cs="Times New Roman"/>
          <w:sz w:val="24"/>
          <w:szCs w:val="24"/>
        </w:rPr>
        <w:t xml:space="preserve">und and those residing in more affluent areas,[11,12] but the </w:t>
      </w:r>
      <w:proofErr w:type="spellStart"/>
      <w:r>
        <w:rPr>
          <w:rFonts w:ascii="Times New Roman" w:hAnsi="Times New Roman" w:cs="Times New Roman"/>
          <w:sz w:val="24"/>
          <w:szCs w:val="24"/>
        </w:rPr>
        <w:t>generalisability</w:t>
      </w:r>
      <w:proofErr w:type="spellEnd"/>
      <w:r>
        <w:rPr>
          <w:rFonts w:ascii="Times New Roman" w:hAnsi="Times New Roman" w:cs="Times New Roman"/>
          <w:sz w:val="24"/>
          <w:szCs w:val="24"/>
        </w:rPr>
        <w:t xml:space="preserve"> of available data is limited due to the majority of participants </w:t>
      </w:r>
      <w:r w:rsidR="00A97E75">
        <w:rPr>
          <w:rFonts w:ascii="Times New Roman" w:hAnsi="Times New Roman" w:cs="Times New Roman"/>
          <w:sz w:val="24"/>
          <w:szCs w:val="24"/>
        </w:rPr>
        <w:t xml:space="preserve">in previous trials </w:t>
      </w:r>
      <w:r>
        <w:rPr>
          <w:rFonts w:ascii="Times New Roman" w:hAnsi="Times New Roman" w:cs="Times New Roman"/>
          <w:sz w:val="24"/>
          <w:szCs w:val="24"/>
        </w:rPr>
        <w:t xml:space="preserve">being white, middle-aged females, and the </w:t>
      </w:r>
      <w:r w:rsidR="00A97E75">
        <w:rPr>
          <w:rFonts w:ascii="Times New Roman" w:hAnsi="Times New Roman" w:cs="Times New Roman"/>
          <w:sz w:val="24"/>
          <w:szCs w:val="24"/>
        </w:rPr>
        <w:t xml:space="preserve">lack </w:t>
      </w:r>
      <w:r>
        <w:rPr>
          <w:rFonts w:ascii="Times New Roman" w:hAnsi="Times New Roman" w:cs="Times New Roman"/>
          <w:sz w:val="24"/>
          <w:szCs w:val="24"/>
        </w:rPr>
        <w:t xml:space="preserve">of information on ethnicity and deprivation available </w:t>
      </w:r>
      <w:r w:rsidR="00A44962">
        <w:rPr>
          <w:rFonts w:ascii="Times New Roman" w:hAnsi="Times New Roman" w:cs="Times New Roman"/>
          <w:sz w:val="24"/>
          <w:szCs w:val="24"/>
        </w:rPr>
        <w:t>in published trials.</w:t>
      </w:r>
      <w:r>
        <w:rPr>
          <w:rFonts w:ascii="Times New Roman" w:hAnsi="Times New Roman" w:cs="Times New Roman"/>
          <w:sz w:val="24"/>
          <w:szCs w:val="24"/>
        </w:rPr>
        <w:t>[</w:t>
      </w:r>
      <w:r w:rsidR="00C63940">
        <w:rPr>
          <w:rFonts w:ascii="Times New Roman" w:hAnsi="Times New Roman" w:cs="Times New Roman"/>
          <w:sz w:val="24"/>
          <w:szCs w:val="24"/>
        </w:rPr>
        <w:t>3</w:t>
      </w:r>
      <w:r w:rsidR="00BB38CD">
        <w:rPr>
          <w:rFonts w:ascii="Times New Roman" w:hAnsi="Times New Roman" w:cs="Times New Roman"/>
          <w:sz w:val="24"/>
          <w:szCs w:val="24"/>
        </w:rPr>
        <w:t>2</w:t>
      </w:r>
      <w:r w:rsidR="00A44962">
        <w:rPr>
          <w:rFonts w:ascii="Times New Roman" w:hAnsi="Times New Roman" w:cs="Times New Roman"/>
          <w:sz w:val="24"/>
          <w:szCs w:val="24"/>
        </w:rPr>
        <w:t>] O</w:t>
      </w:r>
      <w:r>
        <w:rPr>
          <w:rFonts w:ascii="Times New Roman" w:hAnsi="Times New Roman" w:cs="Times New Roman"/>
          <w:sz w:val="24"/>
          <w:szCs w:val="24"/>
        </w:rPr>
        <w:t xml:space="preserve">ur findings contribute to </w:t>
      </w:r>
      <w:r w:rsidRPr="003F3A43">
        <w:rPr>
          <w:rFonts w:ascii="Times New Roman" w:hAnsi="Times New Roman" w:cs="Times New Roman"/>
          <w:sz w:val="24"/>
          <w:szCs w:val="24"/>
        </w:rPr>
        <w:t>concerns that research in general fails to reach socially disadvantaged groups.</w:t>
      </w:r>
      <w:r>
        <w:rPr>
          <w:rFonts w:ascii="Times New Roman" w:hAnsi="Times New Roman" w:cs="Times New Roman"/>
          <w:sz w:val="24"/>
          <w:szCs w:val="24"/>
        </w:rPr>
        <w:t>[</w:t>
      </w:r>
      <w:r w:rsidR="00A44962">
        <w:rPr>
          <w:rFonts w:ascii="Times New Roman" w:hAnsi="Times New Roman" w:cs="Times New Roman"/>
          <w:sz w:val="24"/>
          <w:szCs w:val="24"/>
        </w:rPr>
        <w:t>3</w:t>
      </w:r>
      <w:r w:rsidR="00BB38CD">
        <w:rPr>
          <w:rFonts w:ascii="Times New Roman" w:hAnsi="Times New Roman" w:cs="Times New Roman"/>
          <w:sz w:val="24"/>
          <w:szCs w:val="24"/>
        </w:rPr>
        <w:t>3</w:t>
      </w:r>
      <w:r>
        <w:rPr>
          <w:rFonts w:ascii="Times New Roman" w:hAnsi="Times New Roman" w:cs="Times New Roman"/>
          <w:sz w:val="24"/>
          <w:szCs w:val="24"/>
        </w:rPr>
        <w:t>]</w:t>
      </w:r>
      <w:r w:rsidRPr="003F3A43">
        <w:rPr>
          <w:rFonts w:ascii="Times New Roman" w:hAnsi="Times New Roman" w:cs="Times New Roman"/>
          <w:sz w:val="24"/>
          <w:szCs w:val="24"/>
        </w:rPr>
        <w:t xml:space="preserve"> However, the trial did reach patients of south Asian ethnic backgrounds as much as patients of white ethnic backgrounds, which is a promising finding </w:t>
      </w:r>
      <w:r w:rsidR="002039CB">
        <w:rPr>
          <w:rFonts w:ascii="Times New Roman" w:hAnsi="Times New Roman" w:cs="Times New Roman"/>
          <w:sz w:val="24"/>
          <w:szCs w:val="24"/>
        </w:rPr>
        <w:t>given higher</w:t>
      </w:r>
      <w:r w:rsidRPr="003F3A43">
        <w:rPr>
          <w:rFonts w:ascii="Times New Roman" w:hAnsi="Times New Roman" w:cs="Times New Roman"/>
          <w:sz w:val="24"/>
          <w:szCs w:val="24"/>
        </w:rPr>
        <w:t xml:space="preserve"> CVD</w:t>
      </w:r>
      <w:r w:rsidR="002039CB">
        <w:rPr>
          <w:rFonts w:ascii="Times New Roman" w:hAnsi="Times New Roman" w:cs="Times New Roman"/>
          <w:sz w:val="24"/>
          <w:szCs w:val="24"/>
        </w:rPr>
        <w:t xml:space="preserve"> risk</w:t>
      </w:r>
      <w:r w:rsidRPr="003F3A43">
        <w:rPr>
          <w:rFonts w:ascii="Times New Roman" w:hAnsi="Times New Roman" w:cs="Times New Roman"/>
          <w:sz w:val="24"/>
          <w:szCs w:val="24"/>
        </w:rPr>
        <w:t xml:space="preserve"> in this group.</w:t>
      </w:r>
      <w:r w:rsidR="003F0E49">
        <w:rPr>
          <w:rFonts w:ascii="Times New Roman" w:hAnsi="Times New Roman" w:cs="Times New Roman"/>
          <w:sz w:val="24"/>
          <w:szCs w:val="24"/>
        </w:rPr>
        <w:t>[</w:t>
      </w:r>
      <w:r w:rsidR="00A44962">
        <w:rPr>
          <w:rFonts w:ascii="Times New Roman" w:hAnsi="Times New Roman" w:cs="Times New Roman"/>
          <w:sz w:val="24"/>
          <w:szCs w:val="24"/>
        </w:rPr>
        <w:t>3</w:t>
      </w:r>
      <w:r w:rsidR="00BB38CD">
        <w:rPr>
          <w:rFonts w:ascii="Times New Roman" w:hAnsi="Times New Roman" w:cs="Times New Roman"/>
          <w:sz w:val="24"/>
          <w:szCs w:val="24"/>
        </w:rPr>
        <w:t>4</w:t>
      </w:r>
      <w:r>
        <w:rPr>
          <w:rFonts w:ascii="Times New Roman" w:hAnsi="Times New Roman" w:cs="Times New Roman"/>
          <w:sz w:val="24"/>
          <w:szCs w:val="24"/>
        </w:rPr>
        <w:t>]</w:t>
      </w:r>
      <w:r w:rsidRPr="003F3A43">
        <w:rPr>
          <w:rFonts w:ascii="Times New Roman" w:hAnsi="Times New Roman" w:cs="Times New Roman"/>
          <w:sz w:val="24"/>
          <w:szCs w:val="24"/>
        </w:rPr>
        <w:t xml:space="preserve"> </w:t>
      </w:r>
    </w:p>
    <w:p w14:paraId="62809FBD" w14:textId="77777777" w:rsidR="00E92BA2" w:rsidRDefault="00E92BA2" w:rsidP="00E92BA2">
      <w:pPr>
        <w:pStyle w:val="ListParagraph"/>
        <w:spacing w:before="240" w:line="480" w:lineRule="auto"/>
        <w:ind w:left="0"/>
        <w:rPr>
          <w:rFonts w:ascii="Times New Roman" w:hAnsi="Times New Roman" w:cs="Times New Roman"/>
          <w:sz w:val="24"/>
          <w:szCs w:val="24"/>
        </w:rPr>
      </w:pPr>
    </w:p>
    <w:p w14:paraId="44B06FE5" w14:textId="23B40E02" w:rsidR="00813978" w:rsidRPr="003F3A43" w:rsidRDefault="00813978" w:rsidP="001467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Ability to undertake an analysis of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primary care data is limited by the large amount of missing </w:t>
      </w:r>
      <w:r w:rsidR="0059407D">
        <w:rPr>
          <w:rFonts w:ascii="Times New Roman" w:hAnsi="Times New Roman" w:cs="Times New Roman"/>
          <w:sz w:val="24"/>
          <w:szCs w:val="24"/>
        </w:rPr>
        <w:t xml:space="preserve">ethnicity </w:t>
      </w:r>
      <w:r>
        <w:rPr>
          <w:rFonts w:ascii="Times New Roman" w:hAnsi="Times New Roman" w:cs="Times New Roman"/>
          <w:sz w:val="24"/>
          <w:szCs w:val="24"/>
        </w:rPr>
        <w:t>data</w:t>
      </w:r>
      <w:r w:rsidR="0059407D">
        <w:rPr>
          <w:rFonts w:ascii="Times New Roman" w:hAnsi="Times New Roman" w:cs="Times New Roman"/>
          <w:sz w:val="24"/>
          <w:szCs w:val="24"/>
        </w:rPr>
        <w:t xml:space="preserve"> on general practice databases</w:t>
      </w:r>
      <w:r w:rsidR="006039B3">
        <w:rPr>
          <w:rFonts w:ascii="Times New Roman" w:hAnsi="Times New Roman" w:cs="Times New Roman"/>
          <w:sz w:val="24"/>
          <w:szCs w:val="24"/>
        </w:rPr>
        <w:t>, and this impacted the data collected for the current study</w:t>
      </w:r>
      <w:r w:rsidR="0059407D">
        <w:rPr>
          <w:rFonts w:ascii="Times New Roman" w:hAnsi="Times New Roman" w:cs="Times New Roman"/>
          <w:sz w:val="24"/>
          <w:szCs w:val="24"/>
        </w:rPr>
        <w:t>.</w:t>
      </w:r>
      <w:r w:rsidR="00D14589">
        <w:rPr>
          <w:rFonts w:ascii="Times New Roman" w:hAnsi="Times New Roman" w:cs="Times New Roman"/>
          <w:sz w:val="24"/>
          <w:szCs w:val="24"/>
        </w:rPr>
        <w:t xml:space="preserve"> </w:t>
      </w:r>
      <w:r>
        <w:rPr>
          <w:rFonts w:ascii="Times New Roman" w:hAnsi="Times New Roman" w:cs="Times New Roman"/>
          <w:sz w:val="24"/>
          <w:szCs w:val="24"/>
        </w:rPr>
        <w:t>Providing self-report ethnicity data has been found to be less likely in ethnic minority popu</w:t>
      </w:r>
      <w:r w:rsidR="003F0E49">
        <w:rPr>
          <w:rFonts w:ascii="Times New Roman" w:hAnsi="Times New Roman" w:cs="Times New Roman"/>
          <w:sz w:val="24"/>
          <w:szCs w:val="24"/>
        </w:rPr>
        <w:t>lations in the United States,[</w:t>
      </w:r>
      <w:r w:rsidR="00A97E75">
        <w:rPr>
          <w:rFonts w:ascii="Times New Roman" w:hAnsi="Times New Roman" w:cs="Times New Roman"/>
          <w:sz w:val="24"/>
          <w:szCs w:val="24"/>
        </w:rPr>
        <w:t>3</w:t>
      </w:r>
      <w:r w:rsidR="00BB38C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553B0E">
        <w:rPr>
          <w:rFonts w:ascii="Times New Roman" w:hAnsi="Times New Roman" w:cs="Times New Roman"/>
          <w:sz w:val="24"/>
          <w:szCs w:val="24"/>
        </w:rPr>
        <w:t>and ethnic minority patients</w:t>
      </w:r>
      <w:r>
        <w:rPr>
          <w:rFonts w:ascii="Times New Roman" w:hAnsi="Times New Roman" w:cs="Times New Roman"/>
          <w:sz w:val="24"/>
          <w:szCs w:val="24"/>
        </w:rPr>
        <w:t xml:space="preserve"> are less likely to </w:t>
      </w:r>
      <w:r>
        <w:rPr>
          <w:rFonts w:ascii="Times New Roman" w:hAnsi="Times New Roman" w:cs="Times New Roman"/>
          <w:sz w:val="24"/>
          <w:szCs w:val="24"/>
        </w:rPr>
        <w:lastRenderedPageBreak/>
        <w:t>provide ethnicity information to health care providers due to concerns over how</w:t>
      </w:r>
      <w:r w:rsidR="0059407D">
        <w:rPr>
          <w:rFonts w:ascii="Times New Roman" w:hAnsi="Times New Roman" w:cs="Times New Roman"/>
          <w:sz w:val="24"/>
          <w:szCs w:val="24"/>
        </w:rPr>
        <w:t xml:space="preserve"> the information may be used.[</w:t>
      </w:r>
      <w:r w:rsidR="00A97E75">
        <w:rPr>
          <w:rFonts w:ascii="Times New Roman" w:hAnsi="Times New Roman" w:cs="Times New Roman"/>
          <w:sz w:val="24"/>
          <w:szCs w:val="24"/>
        </w:rPr>
        <w:t>3</w:t>
      </w:r>
      <w:r w:rsidR="00BB38CD">
        <w:rPr>
          <w:rFonts w:ascii="Times New Roman" w:hAnsi="Times New Roman" w:cs="Times New Roman"/>
          <w:sz w:val="24"/>
          <w:szCs w:val="24"/>
        </w:rPr>
        <w:t>6</w:t>
      </w:r>
      <w:r>
        <w:rPr>
          <w:rFonts w:ascii="Times New Roman" w:hAnsi="Times New Roman" w:cs="Times New Roman"/>
          <w:sz w:val="24"/>
          <w:szCs w:val="24"/>
        </w:rPr>
        <w:t xml:space="preserve">] </w:t>
      </w:r>
      <w:r w:rsidR="0059407D">
        <w:rPr>
          <w:rFonts w:ascii="Times New Roman" w:hAnsi="Times New Roman" w:cs="Times New Roman"/>
          <w:sz w:val="24"/>
          <w:szCs w:val="24"/>
        </w:rPr>
        <w:t>In a study of hospital patients with cancer in England, the</w:t>
      </w:r>
      <w:r w:rsidR="00553B0E">
        <w:rPr>
          <w:rFonts w:ascii="Times New Roman" w:hAnsi="Times New Roman" w:cs="Times New Roman"/>
          <w:sz w:val="24"/>
          <w:szCs w:val="24"/>
        </w:rPr>
        <w:t>re were only small differences in proportion of missing ethnicity data recorded in secondary care between self-report ethnic backgrounds, and much larger differences were found between different hospitals</w:t>
      </w:r>
      <w:r w:rsidR="0059407D">
        <w:rPr>
          <w:rFonts w:ascii="Times New Roman" w:hAnsi="Times New Roman" w:cs="Times New Roman"/>
          <w:sz w:val="24"/>
          <w:szCs w:val="24"/>
        </w:rPr>
        <w:t>.</w:t>
      </w:r>
      <w:r w:rsidR="00553B0E">
        <w:rPr>
          <w:rFonts w:ascii="Times New Roman" w:hAnsi="Times New Roman" w:cs="Times New Roman"/>
          <w:sz w:val="24"/>
          <w:szCs w:val="24"/>
        </w:rPr>
        <w:t>[</w:t>
      </w:r>
      <w:r w:rsidR="00A97E75">
        <w:rPr>
          <w:rFonts w:ascii="Times New Roman" w:hAnsi="Times New Roman" w:cs="Times New Roman"/>
          <w:sz w:val="24"/>
          <w:szCs w:val="24"/>
        </w:rPr>
        <w:t>3</w:t>
      </w:r>
      <w:r w:rsidR="00BB38CD">
        <w:rPr>
          <w:rFonts w:ascii="Times New Roman" w:hAnsi="Times New Roman" w:cs="Times New Roman"/>
          <w:sz w:val="24"/>
          <w:szCs w:val="24"/>
        </w:rPr>
        <w:t>7</w:t>
      </w:r>
      <w:r w:rsidR="00553B0E">
        <w:rPr>
          <w:rFonts w:ascii="Times New Roman" w:hAnsi="Times New Roman" w:cs="Times New Roman"/>
          <w:sz w:val="24"/>
          <w:szCs w:val="24"/>
        </w:rPr>
        <w:t>]</w:t>
      </w:r>
      <w:r w:rsidR="0059407D">
        <w:rPr>
          <w:rFonts w:ascii="Times New Roman" w:hAnsi="Times New Roman" w:cs="Times New Roman"/>
          <w:sz w:val="24"/>
          <w:szCs w:val="24"/>
        </w:rPr>
        <w:t xml:space="preserve"> </w:t>
      </w:r>
      <w:r w:rsidR="00553B0E">
        <w:rPr>
          <w:rFonts w:ascii="Times New Roman" w:hAnsi="Times New Roman" w:cs="Times New Roman"/>
          <w:sz w:val="24"/>
          <w:szCs w:val="24"/>
        </w:rPr>
        <w:t xml:space="preserve">The missing ethnicity data in primary care may be related to either general practice </w:t>
      </w:r>
      <w:r w:rsidR="00A97E75">
        <w:rPr>
          <w:rFonts w:ascii="Times New Roman" w:hAnsi="Times New Roman" w:cs="Times New Roman"/>
          <w:sz w:val="24"/>
          <w:szCs w:val="24"/>
        </w:rPr>
        <w:t>ethnicity-recording</w:t>
      </w:r>
      <w:r w:rsidR="00553B0E">
        <w:rPr>
          <w:rFonts w:ascii="Times New Roman" w:hAnsi="Times New Roman" w:cs="Times New Roman"/>
          <w:sz w:val="24"/>
          <w:szCs w:val="24"/>
        </w:rPr>
        <w:t xml:space="preserve"> processes or patient reluctance to divulge information, and further research is needed to </w:t>
      </w:r>
      <w:r w:rsidR="00A97E75">
        <w:rPr>
          <w:rFonts w:ascii="Times New Roman" w:hAnsi="Times New Roman" w:cs="Times New Roman"/>
          <w:sz w:val="24"/>
          <w:szCs w:val="24"/>
        </w:rPr>
        <w:t>explore this</w:t>
      </w:r>
      <w:r w:rsidR="00553B0E">
        <w:rPr>
          <w:rFonts w:ascii="Times New Roman" w:hAnsi="Times New Roman" w:cs="Times New Roman"/>
          <w:sz w:val="24"/>
          <w:szCs w:val="24"/>
        </w:rPr>
        <w:t xml:space="preserve"> and which patient</w:t>
      </w:r>
      <w:r w:rsidR="00A97E75">
        <w:rPr>
          <w:rFonts w:ascii="Times New Roman" w:hAnsi="Times New Roman" w:cs="Times New Roman"/>
          <w:sz w:val="24"/>
          <w:szCs w:val="24"/>
        </w:rPr>
        <w:t xml:space="preserve"> group</w:t>
      </w:r>
      <w:r w:rsidR="00553B0E">
        <w:rPr>
          <w:rFonts w:ascii="Times New Roman" w:hAnsi="Times New Roman" w:cs="Times New Roman"/>
          <w:sz w:val="24"/>
          <w:szCs w:val="24"/>
        </w:rPr>
        <w:t>s are more likely to have missing ethnicity data.</w:t>
      </w:r>
      <w:r w:rsidR="00E971A1">
        <w:rPr>
          <w:rFonts w:ascii="Times New Roman" w:hAnsi="Times New Roman" w:cs="Times New Roman"/>
          <w:sz w:val="24"/>
          <w:szCs w:val="24"/>
        </w:rPr>
        <w:t xml:space="preserve"> Increasing ethnicity recording in primary care is vital for understanding the representativeness of study samples.</w:t>
      </w:r>
      <w:r w:rsidR="00553B0E">
        <w:rPr>
          <w:rFonts w:ascii="Times New Roman" w:hAnsi="Times New Roman" w:cs="Times New Roman"/>
          <w:sz w:val="24"/>
          <w:szCs w:val="24"/>
        </w:rPr>
        <w:t xml:space="preserve"> </w:t>
      </w:r>
      <w:r>
        <w:rPr>
          <w:rFonts w:ascii="Times New Roman" w:hAnsi="Times New Roman" w:cs="Times New Roman"/>
          <w:sz w:val="24"/>
          <w:szCs w:val="24"/>
        </w:rPr>
        <w:t>Patients reluctant to provide optional self-report ethnicity data in primary care may similarly be at reduced likelihood of responding to a RCT invitation</w:t>
      </w:r>
      <w:r w:rsidR="00E971A1">
        <w:rPr>
          <w:rFonts w:ascii="Times New Roman" w:hAnsi="Times New Roman" w:cs="Times New Roman"/>
          <w:sz w:val="24"/>
          <w:szCs w:val="24"/>
        </w:rPr>
        <w:t>, as our findings may allude to</w:t>
      </w:r>
      <w:r>
        <w:rPr>
          <w:rFonts w:ascii="Times New Roman" w:hAnsi="Times New Roman" w:cs="Times New Roman"/>
          <w:sz w:val="24"/>
          <w:szCs w:val="24"/>
        </w:rPr>
        <w:t xml:space="preserve">. </w:t>
      </w:r>
      <w:r w:rsidRPr="003F3A43">
        <w:rPr>
          <w:rFonts w:ascii="Times New Roman" w:hAnsi="Times New Roman" w:cs="Times New Roman"/>
          <w:sz w:val="24"/>
          <w:szCs w:val="24"/>
        </w:rPr>
        <w:t xml:space="preserve">Increasing awareness in certain subgroups of the population through varied approaches to recruitment, such as employing telephone </w:t>
      </w:r>
      <w:r>
        <w:rPr>
          <w:rFonts w:ascii="Times New Roman" w:hAnsi="Times New Roman" w:cs="Times New Roman"/>
          <w:sz w:val="24"/>
          <w:szCs w:val="24"/>
        </w:rPr>
        <w:t>or email rem</w:t>
      </w:r>
      <w:r w:rsidR="003F0E49">
        <w:rPr>
          <w:rFonts w:ascii="Times New Roman" w:hAnsi="Times New Roman" w:cs="Times New Roman"/>
          <w:sz w:val="24"/>
          <w:szCs w:val="24"/>
        </w:rPr>
        <w:t>inders for non-</w:t>
      </w:r>
      <w:proofErr w:type="gramStart"/>
      <w:r w:rsidR="003F0E49">
        <w:rPr>
          <w:rFonts w:ascii="Times New Roman" w:hAnsi="Times New Roman" w:cs="Times New Roman"/>
          <w:sz w:val="24"/>
          <w:szCs w:val="24"/>
        </w:rPr>
        <w:t>responders,[</w:t>
      </w:r>
      <w:proofErr w:type="gramEnd"/>
      <w:r w:rsidR="002F1112">
        <w:rPr>
          <w:rFonts w:ascii="Times New Roman" w:hAnsi="Times New Roman" w:cs="Times New Roman"/>
          <w:sz w:val="24"/>
          <w:szCs w:val="24"/>
        </w:rPr>
        <w:t>3</w:t>
      </w:r>
      <w:r w:rsidR="00BB38CD">
        <w:rPr>
          <w:rFonts w:ascii="Times New Roman" w:hAnsi="Times New Roman" w:cs="Times New Roman"/>
          <w:sz w:val="24"/>
          <w:szCs w:val="24"/>
        </w:rPr>
        <w:t>8</w:t>
      </w:r>
      <w:r>
        <w:rPr>
          <w:rFonts w:ascii="Times New Roman" w:hAnsi="Times New Roman" w:cs="Times New Roman"/>
          <w:sz w:val="24"/>
          <w:szCs w:val="24"/>
        </w:rPr>
        <w:t>]</w:t>
      </w:r>
      <w:r w:rsidRPr="003F3A43">
        <w:rPr>
          <w:rFonts w:ascii="Times New Roman" w:hAnsi="Times New Roman" w:cs="Times New Roman"/>
          <w:sz w:val="24"/>
          <w:szCs w:val="24"/>
        </w:rPr>
        <w:t xml:space="preserve"> or the assistance of a recruitment mediator who is a member of the subgroup,</w:t>
      </w:r>
      <w:r>
        <w:rPr>
          <w:rFonts w:ascii="Times New Roman" w:hAnsi="Times New Roman" w:cs="Times New Roman"/>
          <w:sz w:val="24"/>
          <w:szCs w:val="24"/>
        </w:rPr>
        <w:t>[</w:t>
      </w:r>
      <w:r w:rsidR="002F1112">
        <w:rPr>
          <w:rFonts w:ascii="Times New Roman" w:hAnsi="Times New Roman" w:cs="Times New Roman"/>
          <w:sz w:val="24"/>
          <w:szCs w:val="24"/>
        </w:rPr>
        <w:t>3</w:t>
      </w:r>
      <w:r w:rsidR="00BB38CD">
        <w:rPr>
          <w:rFonts w:ascii="Times New Roman" w:hAnsi="Times New Roman" w:cs="Times New Roman"/>
          <w:sz w:val="24"/>
          <w:szCs w:val="24"/>
        </w:rPr>
        <w:t>9</w:t>
      </w:r>
      <w:r>
        <w:rPr>
          <w:rFonts w:ascii="Times New Roman" w:hAnsi="Times New Roman" w:cs="Times New Roman"/>
          <w:sz w:val="24"/>
          <w:szCs w:val="24"/>
        </w:rPr>
        <w:t>]</w:t>
      </w:r>
      <w:r w:rsidRPr="003F3A43">
        <w:rPr>
          <w:rFonts w:ascii="Times New Roman" w:hAnsi="Times New Roman" w:cs="Times New Roman"/>
          <w:sz w:val="24"/>
          <w:szCs w:val="24"/>
        </w:rPr>
        <w:t xml:space="preserve"> </w:t>
      </w:r>
      <w:r>
        <w:rPr>
          <w:rFonts w:ascii="Times New Roman" w:hAnsi="Times New Roman" w:cs="Times New Roman"/>
          <w:sz w:val="24"/>
          <w:szCs w:val="24"/>
        </w:rPr>
        <w:t>could</w:t>
      </w:r>
      <w:r w:rsidRPr="003F3A43">
        <w:rPr>
          <w:rFonts w:ascii="Times New Roman" w:hAnsi="Times New Roman" w:cs="Times New Roman"/>
          <w:sz w:val="24"/>
          <w:szCs w:val="24"/>
        </w:rPr>
        <w:t xml:space="preserve"> help to improve </w:t>
      </w:r>
      <w:r>
        <w:rPr>
          <w:rFonts w:ascii="Times New Roman" w:hAnsi="Times New Roman" w:cs="Times New Roman"/>
          <w:sz w:val="24"/>
          <w:szCs w:val="24"/>
        </w:rPr>
        <w:t xml:space="preserve">study </w:t>
      </w:r>
      <w:r w:rsidRPr="003F3A43">
        <w:rPr>
          <w:rFonts w:ascii="Times New Roman" w:hAnsi="Times New Roman" w:cs="Times New Roman"/>
          <w:sz w:val="24"/>
          <w:szCs w:val="24"/>
        </w:rPr>
        <w:t>representativeness</w:t>
      </w:r>
      <w:r>
        <w:rPr>
          <w:rFonts w:ascii="Times New Roman" w:hAnsi="Times New Roman" w:cs="Times New Roman"/>
          <w:sz w:val="24"/>
          <w:szCs w:val="24"/>
        </w:rPr>
        <w:t xml:space="preserve"> amongst ethnic minority and less affluent groups</w:t>
      </w:r>
      <w:r w:rsidRPr="003F3A43">
        <w:rPr>
          <w:rFonts w:ascii="Times New Roman" w:hAnsi="Times New Roman" w:cs="Times New Roman"/>
          <w:sz w:val="24"/>
          <w:szCs w:val="24"/>
        </w:rPr>
        <w:t>.</w:t>
      </w:r>
      <w:r>
        <w:rPr>
          <w:rFonts w:ascii="Times New Roman" w:hAnsi="Times New Roman" w:cs="Times New Roman"/>
          <w:sz w:val="24"/>
          <w:szCs w:val="24"/>
        </w:rPr>
        <w:t xml:space="preserve"> </w:t>
      </w:r>
    </w:p>
    <w:p w14:paraId="14D0ABEB" w14:textId="77777777" w:rsidR="00813978" w:rsidRDefault="00813978" w:rsidP="00146777">
      <w:pPr>
        <w:pStyle w:val="ListParagraph"/>
        <w:spacing w:before="240" w:line="480" w:lineRule="auto"/>
        <w:ind w:left="0"/>
        <w:rPr>
          <w:rFonts w:ascii="Times New Roman" w:hAnsi="Times New Roman" w:cs="Times New Roman"/>
          <w:sz w:val="24"/>
          <w:szCs w:val="24"/>
        </w:rPr>
      </w:pPr>
    </w:p>
    <w:p w14:paraId="748D2916" w14:textId="62F7917F" w:rsidR="006442AA" w:rsidRPr="003F3A43" w:rsidRDefault="00440746" w:rsidP="00146777">
      <w:pPr>
        <w:pStyle w:val="ListParagraph"/>
        <w:spacing w:before="240" w:line="480" w:lineRule="auto"/>
        <w:ind w:left="0"/>
        <w:rPr>
          <w:rFonts w:ascii="Times New Roman" w:hAnsi="Times New Roman" w:cs="Times New Roman"/>
          <w:sz w:val="24"/>
          <w:szCs w:val="24"/>
        </w:rPr>
      </w:pPr>
      <w:r w:rsidRPr="003F3A43">
        <w:rPr>
          <w:rFonts w:ascii="Times New Roman" w:hAnsi="Times New Roman" w:cs="Times New Roman"/>
          <w:sz w:val="24"/>
          <w:szCs w:val="24"/>
        </w:rPr>
        <w:t>T</w:t>
      </w:r>
      <w:r w:rsidR="00762EA2" w:rsidRPr="003F3A43">
        <w:rPr>
          <w:rFonts w:ascii="Times New Roman" w:hAnsi="Times New Roman" w:cs="Times New Roman"/>
          <w:sz w:val="24"/>
          <w:szCs w:val="24"/>
        </w:rPr>
        <w:t xml:space="preserve">he </w:t>
      </w:r>
      <w:r w:rsidR="008936F7">
        <w:rPr>
          <w:rFonts w:ascii="Times New Roman" w:hAnsi="Times New Roman" w:cs="Times New Roman"/>
          <w:sz w:val="24"/>
          <w:szCs w:val="24"/>
        </w:rPr>
        <w:t>majority of those invited to the trial were above working ag</w:t>
      </w:r>
      <w:r w:rsidR="00EA30BE">
        <w:rPr>
          <w:rFonts w:ascii="Times New Roman" w:hAnsi="Times New Roman" w:cs="Times New Roman"/>
          <w:sz w:val="24"/>
          <w:szCs w:val="24"/>
        </w:rPr>
        <w:t>e</w:t>
      </w:r>
      <w:r w:rsidR="006039B3">
        <w:rPr>
          <w:rFonts w:ascii="Times New Roman" w:hAnsi="Times New Roman" w:cs="Times New Roman"/>
          <w:sz w:val="24"/>
          <w:szCs w:val="24"/>
        </w:rPr>
        <w:t>, and likelihood of response increased with age</w:t>
      </w:r>
      <w:r w:rsidR="00762EA2" w:rsidRPr="003F3A43">
        <w:rPr>
          <w:rFonts w:ascii="Times New Roman" w:hAnsi="Times New Roman" w:cs="Times New Roman"/>
          <w:sz w:val="24"/>
          <w:szCs w:val="24"/>
        </w:rPr>
        <w:t>.</w:t>
      </w:r>
      <w:r w:rsidR="006442AA" w:rsidRPr="003F3A43">
        <w:rPr>
          <w:rFonts w:ascii="Times New Roman" w:hAnsi="Times New Roman" w:cs="Times New Roman"/>
          <w:sz w:val="24"/>
          <w:szCs w:val="24"/>
        </w:rPr>
        <w:t xml:space="preserve"> </w:t>
      </w:r>
      <w:r w:rsidR="005E2C20">
        <w:rPr>
          <w:rFonts w:ascii="Times New Roman" w:hAnsi="Times New Roman" w:cs="Times New Roman"/>
          <w:sz w:val="24"/>
          <w:szCs w:val="24"/>
        </w:rPr>
        <w:t xml:space="preserve">Burden of </w:t>
      </w:r>
      <w:r w:rsidR="008B1B6A" w:rsidRPr="003F3A43">
        <w:rPr>
          <w:rFonts w:ascii="Times New Roman" w:hAnsi="Times New Roman" w:cs="Times New Roman"/>
          <w:sz w:val="24"/>
          <w:szCs w:val="24"/>
        </w:rPr>
        <w:t>time</w:t>
      </w:r>
      <w:r w:rsidR="005E2C20">
        <w:rPr>
          <w:rFonts w:ascii="Times New Roman" w:hAnsi="Times New Roman" w:cs="Times New Roman"/>
          <w:sz w:val="24"/>
          <w:szCs w:val="24"/>
        </w:rPr>
        <w:t xml:space="preserve"> is</w:t>
      </w:r>
      <w:r w:rsidR="008B1B6A" w:rsidRPr="003F3A43">
        <w:rPr>
          <w:rFonts w:ascii="Times New Roman" w:hAnsi="Times New Roman" w:cs="Times New Roman"/>
          <w:sz w:val="24"/>
          <w:szCs w:val="24"/>
        </w:rPr>
        <w:t xml:space="preserve"> </w:t>
      </w:r>
      <w:r w:rsidR="00D83CF5" w:rsidRPr="003F3A43">
        <w:rPr>
          <w:rFonts w:ascii="Times New Roman" w:hAnsi="Times New Roman" w:cs="Times New Roman"/>
          <w:sz w:val="24"/>
          <w:szCs w:val="24"/>
        </w:rPr>
        <w:t>a</w:t>
      </w:r>
      <w:r w:rsidR="008B1B6A" w:rsidRPr="003F3A43">
        <w:rPr>
          <w:rFonts w:ascii="Times New Roman" w:hAnsi="Times New Roman" w:cs="Times New Roman"/>
          <w:sz w:val="24"/>
          <w:szCs w:val="24"/>
        </w:rPr>
        <w:t xml:space="preserve"> common reason for non-participation in</w:t>
      </w:r>
      <w:r w:rsidR="00D64000" w:rsidRPr="003F3A43">
        <w:rPr>
          <w:rFonts w:ascii="Times New Roman" w:hAnsi="Times New Roman" w:cs="Times New Roman"/>
          <w:sz w:val="24"/>
          <w:szCs w:val="24"/>
        </w:rPr>
        <w:t xml:space="preserve"> </w:t>
      </w:r>
      <w:r w:rsidR="005E2C20">
        <w:rPr>
          <w:rFonts w:ascii="Times New Roman" w:hAnsi="Times New Roman" w:cs="Times New Roman"/>
          <w:sz w:val="24"/>
          <w:szCs w:val="24"/>
        </w:rPr>
        <w:t xml:space="preserve">lifestyle </w:t>
      </w:r>
      <w:proofErr w:type="gramStart"/>
      <w:r w:rsidR="005E2C20">
        <w:rPr>
          <w:rFonts w:ascii="Times New Roman" w:hAnsi="Times New Roman" w:cs="Times New Roman"/>
          <w:sz w:val="24"/>
          <w:szCs w:val="24"/>
        </w:rPr>
        <w:t>interventions,</w:t>
      </w:r>
      <w:r w:rsidR="00D0286D">
        <w:rPr>
          <w:rFonts w:ascii="Times New Roman" w:hAnsi="Times New Roman" w:cs="Times New Roman"/>
          <w:sz w:val="24"/>
          <w:szCs w:val="24"/>
        </w:rPr>
        <w:t>[</w:t>
      </w:r>
      <w:proofErr w:type="gramEnd"/>
      <w:r w:rsidR="00D0286D">
        <w:rPr>
          <w:rFonts w:ascii="Times New Roman" w:hAnsi="Times New Roman" w:cs="Times New Roman"/>
          <w:sz w:val="24"/>
          <w:szCs w:val="24"/>
        </w:rPr>
        <w:t>11,24-26]</w:t>
      </w:r>
      <w:r w:rsidR="00727BA3" w:rsidRPr="003F3A43">
        <w:rPr>
          <w:rFonts w:ascii="Times New Roman" w:hAnsi="Times New Roman" w:cs="Times New Roman"/>
          <w:sz w:val="24"/>
          <w:szCs w:val="24"/>
        </w:rPr>
        <w:t xml:space="preserve"> </w:t>
      </w:r>
      <w:r w:rsidR="005E2C20">
        <w:rPr>
          <w:rFonts w:ascii="Times New Roman" w:hAnsi="Times New Roman" w:cs="Times New Roman"/>
          <w:sz w:val="24"/>
          <w:szCs w:val="24"/>
        </w:rPr>
        <w:t>and o</w:t>
      </w:r>
      <w:r w:rsidR="00D2691D">
        <w:rPr>
          <w:rFonts w:ascii="Times New Roman" w:hAnsi="Times New Roman" w:cs="Times New Roman"/>
          <w:sz w:val="24"/>
          <w:szCs w:val="24"/>
        </w:rPr>
        <w:t>lder invitees are more likely to be retired and may have more flexibility to participat</w:t>
      </w:r>
      <w:r w:rsidR="009D4238">
        <w:rPr>
          <w:rFonts w:ascii="Times New Roman" w:hAnsi="Times New Roman" w:cs="Times New Roman"/>
          <w:sz w:val="24"/>
          <w:szCs w:val="24"/>
        </w:rPr>
        <w:t>e</w:t>
      </w:r>
      <w:r w:rsidR="00D2691D">
        <w:rPr>
          <w:rFonts w:ascii="Times New Roman" w:hAnsi="Times New Roman" w:cs="Times New Roman"/>
          <w:sz w:val="24"/>
          <w:szCs w:val="24"/>
        </w:rPr>
        <w:t>.</w:t>
      </w:r>
      <w:r w:rsidR="008B1232">
        <w:rPr>
          <w:rFonts w:ascii="Times New Roman" w:hAnsi="Times New Roman" w:cs="Times New Roman"/>
          <w:sz w:val="24"/>
          <w:szCs w:val="24"/>
        </w:rPr>
        <w:t xml:space="preserve"> Other studies </w:t>
      </w:r>
      <w:r w:rsidR="008B1232" w:rsidRPr="008B1232">
        <w:rPr>
          <w:rFonts w:ascii="Times New Roman" w:hAnsi="Times New Roman" w:cs="Times New Roman"/>
          <w:sz w:val="24"/>
          <w:szCs w:val="24"/>
        </w:rPr>
        <w:t>have found that participation rate increases with age in working age populations,</w:t>
      </w:r>
      <w:r w:rsidR="008B1232">
        <w:rPr>
          <w:rFonts w:ascii="Times New Roman" w:hAnsi="Times New Roman" w:cs="Times New Roman"/>
          <w:sz w:val="24"/>
          <w:szCs w:val="24"/>
        </w:rPr>
        <w:t>[</w:t>
      </w:r>
      <w:r w:rsidR="008B1232" w:rsidRPr="008B1232">
        <w:rPr>
          <w:rFonts w:ascii="Times New Roman" w:hAnsi="Times New Roman" w:cs="Times New Roman"/>
          <w:sz w:val="24"/>
          <w:szCs w:val="24"/>
        </w:rPr>
        <w:t>15</w:t>
      </w:r>
      <w:r w:rsidR="008B1232">
        <w:rPr>
          <w:rFonts w:ascii="Times New Roman" w:hAnsi="Times New Roman" w:cs="Times New Roman"/>
          <w:sz w:val="24"/>
          <w:szCs w:val="24"/>
        </w:rPr>
        <w:t>] but reduces into older</w:t>
      </w:r>
      <w:r w:rsidR="008B1232" w:rsidRPr="008B1232">
        <w:rPr>
          <w:rFonts w:ascii="Times New Roman" w:hAnsi="Times New Roman" w:cs="Times New Roman"/>
          <w:sz w:val="24"/>
          <w:szCs w:val="24"/>
        </w:rPr>
        <w:t xml:space="preserve"> age </w:t>
      </w:r>
      <w:r w:rsidR="008B1232">
        <w:rPr>
          <w:rFonts w:ascii="Times New Roman" w:hAnsi="Times New Roman" w:cs="Times New Roman"/>
          <w:sz w:val="24"/>
          <w:szCs w:val="24"/>
        </w:rPr>
        <w:t xml:space="preserve">possibly </w:t>
      </w:r>
      <w:r w:rsidR="008B1232" w:rsidRPr="008B1232">
        <w:rPr>
          <w:rFonts w:ascii="Times New Roman" w:hAnsi="Times New Roman" w:cs="Times New Roman"/>
          <w:sz w:val="24"/>
          <w:szCs w:val="24"/>
        </w:rPr>
        <w:t>as patients become more frail.</w:t>
      </w:r>
      <w:r w:rsidR="008B1232">
        <w:rPr>
          <w:rFonts w:ascii="Times New Roman" w:hAnsi="Times New Roman" w:cs="Times New Roman"/>
          <w:sz w:val="24"/>
          <w:szCs w:val="24"/>
        </w:rPr>
        <w:t>[</w:t>
      </w:r>
      <w:r w:rsidR="008B1232" w:rsidRPr="008B1232">
        <w:rPr>
          <w:rFonts w:ascii="Times New Roman" w:hAnsi="Times New Roman" w:cs="Times New Roman"/>
          <w:sz w:val="24"/>
          <w:szCs w:val="24"/>
        </w:rPr>
        <w:t>11,16</w:t>
      </w:r>
      <w:r w:rsidR="008B1232">
        <w:rPr>
          <w:rFonts w:ascii="Times New Roman" w:hAnsi="Times New Roman" w:cs="Times New Roman"/>
          <w:sz w:val="24"/>
          <w:szCs w:val="24"/>
        </w:rPr>
        <w:t>]</w:t>
      </w:r>
      <w:r w:rsidR="00D2691D">
        <w:rPr>
          <w:rFonts w:ascii="Times New Roman" w:hAnsi="Times New Roman" w:cs="Times New Roman"/>
          <w:sz w:val="24"/>
          <w:szCs w:val="24"/>
        </w:rPr>
        <w:t xml:space="preserve"> </w:t>
      </w:r>
      <w:r w:rsidR="00727BA3" w:rsidRPr="003F3A43">
        <w:rPr>
          <w:rFonts w:ascii="Times New Roman" w:hAnsi="Times New Roman" w:cs="Times New Roman"/>
          <w:sz w:val="24"/>
          <w:szCs w:val="24"/>
        </w:rPr>
        <w:t xml:space="preserve">Tailoring a </w:t>
      </w:r>
      <w:r w:rsidR="005E2C20">
        <w:rPr>
          <w:rFonts w:ascii="Times New Roman" w:hAnsi="Times New Roman" w:cs="Times New Roman"/>
          <w:sz w:val="24"/>
          <w:szCs w:val="24"/>
        </w:rPr>
        <w:t>lifestyle</w:t>
      </w:r>
      <w:r w:rsidR="00727BA3" w:rsidRPr="003F3A43">
        <w:rPr>
          <w:rFonts w:ascii="Times New Roman" w:hAnsi="Times New Roman" w:cs="Times New Roman"/>
          <w:sz w:val="24"/>
          <w:szCs w:val="24"/>
        </w:rPr>
        <w:t xml:space="preserve"> intervention </w:t>
      </w:r>
      <w:r w:rsidR="005E2C20">
        <w:rPr>
          <w:rFonts w:ascii="Times New Roman" w:hAnsi="Times New Roman" w:cs="Times New Roman"/>
          <w:sz w:val="24"/>
          <w:szCs w:val="24"/>
        </w:rPr>
        <w:t xml:space="preserve">for primary prevention of CVD </w:t>
      </w:r>
      <w:r w:rsidR="00727BA3" w:rsidRPr="003F3A43">
        <w:rPr>
          <w:rFonts w:ascii="Times New Roman" w:hAnsi="Times New Roman" w:cs="Times New Roman"/>
          <w:sz w:val="24"/>
          <w:szCs w:val="24"/>
        </w:rPr>
        <w:t xml:space="preserve">may necessitate </w:t>
      </w:r>
      <w:r w:rsidR="005E2C20" w:rsidRPr="005E2C20">
        <w:rPr>
          <w:rFonts w:ascii="Times New Roman" w:hAnsi="Times New Roman" w:cs="Times New Roman"/>
          <w:sz w:val="24"/>
          <w:szCs w:val="24"/>
        </w:rPr>
        <w:t>chang</w:t>
      </w:r>
      <w:r w:rsidR="00927A79">
        <w:rPr>
          <w:rFonts w:ascii="Times New Roman" w:hAnsi="Times New Roman" w:cs="Times New Roman"/>
          <w:sz w:val="24"/>
          <w:szCs w:val="24"/>
        </w:rPr>
        <w:t xml:space="preserve">ing </w:t>
      </w:r>
      <w:r w:rsidR="005E2C20" w:rsidRPr="005E2C20">
        <w:rPr>
          <w:rFonts w:ascii="Times New Roman" w:hAnsi="Times New Roman" w:cs="Times New Roman"/>
          <w:sz w:val="24"/>
          <w:szCs w:val="24"/>
        </w:rPr>
        <w:t xml:space="preserve">the setting and target population from primary care to the workplace, and making the </w:t>
      </w:r>
      <w:r w:rsidR="005E2C20" w:rsidRPr="005E2C20">
        <w:rPr>
          <w:rFonts w:ascii="Times New Roman" w:hAnsi="Times New Roman" w:cs="Times New Roman"/>
          <w:sz w:val="24"/>
          <w:szCs w:val="24"/>
        </w:rPr>
        <w:lastRenderedPageBreak/>
        <w:t xml:space="preserve">intervention more </w:t>
      </w:r>
      <w:r w:rsidR="005E2C20">
        <w:rPr>
          <w:rFonts w:ascii="Times New Roman" w:hAnsi="Times New Roman" w:cs="Times New Roman"/>
          <w:sz w:val="24"/>
          <w:szCs w:val="24"/>
        </w:rPr>
        <w:t>desirable by reducing</w:t>
      </w:r>
      <w:r w:rsidR="005E2C20" w:rsidRPr="005E2C20">
        <w:rPr>
          <w:rFonts w:ascii="Times New Roman" w:hAnsi="Times New Roman" w:cs="Times New Roman"/>
          <w:sz w:val="24"/>
          <w:szCs w:val="24"/>
        </w:rPr>
        <w:t xml:space="preserve"> time burden, increasing flexibility and using digital technologies</w:t>
      </w:r>
      <w:r w:rsidR="00EA30BE">
        <w:rPr>
          <w:rFonts w:ascii="Times New Roman" w:hAnsi="Times New Roman" w:cs="Times New Roman"/>
          <w:sz w:val="24"/>
          <w:szCs w:val="24"/>
        </w:rPr>
        <w:t xml:space="preserve">. </w:t>
      </w:r>
    </w:p>
    <w:p w14:paraId="7E6B70F1" w14:textId="77777777" w:rsidR="00A20D50" w:rsidRDefault="00A20D50" w:rsidP="00146777">
      <w:pPr>
        <w:pStyle w:val="ListParagraph"/>
        <w:spacing w:line="480" w:lineRule="auto"/>
        <w:ind w:left="0"/>
        <w:rPr>
          <w:rFonts w:ascii="Times New Roman" w:hAnsi="Times New Roman" w:cs="Times New Roman"/>
          <w:sz w:val="24"/>
          <w:szCs w:val="24"/>
        </w:rPr>
      </w:pPr>
    </w:p>
    <w:p w14:paraId="3F4AFEA2" w14:textId="423846FC" w:rsidR="002C3D08" w:rsidRDefault="00927A79" w:rsidP="00E92BA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It has previously been reported </w:t>
      </w:r>
      <w:r w:rsidR="005E44D6">
        <w:rPr>
          <w:rFonts w:ascii="Times New Roman" w:hAnsi="Times New Roman" w:cs="Times New Roman"/>
          <w:sz w:val="24"/>
          <w:szCs w:val="24"/>
        </w:rPr>
        <w:t>that</w:t>
      </w:r>
      <w:r w:rsidR="00B6640A">
        <w:rPr>
          <w:rFonts w:ascii="Times New Roman" w:hAnsi="Times New Roman" w:cs="Times New Roman"/>
          <w:sz w:val="24"/>
          <w:szCs w:val="24"/>
        </w:rPr>
        <w:t xml:space="preserve"> f</w:t>
      </w:r>
      <w:r w:rsidR="008936F7">
        <w:rPr>
          <w:rFonts w:ascii="Times New Roman" w:hAnsi="Times New Roman" w:cs="Times New Roman"/>
          <w:sz w:val="24"/>
          <w:szCs w:val="24"/>
        </w:rPr>
        <w:t>emales</w:t>
      </w:r>
      <w:r w:rsidR="00C22EFD">
        <w:rPr>
          <w:rFonts w:ascii="Times New Roman" w:hAnsi="Times New Roman" w:cs="Times New Roman"/>
          <w:sz w:val="24"/>
          <w:szCs w:val="24"/>
        </w:rPr>
        <w:t xml:space="preserve"> </w:t>
      </w:r>
      <w:r w:rsidR="005E44D6">
        <w:rPr>
          <w:rFonts w:ascii="Times New Roman" w:hAnsi="Times New Roman" w:cs="Times New Roman"/>
          <w:sz w:val="24"/>
          <w:szCs w:val="24"/>
        </w:rPr>
        <w:t>are</w:t>
      </w:r>
      <w:r w:rsidR="008936F7">
        <w:rPr>
          <w:rFonts w:ascii="Times New Roman" w:hAnsi="Times New Roman" w:cs="Times New Roman"/>
          <w:sz w:val="24"/>
          <w:szCs w:val="24"/>
        </w:rPr>
        <w:t xml:space="preserve"> more likely to participate in </w:t>
      </w:r>
      <w:r w:rsidR="005511C6">
        <w:rPr>
          <w:rFonts w:ascii="Times New Roman" w:hAnsi="Times New Roman" w:cs="Times New Roman"/>
          <w:sz w:val="24"/>
          <w:szCs w:val="24"/>
        </w:rPr>
        <w:t>life</w:t>
      </w:r>
      <w:r w:rsidR="00374B92">
        <w:rPr>
          <w:rFonts w:ascii="Times New Roman" w:hAnsi="Times New Roman" w:cs="Times New Roman"/>
          <w:sz w:val="24"/>
          <w:szCs w:val="24"/>
        </w:rPr>
        <w:t>style intervention trials</w:t>
      </w:r>
      <w:r w:rsidR="00FA0C2D">
        <w:rPr>
          <w:rFonts w:ascii="Times New Roman" w:hAnsi="Times New Roman" w:cs="Times New Roman"/>
          <w:sz w:val="24"/>
          <w:szCs w:val="24"/>
        </w:rPr>
        <w:t>,</w:t>
      </w:r>
      <w:r w:rsidR="00D0286D">
        <w:rPr>
          <w:rFonts w:ascii="Times New Roman" w:hAnsi="Times New Roman" w:cs="Times New Roman"/>
          <w:sz w:val="24"/>
          <w:szCs w:val="24"/>
        </w:rPr>
        <w:t>[11]</w:t>
      </w:r>
      <w:r w:rsidR="00B6640A">
        <w:rPr>
          <w:rFonts w:ascii="Times New Roman" w:hAnsi="Times New Roman" w:cs="Times New Roman"/>
          <w:sz w:val="24"/>
          <w:szCs w:val="24"/>
          <w:vertAlign w:val="superscript"/>
        </w:rPr>
        <w:t xml:space="preserve"> </w:t>
      </w:r>
      <w:r w:rsidR="005E44D6">
        <w:rPr>
          <w:rFonts w:ascii="Times New Roman" w:hAnsi="Times New Roman" w:cs="Times New Roman"/>
          <w:sz w:val="24"/>
          <w:szCs w:val="24"/>
        </w:rPr>
        <w:t xml:space="preserve">however reviews of the literature indicate </w:t>
      </w:r>
      <w:r w:rsidR="005E2C20">
        <w:rPr>
          <w:rFonts w:ascii="Times New Roman" w:hAnsi="Times New Roman" w:cs="Times New Roman"/>
          <w:sz w:val="24"/>
          <w:szCs w:val="24"/>
        </w:rPr>
        <w:t xml:space="preserve">many lifestyle </w:t>
      </w:r>
      <w:r w:rsidR="00B6640A">
        <w:rPr>
          <w:rFonts w:ascii="Times New Roman" w:hAnsi="Times New Roman" w:cs="Times New Roman"/>
          <w:sz w:val="24"/>
          <w:szCs w:val="24"/>
        </w:rPr>
        <w:t>intervention</w:t>
      </w:r>
      <w:r w:rsidR="005E44D6">
        <w:rPr>
          <w:rFonts w:ascii="Times New Roman" w:hAnsi="Times New Roman" w:cs="Times New Roman"/>
          <w:sz w:val="24"/>
          <w:szCs w:val="24"/>
        </w:rPr>
        <w:t xml:space="preserve"> trial</w:t>
      </w:r>
      <w:r w:rsidR="00B6640A">
        <w:rPr>
          <w:rFonts w:ascii="Times New Roman" w:hAnsi="Times New Roman" w:cs="Times New Roman"/>
          <w:sz w:val="24"/>
          <w:szCs w:val="24"/>
        </w:rPr>
        <w:t xml:space="preserve">s have recruited female </w:t>
      </w:r>
      <w:r w:rsidR="005E44D6">
        <w:rPr>
          <w:rFonts w:ascii="Times New Roman" w:hAnsi="Times New Roman" w:cs="Times New Roman"/>
          <w:sz w:val="24"/>
          <w:szCs w:val="24"/>
        </w:rPr>
        <w:t xml:space="preserve">only </w:t>
      </w:r>
      <w:r w:rsidR="00B6640A">
        <w:rPr>
          <w:rFonts w:ascii="Times New Roman" w:hAnsi="Times New Roman" w:cs="Times New Roman"/>
          <w:sz w:val="24"/>
          <w:szCs w:val="24"/>
        </w:rPr>
        <w:t>samples.</w:t>
      </w:r>
      <w:r w:rsidR="00D0286D">
        <w:rPr>
          <w:rFonts w:ascii="Times New Roman" w:hAnsi="Times New Roman" w:cs="Times New Roman"/>
          <w:sz w:val="24"/>
          <w:szCs w:val="24"/>
        </w:rPr>
        <w:t>[12</w:t>
      </w:r>
      <w:r w:rsidR="008B0864">
        <w:rPr>
          <w:rFonts w:ascii="Times New Roman" w:hAnsi="Times New Roman" w:cs="Times New Roman"/>
          <w:sz w:val="24"/>
          <w:szCs w:val="24"/>
        </w:rPr>
        <w:t>,</w:t>
      </w:r>
      <w:r w:rsidR="00B875B3">
        <w:rPr>
          <w:rFonts w:ascii="Times New Roman" w:hAnsi="Times New Roman" w:cs="Times New Roman"/>
          <w:sz w:val="24"/>
          <w:szCs w:val="24"/>
        </w:rPr>
        <w:t>3</w:t>
      </w:r>
      <w:r w:rsidR="00BB38CD">
        <w:rPr>
          <w:rFonts w:ascii="Times New Roman" w:hAnsi="Times New Roman" w:cs="Times New Roman"/>
          <w:sz w:val="24"/>
          <w:szCs w:val="24"/>
        </w:rPr>
        <w:t>2</w:t>
      </w:r>
      <w:r w:rsidR="00D0286D">
        <w:rPr>
          <w:rFonts w:ascii="Times New Roman" w:hAnsi="Times New Roman" w:cs="Times New Roman"/>
          <w:sz w:val="24"/>
          <w:szCs w:val="24"/>
        </w:rPr>
        <w:t>]</w:t>
      </w:r>
      <w:r w:rsidR="00B6640A">
        <w:rPr>
          <w:rFonts w:ascii="Times New Roman" w:hAnsi="Times New Roman" w:cs="Times New Roman"/>
          <w:sz w:val="24"/>
          <w:szCs w:val="24"/>
          <w:vertAlign w:val="superscript"/>
        </w:rPr>
        <w:t xml:space="preserve"> </w:t>
      </w:r>
      <w:r w:rsidR="003B756C">
        <w:rPr>
          <w:rFonts w:ascii="Times New Roman" w:hAnsi="Times New Roman" w:cs="Times New Roman"/>
          <w:sz w:val="24"/>
          <w:szCs w:val="24"/>
        </w:rPr>
        <w:t>The higher response rate of males</w:t>
      </w:r>
      <w:r w:rsidR="005E44D6">
        <w:rPr>
          <w:rFonts w:ascii="Times New Roman" w:hAnsi="Times New Roman" w:cs="Times New Roman"/>
          <w:sz w:val="24"/>
          <w:szCs w:val="24"/>
        </w:rPr>
        <w:t xml:space="preserve"> in the current study</w:t>
      </w:r>
      <w:r w:rsidR="009243B9">
        <w:rPr>
          <w:rFonts w:ascii="Times New Roman" w:hAnsi="Times New Roman" w:cs="Times New Roman"/>
          <w:sz w:val="24"/>
          <w:szCs w:val="24"/>
        </w:rPr>
        <w:t>, secondary to the larger proportion of males invited,</w:t>
      </w:r>
      <w:r w:rsidR="003B756C">
        <w:rPr>
          <w:rFonts w:ascii="Times New Roman" w:hAnsi="Times New Roman" w:cs="Times New Roman"/>
          <w:sz w:val="24"/>
          <w:szCs w:val="24"/>
        </w:rPr>
        <w:t xml:space="preserve"> may reflect public opinion that CVD is </w:t>
      </w:r>
      <w:r w:rsidR="0024242C">
        <w:rPr>
          <w:rFonts w:ascii="Times New Roman" w:hAnsi="Times New Roman" w:cs="Times New Roman"/>
          <w:sz w:val="24"/>
          <w:szCs w:val="24"/>
        </w:rPr>
        <w:t xml:space="preserve">a predominantly </w:t>
      </w:r>
      <w:r w:rsidR="009243B9">
        <w:rPr>
          <w:rFonts w:ascii="Times New Roman" w:hAnsi="Times New Roman" w:cs="Times New Roman"/>
          <w:sz w:val="24"/>
          <w:szCs w:val="24"/>
        </w:rPr>
        <w:t>male disease</w:t>
      </w:r>
      <w:r w:rsidR="003B756C">
        <w:rPr>
          <w:rFonts w:ascii="Times New Roman" w:hAnsi="Times New Roman" w:cs="Times New Roman"/>
          <w:sz w:val="24"/>
          <w:szCs w:val="24"/>
        </w:rPr>
        <w:t xml:space="preserve"> despite </w:t>
      </w:r>
      <w:r w:rsidR="002B6518">
        <w:rPr>
          <w:rFonts w:ascii="Times New Roman" w:hAnsi="Times New Roman" w:cs="Times New Roman"/>
          <w:sz w:val="24"/>
          <w:szCs w:val="24"/>
        </w:rPr>
        <w:t xml:space="preserve">also </w:t>
      </w:r>
      <w:r w:rsidR="003B756C">
        <w:rPr>
          <w:rFonts w:ascii="Times New Roman" w:hAnsi="Times New Roman" w:cs="Times New Roman"/>
          <w:sz w:val="24"/>
          <w:szCs w:val="24"/>
        </w:rPr>
        <w:t xml:space="preserve">being the leading cause of death in </w:t>
      </w:r>
      <w:r w:rsidR="00374B92">
        <w:rPr>
          <w:rFonts w:ascii="Times New Roman" w:hAnsi="Times New Roman" w:cs="Times New Roman"/>
          <w:sz w:val="24"/>
          <w:szCs w:val="24"/>
        </w:rPr>
        <w:t>females</w:t>
      </w:r>
      <w:r w:rsidR="003B756C">
        <w:rPr>
          <w:rFonts w:ascii="Times New Roman" w:hAnsi="Times New Roman" w:cs="Times New Roman"/>
          <w:sz w:val="24"/>
          <w:szCs w:val="24"/>
        </w:rPr>
        <w:t>.</w:t>
      </w:r>
      <w:r w:rsidR="00442559">
        <w:rPr>
          <w:rFonts w:ascii="Times New Roman" w:hAnsi="Times New Roman" w:cs="Times New Roman"/>
          <w:sz w:val="24"/>
          <w:szCs w:val="24"/>
        </w:rPr>
        <w:t>[5,</w:t>
      </w:r>
      <w:r w:rsidR="00BB38CD">
        <w:rPr>
          <w:rFonts w:ascii="Times New Roman" w:hAnsi="Times New Roman" w:cs="Times New Roman"/>
          <w:sz w:val="24"/>
          <w:szCs w:val="24"/>
        </w:rPr>
        <w:t>40</w:t>
      </w:r>
      <w:r w:rsidR="00D0286D">
        <w:rPr>
          <w:rFonts w:ascii="Times New Roman" w:hAnsi="Times New Roman" w:cs="Times New Roman"/>
          <w:sz w:val="24"/>
          <w:szCs w:val="24"/>
        </w:rPr>
        <w:t>]</w:t>
      </w:r>
      <w:r w:rsidR="003B756C">
        <w:rPr>
          <w:rFonts w:ascii="Times New Roman" w:hAnsi="Times New Roman" w:cs="Times New Roman"/>
          <w:sz w:val="24"/>
          <w:szCs w:val="24"/>
        </w:rPr>
        <w:t xml:space="preserve"> </w:t>
      </w:r>
      <w:r w:rsidR="00B6640A">
        <w:rPr>
          <w:rFonts w:ascii="Times New Roman" w:hAnsi="Times New Roman" w:cs="Times New Roman"/>
          <w:sz w:val="24"/>
          <w:szCs w:val="24"/>
        </w:rPr>
        <w:t>Previous studies</w:t>
      </w:r>
      <w:r w:rsidR="00DA39A0">
        <w:rPr>
          <w:rFonts w:ascii="Times New Roman" w:hAnsi="Times New Roman" w:cs="Times New Roman"/>
          <w:sz w:val="24"/>
          <w:szCs w:val="24"/>
        </w:rPr>
        <w:t xml:space="preserve"> assessing participation in trials of </w:t>
      </w:r>
      <w:r w:rsidR="00B6640A">
        <w:rPr>
          <w:rFonts w:ascii="Times New Roman" w:hAnsi="Times New Roman" w:cs="Times New Roman"/>
          <w:sz w:val="24"/>
          <w:szCs w:val="24"/>
        </w:rPr>
        <w:t>those who already have CVD,</w:t>
      </w:r>
      <w:r w:rsidR="00442559">
        <w:rPr>
          <w:rFonts w:ascii="Times New Roman" w:hAnsi="Times New Roman" w:cs="Times New Roman"/>
          <w:sz w:val="24"/>
          <w:szCs w:val="24"/>
        </w:rPr>
        <w:t>[</w:t>
      </w:r>
      <w:r w:rsidR="00B875B3">
        <w:rPr>
          <w:rFonts w:ascii="Times New Roman" w:hAnsi="Times New Roman" w:cs="Times New Roman"/>
          <w:sz w:val="24"/>
          <w:szCs w:val="24"/>
        </w:rPr>
        <w:t>4</w:t>
      </w:r>
      <w:r w:rsidR="00BB38CD">
        <w:rPr>
          <w:rFonts w:ascii="Times New Roman" w:hAnsi="Times New Roman" w:cs="Times New Roman"/>
          <w:sz w:val="24"/>
          <w:szCs w:val="24"/>
        </w:rPr>
        <w:t>1</w:t>
      </w:r>
      <w:r w:rsidR="00E2301F">
        <w:rPr>
          <w:rFonts w:ascii="Times New Roman" w:hAnsi="Times New Roman" w:cs="Times New Roman"/>
          <w:sz w:val="24"/>
          <w:szCs w:val="24"/>
        </w:rPr>
        <w:t>,</w:t>
      </w:r>
      <w:r w:rsidR="00B875B3">
        <w:rPr>
          <w:rFonts w:ascii="Times New Roman" w:hAnsi="Times New Roman" w:cs="Times New Roman"/>
          <w:sz w:val="24"/>
          <w:szCs w:val="24"/>
        </w:rPr>
        <w:t>4</w:t>
      </w:r>
      <w:r w:rsidR="00BB38CD">
        <w:rPr>
          <w:rFonts w:ascii="Times New Roman" w:hAnsi="Times New Roman" w:cs="Times New Roman"/>
          <w:sz w:val="24"/>
          <w:szCs w:val="24"/>
        </w:rPr>
        <w:t>2</w:t>
      </w:r>
      <w:r w:rsidR="00D0286D">
        <w:rPr>
          <w:rFonts w:ascii="Times New Roman" w:hAnsi="Times New Roman" w:cs="Times New Roman"/>
          <w:sz w:val="24"/>
          <w:szCs w:val="24"/>
        </w:rPr>
        <w:t>]</w:t>
      </w:r>
      <w:r w:rsidR="00DA39A0">
        <w:rPr>
          <w:rFonts w:ascii="Times New Roman" w:hAnsi="Times New Roman" w:cs="Times New Roman"/>
          <w:sz w:val="24"/>
          <w:szCs w:val="24"/>
        </w:rPr>
        <w:t xml:space="preserve"> and in a surve</w:t>
      </w:r>
      <w:r w:rsidR="00B6640A">
        <w:rPr>
          <w:rFonts w:ascii="Times New Roman" w:hAnsi="Times New Roman" w:cs="Times New Roman"/>
          <w:sz w:val="24"/>
          <w:szCs w:val="24"/>
        </w:rPr>
        <w:t>y regardin</w:t>
      </w:r>
      <w:r w:rsidR="00B02E5B">
        <w:rPr>
          <w:rFonts w:ascii="Times New Roman" w:hAnsi="Times New Roman" w:cs="Times New Roman"/>
          <w:sz w:val="24"/>
          <w:szCs w:val="24"/>
        </w:rPr>
        <w:t>g cardiovascular risk factors,</w:t>
      </w:r>
      <w:r w:rsidR="00E2301F">
        <w:rPr>
          <w:rFonts w:ascii="Times New Roman" w:hAnsi="Times New Roman" w:cs="Times New Roman"/>
          <w:sz w:val="24"/>
          <w:szCs w:val="24"/>
        </w:rPr>
        <w:t>[4</w:t>
      </w:r>
      <w:r w:rsidR="00BB38CD">
        <w:rPr>
          <w:rFonts w:ascii="Times New Roman" w:hAnsi="Times New Roman" w:cs="Times New Roman"/>
          <w:sz w:val="24"/>
          <w:szCs w:val="24"/>
        </w:rPr>
        <w:t>3</w:t>
      </w:r>
      <w:r w:rsidR="00D0286D">
        <w:rPr>
          <w:rFonts w:ascii="Times New Roman" w:hAnsi="Times New Roman" w:cs="Times New Roman"/>
          <w:sz w:val="24"/>
          <w:szCs w:val="24"/>
        </w:rPr>
        <w:t>]</w:t>
      </w:r>
      <w:r w:rsidR="00B02E5B">
        <w:rPr>
          <w:rFonts w:ascii="Times New Roman" w:hAnsi="Times New Roman" w:cs="Times New Roman"/>
          <w:sz w:val="24"/>
          <w:szCs w:val="24"/>
          <w:vertAlign w:val="superscript"/>
        </w:rPr>
        <w:t xml:space="preserve"> </w:t>
      </w:r>
      <w:r w:rsidR="00B6640A">
        <w:rPr>
          <w:rFonts w:ascii="Times New Roman" w:hAnsi="Times New Roman" w:cs="Times New Roman"/>
          <w:sz w:val="24"/>
          <w:szCs w:val="24"/>
        </w:rPr>
        <w:t>also found lower response in females.</w:t>
      </w:r>
      <w:r w:rsidR="00DA39A0">
        <w:rPr>
          <w:rFonts w:ascii="Times New Roman" w:hAnsi="Times New Roman" w:cs="Times New Roman"/>
          <w:sz w:val="24"/>
          <w:szCs w:val="24"/>
        </w:rPr>
        <w:t xml:space="preserve"> In a small sample of those providing feedback on the reasons for non-participation, females were more likely to mention caring responsibilities as a barrier.</w:t>
      </w:r>
      <w:r w:rsidR="00442559">
        <w:rPr>
          <w:rFonts w:ascii="Times New Roman" w:hAnsi="Times New Roman" w:cs="Times New Roman"/>
          <w:sz w:val="24"/>
          <w:szCs w:val="24"/>
        </w:rPr>
        <w:t>[</w:t>
      </w:r>
      <w:r w:rsidR="00B875B3">
        <w:rPr>
          <w:rFonts w:ascii="Times New Roman" w:hAnsi="Times New Roman" w:cs="Times New Roman"/>
          <w:sz w:val="24"/>
          <w:szCs w:val="24"/>
        </w:rPr>
        <w:t>4</w:t>
      </w:r>
      <w:r w:rsidR="00BB38CD">
        <w:rPr>
          <w:rFonts w:ascii="Times New Roman" w:hAnsi="Times New Roman" w:cs="Times New Roman"/>
          <w:sz w:val="24"/>
          <w:szCs w:val="24"/>
        </w:rPr>
        <w:t>1</w:t>
      </w:r>
      <w:r w:rsidR="00D0286D">
        <w:rPr>
          <w:rFonts w:ascii="Times New Roman" w:hAnsi="Times New Roman" w:cs="Times New Roman"/>
          <w:sz w:val="24"/>
          <w:szCs w:val="24"/>
        </w:rPr>
        <w:t>]</w:t>
      </w:r>
      <w:r w:rsidR="00B6640A">
        <w:rPr>
          <w:rFonts w:ascii="Times New Roman" w:hAnsi="Times New Roman" w:cs="Times New Roman"/>
          <w:sz w:val="24"/>
          <w:szCs w:val="24"/>
        </w:rPr>
        <w:t xml:space="preserve"> </w:t>
      </w:r>
      <w:r w:rsidR="003B756C">
        <w:rPr>
          <w:rFonts w:ascii="Times New Roman" w:hAnsi="Times New Roman" w:cs="Times New Roman"/>
          <w:sz w:val="24"/>
          <w:szCs w:val="24"/>
        </w:rPr>
        <w:t>Increasing public aware</w:t>
      </w:r>
      <w:r w:rsidR="002B6518">
        <w:rPr>
          <w:rFonts w:ascii="Times New Roman" w:hAnsi="Times New Roman" w:cs="Times New Roman"/>
          <w:sz w:val="24"/>
          <w:szCs w:val="24"/>
        </w:rPr>
        <w:t xml:space="preserve">ness of CVD risk </w:t>
      </w:r>
      <w:r w:rsidR="003B756C">
        <w:rPr>
          <w:rFonts w:ascii="Times New Roman" w:hAnsi="Times New Roman" w:cs="Times New Roman"/>
          <w:sz w:val="24"/>
          <w:szCs w:val="24"/>
        </w:rPr>
        <w:t>in females</w:t>
      </w:r>
      <w:r w:rsidR="00DA39A0">
        <w:rPr>
          <w:rFonts w:ascii="Times New Roman" w:hAnsi="Times New Roman" w:cs="Times New Roman"/>
          <w:sz w:val="24"/>
          <w:szCs w:val="24"/>
        </w:rPr>
        <w:t>, as well as providing flexible appointments as previously mentioned,</w:t>
      </w:r>
      <w:r w:rsidR="003B756C">
        <w:rPr>
          <w:rFonts w:ascii="Times New Roman" w:hAnsi="Times New Roman" w:cs="Times New Roman"/>
          <w:sz w:val="24"/>
          <w:szCs w:val="24"/>
        </w:rPr>
        <w:t xml:space="preserve"> may be required to i</w:t>
      </w:r>
      <w:r w:rsidR="00A20D50">
        <w:rPr>
          <w:rFonts w:ascii="Times New Roman" w:hAnsi="Times New Roman" w:cs="Times New Roman"/>
          <w:sz w:val="24"/>
          <w:szCs w:val="24"/>
        </w:rPr>
        <w:t>ncrease</w:t>
      </w:r>
      <w:r w:rsidR="003B756C">
        <w:rPr>
          <w:rFonts w:ascii="Times New Roman" w:hAnsi="Times New Roman" w:cs="Times New Roman"/>
          <w:sz w:val="24"/>
          <w:szCs w:val="24"/>
        </w:rPr>
        <w:t xml:space="preserve"> </w:t>
      </w:r>
      <w:r w:rsidR="00DA39A0">
        <w:rPr>
          <w:rFonts w:ascii="Times New Roman" w:hAnsi="Times New Roman" w:cs="Times New Roman"/>
          <w:sz w:val="24"/>
          <w:szCs w:val="24"/>
        </w:rPr>
        <w:t>female participation</w:t>
      </w:r>
      <w:r w:rsidR="003B756C">
        <w:rPr>
          <w:rFonts w:ascii="Times New Roman" w:hAnsi="Times New Roman" w:cs="Times New Roman"/>
          <w:sz w:val="24"/>
          <w:szCs w:val="24"/>
        </w:rPr>
        <w:t>.</w:t>
      </w:r>
    </w:p>
    <w:p w14:paraId="5AD3C11A" w14:textId="5DAA5F57" w:rsidR="00BA18AB" w:rsidRDefault="00BA18AB" w:rsidP="00E92BA2">
      <w:pPr>
        <w:pStyle w:val="ListParagraph"/>
        <w:spacing w:line="480" w:lineRule="auto"/>
        <w:ind w:left="0"/>
        <w:rPr>
          <w:rFonts w:ascii="Times New Roman" w:hAnsi="Times New Roman" w:cs="Times New Roman"/>
          <w:sz w:val="24"/>
          <w:szCs w:val="24"/>
        </w:rPr>
      </w:pPr>
    </w:p>
    <w:p w14:paraId="6C1878BA" w14:textId="77920EC9" w:rsidR="00BA18AB" w:rsidRPr="003F3A43" w:rsidRDefault="00BA18AB" w:rsidP="00E92BA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The findings of this study are specific to the RCT under study, and should not be conflated with likelihood of response to similar interventions in clinical practice. Reasons for non-response may be research-specific, or in combination with lack of motivation or interest in the particular intervention. </w:t>
      </w:r>
      <w:r w:rsidR="006A7CCB">
        <w:rPr>
          <w:rFonts w:ascii="Times New Roman" w:hAnsi="Times New Roman" w:cs="Times New Roman"/>
          <w:sz w:val="24"/>
          <w:szCs w:val="24"/>
        </w:rPr>
        <w:t xml:space="preserve">As participants were not contacted </w:t>
      </w:r>
      <w:r w:rsidR="00365831">
        <w:rPr>
          <w:rFonts w:ascii="Times New Roman" w:hAnsi="Times New Roman" w:cs="Times New Roman"/>
          <w:sz w:val="24"/>
          <w:szCs w:val="24"/>
        </w:rPr>
        <w:t>for this analysis</w:t>
      </w:r>
      <w:r w:rsidR="006A7CCB">
        <w:rPr>
          <w:rFonts w:ascii="Times New Roman" w:hAnsi="Times New Roman" w:cs="Times New Roman"/>
          <w:sz w:val="24"/>
          <w:szCs w:val="24"/>
        </w:rPr>
        <w:t xml:space="preserve">, we could not explore patient perspectives on study-specific materials such as the invitation letter sent by the patient’s general practice. </w:t>
      </w:r>
      <w:r>
        <w:rPr>
          <w:rFonts w:ascii="Times New Roman" w:hAnsi="Times New Roman" w:cs="Times New Roman"/>
          <w:sz w:val="24"/>
          <w:szCs w:val="24"/>
        </w:rPr>
        <w:t>Further research is required to gain a greater understanding of the influence of study-specific invitation procedures, patient perspectives of research in general and willingness to undergo an intervention</w:t>
      </w:r>
      <w:r w:rsidR="006A7CCB">
        <w:rPr>
          <w:rFonts w:ascii="Times New Roman" w:hAnsi="Times New Roman" w:cs="Times New Roman"/>
          <w:sz w:val="24"/>
          <w:szCs w:val="24"/>
        </w:rPr>
        <w:t>.</w:t>
      </w:r>
    </w:p>
    <w:p w14:paraId="0D9FB853" w14:textId="19F2D148" w:rsidR="00112FC6" w:rsidRPr="000057B9" w:rsidRDefault="0037061E" w:rsidP="00146777">
      <w:pPr>
        <w:spacing w:after="0" w:line="480" w:lineRule="auto"/>
        <w:rPr>
          <w:rFonts w:ascii="Times New Roman" w:hAnsi="Times New Roman" w:cs="Times New Roman"/>
          <w:b/>
          <w:sz w:val="28"/>
          <w:szCs w:val="28"/>
        </w:rPr>
      </w:pPr>
      <w:r w:rsidRPr="000057B9">
        <w:rPr>
          <w:rFonts w:ascii="Times New Roman" w:hAnsi="Times New Roman" w:cs="Times New Roman"/>
          <w:b/>
          <w:sz w:val="28"/>
          <w:szCs w:val="28"/>
        </w:rPr>
        <w:lastRenderedPageBreak/>
        <w:t>Conclusions</w:t>
      </w:r>
    </w:p>
    <w:p w14:paraId="6BCA2079" w14:textId="31D8F89E" w:rsidR="0037061E" w:rsidRDefault="008E7533" w:rsidP="001467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have demonstrated that it is possible to ethically assess </w:t>
      </w:r>
      <w:r w:rsidR="008B0864">
        <w:rPr>
          <w:rFonts w:ascii="Times New Roman" w:hAnsi="Times New Roman" w:cs="Times New Roman"/>
          <w:sz w:val="24"/>
          <w:szCs w:val="24"/>
        </w:rPr>
        <w:t>response</w:t>
      </w:r>
      <w:r>
        <w:rPr>
          <w:rFonts w:ascii="Times New Roman" w:hAnsi="Times New Roman" w:cs="Times New Roman"/>
          <w:sz w:val="24"/>
          <w:szCs w:val="24"/>
        </w:rPr>
        <w:t xml:space="preserve"> bias </w:t>
      </w:r>
      <w:r w:rsidR="008B0864">
        <w:rPr>
          <w:rFonts w:ascii="Times New Roman" w:hAnsi="Times New Roman" w:cs="Times New Roman"/>
          <w:sz w:val="24"/>
          <w:szCs w:val="24"/>
        </w:rPr>
        <w:t xml:space="preserve">to a RCT </w:t>
      </w:r>
      <w:r>
        <w:rPr>
          <w:rFonts w:ascii="Times New Roman" w:hAnsi="Times New Roman" w:cs="Times New Roman"/>
          <w:sz w:val="24"/>
          <w:szCs w:val="24"/>
        </w:rPr>
        <w:t xml:space="preserve">with the use of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patient data. As a result, we have highlighted</w:t>
      </w:r>
      <w:r w:rsidR="0037061E" w:rsidRPr="003F3A43">
        <w:rPr>
          <w:rFonts w:ascii="Times New Roman" w:hAnsi="Times New Roman" w:cs="Times New Roman"/>
          <w:sz w:val="24"/>
          <w:szCs w:val="24"/>
        </w:rPr>
        <w:t xml:space="preserve"> the risk that RCTs </w:t>
      </w:r>
      <w:r w:rsidR="00CF6E6E">
        <w:rPr>
          <w:rFonts w:ascii="Times New Roman" w:hAnsi="Times New Roman" w:cs="Times New Roman"/>
          <w:sz w:val="24"/>
          <w:szCs w:val="24"/>
        </w:rPr>
        <w:t xml:space="preserve">of </w:t>
      </w:r>
      <w:r>
        <w:rPr>
          <w:rFonts w:ascii="Times New Roman" w:hAnsi="Times New Roman" w:cs="Times New Roman"/>
          <w:sz w:val="24"/>
          <w:szCs w:val="24"/>
        </w:rPr>
        <w:t xml:space="preserve">lifestyle </w:t>
      </w:r>
      <w:r w:rsidR="00CF6E6E">
        <w:rPr>
          <w:rFonts w:ascii="Times New Roman" w:hAnsi="Times New Roman" w:cs="Times New Roman"/>
          <w:sz w:val="24"/>
          <w:szCs w:val="24"/>
        </w:rPr>
        <w:t>interventions</w:t>
      </w:r>
      <w:r w:rsidR="00617631">
        <w:rPr>
          <w:rFonts w:ascii="Times New Roman" w:hAnsi="Times New Roman" w:cs="Times New Roman"/>
          <w:sz w:val="24"/>
          <w:szCs w:val="24"/>
        </w:rPr>
        <w:t xml:space="preserve"> </w:t>
      </w:r>
      <w:r w:rsidR="0037061E" w:rsidRPr="003F3A43">
        <w:rPr>
          <w:rFonts w:ascii="Times New Roman" w:hAnsi="Times New Roman" w:cs="Times New Roman"/>
          <w:sz w:val="24"/>
          <w:szCs w:val="24"/>
        </w:rPr>
        <w:t xml:space="preserve">may </w:t>
      </w:r>
      <w:r w:rsidR="00AE4DFB" w:rsidRPr="003F3A43">
        <w:rPr>
          <w:rFonts w:ascii="Times New Roman" w:hAnsi="Times New Roman" w:cs="Times New Roman"/>
          <w:sz w:val="24"/>
          <w:szCs w:val="24"/>
        </w:rPr>
        <w:t xml:space="preserve">fail to </w:t>
      </w:r>
      <w:r>
        <w:rPr>
          <w:rFonts w:ascii="Times New Roman" w:hAnsi="Times New Roman" w:cs="Times New Roman"/>
          <w:sz w:val="24"/>
          <w:szCs w:val="24"/>
        </w:rPr>
        <w:t>recruit</w:t>
      </w:r>
      <w:r w:rsidR="0037061E" w:rsidRPr="003F3A43">
        <w:rPr>
          <w:rFonts w:ascii="Times New Roman" w:hAnsi="Times New Roman" w:cs="Times New Roman"/>
          <w:sz w:val="24"/>
          <w:szCs w:val="24"/>
        </w:rPr>
        <w:t xml:space="preserve"> </w:t>
      </w:r>
      <w:r w:rsidR="008B0864">
        <w:rPr>
          <w:rFonts w:ascii="Times New Roman" w:hAnsi="Times New Roman" w:cs="Times New Roman"/>
          <w:sz w:val="24"/>
          <w:szCs w:val="24"/>
        </w:rPr>
        <w:t>the highest risk patients, ethnic minority patients and those residing in more socioeconomically deprived</w:t>
      </w:r>
      <w:r w:rsidR="00AE4DFB" w:rsidRPr="003F3A43">
        <w:rPr>
          <w:rFonts w:ascii="Times New Roman" w:hAnsi="Times New Roman" w:cs="Times New Roman"/>
          <w:sz w:val="24"/>
          <w:szCs w:val="24"/>
        </w:rPr>
        <w:t xml:space="preserve"> </w:t>
      </w:r>
      <w:r w:rsidR="008B0864">
        <w:rPr>
          <w:rFonts w:ascii="Times New Roman" w:hAnsi="Times New Roman" w:cs="Times New Roman"/>
          <w:sz w:val="24"/>
          <w:szCs w:val="24"/>
        </w:rPr>
        <w:t>areas</w:t>
      </w:r>
      <w:r w:rsidR="00AE4DFB" w:rsidRPr="003F3A43">
        <w:rPr>
          <w:rFonts w:ascii="Times New Roman" w:hAnsi="Times New Roman" w:cs="Times New Roman"/>
          <w:sz w:val="24"/>
          <w:szCs w:val="24"/>
        </w:rPr>
        <w:t xml:space="preserve">, </w:t>
      </w:r>
      <w:r w:rsidR="001457B5" w:rsidRPr="003F3A43">
        <w:rPr>
          <w:rFonts w:ascii="Times New Roman" w:hAnsi="Times New Roman" w:cs="Times New Roman"/>
          <w:sz w:val="24"/>
          <w:szCs w:val="24"/>
        </w:rPr>
        <w:t xml:space="preserve">which could </w:t>
      </w:r>
      <w:r w:rsidR="006039B3">
        <w:rPr>
          <w:rFonts w:ascii="Times New Roman" w:hAnsi="Times New Roman" w:cs="Times New Roman"/>
          <w:sz w:val="24"/>
          <w:szCs w:val="24"/>
        </w:rPr>
        <w:t>result in implementation</w:t>
      </w:r>
      <w:r w:rsidR="00AE4DFB" w:rsidRPr="003F3A43">
        <w:rPr>
          <w:rFonts w:ascii="Times New Roman" w:hAnsi="Times New Roman" w:cs="Times New Roman"/>
          <w:sz w:val="24"/>
          <w:szCs w:val="24"/>
        </w:rPr>
        <w:t xml:space="preserve"> </w:t>
      </w:r>
      <w:r w:rsidR="001457B5" w:rsidRPr="003F3A43">
        <w:rPr>
          <w:rFonts w:ascii="Times New Roman" w:hAnsi="Times New Roman" w:cs="Times New Roman"/>
          <w:sz w:val="24"/>
          <w:szCs w:val="24"/>
        </w:rPr>
        <w:t>of interventions which increase h</w:t>
      </w:r>
      <w:r w:rsidR="00AE4DFB" w:rsidRPr="003F3A43">
        <w:rPr>
          <w:rFonts w:ascii="Times New Roman" w:hAnsi="Times New Roman" w:cs="Times New Roman"/>
          <w:sz w:val="24"/>
          <w:szCs w:val="24"/>
        </w:rPr>
        <w:t>ealth inequali</w:t>
      </w:r>
      <w:r>
        <w:rPr>
          <w:rFonts w:ascii="Times New Roman" w:hAnsi="Times New Roman" w:cs="Times New Roman"/>
          <w:sz w:val="24"/>
          <w:szCs w:val="24"/>
        </w:rPr>
        <w:t xml:space="preserve">ties. </w:t>
      </w:r>
      <w:r w:rsidR="00C2626B">
        <w:rPr>
          <w:rFonts w:ascii="Times New Roman" w:hAnsi="Times New Roman" w:cs="Times New Roman"/>
          <w:sz w:val="24"/>
          <w:szCs w:val="24"/>
        </w:rPr>
        <w:t>Such analyses are limited by missing ethnicity data on primary care databases</w:t>
      </w:r>
      <w:r w:rsidR="00927A79">
        <w:rPr>
          <w:rFonts w:ascii="Times New Roman" w:hAnsi="Times New Roman" w:cs="Times New Roman"/>
          <w:sz w:val="24"/>
          <w:szCs w:val="24"/>
        </w:rPr>
        <w:t>.</w:t>
      </w:r>
      <w:r w:rsidR="00C2626B">
        <w:rPr>
          <w:rFonts w:ascii="Times New Roman" w:hAnsi="Times New Roman" w:cs="Times New Roman"/>
          <w:sz w:val="24"/>
          <w:szCs w:val="24"/>
        </w:rPr>
        <w:t xml:space="preserve"> </w:t>
      </w:r>
      <w:r w:rsidR="00927A79">
        <w:rPr>
          <w:rFonts w:ascii="Times New Roman" w:hAnsi="Times New Roman" w:cs="Times New Roman"/>
          <w:sz w:val="24"/>
          <w:szCs w:val="24"/>
        </w:rPr>
        <w:t>I</w:t>
      </w:r>
      <w:r w:rsidR="00C2626B">
        <w:rPr>
          <w:rFonts w:ascii="Times New Roman" w:hAnsi="Times New Roman" w:cs="Times New Roman"/>
          <w:sz w:val="24"/>
          <w:szCs w:val="24"/>
        </w:rPr>
        <w:t xml:space="preserve">mprovements in ethnicity reporting would aid understanding of whether RCTs have successfully recruited a representative sample. </w:t>
      </w:r>
      <w:r>
        <w:rPr>
          <w:rFonts w:ascii="Times New Roman" w:hAnsi="Times New Roman" w:cs="Times New Roman"/>
          <w:sz w:val="24"/>
          <w:szCs w:val="24"/>
        </w:rPr>
        <w:t>Future RCTs</w:t>
      </w:r>
      <w:r w:rsidR="00AE4DFB" w:rsidRPr="003F3A43">
        <w:rPr>
          <w:rFonts w:ascii="Times New Roman" w:hAnsi="Times New Roman" w:cs="Times New Roman"/>
          <w:sz w:val="24"/>
          <w:szCs w:val="24"/>
        </w:rPr>
        <w:t xml:space="preserve"> </w:t>
      </w:r>
      <w:r w:rsidR="00813978">
        <w:rPr>
          <w:rFonts w:ascii="Times New Roman" w:hAnsi="Times New Roman" w:cs="Times New Roman"/>
          <w:sz w:val="24"/>
          <w:szCs w:val="24"/>
        </w:rPr>
        <w:t xml:space="preserve">of lifestyle interventions </w:t>
      </w:r>
      <w:r w:rsidR="00AE4DFB" w:rsidRPr="003F3A43">
        <w:rPr>
          <w:rFonts w:ascii="Times New Roman" w:hAnsi="Times New Roman" w:cs="Times New Roman"/>
          <w:sz w:val="24"/>
          <w:szCs w:val="24"/>
        </w:rPr>
        <w:t xml:space="preserve">should </w:t>
      </w:r>
      <w:r w:rsidR="00813978">
        <w:rPr>
          <w:rFonts w:ascii="Times New Roman" w:hAnsi="Times New Roman" w:cs="Times New Roman"/>
          <w:sz w:val="24"/>
          <w:szCs w:val="24"/>
        </w:rPr>
        <w:t>aim</w:t>
      </w:r>
      <w:r>
        <w:rPr>
          <w:rFonts w:ascii="Times New Roman" w:hAnsi="Times New Roman" w:cs="Times New Roman"/>
          <w:sz w:val="24"/>
          <w:szCs w:val="24"/>
        </w:rPr>
        <w:t xml:space="preserve"> to </w:t>
      </w:r>
      <w:r w:rsidR="00881788">
        <w:rPr>
          <w:rFonts w:ascii="Times New Roman" w:hAnsi="Times New Roman" w:cs="Times New Roman"/>
          <w:sz w:val="24"/>
          <w:szCs w:val="24"/>
        </w:rPr>
        <w:t>pro</w:t>
      </w:r>
      <w:r>
        <w:rPr>
          <w:rFonts w:ascii="Times New Roman" w:hAnsi="Times New Roman" w:cs="Times New Roman"/>
          <w:sz w:val="24"/>
          <w:szCs w:val="24"/>
        </w:rPr>
        <w:t xml:space="preserve">actively </w:t>
      </w:r>
      <w:proofErr w:type="spellStart"/>
      <w:r>
        <w:rPr>
          <w:rFonts w:ascii="Times New Roman" w:hAnsi="Times New Roman" w:cs="Times New Roman"/>
          <w:sz w:val="24"/>
          <w:szCs w:val="24"/>
        </w:rPr>
        <w:t>minimise</w:t>
      </w:r>
      <w:proofErr w:type="spellEnd"/>
      <w:r>
        <w:rPr>
          <w:rFonts w:ascii="Times New Roman" w:hAnsi="Times New Roman" w:cs="Times New Roman"/>
          <w:sz w:val="24"/>
          <w:szCs w:val="24"/>
        </w:rPr>
        <w:t xml:space="preserve"> </w:t>
      </w:r>
      <w:r w:rsidR="00813978">
        <w:rPr>
          <w:rFonts w:ascii="Times New Roman" w:hAnsi="Times New Roman" w:cs="Times New Roman"/>
          <w:sz w:val="24"/>
          <w:szCs w:val="24"/>
        </w:rPr>
        <w:t xml:space="preserve">recruitment </w:t>
      </w:r>
      <w:r>
        <w:rPr>
          <w:rFonts w:ascii="Times New Roman" w:hAnsi="Times New Roman" w:cs="Times New Roman"/>
          <w:sz w:val="24"/>
          <w:szCs w:val="24"/>
        </w:rPr>
        <w:t xml:space="preserve">biases and </w:t>
      </w:r>
      <w:r w:rsidR="00AE4DFB" w:rsidRPr="003F3A43">
        <w:rPr>
          <w:rFonts w:ascii="Times New Roman" w:hAnsi="Times New Roman" w:cs="Times New Roman"/>
          <w:sz w:val="24"/>
          <w:szCs w:val="24"/>
        </w:rPr>
        <w:t xml:space="preserve">report on </w:t>
      </w:r>
      <w:r w:rsidR="001457B5" w:rsidRPr="003F3A43">
        <w:rPr>
          <w:rFonts w:ascii="Times New Roman" w:hAnsi="Times New Roman" w:cs="Times New Roman"/>
          <w:sz w:val="24"/>
          <w:szCs w:val="24"/>
        </w:rPr>
        <w:t xml:space="preserve">the </w:t>
      </w:r>
      <w:r w:rsidR="00AE4DFB" w:rsidRPr="003F3A43">
        <w:rPr>
          <w:rFonts w:ascii="Times New Roman" w:hAnsi="Times New Roman" w:cs="Times New Roman"/>
          <w:sz w:val="24"/>
          <w:szCs w:val="24"/>
        </w:rPr>
        <w:t xml:space="preserve">representativeness of their samples as part of </w:t>
      </w:r>
      <w:r w:rsidR="008B0864">
        <w:rPr>
          <w:rFonts w:ascii="Times New Roman" w:hAnsi="Times New Roman" w:cs="Times New Roman"/>
          <w:sz w:val="24"/>
          <w:szCs w:val="24"/>
        </w:rPr>
        <w:t>a</w:t>
      </w:r>
      <w:r w:rsidR="001457B5" w:rsidRPr="003F3A43">
        <w:rPr>
          <w:rFonts w:ascii="Times New Roman" w:hAnsi="Times New Roman" w:cs="Times New Roman"/>
          <w:sz w:val="24"/>
          <w:szCs w:val="24"/>
        </w:rPr>
        <w:t xml:space="preserve"> </w:t>
      </w:r>
      <w:r w:rsidR="00AE4DFB" w:rsidRPr="003F3A43">
        <w:rPr>
          <w:rFonts w:ascii="Times New Roman" w:hAnsi="Times New Roman" w:cs="Times New Roman"/>
          <w:sz w:val="24"/>
          <w:szCs w:val="24"/>
        </w:rPr>
        <w:t>process evaluation.</w:t>
      </w:r>
    </w:p>
    <w:p w14:paraId="2036E9F1" w14:textId="025D5DB9" w:rsidR="00D8372E" w:rsidRDefault="00D8372E" w:rsidP="00146777">
      <w:pPr>
        <w:spacing w:after="0" w:line="480" w:lineRule="auto"/>
        <w:rPr>
          <w:rFonts w:ascii="Times New Roman" w:hAnsi="Times New Roman" w:cs="Times New Roman"/>
          <w:sz w:val="24"/>
          <w:szCs w:val="24"/>
        </w:rPr>
      </w:pPr>
    </w:p>
    <w:p w14:paraId="26284CF6" w14:textId="59E17F8E" w:rsidR="00750D66" w:rsidRPr="00771D7E" w:rsidRDefault="00750D66" w:rsidP="00750D66">
      <w:pPr>
        <w:spacing w:line="480" w:lineRule="auto"/>
        <w:rPr>
          <w:rFonts w:ascii="Times New Roman" w:hAnsi="Times New Roman" w:cs="Times New Roman"/>
          <w:b/>
          <w:sz w:val="28"/>
          <w:szCs w:val="28"/>
        </w:rPr>
      </w:pPr>
      <w:r>
        <w:rPr>
          <w:rFonts w:ascii="Times New Roman" w:hAnsi="Times New Roman" w:cs="Times New Roman"/>
          <w:b/>
          <w:sz w:val="28"/>
          <w:szCs w:val="28"/>
        </w:rPr>
        <w:t>Abbreviations</w:t>
      </w:r>
    </w:p>
    <w:p w14:paraId="630522B8" w14:textId="5C71EA6E" w:rsidR="00750D66" w:rsidRDefault="00750D66" w:rsidP="001467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AOR: Adjusted odds ratio; CBT: Cognitive behaviour therapy; CCG: Clinical Commissioning Groups; </w:t>
      </w:r>
      <w:r w:rsidR="00D137C1">
        <w:rPr>
          <w:rFonts w:ascii="Times New Roman" w:hAnsi="Times New Roman" w:cs="Times New Roman"/>
          <w:sz w:val="24"/>
          <w:szCs w:val="24"/>
        </w:rPr>
        <w:t xml:space="preserve">CI: Confidence interval; </w:t>
      </w:r>
      <w:r>
        <w:rPr>
          <w:rFonts w:ascii="Times New Roman" w:hAnsi="Times New Roman" w:cs="Times New Roman"/>
          <w:sz w:val="24"/>
          <w:szCs w:val="24"/>
        </w:rPr>
        <w:t xml:space="preserve">CVD: Cardiovascular disease; IMD: Index of Multiple Deprivation; LDL: Low density lipoprotein; LSOA: Lower layer super output area; MI: Motivational interviewing; MOVE IT: </w:t>
      </w:r>
      <w:proofErr w:type="spellStart"/>
      <w:r>
        <w:rPr>
          <w:rFonts w:ascii="Times New Roman" w:hAnsi="Times New Roman" w:cs="Times New Roman"/>
          <w:sz w:val="24"/>
          <w:szCs w:val="24"/>
        </w:rPr>
        <w:t>MOtiVational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intErviewing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OR: Odds ratio; RCT: Randomised controlled trial; SD: Standard deviation; UK: United Kingdom</w:t>
      </w:r>
    </w:p>
    <w:p w14:paraId="0328C418" w14:textId="77777777" w:rsidR="00750D66" w:rsidRPr="003F3A43" w:rsidRDefault="00750D66" w:rsidP="00146777">
      <w:pPr>
        <w:spacing w:after="0" w:line="480" w:lineRule="auto"/>
        <w:rPr>
          <w:rFonts w:ascii="Times New Roman" w:hAnsi="Times New Roman" w:cs="Times New Roman"/>
          <w:sz w:val="24"/>
          <w:szCs w:val="24"/>
        </w:rPr>
      </w:pPr>
    </w:p>
    <w:p w14:paraId="35FFD657" w14:textId="09B2F797" w:rsidR="00605E2A" w:rsidRPr="00950E26" w:rsidRDefault="00950E26" w:rsidP="00146777">
      <w:pPr>
        <w:spacing w:line="480" w:lineRule="auto"/>
        <w:rPr>
          <w:rFonts w:ascii="Times New Roman" w:hAnsi="Times New Roman" w:cs="Times New Roman"/>
          <w:b/>
          <w:sz w:val="28"/>
          <w:szCs w:val="28"/>
        </w:rPr>
      </w:pPr>
      <w:r w:rsidRPr="00771D7E">
        <w:rPr>
          <w:rFonts w:ascii="Times New Roman" w:hAnsi="Times New Roman" w:cs="Times New Roman"/>
          <w:b/>
          <w:sz w:val="28"/>
          <w:szCs w:val="28"/>
        </w:rPr>
        <w:t>D</w:t>
      </w:r>
      <w:r>
        <w:rPr>
          <w:rFonts w:ascii="Times New Roman" w:hAnsi="Times New Roman" w:cs="Times New Roman"/>
          <w:b/>
          <w:sz w:val="28"/>
          <w:szCs w:val="28"/>
        </w:rPr>
        <w:t>eclarations</w:t>
      </w:r>
    </w:p>
    <w:p w14:paraId="0C3E1B75" w14:textId="289A67F6" w:rsidR="00890B76" w:rsidRDefault="00890B76" w:rsidP="00890B76">
      <w:pPr>
        <w:spacing w:line="480" w:lineRule="auto"/>
        <w:rPr>
          <w:rFonts w:ascii="Times New Roman" w:hAnsi="Times New Roman" w:cs="Times New Roman"/>
          <w:b/>
        </w:rPr>
      </w:pPr>
      <w:r>
        <w:rPr>
          <w:rFonts w:ascii="Times New Roman" w:hAnsi="Times New Roman" w:cs="Times New Roman"/>
          <w:b/>
        </w:rPr>
        <w:t>Ethics approval and consent to participate</w:t>
      </w:r>
    </w:p>
    <w:p w14:paraId="59871C7F" w14:textId="6E07E342" w:rsidR="00AD4435" w:rsidRDefault="00890B76" w:rsidP="00146777">
      <w:pPr>
        <w:spacing w:line="480" w:lineRule="auto"/>
        <w:rPr>
          <w:rFonts w:ascii="Times New Roman" w:hAnsi="Times New Roman" w:cs="Times New Roman"/>
        </w:rPr>
      </w:pPr>
      <w:r>
        <w:rPr>
          <w:rFonts w:ascii="Times New Roman" w:hAnsi="Times New Roman" w:cs="Times New Roman"/>
        </w:rPr>
        <w:t>T</w:t>
      </w:r>
      <w:r w:rsidRPr="00890B76">
        <w:rPr>
          <w:rFonts w:ascii="Times New Roman" w:hAnsi="Times New Roman" w:cs="Times New Roman"/>
        </w:rPr>
        <w:t xml:space="preserve">he MOVE IT trial </w:t>
      </w:r>
      <w:r w:rsidR="00C36148">
        <w:rPr>
          <w:rFonts w:ascii="Times New Roman" w:hAnsi="Times New Roman" w:cs="Times New Roman"/>
        </w:rPr>
        <w:t xml:space="preserve">and this response bias study </w:t>
      </w:r>
      <w:r w:rsidRPr="00890B76">
        <w:rPr>
          <w:rFonts w:ascii="Times New Roman" w:hAnsi="Times New Roman" w:cs="Times New Roman"/>
        </w:rPr>
        <w:t xml:space="preserve">was granted </w:t>
      </w:r>
      <w:r w:rsidR="00AD4435">
        <w:rPr>
          <w:rFonts w:ascii="Times New Roman" w:hAnsi="Times New Roman" w:cs="Times New Roman"/>
        </w:rPr>
        <w:t xml:space="preserve">ethics approval </w:t>
      </w:r>
      <w:r w:rsidRPr="00890B76">
        <w:rPr>
          <w:rFonts w:ascii="Times New Roman" w:hAnsi="Times New Roman" w:cs="Times New Roman"/>
        </w:rPr>
        <w:t xml:space="preserve">by the </w:t>
      </w:r>
      <w:proofErr w:type="spellStart"/>
      <w:r w:rsidRPr="00890B76">
        <w:rPr>
          <w:rFonts w:ascii="Times New Roman" w:hAnsi="Times New Roman" w:cs="Times New Roman"/>
        </w:rPr>
        <w:t>Dulwich</w:t>
      </w:r>
      <w:proofErr w:type="spellEnd"/>
      <w:r w:rsidRPr="00890B76">
        <w:rPr>
          <w:rFonts w:ascii="Times New Roman" w:hAnsi="Times New Roman" w:cs="Times New Roman"/>
        </w:rPr>
        <w:t xml:space="preserve"> ethics committee (12/LO/0917)</w:t>
      </w:r>
      <w:r w:rsidR="00AD4435">
        <w:rPr>
          <w:rFonts w:ascii="Times New Roman" w:hAnsi="Times New Roman" w:cs="Times New Roman"/>
        </w:rPr>
        <w:t xml:space="preserve">. Approval was granted </w:t>
      </w:r>
      <w:r w:rsidR="00C36148">
        <w:rPr>
          <w:rFonts w:ascii="Times New Roman" w:hAnsi="Times New Roman" w:cs="Times New Roman"/>
        </w:rPr>
        <w:t xml:space="preserve">by the </w:t>
      </w:r>
      <w:proofErr w:type="spellStart"/>
      <w:r w:rsidR="00C36148">
        <w:rPr>
          <w:rFonts w:ascii="Times New Roman" w:hAnsi="Times New Roman" w:cs="Times New Roman"/>
        </w:rPr>
        <w:t>Dulwich</w:t>
      </w:r>
      <w:proofErr w:type="spellEnd"/>
      <w:r w:rsidR="00C36148">
        <w:rPr>
          <w:rFonts w:ascii="Times New Roman" w:hAnsi="Times New Roman" w:cs="Times New Roman"/>
        </w:rPr>
        <w:t xml:space="preserve"> ethics committee </w:t>
      </w:r>
      <w:r w:rsidR="00AD4435">
        <w:rPr>
          <w:rFonts w:ascii="Times New Roman" w:hAnsi="Times New Roman" w:cs="Times New Roman"/>
        </w:rPr>
        <w:t>to</w:t>
      </w:r>
      <w:r w:rsidRPr="00890B76">
        <w:rPr>
          <w:rFonts w:ascii="Times New Roman" w:hAnsi="Times New Roman" w:cs="Times New Roman"/>
        </w:rPr>
        <w:t xml:space="preserve"> extract </w:t>
      </w:r>
      <w:proofErr w:type="spellStart"/>
      <w:r w:rsidRPr="00890B76">
        <w:rPr>
          <w:rFonts w:ascii="Times New Roman" w:hAnsi="Times New Roman" w:cs="Times New Roman"/>
        </w:rPr>
        <w:t>anonymised</w:t>
      </w:r>
      <w:proofErr w:type="spellEnd"/>
      <w:r w:rsidRPr="00890B76">
        <w:rPr>
          <w:rFonts w:ascii="Times New Roman" w:hAnsi="Times New Roman" w:cs="Times New Roman"/>
        </w:rPr>
        <w:t xml:space="preserve"> </w:t>
      </w:r>
      <w:r w:rsidRPr="00890B76">
        <w:rPr>
          <w:rFonts w:ascii="Times New Roman" w:hAnsi="Times New Roman" w:cs="Times New Roman"/>
        </w:rPr>
        <w:lastRenderedPageBreak/>
        <w:t>data for all patients invited to participate</w:t>
      </w:r>
      <w:r w:rsidR="00C36148">
        <w:rPr>
          <w:rFonts w:ascii="Times New Roman" w:hAnsi="Times New Roman" w:cs="Times New Roman"/>
        </w:rPr>
        <w:t>,</w:t>
      </w:r>
      <w:r w:rsidRPr="00890B76">
        <w:rPr>
          <w:rFonts w:ascii="Times New Roman" w:hAnsi="Times New Roman" w:cs="Times New Roman"/>
        </w:rPr>
        <w:t xml:space="preserve"> unless an informed dissent code was present on their personal medical records</w:t>
      </w:r>
      <w:r w:rsidR="00C36148">
        <w:rPr>
          <w:rFonts w:ascii="Times New Roman" w:hAnsi="Times New Roman" w:cs="Times New Roman"/>
        </w:rPr>
        <w:t xml:space="preserve">, and the requirement to obtain consent from responders and non-responders </w:t>
      </w:r>
      <w:r w:rsidR="00CF6478">
        <w:rPr>
          <w:rFonts w:ascii="Times New Roman" w:hAnsi="Times New Roman" w:cs="Times New Roman"/>
        </w:rPr>
        <w:t xml:space="preserve">to the original study </w:t>
      </w:r>
      <w:r w:rsidR="00C36148">
        <w:rPr>
          <w:rFonts w:ascii="Times New Roman" w:hAnsi="Times New Roman" w:cs="Times New Roman"/>
        </w:rPr>
        <w:t xml:space="preserve">for the use of their </w:t>
      </w:r>
      <w:proofErr w:type="spellStart"/>
      <w:r w:rsidR="00C36148">
        <w:rPr>
          <w:rFonts w:ascii="Times New Roman" w:hAnsi="Times New Roman" w:cs="Times New Roman"/>
        </w:rPr>
        <w:t>anonymised</w:t>
      </w:r>
      <w:proofErr w:type="spellEnd"/>
      <w:r w:rsidR="00C36148">
        <w:rPr>
          <w:rFonts w:ascii="Times New Roman" w:hAnsi="Times New Roman" w:cs="Times New Roman"/>
        </w:rPr>
        <w:t xml:space="preserve"> data was waived.</w:t>
      </w:r>
      <w:r w:rsidR="00AD4435">
        <w:rPr>
          <w:rFonts w:ascii="Times New Roman" w:hAnsi="Times New Roman" w:cs="Times New Roman"/>
        </w:rPr>
        <w:t xml:space="preserve"> </w:t>
      </w:r>
    </w:p>
    <w:p w14:paraId="4A4D6AA4" w14:textId="1513C28A" w:rsidR="00AD4435" w:rsidRDefault="00AD4435" w:rsidP="00AD4435">
      <w:pPr>
        <w:spacing w:line="480" w:lineRule="auto"/>
        <w:rPr>
          <w:rFonts w:ascii="Times New Roman" w:hAnsi="Times New Roman" w:cs="Times New Roman"/>
          <w:b/>
        </w:rPr>
      </w:pPr>
      <w:r>
        <w:rPr>
          <w:rFonts w:ascii="Times New Roman" w:hAnsi="Times New Roman" w:cs="Times New Roman"/>
          <w:b/>
        </w:rPr>
        <w:t>Consent for publication</w:t>
      </w:r>
    </w:p>
    <w:p w14:paraId="4D67E658" w14:textId="36E2176F" w:rsidR="00AD4435" w:rsidRDefault="00AD4435" w:rsidP="00146777">
      <w:pPr>
        <w:spacing w:line="480" w:lineRule="auto"/>
        <w:rPr>
          <w:rFonts w:ascii="Times New Roman" w:hAnsi="Times New Roman" w:cs="Times New Roman"/>
        </w:rPr>
      </w:pPr>
      <w:r>
        <w:rPr>
          <w:rFonts w:ascii="Times New Roman" w:hAnsi="Times New Roman" w:cs="Times New Roman"/>
        </w:rPr>
        <w:t>Not applicable</w:t>
      </w:r>
    </w:p>
    <w:p w14:paraId="43636637" w14:textId="7D7ABC6D" w:rsidR="00AD4435" w:rsidRDefault="00AD4435" w:rsidP="00AD4435">
      <w:pPr>
        <w:spacing w:line="480" w:lineRule="auto"/>
        <w:rPr>
          <w:rFonts w:ascii="Times New Roman" w:hAnsi="Times New Roman" w:cs="Times New Roman"/>
          <w:b/>
        </w:rPr>
      </w:pPr>
      <w:r>
        <w:rPr>
          <w:rFonts w:ascii="Times New Roman" w:hAnsi="Times New Roman" w:cs="Times New Roman"/>
          <w:b/>
        </w:rPr>
        <w:t>Competing interests</w:t>
      </w:r>
    </w:p>
    <w:p w14:paraId="1AA9E062" w14:textId="3682EE31" w:rsidR="00AD4435" w:rsidRPr="00AD4435" w:rsidRDefault="00AD4435" w:rsidP="00146777">
      <w:pPr>
        <w:spacing w:line="480" w:lineRule="auto"/>
        <w:rPr>
          <w:rFonts w:ascii="Times New Roman" w:hAnsi="Times New Roman" w:cs="Times New Roman"/>
        </w:rPr>
      </w:pPr>
      <w:r>
        <w:rPr>
          <w:rFonts w:ascii="Times New Roman" w:hAnsi="Times New Roman" w:cs="Times New Roman"/>
        </w:rPr>
        <w:t>The authors declare that they have no competing interests.</w:t>
      </w:r>
    </w:p>
    <w:p w14:paraId="01E4FEC9" w14:textId="65552506" w:rsidR="00AD4435" w:rsidRDefault="00AD4435" w:rsidP="00146777">
      <w:pPr>
        <w:spacing w:line="480" w:lineRule="auto"/>
        <w:rPr>
          <w:rFonts w:ascii="Times New Roman" w:hAnsi="Times New Roman" w:cs="Times New Roman"/>
          <w:b/>
        </w:rPr>
      </w:pPr>
      <w:r>
        <w:rPr>
          <w:rFonts w:ascii="Times New Roman" w:hAnsi="Times New Roman" w:cs="Times New Roman"/>
          <w:b/>
        </w:rPr>
        <w:t>Availability of data and materials</w:t>
      </w:r>
    </w:p>
    <w:p w14:paraId="0E7A433B" w14:textId="257A39E5" w:rsidR="00AD4435" w:rsidRPr="00AD4435" w:rsidRDefault="00AD4435" w:rsidP="00146777">
      <w:pPr>
        <w:spacing w:line="480" w:lineRule="auto"/>
        <w:rPr>
          <w:rFonts w:ascii="Times New Roman" w:hAnsi="Times New Roman" w:cs="Times New Roman"/>
        </w:rPr>
      </w:pPr>
      <w:r w:rsidRPr="00AD4435">
        <w:rPr>
          <w:rFonts w:ascii="Times New Roman" w:hAnsi="Times New Roman" w:cs="Times New Roman"/>
        </w:rPr>
        <w:t>Please contact the corresponding author to discuss availability of datasets</w:t>
      </w:r>
      <w:r>
        <w:rPr>
          <w:rFonts w:ascii="Times New Roman" w:hAnsi="Times New Roman" w:cs="Times New Roman"/>
        </w:rPr>
        <w:t xml:space="preserve"> </w:t>
      </w:r>
      <w:proofErr w:type="spellStart"/>
      <w:r w:rsidRPr="00AD4435">
        <w:rPr>
          <w:rFonts w:ascii="Times New Roman" w:hAnsi="Times New Roman" w:cs="Times New Roman"/>
        </w:rPr>
        <w:t>analy</w:t>
      </w:r>
      <w:r>
        <w:rPr>
          <w:rFonts w:ascii="Times New Roman" w:hAnsi="Times New Roman" w:cs="Times New Roman"/>
        </w:rPr>
        <w:t>s</w:t>
      </w:r>
      <w:r w:rsidRPr="00AD4435">
        <w:rPr>
          <w:rFonts w:ascii="Times New Roman" w:hAnsi="Times New Roman" w:cs="Times New Roman"/>
        </w:rPr>
        <w:t>ed</w:t>
      </w:r>
      <w:proofErr w:type="spellEnd"/>
      <w:r w:rsidRPr="00AD4435">
        <w:rPr>
          <w:rFonts w:ascii="Times New Roman" w:hAnsi="Times New Roman" w:cs="Times New Roman"/>
        </w:rPr>
        <w:t xml:space="preserve"> </w:t>
      </w:r>
      <w:r>
        <w:rPr>
          <w:rFonts w:ascii="Times New Roman" w:hAnsi="Times New Roman" w:cs="Times New Roman"/>
        </w:rPr>
        <w:t xml:space="preserve">for </w:t>
      </w:r>
      <w:r w:rsidRPr="00AD4435">
        <w:rPr>
          <w:rFonts w:ascii="Times New Roman" w:hAnsi="Times New Roman" w:cs="Times New Roman"/>
        </w:rPr>
        <w:t>the current study.</w:t>
      </w:r>
    </w:p>
    <w:p w14:paraId="1CD596BB" w14:textId="61CB5568" w:rsidR="00AD4435" w:rsidRDefault="00AD4435" w:rsidP="00146777">
      <w:pPr>
        <w:spacing w:line="480" w:lineRule="auto"/>
        <w:rPr>
          <w:rFonts w:ascii="Times New Roman" w:hAnsi="Times New Roman" w:cs="Times New Roman"/>
          <w:b/>
        </w:rPr>
      </w:pPr>
      <w:r>
        <w:rPr>
          <w:rFonts w:ascii="Times New Roman" w:hAnsi="Times New Roman" w:cs="Times New Roman"/>
          <w:b/>
        </w:rPr>
        <w:t>Funding</w:t>
      </w:r>
    </w:p>
    <w:p w14:paraId="23FA4057" w14:textId="4AA01E5B" w:rsidR="00AD4435" w:rsidRDefault="00AD4435" w:rsidP="00AD4435">
      <w:pPr>
        <w:spacing w:line="480" w:lineRule="auto"/>
        <w:rPr>
          <w:rFonts w:ascii="Times New Roman" w:hAnsi="Times New Roman" w:cs="Times New Roman"/>
        </w:rPr>
      </w:pPr>
      <w:r w:rsidRPr="00221E28">
        <w:rPr>
          <w:rFonts w:ascii="Times New Roman" w:hAnsi="Times New Roman" w:cs="Times New Roman"/>
        </w:rPr>
        <w:t>The MOVE IT study is funded by the Health Technology Assessment-National Institute for Health Research - Health Techn</w:t>
      </w:r>
      <w:r>
        <w:rPr>
          <w:rFonts w:ascii="Times New Roman" w:hAnsi="Times New Roman" w:cs="Times New Roman"/>
        </w:rPr>
        <w:t xml:space="preserve">ology Assessment </w:t>
      </w:r>
      <w:proofErr w:type="spellStart"/>
      <w:r>
        <w:rPr>
          <w:rFonts w:ascii="Times New Roman" w:hAnsi="Times New Roman" w:cs="Times New Roman"/>
        </w:rPr>
        <w:t>Programme</w:t>
      </w:r>
      <w:proofErr w:type="spellEnd"/>
      <w:r>
        <w:rPr>
          <w:rFonts w:ascii="Times New Roman" w:hAnsi="Times New Roman" w:cs="Times New Roman"/>
        </w:rPr>
        <w:t xml:space="preserve"> (</w:t>
      </w:r>
      <w:r w:rsidRPr="00221E28">
        <w:rPr>
          <w:rFonts w:ascii="Times New Roman" w:hAnsi="Times New Roman" w:cs="Times New Roman"/>
        </w:rPr>
        <w:t>NIHR-HTA) (Proj</w:t>
      </w:r>
      <w:r>
        <w:rPr>
          <w:rFonts w:ascii="Times New Roman" w:hAnsi="Times New Roman" w:cs="Times New Roman"/>
        </w:rPr>
        <w:t>e</w:t>
      </w:r>
      <w:r w:rsidRPr="00221E28">
        <w:rPr>
          <w:rFonts w:ascii="Times New Roman" w:hAnsi="Times New Roman" w:cs="Times New Roman"/>
        </w:rPr>
        <w:t>ct: 10/62/03)</w:t>
      </w:r>
      <w:r>
        <w:rPr>
          <w:rFonts w:ascii="Times New Roman" w:hAnsi="Times New Roman" w:cs="Times New Roman"/>
        </w:rPr>
        <w:t xml:space="preserve"> and work will be published in the Health Technology Assessment journal</w:t>
      </w:r>
      <w:r w:rsidRPr="00221E28">
        <w:rPr>
          <w:rFonts w:ascii="Times New Roman" w:hAnsi="Times New Roman" w:cs="Times New Roman"/>
        </w:rPr>
        <w:t xml:space="preserve">. </w:t>
      </w:r>
      <w:r>
        <w:rPr>
          <w:rFonts w:ascii="Times New Roman" w:hAnsi="Times New Roman" w:cs="Times New Roman"/>
        </w:rPr>
        <w:t>Further information available at</w:t>
      </w:r>
      <w:r w:rsidRPr="008A2674">
        <w:t xml:space="preserve"> </w:t>
      </w:r>
      <w:r w:rsidRPr="008A2674">
        <w:rPr>
          <w:rFonts w:ascii="Times New Roman" w:hAnsi="Times New Roman" w:cs="Times New Roman"/>
        </w:rPr>
        <w:t>https://www.journalslibrary.nihr.ac.uk/HTA/#/</w:t>
      </w:r>
      <w:r w:rsidR="0020768E">
        <w:rPr>
          <w:rFonts w:ascii="Times New Roman" w:hAnsi="Times New Roman" w:cs="Times New Roman"/>
        </w:rPr>
        <w:t>.</w:t>
      </w:r>
      <w:r w:rsidR="00C36148">
        <w:rPr>
          <w:rFonts w:ascii="Times New Roman" w:hAnsi="Times New Roman" w:cs="Times New Roman"/>
        </w:rPr>
        <w:t xml:space="preserve"> </w:t>
      </w:r>
      <w:r w:rsidR="00C36148" w:rsidRPr="00C36148">
        <w:rPr>
          <w:rFonts w:ascii="Times New Roman" w:hAnsi="Times New Roman" w:cs="Times New Roman"/>
        </w:rPr>
        <w:t>The funding body was not involved in the study design, collection of data, analysis of data, writing of the manuscript or the decision to submit the manuscript for publication.</w:t>
      </w:r>
      <w:bookmarkStart w:id="2" w:name="_GoBack"/>
      <w:bookmarkEnd w:id="2"/>
    </w:p>
    <w:p w14:paraId="509865E6" w14:textId="50B8122B" w:rsidR="00AD4435" w:rsidRPr="00AD4435" w:rsidRDefault="00AD4435" w:rsidP="00146777">
      <w:pPr>
        <w:spacing w:line="480" w:lineRule="auto"/>
        <w:rPr>
          <w:rFonts w:ascii="Times New Roman" w:hAnsi="Times New Roman" w:cs="Times New Roman"/>
        </w:rPr>
      </w:pPr>
      <w:r w:rsidRPr="008A2674">
        <w:rPr>
          <w:rFonts w:ascii="Times New Roman" w:hAnsi="Times New Roman" w:cs="Times New Roman"/>
        </w:rPr>
        <w:t>This report presents independent research commission</w:t>
      </w:r>
      <w:r>
        <w:rPr>
          <w:rFonts w:ascii="Times New Roman" w:hAnsi="Times New Roman" w:cs="Times New Roman"/>
        </w:rPr>
        <w:t xml:space="preserve">ed by the NIHR </w:t>
      </w:r>
      <w:r w:rsidRPr="00C746C6">
        <w:rPr>
          <w:rFonts w:ascii="Times New Roman" w:hAnsi="Times New Roman" w:cs="Times New Roman"/>
        </w:rPr>
        <w:t>and part funded by the NIHR Biomedical Research Centre at South London and Maudsley NHS Foundation Trust and King’s College London</w:t>
      </w:r>
      <w:r w:rsidRPr="008A2674">
        <w:rPr>
          <w:rFonts w:ascii="Times New Roman" w:hAnsi="Times New Roman" w:cs="Times New Roman"/>
        </w:rPr>
        <w:t xml:space="preserve">. The views and opinions expressed by authors in this publication are those of the authors and do not necessarily reflect those of the NHS, the NIHR, MRC, CCF, NETSCC, the </w:t>
      </w:r>
      <w:r>
        <w:rPr>
          <w:rFonts w:ascii="Times New Roman" w:hAnsi="Times New Roman" w:cs="Times New Roman"/>
        </w:rPr>
        <w:t xml:space="preserve">Health Technology Assessment </w:t>
      </w:r>
      <w:proofErr w:type="spellStart"/>
      <w:r w:rsidRPr="008A2674">
        <w:rPr>
          <w:rFonts w:ascii="Times New Roman" w:hAnsi="Times New Roman" w:cs="Times New Roman"/>
        </w:rPr>
        <w:t>programme</w:t>
      </w:r>
      <w:proofErr w:type="spellEnd"/>
      <w:r w:rsidRPr="008A2674">
        <w:rPr>
          <w:rFonts w:ascii="Times New Roman" w:hAnsi="Times New Roman" w:cs="Times New Roman"/>
        </w:rPr>
        <w:t xml:space="preserve"> or the Department of Health.</w:t>
      </w:r>
    </w:p>
    <w:p w14:paraId="1E3B5378" w14:textId="77777777" w:rsidR="00AD4435" w:rsidRDefault="00AD4435" w:rsidP="00AD4435">
      <w:pPr>
        <w:spacing w:line="480" w:lineRule="auto"/>
        <w:rPr>
          <w:rFonts w:ascii="Times New Roman" w:hAnsi="Times New Roman" w:cs="Times New Roman"/>
          <w:b/>
        </w:rPr>
      </w:pPr>
      <w:r>
        <w:rPr>
          <w:rFonts w:ascii="Times New Roman" w:hAnsi="Times New Roman" w:cs="Times New Roman"/>
          <w:b/>
        </w:rPr>
        <w:t>Authors’ contributions</w:t>
      </w:r>
    </w:p>
    <w:p w14:paraId="44682521" w14:textId="6D04C0F5" w:rsidR="00AD4435" w:rsidRPr="00AD4435" w:rsidRDefault="00AD4435" w:rsidP="00146777">
      <w:pPr>
        <w:spacing w:line="480" w:lineRule="auto"/>
        <w:rPr>
          <w:rFonts w:ascii="Times New Roman" w:hAnsi="Times New Roman" w:cs="Times New Roman"/>
        </w:rPr>
      </w:pPr>
      <w:r w:rsidRPr="00091A90">
        <w:rPr>
          <w:rFonts w:ascii="Times New Roman" w:hAnsi="Times New Roman" w:cs="Times New Roman"/>
        </w:rPr>
        <w:lastRenderedPageBreak/>
        <w:t>KI,</w:t>
      </w:r>
      <w:r>
        <w:rPr>
          <w:rFonts w:ascii="Times New Roman" w:hAnsi="Times New Roman" w:cs="Times New Roman"/>
        </w:rPr>
        <w:t xml:space="preserve"> KW, DS, MA, DC, PW, JT, and AG were involved in the conception and design of the MOVE IT </w:t>
      </w:r>
      <w:r w:rsidR="00817C64">
        <w:rPr>
          <w:rFonts w:ascii="Times New Roman" w:hAnsi="Times New Roman" w:cs="Times New Roman"/>
        </w:rPr>
        <w:t>study and this response bias study</w:t>
      </w:r>
      <w:r>
        <w:rPr>
          <w:rFonts w:ascii="Times New Roman" w:hAnsi="Times New Roman" w:cs="Times New Roman"/>
        </w:rPr>
        <w:t>. KR contributed to the setting up of research sites in primary care</w:t>
      </w:r>
      <w:r w:rsidR="00817C64">
        <w:rPr>
          <w:rFonts w:ascii="Times New Roman" w:hAnsi="Times New Roman" w:cs="Times New Roman"/>
        </w:rPr>
        <w:t xml:space="preserve"> and acquisition of data for the response bias study</w:t>
      </w:r>
      <w:r>
        <w:rPr>
          <w:rFonts w:ascii="Times New Roman" w:hAnsi="Times New Roman" w:cs="Times New Roman"/>
        </w:rPr>
        <w:t>. AB led the development of the hypotheses and contributed to the acquisition, analysis and interpretation of data collected for this manuscript. DS supported the statistical analysis for this study.</w:t>
      </w:r>
      <w:r w:rsidRPr="005E6729">
        <w:rPr>
          <w:rFonts w:ascii="Times New Roman" w:hAnsi="Times New Roman" w:cs="Times New Roman"/>
        </w:rPr>
        <w:t xml:space="preserve"> All authors </w:t>
      </w:r>
      <w:r w:rsidR="00817C64">
        <w:rPr>
          <w:rFonts w:ascii="Times New Roman" w:hAnsi="Times New Roman" w:cs="Times New Roman"/>
        </w:rPr>
        <w:t xml:space="preserve">critically revised the </w:t>
      </w:r>
      <w:proofErr w:type="gramStart"/>
      <w:r w:rsidR="00817C64">
        <w:rPr>
          <w:rFonts w:ascii="Times New Roman" w:hAnsi="Times New Roman" w:cs="Times New Roman"/>
        </w:rPr>
        <w:t>manuscript, and</w:t>
      </w:r>
      <w:proofErr w:type="gramEnd"/>
      <w:r w:rsidR="00817C64">
        <w:rPr>
          <w:rFonts w:ascii="Times New Roman" w:hAnsi="Times New Roman" w:cs="Times New Roman"/>
        </w:rPr>
        <w:t xml:space="preserve"> gave </w:t>
      </w:r>
      <w:r w:rsidRPr="005E6729">
        <w:rPr>
          <w:rFonts w:ascii="Times New Roman" w:hAnsi="Times New Roman" w:cs="Times New Roman"/>
        </w:rPr>
        <w:t>approv</w:t>
      </w:r>
      <w:r w:rsidR="00817C64">
        <w:rPr>
          <w:rFonts w:ascii="Times New Roman" w:hAnsi="Times New Roman" w:cs="Times New Roman"/>
        </w:rPr>
        <w:t>al</w:t>
      </w:r>
      <w:r w:rsidRPr="005E6729">
        <w:rPr>
          <w:rFonts w:ascii="Times New Roman" w:hAnsi="Times New Roman" w:cs="Times New Roman"/>
        </w:rPr>
        <w:t xml:space="preserve"> </w:t>
      </w:r>
      <w:r w:rsidR="00817C64">
        <w:rPr>
          <w:rFonts w:ascii="Times New Roman" w:hAnsi="Times New Roman" w:cs="Times New Roman"/>
        </w:rPr>
        <w:t xml:space="preserve">and agreed to be accountable for </w:t>
      </w:r>
      <w:r w:rsidRPr="005E6729">
        <w:rPr>
          <w:rFonts w:ascii="Times New Roman" w:hAnsi="Times New Roman" w:cs="Times New Roman"/>
        </w:rPr>
        <w:t>the final manuscript.</w:t>
      </w:r>
    </w:p>
    <w:p w14:paraId="32CE9D40" w14:textId="08872A23" w:rsidR="00605E2A" w:rsidRDefault="00AD4435" w:rsidP="00146777">
      <w:pPr>
        <w:spacing w:line="480" w:lineRule="auto"/>
        <w:rPr>
          <w:rFonts w:ascii="Times New Roman" w:hAnsi="Times New Roman" w:cs="Times New Roman"/>
          <w:b/>
        </w:rPr>
      </w:pPr>
      <w:r>
        <w:rPr>
          <w:rFonts w:ascii="Times New Roman" w:hAnsi="Times New Roman" w:cs="Times New Roman"/>
          <w:b/>
        </w:rPr>
        <w:t>A</w:t>
      </w:r>
      <w:r w:rsidR="00771D7E">
        <w:rPr>
          <w:rFonts w:ascii="Times New Roman" w:hAnsi="Times New Roman" w:cs="Times New Roman"/>
          <w:b/>
        </w:rPr>
        <w:t>cknowledgement</w:t>
      </w:r>
      <w:r w:rsidR="00950E26">
        <w:rPr>
          <w:rFonts w:ascii="Times New Roman" w:hAnsi="Times New Roman" w:cs="Times New Roman"/>
          <w:b/>
        </w:rPr>
        <w:t>s</w:t>
      </w:r>
    </w:p>
    <w:p w14:paraId="14B5D805" w14:textId="40AE2801" w:rsidR="00221E28" w:rsidRDefault="00221E28" w:rsidP="00146777">
      <w:pPr>
        <w:spacing w:line="480" w:lineRule="auto"/>
        <w:rPr>
          <w:rFonts w:ascii="Times New Roman" w:hAnsi="Times New Roman" w:cs="Times New Roman"/>
        </w:rPr>
      </w:pPr>
      <w:r w:rsidRPr="00221E28">
        <w:rPr>
          <w:rFonts w:ascii="Times New Roman" w:hAnsi="Times New Roman" w:cs="Times New Roman"/>
        </w:rPr>
        <w:t>We would like to thank the research team, healthy lifestyle facilitator tea</w:t>
      </w:r>
      <w:r w:rsidR="00AC1C72">
        <w:rPr>
          <w:rFonts w:ascii="Times New Roman" w:hAnsi="Times New Roman" w:cs="Times New Roman"/>
        </w:rPr>
        <w:t xml:space="preserve">m, patient volunteers, and </w:t>
      </w:r>
      <w:r>
        <w:rPr>
          <w:rFonts w:ascii="Times New Roman" w:hAnsi="Times New Roman" w:cs="Times New Roman"/>
        </w:rPr>
        <w:t>s</w:t>
      </w:r>
      <w:r w:rsidRPr="00221E28">
        <w:rPr>
          <w:rFonts w:ascii="Times New Roman" w:hAnsi="Times New Roman" w:cs="Times New Roman"/>
        </w:rPr>
        <w:t>outh London Clinical Research Network who have supported the study, all general practices</w:t>
      </w:r>
      <w:r>
        <w:rPr>
          <w:rFonts w:ascii="Times New Roman" w:hAnsi="Times New Roman" w:cs="Times New Roman"/>
        </w:rPr>
        <w:t xml:space="preserve"> involved in the study across s</w:t>
      </w:r>
      <w:r w:rsidRPr="00221E28">
        <w:rPr>
          <w:rFonts w:ascii="Times New Roman" w:hAnsi="Times New Roman" w:cs="Times New Roman"/>
        </w:rPr>
        <w:t>outh London and all of the patients who ar</w:t>
      </w:r>
      <w:r>
        <w:rPr>
          <w:rFonts w:ascii="Times New Roman" w:hAnsi="Times New Roman" w:cs="Times New Roman"/>
        </w:rPr>
        <w:t xml:space="preserve">e participating. We would </w:t>
      </w:r>
      <w:r w:rsidR="00AC1C72">
        <w:rPr>
          <w:rFonts w:ascii="Times New Roman" w:hAnsi="Times New Roman" w:cs="Times New Roman"/>
        </w:rPr>
        <w:t xml:space="preserve">also </w:t>
      </w:r>
      <w:r>
        <w:rPr>
          <w:rFonts w:ascii="Times New Roman" w:hAnsi="Times New Roman" w:cs="Times New Roman"/>
        </w:rPr>
        <w:t>l</w:t>
      </w:r>
      <w:r w:rsidRPr="00221E28">
        <w:rPr>
          <w:rFonts w:ascii="Times New Roman" w:hAnsi="Times New Roman" w:cs="Times New Roman"/>
        </w:rPr>
        <w:t>ike to thank the Trial Steering Committee</w:t>
      </w:r>
      <w:r w:rsidR="00AC1C72">
        <w:rPr>
          <w:rFonts w:ascii="Times New Roman" w:hAnsi="Times New Roman" w:cs="Times New Roman"/>
        </w:rPr>
        <w:t xml:space="preserve"> and the Data Ethics and Monitoring Committee for their oversight. </w:t>
      </w:r>
    </w:p>
    <w:p w14:paraId="50DD11A4" w14:textId="77777777" w:rsidR="007E22C1" w:rsidRPr="00771D7E" w:rsidRDefault="007E22C1" w:rsidP="00146777">
      <w:pPr>
        <w:spacing w:line="480" w:lineRule="auto"/>
        <w:rPr>
          <w:rFonts w:ascii="Times New Roman" w:hAnsi="Times New Roman" w:cs="Times New Roman"/>
          <w:b/>
        </w:rPr>
      </w:pPr>
      <w:r w:rsidRPr="00771D7E">
        <w:rPr>
          <w:rFonts w:ascii="Times New Roman" w:hAnsi="Times New Roman" w:cs="Times New Roman"/>
          <w:b/>
        </w:rPr>
        <w:t>References</w:t>
      </w:r>
    </w:p>
    <w:p w14:paraId="4BFA97A5" w14:textId="60B73383" w:rsidR="00D37BED" w:rsidRPr="00C63940" w:rsidRDefault="009F3AD6"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1 </w:t>
      </w:r>
      <w:r w:rsidR="00E102F5" w:rsidRPr="00C63940">
        <w:rPr>
          <w:rFonts w:ascii="Times New Roman" w:hAnsi="Times New Roman" w:cs="Times New Roman"/>
          <w:color w:val="222222"/>
          <w:shd w:val="clear" w:color="auto" w:fill="FFFFFF"/>
        </w:rPr>
        <w:t>World Health Organization. Global status report on noncommunicable diseases 2010. Geneva: World Health Organization; 2011.</w:t>
      </w:r>
    </w:p>
    <w:p w14:paraId="421BF164" w14:textId="57F319AB" w:rsidR="00A947E4" w:rsidRPr="00C63940" w:rsidRDefault="009F3AD6"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2 </w:t>
      </w:r>
      <w:r w:rsidR="00E102F5" w:rsidRPr="00C63940">
        <w:rPr>
          <w:rFonts w:ascii="Times New Roman" w:hAnsi="Times New Roman" w:cs="Times New Roman"/>
          <w:color w:val="222222"/>
          <w:shd w:val="clear" w:color="auto" w:fill="FFFFFF"/>
        </w:rPr>
        <w:t>Shaper AG, Pocock SJ, Walker M</w:t>
      </w:r>
      <w:r w:rsidR="00A947E4" w:rsidRPr="00C63940">
        <w:rPr>
          <w:rFonts w:ascii="Times New Roman" w:hAnsi="Times New Roman" w:cs="Times New Roman"/>
          <w:color w:val="222222"/>
          <w:shd w:val="clear" w:color="auto" w:fill="FFFFFF"/>
        </w:rPr>
        <w:t>,</w:t>
      </w:r>
      <w:r w:rsidR="00E102F5" w:rsidRPr="00C63940">
        <w:rPr>
          <w:rFonts w:ascii="Times New Roman" w:hAnsi="Times New Roman" w:cs="Times New Roman"/>
          <w:color w:val="222222"/>
          <w:shd w:val="clear" w:color="auto" w:fill="FFFFFF"/>
        </w:rPr>
        <w:t xml:space="preserve"> et al. </w:t>
      </w:r>
      <w:r w:rsidR="00A947E4" w:rsidRPr="00C63940">
        <w:rPr>
          <w:rFonts w:ascii="Times New Roman" w:hAnsi="Times New Roman" w:cs="Times New Roman"/>
          <w:color w:val="222222"/>
          <w:shd w:val="clear" w:color="auto" w:fill="FFFFFF"/>
        </w:rPr>
        <w:t>British Regional Heart Study: cardiovascular risk factors in middle-aged men in 24 towns. Br Med J (Clin Res Ed)</w:t>
      </w:r>
      <w:r w:rsidR="00E102F5" w:rsidRPr="00C63940">
        <w:rPr>
          <w:rFonts w:ascii="Times New Roman" w:hAnsi="Times New Roman" w:cs="Times New Roman"/>
          <w:color w:val="222222"/>
          <w:shd w:val="clear" w:color="auto" w:fill="FFFFFF"/>
        </w:rPr>
        <w:t xml:space="preserve"> 1981; 283:</w:t>
      </w:r>
      <w:r w:rsidR="00A947E4" w:rsidRPr="00C63940">
        <w:rPr>
          <w:rFonts w:ascii="Times New Roman" w:hAnsi="Times New Roman" w:cs="Times New Roman"/>
          <w:color w:val="222222"/>
          <w:shd w:val="clear" w:color="auto" w:fill="FFFFFF"/>
        </w:rPr>
        <w:t xml:space="preserve"> 179-186. </w:t>
      </w:r>
    </w:p>
    <w:p w14:paraId="6ADF402F" w14:textId="261ABB23" w:rsidR="005C276D" w:rsidRPr="00C63940" w:rsidRDefault="003E0012"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5C276D" w:rsidRPr="00C63940">
        <w:rPr>
          <w:rFonts w:ascii="Times New Roman" w:hAnsi="Times New Roman" w:cs="Times New Roman"/>
          <w:color w:val="222222"/>
          <w:shd w:val="clear" w:color="auto" w:fill="FFFFFF"/>
        </w:rPr>
        <w:t xml:space="preserve"> Clair</w:t>
      </w:r>
      <w:r w:rsidR="00146FCA" w:rsidRPr="00C63940">
        <w:rPr>
          <w:rFonts w:ascii="Times New Roman" w:hAnsi="Times New Roman" w:cs="Times New Roman"/>
          <w:color w:val="222222"/>
          <w:shd w:val="clear" w:color="auto" w:fill="FFFFFF"/>
        </w:rPr>
        <w:t xml:space="preserve"> C,</w:t>
      </w:r>
      <w:r w:rsidR="005C276D" w:rsidRPr="00C63940">
        <w:rPr>
          <w:rFonts w:ascii="Times New Roman" w:hAnsi="Times New Roman" w:cs="Times New Roman"/>
          <w:color w:val="222222"/>
          <w:shd w:val="clear" w:color="auto" w:fill="FFFFFF"/>
        </w:rPr>
        <w:t xml:space="preserve"> </w:t>
      </w:r>
      <w:proofErr w:type="spellStart"/>
      <w:r w:rsidR="005C276D" w:rsidRPr="00C63940">
        <w:rPr>
          <w:rFonts w:ascii="Times New Roman" w:hAnsi="Times New Roman" w:cs="Times New Roman"/>
          <w:color w:val="222222"/>
          <w:shd w:val="clear" w:color="auto" w:fill="FFFFFF"/>
        </w:rPr>
        <w:t>R</w:t>
      </w:r>
      <w:r w:rsidR="00146FCA" w:rsidRPr="00C63940">
        <w:rPr>
          <w:rFonts w:ascii="Times New Roman" w:hAnsi="Times New Roman" w:cs="Times New Roman"/>
          <w:color w:val="222222"/>
          <w:shd w:val="clear" w:color="auto" w:fill="FFFFFF"/>
        </w:rPr>
        <w:t>igotti</w:t>
      </w:r>
      <w:proofErr w:type="spellEnd"/>
      <w:r w:rsidR="00146FCA" w:rsidRPr="00C63940">
        <w:rPr>
          <w:rFonts w:ascii="Times New Roman" w:hAnsi="Times New Roman" w:cs="Times New Roman"/>
          <w:color w:val="222222"/>
          <w:shd w:val="clear" w:color="auto" w:fill="FFFFFF"/>
        </w:rPr>
        <w:t xml:space="preserve"> NA, </w:t>
      </w:r>
      <w:proofErr w:type="spellStart"/>
      <w:r w:rsidR="00146FCA" w:rsidRPr="00C63940">
        <w:rPr>
          <w:rFonts w:ascii="Times New Roman" w:hAnsi="Times New Roman" w:cs="Times New Roman"/>
          <w:color w:val="222222"/>
          <w:shd w:val="clear" w:color="auto" w:fill="FFFFFF"/>
        </w:rPr>
        <w:t>Porneala</w:t>
      </w:r>
      <w:proofErr w:type="spellEnd"/>
      <w:r w:rsidR="00146FCA" w:rsidRPr="00C63940">
        <w:rPr>
          <w:rFonts w:ascii="Times New Roman" w:hAnsi="Times New Roman" w:cs="Times New Roman"/>
          <w:color w:val="222222"/>
          <w:shd w:val="clear" w:color="auto" w:fill="FFFFFF"/>
        </w:rPr>
        <w:t xml:space="preserve"> B</w:t>
      </w:r>
      <w:r w:rsidR="005C276D" w:rsidRPr="00C63940">
        <w:rPr>
          <w:rFonts w:ascii="Times New Roman" w:hAnsi="Times New Roman" w:cs="Times New Roman"/>
          <w:color w:val="222222"/>
          <w:shd w:val="clear" w:color="auto" w:fill="FFFFFF"/>
        </w:rPr>
        <w:t xml:space="preserve">, </w:t>
      </w:r>
      <w:r w:rsidR="00146FCA" w:rsidRPr="00C63940">
        <w:rPr>
          <w:rFonts w:ascii="Times New Roman" w:hAnsi="Times New Roman" w:cs="Times New Roman"/>
          <w:color w:val="222222"/>
          <w:shd w:val="clear" w:color="auto" w:fill="FFFFFF"/>
        </w:rPr>
        <w:t xml:space="preserve">et al. </w:t>
      </w:r>
      <w:r w:rsidR="005C276D" w:rsidRPr="00C63940">
        <w:rPr>
          <w:rFonts w:ascii="Times New Roman" w:hAnsi="Times New Roman" w:cs="Times New Roman"/>
          <w:color w:val="222222"/>
          <w:shd w:val="clear" w:color="auto" w:fill="FFFFFF"/>
        </w:rPr>
        <w:t>Association of smoking cessation and weight change with cardiovascular disease among adults</w:t>
      </w:r>
      <w:r w:rsidR="00146FCA" w:rsidRPr="00C63940">
        <w:rPr>
          <w:rFonts w:ascii="Times New Roman" w:hAnsi="Times New Roman" w:cs="Times New Roman"/>
          <w:color w:val="222222"/>
          <w:shd w:val="clear" w:color="auto" w:fill="FFFFFF"/>
        </w:rPr>
        <w:t xml:space="preserve"> with and without diabetes. </w:t>
      </w:r>
      <w:r w:rsidR="00CD674C" w:rsidRPr="00C63940">
        <w:rPr>
          <w:rFonts w:ascii="Times New Roman" w:hAnsi="Times New Roman" w:cs="Times New Roman"/>
          <w:color w:val="222222"/>
          <w:shd w:val="clear" w:color="auto" w:fill="FFFFFF"/>
        </w:rPr>
        <w:t xml:space="preserve">JAMA </w:t>
      </w:r>
      <w:r w:rsidR="00146FCA" w:rsidRPr="00C63940">
        <w:rPr>
          <w:rFonts w:ascii="Times New Roman" w:hAnsi="Times New Roman" w:cs="Times New Roman"/>
          <w:color w:val="222222"/>
          <w:shd w:val="clear" w:color="auto" w:fill="FFFFFF"/>
        </w:rPr>
        <w:t>2013; 309:</w:t>
      </w:r>
      <w:r w:rsidR="005C276D" w:rsidRPr="00C63940">
        <w:rPr>
          <w:rFonts w:ascii="Times New Roman" w:hAnsi="Times New Roman" w:cs="Times New Roman"/>
          <w:color w:val="222222"/>
          <w:shd w:val="clear" w:color="auto" w:fill="FFFFFF"/>
        </w:rPr>
        <w:t xml:space="preserve"> 1014-1021.</w:t>
      </w:r>
    </w:p>
    <w:p w14:paraId="11AE4C67" w14:textId="30019230" w:rsidR="005C276D" w:rsidRPr="00C63940" w:rsidRDefault="003E0012"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4</w:t>
      </w:r>
      <w:r w:rsidR="005C276D" w:rsidRPr="00C63940">
        <w:rPr>
          <w:rFonts w:ascii="Times New Roman" w:hAnsi="Times New Roman" w:cs="Times New Roman"/>
        </w:rPr>
        <w:t xml:space="preserve"> </w:t>
      </w:r>
      <w:r w:rsidR="005C276D" w:rsidRPr="00C63940">
        <w:rPr>
          <w:rFonts w:ascii="Times New Roman" w:hAnsi="Times New Roman" w:cs="Times New Roman"/>
          <w:color w:val="222222"/>
          <w:shd w:val="clear" w:color="auto" w:fill="FFFFFF"/>
        </w:rPr>
        <w:t>Heart Protection Study Collaborative Group. MRC/BHF Heart Protection Study of cholesterol lowering with simvastatin in 20 536 high-risk individuals: a randomised plac</w:t>
      </w:r>
      <w:r w:rsidR="00CD674C" w:rsidRPr="00C63940">
        <w:rPr>
          <w:rFonts w:ascii="Times New Roman" w:hAnsi="Times New Roman" w:cs="Times New Roman"/>
          <w:color w:val="222222"/>
          <w:shd w:val="clear" w:color="auto" w:fill="FFFFFF"/>
        </w:rPr>
        <w:t xml:space="preserve">ebo controlled trial. </w:t>
      </w:r>
      <w:r w:rsidR="00146FCA" w:rsidRPr="00C63940">
        <w:rPr>
          <w:rFonts w:ascii="Times New Roman" w:hAnsi="Times New Roman" w:cs="Times New Roman"/>
          <w:color w:val="222222"/>
          <w:shd w:val="clear" w:color="auto" w:fill="FFFFFF"/>
        </w:rPr>
        <w:t>Lancet 2002; 360(9326):</w:t>
      </w:r>
      <w:r w:rsidR="005C276D" w:rsidRPr="00C63940">
        <w:rPr>
          <w:rFonts w:ascii="Times New Roman" w:hAnsi="Times New Roman" w:cs="Times New Roman"/>
          <w:color w:val="222222"/>
          <w:shd w:val="clear" w:color="auto" w:fill="FFFFFF"/>
        </w:rPr>
        <w:t xml:space="preserve"> 7-22.</w:t>
      </w:r>
    </w:p>
    <w:p w14:paraId="4751F91A" w14:textId="1995A6A1" w:rsidR="003E0012" w:rsidRPr="00C63940" w:rsidRDefault="003E0012"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lastRenderedPageBreak/>
        <w:t xml:space="preserve">5 </w:t>
      </w:r>
      <w:proofErr w:type="spellStart"/>
      <w:r w:rsidRPr="00C63940">
        <w:rPr>
          <w:rFonts w:ascii="Times New Roman" w:hAnsi="Times New Roman" w:cs="Times New Roman"/>
          <w:color w:val="222222"/>
          <w:shd w:val="clear" w:color="auto" w:fill="FFFFFF"/>
        </w:rPr>
        <w:t>Backholer</w:t>
      </w:r>
      <w:proofErr w:type="spellEnd"/>
      <w:r w:rsidRPr="00C63940">
        <w:rPr>
          <w:rFonts w:ascii="Times New Roman" w:hAnsi="Times New Roman" w:cs="Times New Roman"/>
          <w:color w:val="222222"/>
          <w:shd w:val="clear" w:color="auto" w:fill="FFFFFF"/>
        </w:rPr>
        <w:t xml:space="preserve"> K, Peters SA, Bots SH, et al. Sex differences in the relationship between socioeconomic status and cardiovascular disease: a systematic review and meta-analysis. J</w:t>
      </w:r>
      <w:r w:rsidR="00080AB2">
        <w:rPr>
          <w:rFonts w:ascii="Times New Roman" w:hAnsi="Times New Roman" w:cs="Times New Roman"/>
          <w:color w:val="222222"/>
          <w:shd w:val="clear" w:color="auto" w:fill="FFFFFF"/>
        </w:rPr>
        <w:t xml:space="preserve"> </w:t>
      </w:r>
      <w:r w:rsidRPr="00C63940">
        <w:rPr>
          <w:rFonts w:ascii="Times New Roman" w:hAnsi="Times New Roman" w:cs="Times New Roman"/>
          <w:color w:val="222222"/>
          <w:shd w:val="clear" w:color="auto" w:fill="FFFFFF"/>
        </w:rPr>
        <w:t>Epidemiol Community Health 2017; 71: 550-557.</w:t>
      </w:r>
    </w:p>
    <w:p w14:paraId="1F9DF4AE" w14:textId="2FD3F44A" w:rsidR="009856CC" w:rsidRPr="00C63940" w:rsidRDefault="005C276D" w:rsidP="00146777">
      <w:pPr>
        <w:spacing w:line="480" w:lineRule="auto"/>
        <w:rPr>
          <w:rFonts w:ascii="Times New Roman" w:hAnsi="Times New Roman" w:cs="Times New Roman"/>
        </w:rPr>
      </w:pPr>
      <w:r w:rsidRPr="00C63940">
        <w:rPr>
          <w:rFonts w:ascii="Times New Roman" w:hAnsi="Times New Roman" w:cs="Times New Roman"/>
          <w:color w:val="222222"/>
          <w:shd w:val="clear" w:color="auto" w:fill="FFFFFF"/>
        </w:rPr>
        <w:t>6</w:t>
      </w:r>
      <w:r w:rsidR="009F3AD6" w:rsidRPr="00C63940">
        <w:rPr>
          <w:rFonts w:ascii="Times New Roman" w:hAnsi="Times New Roman" w:cs="Times New Roman"/>
        </w:rPr>
        <w:t xml:space="preserve"> </w:t>
      </w:r>
      <w:proofErr w:type="spellStart"/>
      <w:r w:rsidR="00146FCA" w:rsidRPr="00C63940">
        <w:rPr>
          <w:rFonts w:ascii="Times New Roman" w:hAnsi="Times New Roman" w:cs="Times New Roman"/>
        </w:rPr>
        <w:t>Hippisley</w:t>
      </w:r>
      <w:proofErr w:type="spellEnd"/>
      <w:r w:rsidR="00146FCA" w:rsidRPr="00C63940">
        <w:rPr>
          <w:rFonts w:ascii="Times New Roman" w:hAnsi="Times New Roman" w:cs="Times New Roman"/>
        </w:rPr>
        <w:t>-Cox J, Coupland C</w:t>
      </w:r>
      <w:r w:rsidR="009856CC" w:rsidRPr="00C63940">
        <w:rPr>
          <w:rFonts w:ascii="Times New Roman" w:hAnsi="Times New Roman" w:cs="Times New Roman"/>
        </w:rPr>
        <w:t xml:space="preserve">, </w:t>
      </w:r>
      <w:proofErr w:type="spellStart"/>
      <w:r w:rsidR="009856CC" w:rsidRPr="00C63940">
        <w:rPr>
          <w:rFonts w:ascii="Times New Roman" w:hAnsi="Times New Roman" w:cs="Times New Roman"/>
        </w:rPr>
        <w:t>Vinogra</w:t>
      </w:r>
      <w:r w:rsidR="00146FCA" w:rsidRPr="00C63940">
        <w:rPr>
          <w:rFonts w:ascii="Times New Roman" w:hAnsi="Times New Roman" w:cs="Times New Roman"/>
        </w:rPr>
        <w:t>dova</w:t>
      </w:r>
      <w:proofErr w:type="spellEnd"/>
      <w:r w:rsidR="00146FCA" w:rsidRPr="00C63940">
        <w:rPr>
          <w:rFonts w:ascii="Times New Roman" w:hAnsi="Times New Roman" w:cs="Times New Roman"/>
        </w:rPr>
        <w:t xml:space="preserve"> Y</w:t>
      </w:r>
      <w:r w:rsidR="009856CC" w:rsidRPr="00C63940">
        <w:rPr>
          <w:rFonts w:ascii="Times New Roman" w:hAnsi="Times New Roman" w:cs="Times New Roman"/>
        </w:rPr>
        <w:t xml:space="preserve">, </w:t>
      </w:r>
      <w:r w:rsidR="00146FCA" w:rsidRPr="00C63940">
        <w:rPr>
          <w:rFonts w:ascii="Times New Roman" w:hAnsi="Times New Roman" w:cs="Times New Roman"/>
        </w:rPr>
        <w:t xml:space="preserve">et al. </w:t>
      </w:r>
      <w:r w:rsidR="009856CC" w:rsidRPr="00C63940">
        <w:rPr>
          <w:rFonts w:ascii="Times New Roman" w:hAnsi="Times New Roman" w:cs="Times New Roman"/>
        </w:rPr>
        <w:t>Predicting cardiovascular risk in England and Wales: prospective derivation and validation of QRISK2. B</w:t>
      </w:r>
      <w:r w:rsidR="00146FCA" w:rsidRPr="00C63940">
        <w:rPr>
          <w:rFonts w:ascii="Times New Roman" w:hAnsi="Times New Roman" w:cs="Times New Roman"/>
        </w:rPr>
        <w:t>MJ 2008; 336:</w:t>
      </w:r>
      <w:r w:rsidR="009856CC" w:rsidRPr="00C63940">
        <w:rPr>
          <w:rFonts w:ascii="Times New Roman" w:hAnsi="Times New Roman" w:cs="Times New Roman"/>
        </w:rPr>
        <w:t xml:space="preserve"> 1475-1482.</w:t>
      </w:r>
    </w:p>
    <w:p w14:paraId="686006B8" w14:textId="387C755D" w:rsidR="009F3AD6" w:rsidRPr="00C63940" w:rsidRDefault="000708E7"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7 </w:t>
      </w:r>
      <w:r w:rsidR="00146FCA" w:rsidRPr="00C63940">
        <w:rPr>
          <w:rFonts w:ascii="Times New Roman" w:hAnsi="Times New Roman" w:cs="Times New Roman"/>
          <w:color w:val="222222"/>
          <w:shd w:val="clear" w:color="auto" w:fill="FFFFFF"/>
        </w:rPr>
        <w:t xml:space="preserve">NHS England. </w:t>
      </w:r>
      <w:r w:rsidRPr="00C63940">
        <w:rPr>
          <w:rFonts w:ascii="Times New Roman" w:hAnsi="Times New Roman" w:cs="Times New Roman"/>
          <w:color w:val="222222"/>
          <w:shd w:val="clear" w:color="auto" w:fill="FFFFFF"/>
        </w:rPr>
        <w:t>NHS Five year forward view. 2014.</w:t>
      </w:r>
      <w:r w:rsidR="0082328E" w:rsidRPr="00C63940">
        <w:rPr>
          <w:rFonts w:ascii="Times New Roman" w:hAnsi="Times New Roman" w:cs="Times New Roman"/>
          <w:color w:val="222222"/>
          <w:shd w:val="clear" w:color="auto" w:fill="FFFFFF"/>
        </w:rPr>
        <w:t xml:space="preserve"> https://www.england.nhs.uk/wp-content/uploads/2014/10/5yfv-web.pdf</w:t>
      </w:r>
      <w:r w:rsidR="00080AB2">
        <w:rPr>
          <w:rFonts w:ascii="Times New Roman" w:hAnsi="Times New Roman" w:cs="Times New Roman"/>
          <w:color w:val="222222"/>
          <w:shd w:val="clear" w:color="auto" w:fill="FFFFFF"/>
        </w:rPr>
        <w:t>. A</w:t>
      </w:r>
      <w:r w:rsidR="0082328E" w:rsidRPr="00C63940">
        <w:rPr>
          <w:rFonts w:ascii="Times New Roman" w:hAnsi="Times New Roman" w:cs="Times New Roman"/>
          <w:color w:val="222222"/>
          <w:shd w:val="clear" w:color="auto" w:fill="FFFFFF"/>
        </w:rPr>
        <w:t>ccessed 12 Mar</w:t>
      </w:r>
      <w:r w:rsidR="000F0B32" w:rsidRPr="00C63940">
        <w:rPr>
          <w:rFonts w:ascii="Times New Roman" w:hAnsi="Times New Roman" w:cs="Times New Roman"/>
          <w:color w:val="222222"/>
          <w:shd w:val="clear" w:color="auto" w:fill="FFFFFF"/>
        </w:rPr>
        <w:t>ch</w:t>
      </w:r>
      <w:r w:rsidR="0082328E" w:rsidRPr="00C63940">
        <w:rPr>
          <w:rFonts w:ascii="Times New Roman" w:hAnsi="Times New Roman" w:cs="Times New Roman"/>
          <w:color w:val="222222"/>
          <w:shd w:val="clear" w:color="auto" w:fill="FFFFFF"/>
        </w:rPr>
        <w:t xml:space="preserve"> 2015</w:t>
      </w:r>
      <w:r w:rsidR="000F0B32" w:rsidRPr="00C63940">
        <w:rPr>
          <w:rFonts w:ascii="Times New Roman" w:hAnsi="Times New Roman" w:cs="Times New Roman"/>
          <w:color w:val="222222"/>
          <w:shd w:val="clear" w:color="auto" w:fill="FFFFFF"/>
        </w:rPr>
        <w:t>.</w:t>
      </w:r>
    </w:p>
    <w:p w14:paraId="58531D50" w14:textId="600CFDB8" w:rsidR="00156977"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8 </w:t>
      </w:r>
      <w:r w:rsidR="00156977" w:rsidRPr="00C63940">
        <w:rPr>
          <w:rFonts w:ascii="Times New Roman" w:hAnsi="Times New Roman" w:cs="Times New Roman"/>
          <w:color w:val="222222"/>
          <w:shd w:val="clear" w:color="auto" w:fill="FFFFFF"/>
        </w:rPr>
        <w:t>Per</w:t>
      </w:r>
      <w:r w:rsidR="000F0B32" w:rsidRPr="00C63940">
        <w:rPr>
          <w:rFonts w:ascii="Times New Roman" w:hAnsi="Times New Roman" w:cs="Times New Roman"/>
          <w:color w:val="222222"/>
          <w:shd w:val="clear" w:color="auto" w:fill="FFFFFF"/>
        </w:rPr>
        <w:t xml:space="preserve">k J, De Backer G, </w:t>
      </w:r>
      <w:proofErr w:type="spellStart"/>
      <w:r w:rsidR="000F0B32" w:rsidRPr="00C63940">
        <w:rPr>
          <w:rFonts w:ascii="Times New Roman" w:hAnsi="Times New Roman" w:cs="Times New Roman"/>
          <w:color w:val="222222"/>
          <w:shd w:val="clear" w:color="auto" w:fill="FFFFFF"/>
        </w:rPr>
        <w:t>Gohlke</w:t>
      </w:r>
      <w:proofErr w:type="spellEnd"/>
      <w:r w:rsidR="000F0B32" w:rsidRPr="00C63940">
        <w:rPr>
          <w:rFonts w:ascii="Times New Roman" w:hAnsi="Times New Roman" w:cs="Times New Roman"/>
          <w:color w:val="222222"/>
          <w:shd w:val="clear" w:color="auto" w:fill="FFFFFF"/>
        </w:rPr>
        <w:t xml:space="preserve"> H</w:t>
      </w:r>
      <w:r w:rsidR="00156977" w:rsidRPr="00C63940">
        <w:rPr>
          <w:rFonts w:ascii="Times New Roman" w:hAnsi="Times New Roman" w:cs="Times New Roman"/>
          <w:color w:val="222222"/>
          <w:shd w:val="clear" w:color="auto" w:fill="FFFFFF"/>
        </w:rPr>
        <w:t xml:space="preserve">, </w:t>
      </w:r>
      <w:r w:rsidR="000F0B32" w:rsidRPr="00C63940">
        <w:rPr>
          <w:rFonts w:ascii="Times New Roman" w:hAnsi="Times New Roman" w:cs="Times New Roman"/>
          <w:color w:val="222222"/>
          <w:shd w:val="clear" w:color="auto" w:fill="FFFFFF"/>
        </w:rPr>
        <w:t xml:space="preserve">et al. </w:t>
      </w:r>
      <w:r w:rsidR="00156977" w:rsidRPr="00C63940">
        <w:rPr>
          <w:rFonts w:ascii="Times New Roman" w:hAnsi="Times New Roman" w:cs="Times New Roman"/>
          <w:color w:val="222222"/>
          <w:shd w:val="clear" w:color="auto" w:fill="FFFFFF"/>
        </w:rPr>
        <w:t>European Guidelines on cardiovascular disease prevention in clinical practice (version 2012)</w:t>
      </w:r>
      <w:r w:rsidR="000F0B32" w:rsidRPr="00C63940">
        <w:rPr>
          <w:rFonts w:ascii="Times New Roman" w:hAnsi="Times New Roman" w:cs="Times New Roman"/>
          <w:color w:val="222222"/>
          <w:shd w:val="clear" w:color="auto" w:fill="FFFFFF"/>
        </w:rPr>
        <w:t xml:space="preserve">. </w:t>
      </w:r>
      <w:r w:rsidR="00CD674C" w:rsidRPr="00C63940">
        <w:rPr>
          <w:rFonts w:ascii="Times New Roman" w:hAnsi="Times New Roman" w:cs="Times New Roman"/>
          <w:color w:val="222222"/>
          <w:shd w:val="clear" w:color="auto" w:fill="FFFFFF"/>
        </w:rPr>
        <w:t>Eur Heart J</w:t>
      </w:r>
      <w:r w:rsidR="000F0B32" w:rsidRPr="00C63940">
        <w:rPr>
          <w:rFonts w:ascii="Times New Roman" w:hAnsi="Times New Roman" w:cs="Times New Roman"/>
          <w:color w:val="222222"/>
          <w:shd w:val="clear" w:color="auto" w:fill="FFFFFF"/>
        </w:rPr>
        <w:t xml:space="preserve"> 2012; 33:</w:t>
      </w:r>
      <w:r w:rsidR="00156977" w:rsidRPr="00C63940">
        <w:rPr>
          <w:rFonts w:ascii="Times New Roman" w:hAnsi="Times New Roman" w:cs="Times New Roman"/>
          <w:color w:val="222222"/>
          <w:shd w:val="clear" w:color="auto" w:fill="FFFFFF"/>
        </w:rPr>
        <w:t xml:space="preserve"> 1635-1701.</w:t>
      </w:r>
    </w:p>
    <w:p w14:paraId="272AFD81" w14:textId="59756074" w:rsidR="005B2D7F"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9 </w:t>
      </w:r>
      <w:r w:rsidR="000F0B32" w:rsidRPr="00C63940">
        <w:rPr>
          <w:rFonts w:ascii="Times New Roman" w:hAnsi="Times New Roman" w:cs="Times New Roman"/>
          <w:color w:val="222222"/>
          <w:shd w:val="clear" w:color="auto" w:fill="FFFFFF"/>
        </w:rPr>
        <w:t xml:space="preserve">Pearson TA, </w:t>
      </w:r>
      <w:proofErr w:type="spellStart"/>
      <w:r w:rsidR="000F0B32" w:rsidRPr="00C63940">
        <w:rPr>
          <w:rFonts w:ascii="Times New Roman" w:hAnsi="Times New Roman" w:cs="Times New Roman"/>
          <w:color w:val="222222"/>
          <w:shd w:val="clear" w:color="auto" w:fill="FFFFFF"/>
        </w:rPr>
        <w:t>Palaniappan</w:t>
      </w:r>
      <w:proofErr w:type="spellEnd"/>
      <w:r w:rsidR="000F0B32" w:rsidRPr="00C63940">
        <w:rPr>
          <w:rFonts w:ascii="Times New Roman" w:hAnsi="Times New Roman" w:cs="Times New Roman"/>
          <w:color w:val="222222"/>
          <w:shd w:val="clear" w:color="auto" w:fill="FFFFFF"/>
        </w:rPr>
        <w:t xml:space="preserve"> L</w:t>
      </w:r>
      <w:r w:rsidR="005B2D7F" w:rsidRPr="00C63940">
        <w:rPr>
          <w:rFonts w:ascii="Times New Roman" w:hAnsi="Times New Roman" w:cs="Times New Roman"/>
          <w:color w:val="222222"/>
          <w:shd w:val="clear" w:color="auto" w:fill="FFFFFF"/>
        </w:rPr>
        <w:t>P</w:t>
      </w:r>
      <w:r w:rsidR="000F0B32" w:rsidRPr="00C63940">
        <w:rPr>
          <w:rFonts w:ascii="Times New Roman" w:hAnsi="Times New Roman" w:cs="Times New Roman"/>
          <w:color w:val="222222"/>
          <w:shd w:val="clear" w:color="auto" w:fill="FFFFFF"/>
        </w:rPr>
        <w:t xml:space="preserve">, Artinian NT, et al. </w:t>
      </w:r>
      <w:r w:rsidR="005B2D7F" w:rsidRPr="00C63940">
        <w:rPr>
          <w:rFonts w:ascii="Times New Roman" w:hAnsi="Times New Roman" w:cs="Times New Roman"/>
          <w:color w:val="222222"/>
          <w:shd w:val="clear" w:color="auto" w:fill="FFFFFF"/>
        </w:rPr>
        <w:t>American heart association guide for improving cardiova</w:t>
      </w:r>
      <w:r w:rsidR="000F0B32" w:rsidRPr="00C63940">
        <w:rPr>
          <w:rFonts w:ascii="Times New Roman" w:hAnsi="Times New Roman" w:cs="Times New Roman"/>
          <w:color w:val="222222"/>
          <w:shd w:val="clear" w:color="auto" w:fill="FFFFFF"/>
        </w:rPr>
        <w:t>scular health at the community level, 2013 Update. Circulation 2013; 127:</w:t>
      </w:r>
      <w:r w:rsidR="005B2D7F" w:rsidRPr="00C63940">
        <w:rPr>
          <w:rFonts w:ascii="Times New Roman" w:hAnsi="Times New Roman" w:cs="Times New Roman"/>
          <w:color w:val="222222"/>
          <w:shd w:val="clear" w:color="auto" w:fill="FFFFFF"/>
        </w:rPr>
        <w:t xml:space="preserve"> CIR-0b013e31828f8a94.</w:t>
      </w:r>
    </w:p>
    <w:p w14:paraId="46EEB2CF" w14:textId="0F948F63" w:rsidR="00F6108B"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10</w:t>
      </w:r>
      <w:r w:rsidR="000708E7" w:rsidRPr="00C63940">
        <w:rPr>
          <w:rFonts w:ascii="Times New Roman" w:hAnsi="Times New Roman" w:cs="Times New Roman"/>
          <w:color w:val="222222"/>
          <w:shd w:val="clear" w:color="auto" w:fill="FFFFFF"/>
        </w:rPr>
        <w:t xml:space="preserve"> </w:t>
      </w:r>
      <w:r w:rsidR="000F0B32" w:rsidRPr="00C63940">
        <w:rPr>
          <w:rFonts w:ascii="Times New Roman" w:hAnsi="Times New Roman" w:cs="Times New Roman"/>
          <w:color w:val="222222"/>
          <w:shd w:val="clear" w:color="auto" w:fill="FFFFFF"/>
        </w:rPr>
        <w:t xml:space="preserve">Tully MA, </w:t>
      </w:r>
      <w:proofErr w:type="spellStart"/>
      <w:r w:rsidR="000F0B32" w:rsidRPr="00C63940">
        <w:rPr>
          <w:rFonts w:ascii="Times New Roman" w:hAnsi="Times New Roman" w:cs="Times New Roman"/>
          <w:color w:val="222222"/>
          <w:shd w:val="clear" w:color="auto" w:fill="FFFFFF"/>
        </w:rPr>
        <w:t>Cupples</w:t>
      </w:r>
      <w:proofErr w:type="spellEnd"/>
      <w:r w:rsidR="000F0B32" w:rsidRPr="00C63940">
        <w:rPr>
          <w:rFonts w:ascii="Times New Roman" w:hAnsi="Times New Roman" w:cs="Times New Roman"/>
          <w:color w:val="222222"/>
          <w:shd w:val="clear" w:color="auto" w:fill="FFFFFF"/>
        </w:rPr>
        <w:t xml:space="preserve"> ME, Chan WS</w:t>
      </w:r>
      <w:r w:rsidR="006863D6" w:rsidRPr="00C63940">
        <w:rPr>
          <w:rFonts w:ascii="Times New Roman" w:hAnsi="Times New Roman" w:cs="Times New Roman"/>
          <w:color w:val="222222"/>
          <w:shd w:val="clear" w:color="auto" w:fill="FFFFFF"/>
        </w:rPr>
        <w:t xml:space="preserve">, </w:t>
      </w:r>
      <w:r w:rsidR="000F0B32" w:rsidRPr="00C63940">
        <w:rPr>
          <w:rFonts w:ascii="Times New Roman" w:hAnsi="Times New Roman" w:cs="Times New Roman"/>
          <w:color w:val="222222"/>
          <w:shd w:val="clear" w:color="auto" w:fill="FFFFFF"/>
        </w:rPr>
        <w:t>et al.</w:t>
      </w:r>
      <w:r w:rsidR="006863D6" w:rsidRPr="00C63940">
        <w:rPr>
          <w:rFonts w:ascii="Times New Roman" w:hAnsi="Times New Roman" w:cs="Times New Roman"/>
          <w:color w:val="222222"/>
          <w:shd w:val="clear" w:color="auto" w:fill="FFFFFF"/>
        </w:rPr>
        <w:t xml:space="preserve"> Brisk walking, fitness, and cardiovascular risk: a randomized controlled trial in primary </w:t>
      </w:r>
      <w:r w:rsidR="00CD674C" w:rsidRPr="00C63940">
        <w:rPr>
          <w:rFonts w:ascii="Times New Roman" w:hAnsi="Times New Roman" w:cs="Times New Roman"/>
          <w:color w:val="222222"/>
          <w:shd w:val="clear" w:color="auto" w:fill="FFFFFF"/>
        </w:rPr>
        <w:t>care. Prev Med</w:t>
      </w:r>
      <w:r w:rsidR="000F0B32" w:rsidRPr="00C63940">
        <w:rPr>
          <w:rFonts w:ascii="Times New Roman" w:hAnsi="Times New Roman" w:cs="Times New Roman"/>
          <w:color w:val="222222"/>
          <w:shd w:val="clear" w:color="auto" w:fill="FFFFFF"/>
        </w:rPr>
        <w:t xml:space="preserve"> 2005; 41:</w:t>
      </w:r>
      <w:r w:rsidR="006863D6" w:rsidRPr="00C63940">
        <w:rPr>
          <w:rFonts w:ascii="Times New Roman" w:hAnsi="Times New Roman" w:cs="Times New Roman"/>
          <w:color w:val="222222"/>
          <w:shd w:val="clear" w:color="auto" w:fill="FFFFFF"/>
        </w:rPr>
        <w:t xml:space="preserve"> 622-628.</w:t>
      </w:r>
    </w:p>
    <w:p w14:paraId="307CD1F6" w14:textId="5DB28099" w:rsidR="006863D6"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11</w:t>
      </w:r>
      <w:r w:rsidR="006863D6" w:rsidRPr="00C63940">
        <w:rPr>
          <w:rFonts w:ascii="Times New Roman" w:hAnsi="Times New Roman" w:cs="Times New Roman"/>
          <w:color w:val="222222"/>
          <w:shd w:val="clear" w:color="auto" w:fill="FFFFFF"/>
        </w:rPr>
        <w:t xml:space="preserve"> Ro</w:t>
      </w:r>
      <w:r w:rsidR="000F0B32" w:rsidRPr="00C63940">
        <w:rPr>
          <w:rFonts w:ascii="Times New Roman" w:hAnsi="Times New Roman" w:cs="Times New Roman"/>
          <w:color w:val="222222"/>
          <w:shd w:val="clear" w:color="auto" w:fill="FFFFFF"/>
        </w:rPr>
        <w:t>gers A, Harris T, Victor C</w:t>
      </w:r>
      <w:r w:rsidR="006863D6" w:rsidRPr="00C63940">
        <w:rPr>
          <w:rFonts w:ascii="Times New Roman" w:hAnsi="Times New Roman" w:cs="Times New Roman"/>
          <w:color w:val="222222"/>
          <w:shd w:val="clear" w:color="auto" w:fill="FFFFFF"/>
        </w:rPr>
        <w:t xml:space="preserve">, </w:t>
      </w:r>
      <w:r w:rsidR="000F0B32" w:rsidRPr="00C63940">
        <w:rPr>
          <w:rFonts w:ascii="Times New Roman" w:hAnsi="Times New Roman" w:cs="Times New Roman"/>
          <w:color w:val="222222"/>
          <w:shd w:val="clear" w:color="auto" w:fill="FFFFFF"/>
        </w:rPr>
        <w:t>et al.</w:t>
      </w:r>
      <w:r w:rsidR="006863D6" w:rsidRPr="00C63940">
        <w:rPr>
          <w:rFonts w:ascii="Times New Roman" w:hAnsi="Times New Roman" w:cs="Times New Roman"/>
          <w:color w:val="222222"/>
          <w:shd w:val="clear" w:color="auto" w:fill="FFFFFF"/>
        </w:rPr>
        <w:t xml:space="preserve"> Which older people decline participation in a primary care trial of physical activity and why: insights from a mixed methods approach. BMC </w:t>
      </w:r>
      <w:proofErr w:type="spellStart"/>
      <w:r w:rsidR="00CD674C" w:rsidRPr="00C63940">
        <w:rPr>
          <w:rFonts w:ascii="Times New Roman" w:hAnsi="Times New Roman" w:cs="Times New Roman"/>
          <w:color w:val="222222"/>
          <w:shd w:val="clear" w:color="auto" w:fill="FFFFFF"/>
        </w:rPr>
        <w:t>Geriatr</w:t>
      </w:r>
      <w:proofErr w:type="spellEnd"/>
      <w:r w:rsidR="000F0B32" w:rsidRPr="00C63940">
        <w:rPr>
          <w:rFonts w:ascii="Times New Roman" w:hAnsi="Times New Roman" w:cs="Times New Roman"/>
          <w:color w:val="222222"/>
          <w:shd w:val="clear" w:color="auto" w:fill="FFFFFF"/>
        </w:rPr>
        <w:t xml:space="preserve"> 2014;</w:t>
      </w:r>
      <w:r w:rsidR="006863D6" w:rsidRPr="00C63940">
        <w:rPr>
          <w:rFonts w:ascii="Times New Roman" w:hAnsi="Times New Roman" w:cs="Times New Roman"/>
          <w:color w:val="222222"/>
          <w:shd w:val="clear" w:color="auto" w:fill="FFFFFF"/>
        </w:rPr>
        <w:t xml:space="preserve"> 14</w:t>
      </w:r>
      <w:r w:rsidR="000F0B32" w:rsidRPr="00C63940">
        <w:rPr>
          <w:rFonts w:ascii="Times New Roman" w:hAnsi="Times New Roman" w:cs="Times New Roman"/>
          <w:color w:val="222222"/>
          <w:shd w:val="clear" w:color="auto" w:fill="FFFFFF"/>
        </w:rPr>
        <w:t>:</w:t>
      </w:r>
      <w:r w:rsidR="006863D6" w:rsidRPr="00C63940">
        <w:rPr>
          <w:rFonts w:ascii="Times New Roman" w:hAnsi="Times New Roman" w:cs="Times New Roman"/>
          <w:color w:val="222222"/>
          <w:shd w:val="clear" w:color="auto" w:fill="FFFFFF"/>
        </w:rPr>
        <w:t xml:space="preserve"> 1.</w:t>
      </w:r>
    </w:p>
    <w:p w14:paraId="61D02FAF" w14:textId="64258963"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12</w:t>
      </w:r>
      <w:r w:rsidRPr="00C63940">
        <w:t xml:space="preserve"> </w:t>
      </w:r>
      <w:r w:rsidR="00263E1E" w:rsidRPr="00C63940">
        <w:rPr>
          <w:rFonts w:ascii="Times New Roman" w:hAnsi="Times New Roman" w:cs="Times New Roman"/>
          <w:color w:val="222222"/>
          <w:shd w:val="clear" w:color="auto" w:fill="FFFFFF"/>
        </w:rPr>
        <w:t>Foster</w:t>
      </w:r>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CE, Brennan G, Matthews A</w:t>
      </w:r>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et al.</w:t>
      </w:r>
      <w:r w:rsidRPr="00C63940">
        <w:rPr>
          <w:rFonts w:ascii="Times New Roman" w:hAnsi="Times New Roman" w:cs="Times New Roman"/>
          <w:color w:val="222222"/>
          <w:shd w:val="clear" w:color="auto" w:fill="FFFFFF"/>
        </w:rPr>
        <w:t xml:space="preserve"> Recruiting participants to walking intervention studies: a systematic review. </w:t>
      </w:r>
      <w:r w:rsidR="00CD674C" w:rsidRPr="00C63940">
        <w:rPr>
          <w:rFonts w:ascii="Times New Roman" w:hAnsi="Times New Roman" w:cs="Times New Roman"/>
          <w:color w:val="222222"/>
          <w:shd w:val="clear" w:color="auto" w:fill="FFFFFF"/>
        </w:rPr>
        <w:t xml:space="preserve">Int J </w:t>
      </w:r>
      <w:proofErr w:type="spellStart"/>
      <w:r w:rsidR="00CD674C" w:rsidRPr="00C63940">
        <w:rPr>
          <w:rFonts w:ascii="Times New Roman" w:hAnsi="Times New Roman" w:cs="Times New Roman"/>
          <w:color w:val="222222"/>
          <w:shd w:val="clear" w:color="auto" w:fill="FFFFFF"/>
        </w:rPr>
        <w:t>Behav</w:t>
      </w:r>
      <w:proofErr w:type="spellEnd"/>
      <w:r w:rsidR="00CD674C" w:rsidRPr="00C63940">
        <w:rPr>
          <w:rFonts w:ascii="Times New Roman" w:hAnsi="Times New Roman" w:cs="Times New Roman"/>
          <w:color w:val="222222"/>
          <w:shd w:val="clear" w:color="auto" w:fill="FFFFFF"/>
        </w:rPr>
        <w:t xml:space="preserve"> </w:t>
      </w:r>
      <w:proofErr w:type="spellStart"/>
      <w:r w:rsidR="00CD674C" w:rsidRPr="00C63940">
        <w:rPr>
          <w:rFonts w:ascii="Times New Roman" w:hAnsi="Times New Roman" w:cs="Times New Roman"/>
          <w:color w:val="222222"/>
          <w:shd w:val="clear" w:color="auto" w:fill="FFFFFF"/>
        </w:rPr>
        <w:t>Nutr</w:t>
      </w:r>
      <w:proofErr w:type="spellEnd"/>
      <w:r w:rsidR="00CD674C" w:rsidRPr="00C63940">
        <w:rPr>
          <w:rFonts w:ascii="Times New Roman" w:hAnsi="Times New Roman" w:cs="Times New Roman"/>
          <w:color w:val="222222"/>
          <w:shd w:val="clear" w:color="auto" w:fill="FFFFFF"/>
        </w:rPr>
        <w:t xml:space="preserve"> Phys Act </w:t>
      </w:r>
      <w:r w:rsidR="000F0B32" w:rsidRPr="00C63940">
        <w:rPr>
          <w:rFonts w:ascii="Times New Roman" w:hAnsi="Times New Roman" w:cs="Times New Roman"/>
          <w:color w:val="222222"/>
          <w:shd w:val="clear" w:color="auto" w:fill="FFFFFF"/>
        </w:rPr>
        <w:t>2011;</w:t>
      </w:r>
      <w:r w:rsidRPr="00C63940">
        <w:rPr>
          <w:rFonts w:ascii="Times New Roman" w:hAnsi="Times New Roman" w:cs="Times New Roman"/>
          <w:color w:val="222222"/>
          <w:shd w:val="clear" w:color="auto" w:fill="FFFFFF"/>
        </w:rPr>
        <w:t xml:space="preserve"> 8</w:t>
      </w:r>
      <w:r w:rsidR="000F0B32" w:rsidRPr="00C63940">
        <w:rPr>
          <w:rFonts w:ascii="Times New Roman" w:hAnsi="Times New Roman" w:cs="Times New Roman"/>
          <w:color w:val="222222"/>
          <w:shd w:val="clear" w:color="auto" w:fill="FFFFFF"/>
        </w:rPr>
        <w:t>:</w:t>
      </w:r>
      <w:r w:rsidRPr="00C63940">
        <w:rPr>
          <w:rFonts w:ascii="Times New Roman" w:hAnsi="Times New Roman" w:cs="Times New Roman"/>
          <w:color w:val="222222"/>
          <w:shd w:val="clear" w:color="auto" w:fill="FFFFFF"/>
        </w:rPr>
        <w:t xml:space="preserve"> 137.</w:t>
      </w:r>
    </w:p>
    <w:p w14:paraId="395DC0A3" w14:textId="17897803"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13</w:t>
      </w:r>
      <w:r w:rsidR="00263E1E" w:rsidRPr="00C63940">
        <w:rPr>
          <w:rFonts w:ascii="Times New Roman" w:hAnsi="Times New Roman" w:cs="Times New Roman"/>
          <w:color w:val="222222"/>
          <w:shd w:val="clear" w:color="auto" w:fill="FFFFFF"/>
        </w:rPr>
        <w:t xml:space="preserve"> Ives</w:t>
      </w:r>
      <w:r w:rsidRPr="00C63940">
        <w:rPr>
          <w:rFonts w:ascii="Times New Roman" w:hAnsi="Times New Roman" w:cs="Times New Roman"/>
          <w:color w:val="222222"/>
          <w:shd w:val="clear" w:color="auto" w:fill="FFFFFF"/>
        </w:rPr>
        <w:t xml:space="preserve"> D</w:t>
      </w:r>
      <w:r w:rsidR="00263E1E" w:rsidRPr="00C63940">
        <w:rPr>
          <w:rFonts w:ascii="Times New Roman" w:hAnsi="Times New Roman" w:cs="Times New Roman"/>
          <w:color w:val="222222"/>
          <w:shd w:val="clear" w:color="auto" w:fill="FFFFFF"/>
        </w:rPr>
        <w:t xml:space="preserve">G, Traven ND, </w:t>
      </w:r>
      <w:proofErr w:type="spellStart"/>
      <w:r w:rsidR="00263E1E" w:rsidRPr="00C63940">
        <w:rPr>
          <w:rFonts w:ascii="Times New Roman" w:hAnsi="Times New Roman" w:cs="Times New Roman"/>
          <w:color w:val="222222"/>
          <w:shd w:val="clear" w:color="auto" w:fill="FFFFFF"/>
        </w:rPr>
        <w:t>Kuller</w:t>
      </w:r>
      <w:proofErr w:type="spellEnd"/>
      <w:r w:rsidR="00263E1E" w:rsidRPr="00C63940">
        <w:rPr>
          <w:rFonts w:ascii="Times New Roman" w:hAnsi="Times New Roman" w:cs="Times New Roman"/>
          <w:color w:val="222222"/>
          <w:shd w:val="clear" w:color="auto" w:fill="FFFFFF"/>
        </w:rPr>
        <w:t xml:space="preserve"> L</w:t>
      </w:r>
      <w:r w:rsidRPr="00C63940">
        <w:rPr>
          <w:rFonts w:ascii="Times New Roman" w:hAnsi="Times New Roman" w:cs="Times New Roman"/>
          <w:color w:val="222222"/>
          <w:shd w:val="clear" w:color="auto" w:fill="FFFFFF"/>
        </w:rPr>
        <w:t xml:space="preserve">H, </w:t>
      </w:r>
      <w:r w:rsidR="00263E1E" w:rsidRPr="00C63940">
        <w:rPr>
          <w:rFonts w:ascii="Times New Roman" w:hAnsi="Times New Roman" w:cs="Times New Roman"/>
          <w:color w:val="222222"/>
          <w:shd w:val="clear" w:color="auto" w:fill="FFFFFF"/>
        </w:rPr>
        <w:t xml:space="preserve">et al. </w:t>
      </w:r>
      <w:r w:rsidRPr="00C63940">
        <w:rPr>
          <w:rFonts w:ascii="Times New Roman" w:hAnsi="Times New Roman" w:cs="Times New Roman"/>
          <w:color w:val="222222"/>
          <w:shd w:val="clear" w:color="auto" w:fill="FFFFFF"/>
        </w:rPr>
        <w:t xml:space="preserve">Selection bias and nonresponse to health promotion in older adults. </w:t>
      </w:r>
      <w:r w:rsidR="00034C5B" w:rsidRPr="00C63940">
        <w:rPr>
          <w:rFonts w:ascii="Times New Roman" w:hAnsi="Times New Roman" w:cs="Times New Roman"/>
          <w:color w:val="222222"/>
          <w:shd w:val="clear" w:color="auto" w:fill="FFFFFF"/>
        </w:rPr>
        <w:t>Epidemiology</w:t>
      </w:r>
      <w:r w:rsidR="00263E1E" w:rsidRPr="00C63940">
        <w:rPr>
          <w:rFonts w:ascii="Times New Roman" w:hAnsi="Times New Roman" w:cs="Times New Roman"/>
          <w:color w:val="222222"/>
          <w:shd w:val="clear" w:color="auto" w:fill="FFFFFF"/>
        </w:rPr>
        <w:t xml:space="preserve"> 1994:</w:t>
      </w:r>
      <w:r w:rsidRPr="00C63940">
        <w:rPr>
          <w:rFonts w:ascii="Times New Roman" w:hAnsi="Times New Roman" w:cs="Times New Roman"/>
          <w:color w:val="222222"/>
          <w:shd w:val="clear" w:color="auto" w:fill="FFFFFF"/>
        </w:rPr>
        <w:t xml:space="preserve"> 456-461.</w:t>
      </w:r>
    </w:p>
    <w:p w14:paraId="5CB3F2F9" w14:textId="2708B2E8"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lastRenderedPageBreak/>
        <w:t>14</w:t>
      </w:r>
      <w:r w:rsidR="00263E1E" w:rsidRPr="00C63940">
        <w:rPr>
          <w:rFonts w:ascii="Times New Roman" w:hAnsi="Times New Roman" w:cs="Times New Roman"/>
          <w:color w:val="222222"/>
          <w:shd w:val="clear" w:color="auto" w:fill="FFFFFF"/>
        </w:rPr>
        <w:t xml:space="preserve"> Harris TJ, Victor CR, Carey IM</w:t>
      </w:r>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et al.</w:t>
      </w:r>
      <w:r w:rsidRPr="00C63940">
        <w:rPr>
          <w:rFonts w:ascii="Times New Roman" w:hAnsi="Times New Roman" w:cs="Times New Roman"/>
          <w:color w:val="222222"/>
          <w:shd w:val="clear" w:color="auto" w:fill="FFFFFF"/>
        </w:rPr>
        <w:t xml:space="preserve"> Less healthy, but more active: opposing selection biases when recruiting older people to a physical activity study through primary care. BMC Public Health</w:t>
      </w:r>
      <w:r w:rsidR="00263E1E" w:rsidRPr="00C63940">
        <w:rPr>
          <w:rFonts w:ascii="Times New Roman" w:hAnsi="Times New Roman" w:cs="Times New Roman"/>
          <w:color w:val="222222"/>
          <w:shd w:val="clear" w:color="auto" w:fill="FFFFFF"/>
        </w:rPr>
        <w:t xml:space="preserve"> 2008; 8:</w:t>
      </w:r>
      <w:r w:rsidRPr="00C63940">
        <w:rPr>
          <w:rFonts w:ascii="Times New Roman" w:hAnsi="Times New Roman" w:cs="Times New Roman"/>
          <w:color w:val="222222"/>
          <w:shd w:val="clear" w:color="auto" w:fill="FFFFFF"/>
        </w:rPr>
        <w:t xml:space="preserve"> 182.</w:t>
      </w:r>
    </w:p>
    <w:p w14:paraId="57004E64" w14:textId="0C23EC9B"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15</w:t>
      </w:r>
      <w:r w:rsidR="00263E1E" w:rsidRPr="00C63940">
        <w:rPr>
          <w:rFonts w:ascii="Times New Roman" w:hAnsi="Times New Roman" w:cs="Times New Roman"/>
          <w:color w:val="222222"/>
          <w:shd w:val="clear" w:color="auto" w:fill="FFFFFF"/>
        </w:rPr>
        <w:t xml:space="preserve"> Groeneveld IF</w:t>
      </w:r>
      <w:r w:rsidRPr="00C63940">
        <w:rPr>
          <w:rFonts w:ascii="Times New Roman" w:hAnsi="Times New Roman" w:cs="Times New Roman"/>
          <w:color w:val="222222"/>
          <w:shd w:val="clear" w:color="auto" w:fill="FFFFFF"/>
        </w:rPr>
        <w:t>, Pr</w:t>
      </w:r>
      <w:r w:rsidR="00263E1E" w:rsidRPr="00C63940">
        <w:rPr>
          <w:rFonts w:ascii="Times New Roman" w:hAnsi="Times New Roman" w:cs="Times New Roman"/>
          <w:color w:val="222222"/>
          <w:shd w:val="clear" w:color="auto" w:fill="FFFFFF"/>
        </w:rPr>
        <w:t xml:space="preserve">oper K.I, van der </w:t>
      </w:r>
      <w:proofErr w:type="spellStart"/>
      <w:r w:rsidR="00263E1E" w:rsidRPr="00C63940">
        <w:rPr>
          <w:rFonts w:ascii="Times New Roman" w:hAnsi="Times New Roman" w:cs="Times New Roman"/>
          <w:color w:val="222222"/>
          <w:shd w:val="clear" w:color="auto" w:fill="FFFFFF"/>
        </w:rPr>
        <w:t>Beek</w:t>
      </w:r>
      <w:proofErr w:type="spellEnd"/>
      <w:r w:rsidR="00263E1E" w:rsidRPr="00C63940">
        <w:rPr>
          <w:rFonts w:ascii="Times New Roman" w:hAnsi="Times New Roman" w:cs="Times New Roman"/>
          <w:color w:val="222222"/>
          <w:shd w:val="clear" w:color="auto" w:fill="FFFFFF"/>
        </w:rPr>
        <w:t xml:space="preserve"> AJ</w:t>
      </w:r>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et al.</w:t>
      </w:r>
      <w:r w:rsidRPr="00C63940">
        <w:rPr>
          <w:rFonts w:ascii="Times New Roman" w:hAnsi="Times New Roman" w:cs="Times New Roman"/>
          <w:color w:val="222222"/>
          <w:shd w:val="clear" w:color="auto" w:fill="FFFFFF"/>
        </w:rPr>
        <w:t xml:space="preserve"> Factors associated with non-participation and drop-out in a lifestyle intervention for workers with an elevated risk of cardiovascular di</w:t>
      </w:r>
      <w:r w:rsidR="00034C5B" w:rsidRPr="00C63940">
        <w:rPr>
          <w:rFonts w:ascii="Times New Roman" w:hAnsi="Times New Roman" w:cs="Times New Roman"/>
          <w:color w:val="222222"/>
          <w:shd w:val="clear" w:color="auto" w:fill="FFFFFF"/>
        </w:rPr>
        <w:t xml:space="preserve">sease. Int J </w:t>
      </w:r>
      <w:proofErr w:type="spellStart"/>
      <w:r w:rsidR="00034C5B" w:rsidRPr="00C63940">
        <w:rPr>
          <w:rFonts w:ascii="Times New Roman" w:hAnsi="Times New Roman" w:cs="Times New Roman"/>
          <w:color w:val="222222"/>
          <w:shd w:val="clear" w:color="auto" w:fill="FFFFFF"/>
        </w:rPr>
        <w:t>Behav</w:t>
      </w:r>
      <w:proofErr w:type="spellEnd"/>
      <w:r w:rsidR="00034C5B" w:rsidRPr="00C63940">
        <w:rPr>
          <w:rFonts w:ascii="Times New Roman" w:hAnsi="Times New Roman" w:cs="Times New Roman"/>
          <w:color w:val="222222"/>
          <w:shd w:val="clear" w:color="auto" w:fill="FFFFFF"/>
        </w:rPr>
        <w:t xml:space="preserve"> </w:t>
      </w:r>
      <w:proofErr w:type="spellStart"/>
      <w:r w:rsidR="00034C5B" w:rsidRPr="00C63940">
        <w:rPr>
          <w:rFonts w:ascii="Times New Roman" w:hAnsi="Times New Roman" w:cs="Times New Roman"/>
          <w:color w:val="222222"/>
          <w:shd w:val="clear" w:color="auto" w:fill="FFFFFF"/>
        </w:rPr>
        <w:t>Nutr</w:t>
      </w:r>
      <w:proofErr w:type="spellEnd"/>
      <w:r w:rsidR="00034C5B" w:rsidRPr="00C63940">
        <w:rPr>
          <w:rFonts w:ascii="Times New Roman" w:hAnsi="Times New Roman" w:cs="Times New Roman"/>
          <w:color w:val="222222"/>
          <w:shd w:val="clear" w:color="auto" w:fill="FFFFFF"/>
        </w:rPr>
        <w:t xml:space="preserve"> Phys Act</w:t>
      </w:r>
      <w:r w:rsidR="00263E1E" w:rsidRPr="00C63940">
        <w:rPr>
          <w:rFonts w:ascii="Times New Roman" w:hAnsi="Times New Roman" w:cs="Times New Roman"/>
          <w:color w:val="222222"/>
          <w:shd w:val="clear" w:color="auto" w:fill="FFFFFF"/>
        </w:rPr>
        <w:t xml:space="preserve"> 2009;</w:t>
      </w:r>
      <w:r w:rsidRPr="00C63940">
        <w:rPr>
          <w:rFonts w:ascii="Times New Roman" w:hAnsi="Times New Roman" w:cs="Times New Roman"/>
          <w:color w:val="222222"/>
          <w:shd w:val="clear" w:color="auto" w:fill="FFFFFF"/>
        </w:rPr>
        <w:t xml:space="preserve"> 6</w:t>
      </w:r>
      <w:r w:rsidR="00263E1E" w:rsidRPr="00C63940">
        <w:rPr>
          <w:rFonts w:ascii="Times New Roman" w:hAnsi="Times New Roman" w:cs="Times New Roman"/>
          <w:color w:val="222222"/>
          <w:shd w:val="clear" w:color="auto" w:fill="FFFFFF"/>
        </w:rPr>
        <w:t>:</w:t>
      </w:r>
      <w:r w:rsidRPr="00C63940">
        <w:rPr>
          <w:rFonts w:ascii="Times New Roman" w:hAnsi="Times New Roman" w:cs="Times New Roman"/>
          <w:color w:val="222222"/>
          <w:shd w:val="clear" w:color="auto" w:fill="FFFFFF"/>
        </w:rPr>
        <w:t xml:space="preserve"> 80.</w:t>
      </w:r>
    </w:p>
    <w:p w14:paraId="57886EC7" w14:textId="46409BC4"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16 van </w:t>
      </w:r>
      <w:proofErr w:type="spellStart"/>
      <w:r w:rsidRPr="00C63940">
        <w:rPr>
          <w:rFonts w:ascii="Times New Roman" w:hAnsi="Times New Roman" w:cs="Times New Roman"/>
          <w:color w:val="222222"/>
          <w:shd w:val="clear" w:color="auto" w:fill="FFFFFF"/>
        </w:rPr>
        <w:t>Heuvelen</w:t>
      </w:r>
      <w:proofErr w:type="spellEnd"/>
      <w:r w:rsidRPr="00C63940">
        <w:rPr>
          <w:rFonts w:ascii="Times New Roman" w:hAnsi="Times New Roman" w:cs="Times New Roman"/>
          <w:color w:val="222222"/>
          <w:shd w:val="clear" w:color="auto" w:fill="FFFFFF"/>
        </w:rPr>
        <w:t xml:space="preserve"> MJ, </w:t>
      </w:r>
      <w:proofErr w:type="spellStart"/>
      <w:r w:rsidRPr="00C63940">
        <w:rPr>
          <w:rFonts w:ascii="Times New Roman" w:hAnsi="Times New Roman" w:cs="Times New Roman"/>
          <w:color w:val="222222"/>
          <w:shd w:val="clear" w:color="auto" w:fill="FFFFFF"/>
        </w:rPr>
        <w:t>Hochstenbach</w:t>
      </w:r>
      <w:proofErr w:type="spellEnd"/>
      <w:r w:rsidRPr="00C63940">
        <w:rPr>
          <w:rFonts w:ascii="Times New Roman" w:hAnsi="Times New Roman" w:cs="Times New Roman"/>
          <w:color w:val="222222"/>
          <w:shd w:val="clear" w:color="auto" w:fill="FFFFFF"/>
        </w:rPr>
        <w:t xml:space="preserve"> JB, Brouwer WH, </w:t>
      </w:r>
      <w:r w:rsidR="00263E1E" w:rsidRPr="00C63940">
        <w:rPr>
          <w:rFonts w:ascii="Times New Roman" w:hAnsi="Times New Roman" w:cs="Times New Roman"/>
          <w:color w:val="222222"/>
          <w:shd w:val="clear" w:color="auto" w:fill="FFFFFF"/>
        </w:rPr>
        <w:t xml:space="preserve">et al. </w:t>
      </w:r>
      <w:r w:rsidRPr="00C63940">
        <w:rPr>
          <w:rFonts w:ascii="Times New Roman" w:hAnsi="Times New Roman" w:cs="Times New Roman"/>
          <w:color w:val="222222"/>
          <w:shd w:val="clear" w:color="auto" w:fill="FFFFFF"/>
        </w:rPr>
        <w:t>Differences between participants and non-participants in an RCT on physical activity and psychological interventions for older p</w:t>
      </w:r>
      <w:r w:rsidR="00263E1E" w:rsidRPr="00C63940">
        <w:rPr>
          <w:rFonts w:ascii="Times New Roman" w:hAnsi="Times New Roman" w:cs="Times New Roman"/>
          <w:color w:val="222222"/>
          <w:shd w:val="clear" w:color="auto" w:fill="FFFFFF"/>
        </w:rPr>
        <w:t>ersons. Aging Clin Exp Res 2005;</w:t>
      </w:r>
      <w:r w:rsidRPr="00C63940">
        <w:rPr>
          <w:rFonts w:ascii="Times New Roman" w:hAnsi="Times New Roman" w:cs="Times New Roman"/>
          <w:color w:val="222222"/>
          <w:shd w:val="clear" w:color="auto" w:fill="FFFFFF"/>
        </w:rPr>
        <w:t xml:space="preserve"> 17:</w:t>
      </w:r>
      <w:r w:rsidR="00263E1E" w:rsidRPr="00C63940">
        <w:rPr>
          <w:rFonts w:ascii="Times New Roman" w:hAnsi="Times New Roman" w:cs="Times New Roman"/>
          <w:color w:val="222222"/>
          <w:shd w:val="clear" w:color="auto" w:fill="FFFFFF"/>
        </w:rPr>
        <w:t xml:space="preserve"> </w:t>
      </w:r>
      <w:r w:rsidRPr="00C63940">
        <w:rPr>
          <w:rFonts w:ascii="Times New Roman" w:hAnsi="Times New Roman" w:cs="Times New Roman"/>
          <w:color w:val="222222"/>
          <w:shd w:val="clear" w:color="auto" w:fill="FFFFFF"/>
        </w:rPr>
        <w:t>236–245.</w:t>
      </w:r>
    </w:p>
    <w:p w14:paraId="14906F9A" w14:textId="369D7E74" w:rsidR="00B5163A" w:rsidRPr="00C63940" w:rsidRDefault="00B5163A"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17</w:t>
      </w:r>
      <w:r w:rsidR="00263E1E" w:rsidRPr="00C63940">
        <w:rPr>
          <w:rFonts w:ascii="Times New Roman" w:hAnsi="Times New Roman" w:cs="Times New Roman"/>
          <w:color w:val="222222"/>
          <w:shd w:val="clear" w:color="auto" w:fill="FFFFFF"/>
        </w:rPr>
        <w:t xml:space="preserve"> </w:t>
      </w:r>
      <w:proofErr w:type="spellStart"/>
      <w:r w:rsidR="00263E1E" w:rsidRPr="00C63940">
        <w:rPr>
          <w:rFonts w:ascii="Times New Roman" w:hAnsi="Times New Roman" w:cs="Times New Roman"/>
          <w:color w:val="222222"/>
          <w:shd w:val="clear" w:color="auto" w:fill="FFFFFF"/>
        </w:rPr>
        <w:t>Golomb</w:t>
      </w:r>
      <w:proofErr w:type="spellEnd"/>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BA, Chan VT, Evans MA</w:t>
      </w:r>
      <w:r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et al.</w:t>
      </w:r>
      <w:r w:rsidRPr="00C63940">
        <w:rPr>
          <w:rFonts w:ascii="Times New Roman" w:hAnsi="Times New Roman" w:cs="Times New Roman"/>
          <w:color w:val="222222"/>
          <w:shd w:val="clear" w:color="auto" w:fill="FFFFFF"/>
        </w:rPr>
        <w:t xml:space="preserve"> The older the better: are elderly study participants more non-representative? A cross-sectional analysis of clinical trial and observation</w:t>
      </w:r>
      <w:r w:rsidR="00263E1E" w:rsidRPr="00C63940">
        <w:rPr>
          <w:rFonts w:ascii="Times New Roman" w:hAnsi="Times New Roman" w:cs="Times New Roman"/>
          <w:color w:val="222222"/>
          <w:shd w:val="clear" w:color="auto" w:fill="FFFFFF"/>
        </w:rPr>
        <w:t>al study samples. BMJ open 2012; 2:</w:t>
      </w:r>
      <w:r w:rsidRPr="00C63940">
        <w:rPr>
          <w:rFonts w:ascii="Times New Roman" w:hAnsi="Times New Roman" w:cs="Times New Roman"/>
          <w:color w:val="222222"/>
          <w:shd w:val="clear" w:color="auto" w:fill="FFFFFF"/>
        </w:rPr>
        <w:t xml:space="preserve"> e000833.</w:t>
      </w:r>
    </w:p>
    <w:p w14:paraId="55AE0ABE" w14:textId="08E9915D" w:rsidR="00F146F2"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18</w:t>
      </w:r>
      <w:r w:rsidR="00263E1E" w:rsidRPr="00C63940">
        <w:rPr>
          <w:rFonts w:ascii="Times New Roman" w:hAnsi="Times New Roman" w:cs="Times New Roman"/>
          <w:color w:val="222222"/>
          <w:shd w:val="clear" w:color="auto" w:fill="FFFFFF"/>
        </w:rPr>
        <w:t xml:space="preserve"> Go AS</w:t>
      </w:r>
      <w:r w:rsidR="00F146F2" w:rsidRPr="00C63940">
        <w:rPr>
          <w:rFonts w:ascii="Times New Roman" w:hAnsi="Times New Roman" w:cs="Times New Roman"/>
          <w:color w:val="222222"/>
          <w:shd w:val="clear" w:color="auto" w:fill="FFFFFF"/>
        </w:rPr>
        <w:t xml:space="preserve">, </w:t>
      </w:r>
      <w:proofErr w:type="spellStart"/>
      <w:r w:rsidR="00F146F2" w:rsidRPr="00C63940">
        <w:rPr>
          <w:rFonts w:ascii="Times New Roman" w:hAnsi="Times New Roman" w:cs="Times New Roman"/>
          <w:color w:val="222222"/>
          <w:shd w:val="clear" w:color="auto" w:fill="FFFFFF"/>
        </w:rPr>
        <w:t>Mozaffarian</w:t>
      </w:r>
      <w:proofErr w:type="spellEnd"/>
      <w:r w:rsidR="00263E1E" w:rsidRPr="00C63940">
        <w:rPr>
          <w:rFonts w:ascii="Times New Roman" w:hAnsi="Times New Roman" w:cs="Times New Roman"/>
          <w:color w:val="222222"/>
          <w:shd w:val="clear" w:color="auto" w:fill="FFFFFF"/>
        </w:rPr>
        <w:t xml:space="preserve"> D, Roger VL</w:t>
      </w:r>
      <w:r w:rsidR="00F146F2" w:rsidRPr="00C63940">
        <w:rPr>
          <w:rFonts w:ascii="Times New Roman" w:hAnsi="Times New Roman" w:cs="Times New Roman"/>
          <w:color w:val="222222"/>
          <w:shd w:val="clear" w:color="auto" w:fill="FFFFFF"/>
        </w:rPr>
        <w:t xml:space="preserve">, </w:t>
      </w:r>
      <w:r w:rsidR="00263E1E" w:rsidRPr="00C63940">
        <w:rPr>
          <w:rFonts w:ascii="Times New Roman" w:hAnsi="Times New Roman" w:cs="Times New Roman"/>
          <w:color w:val="222222"/>
          <w:shd w:val="clear" w:color="auto" w:fill="FFFFFF"/>
        </w:rPr>
        <w:t xml:space="preserve">et al. </w:t>
      </w:r>
      <w:r w:rsidR="00F146F2" w:rsidRPr="00C63940">
        <w:rPr>
          <w:rFonts w:ascii="Times New Roman" w:hAnsi="Times New Roman" w:cs="Times New Roman"/>
          <w:color w:val="222222"/>
          <w:shd w:val="clear" w:color="auto" w:fill="FFFFFF"/>
        </w:rPr>
        <w:t>Executive summary: heart disease and stroke statistics—2</w:t>
      </w:r>
      <w:r w:rsidR="00263E1E" w:rsidRPr="00C63940">
        <w:rPr>
          <w:rFonts w:ascii="Times New Roman" w:hAnsi="Times New Roman" w:cs="Times New Roman"/>
          <w:color w:val="222222"/>
          <w:shd w:val="clear" w:color="auto" w:fill="FFFFFF"/>
        </w:rPr>
        <w:t>014 update. Circulation 2014; 129:</w:t>
      </w:r>
      <w:r w:rsidR="00F146F2" w:rsidRPr="00C63940">
        <w:rPr>
          <w:rFonts w:ascii="Times New Roman" w:hAnsi="Times New Roman" w:cs="Times New Roman"/>
          <w:color w:val="222222"/>
          <w:shd w:val="clear" w:color="auto" w:fill="FFFFFF"/>
        </w:rPr>
        <w:t xml:space="preserve"> 399-410.</w:t>
      </w:r>
    </w:p>
    <w:p w14:paraId="43B8A91A" w14:textId="401DAB5C" w:rsidR="00F146F2"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19</w:t>
      </w:r>
      <w:r w:rsidR="00263E1E" w:rsidRPr="00C63940">
        <w:rPr>
          <w:rFonts w:ascii="Times New Roman" w:hAnsi="Times New Roman" w:cs="Times New Roman"/>
          <w:color w:val="222222"/>
          <w:shd w:val="clear" w:color="auto" w:fill="FFFFFF"/>
        </w:rPr>
        <w:t xml:space="preserve"> Glasgow RE, Vogt TM, and Boles SM. </w:t>
      </w:r>
      <w:r w:rsidR="00F146F2" w:rsidRPr="00C63940">
        <w:rPr>
          <w:rFonts w:ascii="Times New Roman" w:hAnsi="Times New Roman" w:cs="Times New Roman"/>
          <w:color w:val="222222"/>
          <w:shd w:val="clear" w:color="auto" w:fill="FFFFFF"/>
        </w:rPr>
        <w:t>Evaluating the public health impact of health promotion interventions: the RE-AIM framework. Am</w:t>
      </w:r>
      <w:r w:rsidR="00263E1E" w:rsidRPr="00C63940">
        <w:rPr>
          <w:rFonts w:ascii="Times New Roman" w:hAnsi="Times New Roman" w:cs="Times New Roman"/>
          <w:color w:val="222222"/>
          <w:shd w:val="clear" w:color="auto" w:fill="FFFFFF"/>
        </w:rPr>
        <w:t xml:space="preserve"> </w:t>
      </w:r>
      <w:r w:rsidR="00034C5B" w:rsidRPr="00C63940">
        <w:rPr>
          <w:rFonts w:ascii="Times New Roman" w:hAnsi="Times New Roman" w:cs="Times New Roman"/>
          <w:color w:val="222222"/>
          <w:shd w:val="clear" w:color="auto" w:fill="FFFFFF"/>
        </w:rPr>
        <w:t>J P</w:t>
      </w:r>
      <w:r w:rsidR="00263E1E" w:rsidRPr="00C63940">
        <w:rPr>
          <w:rFonts w:ascii="Times New Roman" w:hAnsi="Times New Roman" w:cs="Times New Roman"/>
          <w:color w:val="222222"/>
          <w:shd w:val="clear" w:color="auto" w:fill="FFFFFF"/>
        </w:rPr>
        <w:t xml:space="preserve">ublic </w:t>
      </w:r>
      <w:r w:rsidR="00034C5B" w:rsidRPr="00C63940">
        <w:rPr>
          <w:rFonts w:ascii="Times New Roman" w:hAnsi="Times New Roman" w:cs="Times New Roman"/>
          <w:color w:val="222222"/>
          <w:shd w:val="clear" w:color="auto" w:fill="FFFFFF"/>
        </w:rPr>
        <w:t>H</w:t>
      </w:r>
      <w:r w:rsidR="00263E1E" w:rsidRPr="00C63940">
        <w:rPr>
          <w:rFonts w:ascii="Times New Roman" w:hAnsi="Times New Roman" w:cs="Times New Roman"/>
          <w:color w:val="222222"/>
          <w:shd w:val="clear" w:color="auto" w:fill="FFFFFF"/>
        </w:rPr>
        <w:t>ealth 1999;</w:t>
      </w:r>
      <w:r w:rsidR="00F146F2" w:rsidRPr="00C63940">
        <w:rPr>
          <w:rFonts w:ascii="Times New Roman" w:hAnsi="Times New Roman" w:cs="Times New Roman"/>
          <w:color w:val="222222"/>
          <w:shd w:val="clear" w:color="auto" w:fill="FFFFFF"/>
        </w:rPr>
        <w:t xml:space="preserve"> 89</w:t>
      </w:r>
      <w:r w:rsidR="00263E1E" w:rsidRPr="00C63940">
        <w:rPr>
          <w:rFonts w:ascii="Times New Roman" w:hAnsi="Times New Roman" w:cs="Times New Roman"/>
          <w:color w:val="222222"/>
          <w:shd w:val="clear" w:color="auto" w:fill="FFFFFF"/>
        </w:rPr>
        <w:t>:</w:t>
      </w:r>
      <w:r w:rsidR="00F146F2" w:rsidRPr="00C63940">
        <w:rPr>
          <w:rFonts w:ascii="Times New Roman" w:hAnsi="Times New Roman" w:cs="Times New Roman"/>
          <w:color w:val="222222"/>
          <w:shd w:val="clear" w:color="auto" w:fill="FFFFFF"/>
        </w:rPr>
        <w:t xml:space="preserve"> 1322-1327.</w:t>
      </w:r>
    </w:p>
    <w:p w14:paraId="0E9CA012" w14:textId="4343EAEA" w:rsidR="00F146F2"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20 </w:t>
      </w:r>
      <w:r w:rsidR="00F146F2" w:rsidRPr="00C63940">
        <w:rPr>
          <w:rFonts w:ascii="Times New Roman" w:hAnsi="Times New Roman" w:cs="Times New Roman"/>
          <w:color w:val="222222"/>
          <w:shd w:val="clear" w:color="auto" w:fill="FFFFFF"/>
        </w:rPr>
        <w:t>O</w:t>
      </w:r>
      <w:r w:rsidR="00263E1E" w:rsidRPr="00C63940">
        <w:rPr>
          <w:rFonts w:ascii="Times New Roman" w:hAnsi="Times New Roman" w:cs="Times New Roman"/>
          <w:color w:val="222222"/>
          <w:shd w:val="clear" w:color="auto" w:fill="FFFFFF"/>
        </w:rPr>
        <w:t>ffice of National Statistics. Census 2011</w:t>
      </w:r>
      <w:r w:rsidR="00080AB2">
        <w:rPr>
          <w:rFonts w:ascii="Times New Roman" w:hAnsi="Times New Roman" w:cs="Times New Roman"/>
          <w:color w:val="222222"/>
          <w:shd w:val="clear" w:color="auto" w:fill="FFFFFF"/>
        </w:rPr>
        <w:t>.</w:t>
      </w:r>
      <w:r w:rsidR="00263E1E" w:rsidRPr="00C63940">
        <w:rPr>
          <w:rFonts w:ascii="Times New Roman" w:hAnsi="Times New Roman" w:cs="Times New Roman"/>
          <w:color w:val="222222"/>
          <w:shd w:val="clear" w:color="auto" w:fill="FFFFFF"/>
        </w:rPr>
        <w:t xml:space="preserve"> </w:t>
      </w:r>
      <w:r w:rsidR="00F146F2" w:rsidRPr="00C63940">
        <w:rPr>
          <w:rFonts w:ascii="Times New Roman" w:hAnsi="Times New Roman" w:cs="Times New Roman"/>
          <w:color w:val="222222"/>
          <w:shd w:val="clear" w:color="auto" w:fill="FFFFFF"/>
        </w:rPr>
        <w:t>https://www.ons.gov.uk/census/2011censuspages/1b.asp</w:t>
      </w:r>
      <w:r w:rsidR="00C63940">
        <w:rPr>
          <w:rFonts w:ascii="Times New Roman" w:hAnsi="Times New Roman" w:cs="Times New Roman"/>
          <w:color w:val="222222"/>
          <w:shd w:val="clear" w:color="auto" w:fill="FFFFFF"/>
        </w:rPr>
        <w:t>.</w:t>
      </w:r>
      <w:r w:rsidR="00F146F2" w:rsidRPr="00C63940">
        <w:rPr>
          <w:rFonts w:ascii="Times New Roman" w:hAnsi="Times New Roman" w:cs="Times New Roman"/>
          <w:color w:val="222222"/>
          <w:shd w:val="clear" w:color="auto" w:fill="FFFFFF"/>
        </w:rPr>
        <w:t xml:space="preserve"> </w:t>
      </w:r>
      <w:r w:rsidR="00C63940">
        <w:rPr>
          <w:rFonts w:ascii="Times New Roman" w:hAnsi="Times New Roman" w:cs="Times New Roman"/>
          <w:color w:val="222222"/>
          <w:shd w:val="clear" w:color="auto" w:fill="FFFFFF"/>
        </w:rPr>
        <w:t>A</w:t>
      </w:r>
      <w:r w:rsidR="00F146F2" w:rsidRPr="00C63940">
        <w:rPr>
          <w:rFonts w:ascii="Times New Roman" w:hAnsi="Times New Roman" w:cs="Times New Roman"/>
          <w:color w:val="222222"/>
          <w:shd w:val="clear" w:color="auto" w:fill="FFFFFF"/>
        </w:rPr>
        <w:t>ccessed 5 May 2017</w:t>
      </w:r>
      <w:r w:rsidR="00346481" w:rsidRPr="00C63940">
        <w:rPr>
          <w:rFonts w:ascii="Times New Roman" w:hAnsi="Times New Roman" w:cs="Times New Roman"/>
          <w:color w:val="222222"/>
          <w:shd w:val="clear" w:color="auto" w:fill="FFFFFF"/>
        </w:rPr>
        <w:t>.</w:t>
      </w:r>
    </w:p>
    <w:p w14:paraId="55F8C6E8" w14:textId="1B4648AC" w:rsidR="00F146F2"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21 </w:t>
      </w:r>
      <w:r w:rsidR="00F146F2" w:rsidRPr="00C63940">
        <w:rPr>
          <w:rFonts w:ascii="Times New Roman" w:hAnsi="Times New Roman" w:cs="Times New Roman"/>
          <w:color w:val="222222"/>
          <w:shd w:val="clear" w:color="auto" w:fill="FFFFFF"/>
        </w:rPr>
        <w:t>Bayle</w:t>
      </w:r>
      <w:r w:rsidR="00346481" w:rsidRPr="00C63940">
        <w:rPr>
          <w:rFonts w:ascii="Times New Roman" w:hAnsi="Times New Roman" w:cs="Times New Roman"/>
          <w:color w:val="222222"/>
          <w:shd w:val="clear" w:color="auto" w:fill="FFFFFF"/>
        </w:rPr>
        <w:t xml:space="preserve">y A, de </w:t>
      </w:r>
      <w:proofErr w:type="spellStart"/>
      <w:r w:rsidR="00346481" w:rsidRPr="00C63940">
        <w:rPr>
          <w:rFonts w:ascii="Times New Roman" w:hAnsi="Times New Roman" w:cs="Times New Roman"/>
          <w:color w:val="222222"/>
          <w:shd w:val="clear" w:color="auto" w:fill="FFFFFF"/>
        </w:rPr>
        <w:t>Zoysa</w:t>
      </w:r>
      <w:proofErr w:type="spellEnd"/>
      <w:r w:rsidR="00346481" w:rsidRPr="00C63940">
        <w:rPr>
          <w:rFonts w:ascii="Times New Roman" w:hAnsi="Times New Roman" w:cs="Times New Roman"/>
          <w:color w:val="222222"/>
          <w:shd w:val="clear" w:color="auto" w:fill="FFFFFF"/>
        </w:rPr>
        <w:t xml:space="preserve"> N, Cook DG</w:t>
      </w:r>
      <w:r w:rsidR="00F146F2"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 xml:space="preserve">et al. </w:t>
      </w:r>
      <w:r w:rsidR="00F146F2" w:rsidRPr="00C63940">
        <w:rPr>
          <w:rFonts w:ascii="Times New Roman" w:hAnsi="Times New Roman" w:cs="Times New Roman"/>
          <w:color w:val="222222"/>
          <w:shd w:val="clear" w:color="auto" w:fill="FFFFFF"/>
        </w:rPr>
        <w:t xml:space="preserve">Comparing the effectiveness of an enhanced </w:t>
      </w:r>
      <w:proofErr w:type="spellStart"/>
      <w:r w:rsidR="00F146F2" w:rsidRPr="00C63940">
        <w:rPr>
          <w:rFonts w:ascii="Times New Roman" w:hAnsi="Times New Roman" w:cs="Times New Roman"/>
          <w:color w:val="222222"/>
          <w:shd w:val="clear" w:color="auto" w:fill="FFFFFF"/>
        </w:rPr>
        <w:t>MOtiVational</w:t>
      </w:r>
      <w:proofErr w:type="spellEnd"/>
      <w:r w:rsidR="00F146F2" w:rsidRPr="00C63940">
        <w:rPr>
          <w:rFonts w:ascii="Times New Roman" w:hAnsi="Times New Roman" w:cs="Times New Roman"/>
          <w:color w:val="222222"/>
          <w:shd w:val="clear" w:color="auto" w:fill="FFFFFF"/>
        </w:rPr>
        <w:t xml:space="preserve"> </w:t>
      </w:r>
      <w:proofErr w:type="spellStart"/>
      <w:r w:rsidR="00F146F2" w:rsidRPr="00C63940">
        <w:rPr>
          <w:rFonts w:ascii="Times New Roman" w:hAnsi="Times New Roman" w:cs="Times New Roman"/>
          <w:color w:val="222222"/>
          <w:shd w:val="clear" w:color="auto" w:fill="FFFFFF"/>
        </w:rPr>
        <w:t>intErviewing</w:t>
      </w:r>
      <w:proofErr w:type="spellEnd"/>
      <w:r w:rsidR="00F146F2" w:rsidRPr="00C63940">
        <w:rPr>
          <w:rFonts w:ascii="Times New Roman" w:hAnsi="Times New Roman" w:cs="Times New Roman"/>
          <w:color w:val="222222"/>
          <w:shd w:val="clear" w:color="auto" w:fill="FFFFFF"/>
        </w:rPr>
        <w:t xml:space="preserve"> </w:t>
      </w:r>
      <w:proofErr w:type="spellStart"/>
      <w:r w:rsidR="00F146F2" w:rsidRPr="00C63940">
        <w:rPr>
          <w:rFonts w:ascii="Times New Roman" w:hAnsi="Times New Roman" w:cs="Times New Roman"/>
          <w:color w:val="222222"/>
          <w:shd w:val="clear" w:color="auto" w:fill="FFFFFF"/>
        </w:rPr>
        <w:t>InTervention</w:t>
      </w:r>
      <w:proofErr w:type="spellEnd"/>
      <w:r w:rsidR="00F146F2" w:rsidRPr="00C63940">
        <w:rPr>
          <w:rFonts w:ascii="Times New Roman" w:hAnsi="Times New Roman" w:cs="Times New Roman"/>
          <w:color w:val="222222"/>
          <w:shd w:val="clear" w:color="auto" w:fill="FFFFFF"/>
        </w:rPr>
        <w:t xml:space="preserve"> (MOVE IT) with usual care for reducing cardiovascular risk in high risk subjects: study protocol for a randomised</w:t>
      </w:r>
      <w:r w:rsidR="00346481" w:rsidRPr="00C63940">
        <w:rPr>
          <w:rFonts w:ascii="Times New Roman" w:hAnsi="Times New Roman" w:cs="Times New Roman"/>
          <w:color w:val="222222"/>
          <w:shd w:val="clear" w:color="auto" w:fill="FFFFFF"/>
        </w:rPr>
        <w:t xml:space="preserve"> controlled trial. Trials 2015; 16: 112.</w:t>
      </w:r>
    </w:p>
    <w:p w14:paraId="29B58FD5" w14:textId="5AFCAA4F" w:rsidR="00F146F2"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lastRenderedPageBreak/>
        <w:t xml:space="preserve">22 </w:t>
      </w:r>
      <w:r w:rsidR="00346481" w:rsidRPr="00C63940">
        <w:rPr>
          <w:rFonts w:ascii="Times New Roman" w:hAnsi="Times New Roman" w:cs="Times New Roman"/>
          <w:color w:val="222222"/>
          <w:shd w:val="clear" w:color="auto" w:fill="FFFFFF"/>
        </w:rPr>
        <w:t>Noble M, Wright G, Smith G</w:t>
      </w:r>
      <w:r w:rsidR="00F146F2"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et al.</w:t>
      </w:r>
      <w:r w:rsidR="00F146F2" w:rsidRPr="00C63940">
        <w:rPr>
          <w:rFonts w:ascii="Times New Roman" w:hAnsi="Times New Roman" w:cs="Times New Roman"/>
          <w:color w:val="222222"/>
          <w:shd w:val="clear" w:color="auto" w:fill="FFFFFF"/>
        </w:rPr>
        <w:t xml:space="preserve"> Measuring multiple deprivation at the small-area level. Environ</w:t>
      </w:r>
      <w:r w:rsidR="00F4390A" w:rsidRPr="00C63940">
        <w:rPr>
          <w:rFonts w:ascii="Times New Roman" w:hAnsi="Times New Roman" w:cs="Times New Roman"/>
          <w:color w:val="222222"/>
          <w:shd w:val="clear" w:color="auto" w:fill="FFFFFF"/>
        </w:rPr>
        <w:t xml:space="preserve"> and Planning </w:t>
      </w:r>
      <w:r w:rsidR="00346481" w:rsidRPr="00C63940">
        <w:rPr>
          <w:rFonts w:ascii="Times New Roman" w:hAnsi="Times New Roman" w:cs="Times New Roman"/>
          <w:color w:val="222222"/>
          <w:shd w:val="clear" w:color="auto" w:fill="FFFFFF"/>
        </w:rPr>
        <w:t>2006; 38:</w:t>
      </w:r>
      <w:r w:rsidR="00F146F2" w:rsidRPr="00C63940">
        <w:rPr>
          <w:rFonts w:ascii="Times New Roman" w:hAnsi="Times New Roman" w:cs="Times New Roman"/>
          <w:color w:val="222222"/>
          <w:shd w:val="clear" w:color="auto" w:fill="FFFFFF"/>
        </w:rPr>
        <w:t xml:space="preserve"> 169-185.</w:t>
      </w:r>
    </w:p>
    <w:p w14:paraId="109A5FEB" w14:textId="1042D8BC" w:rsidR="007C594B" w:rsidRPr="00C63940" w:rsidRDefault="00F40CB7"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 xml:space="preserve">23 </w:t>
      </w:r>
      <w:r w:rsidR="007C594B" w:rsidRPr="00C63940">
        <w:rPr>
          <w:rFonts w:ascii="Times New Roman" w:hAnsi="Times New Roman" w:cs="Times New Roman"/>
          <w:color w:val="222222"/>
          <w:shd w:val="clear" w:color="auto" w:fill="FFFFFF"/>
        </w:rPr>
        <w:t xml:space="preserve">Public Health England. National General Practice Profiles. </w:t>
      </w:r>
      <w:r w:rsidR="00282CDE" w:rsidRPr="00C63940">
        <w:rPr>
          <w:rFonts w:ascii="Times New Roman" w:hAnsi="Times New Roman" w:cs="Times New Roman"/>
          <w:color w:val="222222"/>
          <w:shd w:val="clear" w:color="auto" w:fill="FFFFFF"/>
        </w:rPr>
        <w:t>https://fingertips.phe.org.uk/profile/general-practice</w:t>
      </w:r>
      <w:r w:rsidR="00C63940">
        <w:rPr>
          <w:rFonts w:ascii="Times New Roman" w:hAnsi="Times New Roman" w:cs="Times New Roman"/>
          <w:color w:val="222222"/>
          <w:shd w:val="clear" w:color="auto" w:fill="FFFFFF"/>
        </w:rPr>
        <w:t>. A</w:t>
      </w:r>
      <w:r w:rsidR="00282CDE" w:rsidRPr="00C63940">
        <w:rPr>
          <w:rFonts w:ascii="Times New Roman" w:hAnsi="Times New Roman" w:cs="Times New Roman"/>
          <w:color w:val="222222"/>
          <w:shd w:val="clear" w:color="auto" w:fill="FFFFFF"/>
        </w:rPr>
        <w:t>ccessed 21 July 2017.</w:t>
      </w:r>
    </w:p>
    <w:p w14:paraId="76777AE9" w14:textId="7F92E87C" w:rsidR="009E6D64" w:rsidRPr="00C63940" w:rsidRDefault="00F40CB7"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24</w:t>
      </w:r>
      <w:r w:rsidR="00835DD1"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 xml:space="preserve">van </w:t>
      </w:r>
      <w:proofErr w:type="spellStart"/>
      <w:r w:rsidR="00346481" w:rsidRPr="00C63940">
        <w:rPr>
          <w:rFonts w:ascii="Times New Roman" w:hAnsi="Times New Roman" w:cs="Times New Roman"/>
          <w:color w:val="222222"/>
          <w:shd w:val="clear" w:color="auto" w:fill="FFFFFF"/>
        </w:rPr>
        <w:t>Dongen</w:t>
      </w:r>
      <w:proofErr w:type="spellEnd"/>
      <w:r w:rsidR="009E6D64" w:rsidRPr="00C63940">
        <w:rPr>
          <w:rFonts w:ascii="Times New Roman" w:hAnsi="Times New Roman" w:cs="Times New Roman"/>
          <w:color w:val="222222"/>
          <w:shd w:val="clear" w:color="auto" w:fill="FFFFFF"/>
        </w:rPr>
        <w:t xml:space="preserve"> E</w:t>
      </w:r>
      <w:r w:rsidR="00346481" w:rsidRPr="00C63940">
        <w:rPr>
          <w:rFonts w:ascii="Times New Roman" w:hAnsi="Times New Roman" w:cs="Times New Roman"/>
          <w:color w:val="222222"/>
          <w:shd w:val="clear" w:color="auto" w:fill="FFFFFF"/>
        </w:rPr>
        <w:t xml:space="preserve">J, </w:t>
      </w:r>
      <w:proofErr w:type="spellStart"/>
      <w:r w:rsidR="00346481" w:rsidRPr="00C63940">
        <w:rPr>
          <w:rFonts w:ascii="Times New Roman" w:hAnsi="Times New Roman" w:cs="Times New Roman"/>
          <w:color w:val="222222"/>
          <w:shd w:val="clear" w:color="auto" w:fill="FFFFFF"/>
        </w:rPr>
        <w:t>Duijzer</w:t>
      </w:r>
      <w:proofErr w:type="spellEnd"/>
      <w:r w:rsidR="00346481" w:rsidRPr="00C63940">
        <w:rPr>
          <w:rFonts w:ascii="Times New Roman" w:hAnsi="Times New Roman" w:cs="Times New Roman"/>
          <w:color w:val="222222"/>
          <w:shd w:val="clear" w:color="auto" w:fill="FFFFFF"/>
        </w:rPr>
        <w:t xml:space="preserve"> G, Jansen SC</w:t>
      </w:r>
      <w:r w:rsidR="009E6D64"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et al.</w:t>
      </w:r>
      <w:r w:rsidR="009E6D64" w:rsidRPr="00C63940">
        <w:rPr>
          <w:rFonts w:ascii="Times New Roman" w:hAnsi="Times New Roman" w:cs="Times New Roman"/>
          <w:color w:val="222222"/>
          <w:shd w:val="clear" w:color="auto" w:fill="FFFFFF"/>
        </w:rPr>
        <w:t xml:space="preserve"> Process evaluation of a randomised controlled trial of a diabetes prevention intervention in Dutch primary health c</w:t>
      </w:r>
      <w:r w:rsidR="00F4390A" w:rsidRPr="00C63940">
        <w:rPr>
          <w:rFonts w:ascii="Times New Roman" w:hAnsi="Times New Roman" w:cs="Times New Roman"/>
          <w:color w:val="222222"/>
          <w:shd w:val="clear" w:color="auto" w:fill="FFFFFF"/>
        </w:rPr>
        <w:t>are: the SLIMMER study. Public H</w:t>
      </w:r>
      <w:r w:rsidR="009E6D64" w:rsidRPr="00C63940">
        <w:rPr>
          <w:rFonts w:ascii="Times New Roman" w:hAnsi="Times New Roman" w:cs="Times New Roman"/>
          <w:color w:val="222222"/>
          <w:shd w:val="clear" w:color="auto" w:fill="FFFFFF"/>
        </w:rPr>
        <w:t xml:space="preserve">ealth </w:t>
      </w:r>
      <w:proofErr w:type="spellStart"/>
      <w:r w:rsidR="00F4390A" w:rsidRPr="00C63940">
        <w:rPr>
          <w:rFonts w:ascii="Times New Roman" w:hAnsi="Times New Roman" w:cs="Times New Roman"/>
          <w:color w:val="222222"/>
          <w:shd w:val="clear" w:color="auto" w:fill="FFFFFF"/>
        </w:rPr>
        <w:t>Nutr</w:t>
      </w:r>
      <w:proofErr w:type="spellEnd"/>
      <w:r w:rsidR="00346481" w:rsidRPr="00C63940">
        <w:rPr>
          <w:rFonts w:ascii="Times New Roman" w:hAnsi="Times New Roman" w:cs="Times New Roman"/>
          <w:color w:val="222222"/>
          <w:shd w:val="clear" w:color="auto" w:fill="FFFFFF"/>
        </w:rPr>
        <w:t xml:space="preserve"> 2016:</w:t>
      </w:r>
      <w:r w:rsidR="009E6D64" w:rsidRPr="00C63940">
        <w:rPr>
          <w:rFonts w:ascii="Times New Roman" w:hAnsi="Times New Roman" w:cs="Times New Roman"/>
          <w:color w:val="222222"/>
          <w:shd w:val="clear" w:color="auto" w:fill="FFFFFF"/>
        </w:rPr>
        <w:t xml:space="preserve"> 1-12.</w:t>
      </w:r>
    </w:p>
    <w:p w14:paraId="60B336A0" w14:textId="5E72E4CE" w:rsidR="009E6D64" w:rsidRPr="00C63940" w:rsidRDefault="00F40CB7"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25</w:t>
      </w:r>
      <w:r w:rsidR="00835DD1"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Attwood S, Morton KL, Mitchell J</w:t>
      </w:r>
      <w:r w:rsidR="009E6D64"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 xml:space="preserve">et al. </w:t>
      </w:r>
      <w:r w:rsidR="009E6D64" w:rsidRPr="00C63940">
        <w:rPr>
          <w:rFonts w:ascii="Times New Roman" w:hAnsi="Times New Roman" w:cs="Times New Roman"/>
          <w:color w:val="222222"/>
          <w:shd w:val="clear" w:color="auto" w:fill="FFFFFF"/>
        </w:rPr>
        <w:t>Reasons for non-participation in a primary care-based physical activity trial: a qualitative study. BMJ open</w:t>
      </w:r>
      <w:r w:rsidR="00346481" w:rsidRPr="00C63940">
        <w:rPr>
          <w:rFonts w:ascii="Times New Roman" w:hAnsi="Times New Roman" w:cs="Times New Roman"/>
          <w:color w:val="222222"/>
          <w:shd w:val="clear" w:color="auto" w:fill="FFFFFF"/>
        </w:rPr>
        <w:t xml:space="preserve"> 2016;</w:t>
      </w:r>
      <w:r w:rsidR="009E6D64" w:rsidRPr="00C63940">
        <w:rPr>
          <w:rFonts w:ascii="Times New Roman" w:hAnsi="Times New Roman" w:cs="Times New Roman"/>
          <w:color w:val="222222"/>
          <w:shd w:val="clear" w:color="auto" w:fill="FFFFFF"/>
        </w:rPr>
        <w:t xml:space="preserve"> 6</w:t>
      </w:r>
      <w:r w:rsidR="00346481" w:rsidRPr="00C63940">
        <w:rPr>
          <w:rFonts w:ascii="Times New Roman" w:hAnsi="Times New Roman" w:cs="Times New Roman"/>
          <w:color w:val="222222"/>
          <w:shd w:val="clear" w:color="auto" w:fill="FFFFFF"/>
        </w:rPr>
        <w:t>:</w:t>
      </w:r>
      <w:r w:rsidR="009E6D64" w:rsidRPr="00C63940">
        <w:rPr>
          <w:rFonts w:ascii="Times New Roman" w:hAnsi="Times New Roman" w:cs="Times New Roman"/>
          <w:color w:val="222222"/>
          <w:shd w:val="clear" w:color="auto" w:fill="FFFFFF"/>
        </w:rPr>
        <w:t xml:space="preserve"> e011577.</w:t>
      </w:r>
    </w:p>
    <w:p w14:paraId="67226E91" w14:textId="391CC538" w:rsidR="009E6D64"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2</w:t>
      </w:r>
      <w:r w:rsidR="00F40CB7" w:rsidRPr="00C63940">
        <w:rPr>
          <w:rFonts w:ascii="Times New Roman" w:hAnsi="Times New Roman" w:cs="Times New Roman"/>
          <w:color w:val="222222"/>
          <w:shd w:val="clear" w:color="auto" w:fill="FFFFFF"/>
        </w:rPr>
        <w:t>6</w:t>
      </w:r>
      <w:r w:rsidRPr="00C63940">
        <w:rPr>
          <w:rFonts w:ascii="Times New Roman" w:hAnsi="Times New Roman" w:cs="Times New Roman"/>
          <w:color w:val="222222"/>
          <w:shd w:val="clear" w:color="auto" w:fill="FFFFFF"/>
        </w:rPr>
        <w:t xml:space="preserve"> </w:t>
      </w:r>
      <w:proofErr w:type="spellStart"/>
      <w:r w:rsidR="009E6D64" w:rsidRPr="00C63940">
        <w:rPr>
          <w:rFonts w:ascii="Times New Roman" w:hAnsi="Times New Roman" w:cs="Times New Roman"/>
          <w:color w:val="222222"/>
          <w:shd w:val="clear" w:color="auto" w:fill="FFFFFF"/>
        </w:rPr>
        <w:t>Norman</w:t>
      </w:r>
      <w:r w:rsidR="00346481" w:rsidRPr="00C63940">
        <w:rPr>
          <w:rFonts w:ascii="Times New Roman" w:hAnsi="Times New Roman" w:cs="Times New Roman"/>
          <w:color w:val="222222"/>
          <w:shd w:val="clear" w:color="auto" w:fill="FFFFFF"/>
        </w:rPr>
        <w:t>sell</w:t>
      </w:r>
      <w:proofErr w:type="spellEnd"/>
      <w:r w:rsidR="00346481" w:rsidRPr="00C63940">
        <w:rPr>
          <w:rFonts w:ascii="Times New Roman" w:hAnsi="Times New Roman" w:cs="Times New Roman"/>
          <w:color w:val="222222"/>
          <w:shd w:val="clear" w:color="auto" w:fill="FFFFFF"/>
        </w:rPr>
        <w:t xml:space="preserve"> R, Holmes R, Victor C</w:t>
      </w:r>
      <w:r w:rsidR="009E6D64" w:rsidRPr="00C63940">
        <w:rPr>
          <w:rFonts w:ascii="Times New Roman" w:hAnsi="Times New Roman" w:cs="Times New Roman"/>
          <w:color w:val="222222"/>
          <w:shd w:val="clear" w:color="auto" w:fill="FFFFFF"/>
        </w:rPr>
        <w:t xml:space="preserve">, </w:t>
      </w:r>
      <w:r w:rsidR="00346481" w:rsidRPr="00C63940">
        <w:rPr>
          <w:rFonts w:ascii="Times New Roman" w:hAnsi="Times New Roman" w:cs="Times New Roman"/>
          <w:color w:val="222222"/>
          <w:shd w:val="clear" w:color="auto" w:fill="FFFFFF"/>
        </w:rPr>
        <w:t xml:space="preserve">et al. </w:t>
      </w:r>
      <w:r w:rsidR="009E6D64" w:rsidRPr="00C63940">
        <w:rPr>
          <w:rFonts w:ascii="Times New Roman" w:hAnsi="Times New Roman" w:cs="Times New Roman"/>
          <w:color w:val="222222"/>
          <w:shd w:val="clear" w:color="auto" w:fill="FFFFFF"/>
        </w:rPr>
        <w:t xml:space="preserve"> Exploring non-participation in primary care physical activity interventions: PACE-UP t</w:t>
      </w:r>
      <w:r w:rsidR="00346481" w:rsidRPr="00C63940">
        <w:rPr>
          <w:rFonts w:ascii="Times New Roman" w:hAnsi="Times New Roman" w:cs="Times New Roman"/>
          <w:color w:val="222222"/>
          <w:shd w:val="clear" w:color="auto" w:fill="FFFFFF"/>
        </w:rPr>
        <w:t>rial interview findings. Trials 2016;</w:t>
      </w:r>
      <w:r w:rsidR="009E6D64" w:rsidRPr="00C63940">
        <w:rPr>
          <w:rFonts w:ascii="Times New Roman" w:hAnsi="Times New Roman" w:cs="Times New Roman"/>
          <w:color w:val="222222"/>
          <w:shd w:val="clear" w:color="auto" w:fill="FFFFFF"/>
        </w:rPr>
        <w:t xml:space="preserve"> 17</w:t>
      </w:r>
      <w:r w:rsidR="00346481" w:rsidRPr="00C63940">
        <w:rPr>
          <w:rFonts w:ascii="Times New Roman" w:hAnsi="Times New Roman" w:cs="Times New Roman"/>
          <w:color w:val="222222"/>
          <w:shd w:val="clear" w:color="auto" w:fill="FFFFFF"/>
        </w:rPr>
        <w:t>:</w:t>
      </w:r>
      <w:r w:rsidR="009E6D64" w:rsidRPr="00C63940">
        <w:rPr>
          <w:rFonts w:ascii="Times New Roman" w:hAnsi="Times New Roman" w:cs="Times New Roman"/>
          <w:color w:val="222222"/>
          <w:shd w:val="clear" w:color="auto" w:fill="FFFFFF"/>
        </w:rPr>
        <w:t xml:space="preserve"> 178.</w:t>
      </w:r>
    </w:p>
    <w:p w14:paraId="1FC6BA35" w14:textId="1E9EF479" w:rsidR="00CC5A0B" w:rsidRPr="00C63940" w:rsidRDefault="00CC5A0B" w:rsidP="00146777">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27 </w:t>
      </w:r>
      <w:r w:rsidRPr="00CC5A0B">
        <w:rPr>
          <w:rFonts w:ascii="Times New Roman" w:hAnsi="Times New Roman" w:cs="Times New Roman"/>
          <w:color w:val="222222"/>
          <w:shd w:val="clear" w:color="auto" w:fill="FFFFFF"/>
        </w:rPr>
        <w:t xml:space="preserve">Dalton AR, Bottle A, Okoro C, </w:t>
      </w:r>
      <w:r>
        <w:rPr>
          <w:rFonts w:ascii="Times New Roman" w:hAnsi="Times New Roman" w:cs="Times New Roman"/>
          <w:color w:val="222222"/>
          <w:shd w:val="clear" w:color="auto" w:fill="FFFFFF"/>
        </w:rPr>
        <w:t>et al.</w:t>
      </w:r>
      <w:r w:rsidRPr="00CC5A0B">
        <w:rPr>
          <w:rFonts w:ascii="Times New Roman" w:hAnsi="Times New Roman" w:cs="Times New Roman"/>
          <w:color w:val="222222"/>
          <w:shd w:val="clear" w:color="auto" w:fill="FFFFFF"/>
        </w:rPr>
        <w:t xml:space="preserve"> Implementation of the NHS Health Checks </w:t>
      </w:r>
      <w:proofErr w:type="spellStart"/>
      <w:r w:rsidRPr="00CC5A0B">
        <w:rPr>
          <w:rFonts w:ascii="Times New Roman" w:hAnsi="Times New Roman" w:cs="Times New Roman"/>
          <w:color w:val="222222"/>
          <w:shd w:val="clear" w:color="auto" w:fill="FFFFFF"/>
        </w:rPr>
        <w:t>programme</w:t>
      </w:r>
      <w:proofErr w:type="spellEnd"/>
      <w:r w:rsidRPr="00CC5A0B">
        <w:rPr>
          <w:rFonts w:ascii="Times New Roman" w:hAnsi="Times New Roman" w:cs="Times New Roman"/>
          <w:color w:val="222222"/>
          <w:shd w:val="clear" w:color="auto" w:fill="FFFFFF"/>
        </w:rPr>
        <w:t>: baseline assessment of risk factor recording in an urban culturally diverse setting. Family practice 2010;</w:t>
      </w:r>
      <w:r>
        <w:rPr>
          <w:rFonts w:ascii="Times New Roman" w:hAnsi="Times New Roman" w:cs="Times New Roman"/>
          <w:color w:val="222222"/>
          <w:shd w:val="clear" w:color="auto" w:fill="FFFFFF"/>
        </w:rPr>
        <w:t xml:space="preserve"> </w:t>
      </w:r>
      <w:r w:rsidRPr="00CC5A0B">
        <w:rPr>
          <w:rFonts w:ascii="Times New Roman" w:hAnsi="Times New Roman" w:cs="Times New Roman"/>
          <w:color w:val="222222"/>
          <w:shd w:val="clear" w:color="auto" w:fill="FFFFFF"/>
        </w:rPr>
        <w:t>28(1):</w:t>
      </w:r>
      <w:r>
        <w:rPr>
          <w:rFonts w:ascii="Times New Roman" w:hAnsi="Times New Roman" w:cs="Times New Roman"/>
          <w:color w:val="222222"/>
          <w:shd w:val="clear" w:color="auto" w:fill="FFFFFF"/>
        </w:rPr>
        <w:t xml:space="preserve"> </w:t>
      </w:r>
      <w:r w:rsidRPr="00CC5A0B">
        <w:rPr>
          <w:rFonts w:ascii="Times New Roman" w:hAnsi="Times New Roman" w:cs="Times New Roman"/>
          <w:color w:val="222222"/>
          <w:shd w:val="clear" w:color="auto" w:fill="FFFFFF"/>
        </w:rPr>
        <w:t>34-40.</w:t>
      </w:r>
    </w:p>
    <w:p w14:paraId="5FA9E3E7" w14:textId="434DB9CD" w:rsidR="00E2301F" w:rsidRPr="00C63940" w:rsidRDefault="00835DD1"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2</w:t>
      </w:r>
      <w:r w:rsidR="00BB38CD">
        <w:rPr>
          <w:rFonts w:ascii="Times New Roman" w:hAnsi="Times New Roman" w:cs="Times New Roman"/>
          <w:color w:val="222222"/>
          <w:shd w:val="clear" w:color="auto" w:fill="FFFFFF"/>
        </w:rPr>
        <w:t>8</w:t>
      </w:r>
      <w:r w:rsidR="00FA6ABC" w:rsidRPr="00C63940">
        <w:rPr>
          <w:rFonts w:ascii="Times New Roman" w:hAnsi="Times New Roman" w:cs="Times New Roman"/>
          <w:color w:val="222222"/>
          <w:shd w:val="clear" w:color="auto" w:fill="FFFFFF"/>
        </w:rPr>
        <w:t xml:space="preserve"> </w:t>
      </w:r>
      <w:r w:rsidR="00E2301F" w:rsidRPr="00C63940">
        <w:rPr>
          <w:rFonts w:ascii="Times New Roman" w:hAnsi="Times New Roman" w:cs="Times New Roman"/>
          <w:color w:val="222222"/>
          <w:shd w:val="clear" w:color="auto" w:fill="FFFFFF"/>
        </w:rPr>
        <w:t xml:space="preserve">Gray BJ, Bracken RM, Turner D, et al. Predicted 10-year risk of cardiovascular disease is influenced by the risk equation adopted: a cross-sectional analysis. Br J Gen </w:t>
      </w:r>
      <w:proofErr w:type="spellStart"/>
      <w:r w:rsidR="00E2301F" w:rsidRPr="00C63940">
        <w:rPr>
          <w:rFonts w:ascii="Times New Roman" w:hAnsi="Times New Roman" w:cs="Times New Roman"/>
          <w:color w:val="222222"/>
          <w:shd w:val="clear" w:color="auto" w:fill="FFFFFF"/>
        </w:rPr>
        <w:t>Pract</w:t>
      </w:r>
      <w:proofErr w:type="spellEnd"/>
      <w:r w:rsidR="00E2301F" w:rsidRPr="00C63940">
        <w:rPr>
          <w:rFonts w:ascii="Times New Roman" w:hAnsi="Times New Roman" w:cs="Times New Roman"/>
          <w:color w:val="222222"/>
          <w:shd w:val="clear" w:color="auto" w:fill="FFFFFF"/>
        </w:rPr>
        <w:t xml:space="preserve"> 2014; 64: e634-e640.</w:t>
      </w:r>
    </w:p>
    <w:p w14:paraId="1FB52CBC" w14:textId="49AF6091" w:rsidR="00B875B3" w:rsidRPr="00C63940" w:rsidRDefault="00B875B3"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2</w:t>
      </w:r>
      <w:r w:rsidR="00BB38CD">
        <w:rPr>
          <w:rFonts w:ascii="Times New Roman" w:hAnsi="Times New Roman" w:cs="Times New Roman"/>
          <w:color w:val="222222"/>
          <w:shd w:val="clear" w:color="auto" w:fill="FFFFFF"/>
        </w:rPr>
        <w:t>9</w:t>
      </w:r>
      <w:r w:rsidR="00C63940" w:rsidRPr="00C63940">
        <w:rPr>
          <w:rFonts w:ascii="Times New Roman" w:hAnsi="Times New Roman" w:cs="Times New Roman"/>
          <w:color w:val="222222"/>
          <w:shd w:val="clear" w:color="auto" w:fill="FFFFFF"/>
        </w:rPr>
        <w:t xml:space="preserve"> Cooney MT, </w:t>
      </w:r>
      <w:proofErr w:type="spellStart"/>
      <w:r w:rsidR="00C63940" w:rsidRPr="00C63940">
        <w:rPr>
          <w:rFonts w:ascii="Times New Roman" w:hAnsi="Times New Roman" w:cs="Times New Roman"/>
          <w:color w:val="222222"/>
          <w:shd w:val="clear" w:color="auto" w:fill="FFFFFF"/>
        </w:rPr>
        <w:t>Dudina</w:t>
      </w:r>
      <w:proofErr w:type="spellEnd"/>
      <w:r w:rsidR="00C63940" w:rsidRPr="00C63940">
        <w:rPr>
          <w:rFonts w:ascii="Times New Roman" w:hAnsi="Times New Roman" w:cs="Times New Roman"/>
          <w:color w:val="222222"/>
          <w:shd w:val="clear" w:color="auto" w:fill="FFFFFF"/>
        </w:rPr>
        <w:t xml:space="preserve"> AL, Graham, IM. Value and limitations of existing scores for the assessment of cardiovascular risk: a review for clinicians. J Am Coll </w:t>
      </w:r>
      <w:proofErr w:type="spellStart"/>
      <w:r w:rsidR="00C63940" w:rsidRPr="00C63940">
        <w:rPr>
          <w:rFonts w:ascii="Times New Roman" w:hAnsi="Times New Roman" w:cs="Times New Roman"/>
          <w:color w:val="222222"/>
          <w:shd w:val="clear" w:color="auto" w:fill="FFFFFF"/>
        </w:rPr>
        <w:t>Cardiol</w:t>
      </w:r>
      <w:proofErr w:type="spellEnd"/>
      <w:r w:rsidR="00C63940" w:rsidRPr="00C63940">
        <w:rPr>
          <w:rFonts w:ascii="Times New Roman" w:hAnsi="Times New Roman" w:cs="Times New Roman"/>
          <w:color w:val="222222"/>
          <w:shd w:val="clear" w:color="auto" w:fill="FFFFFF"/>
        </w:rPr>
        <w:t xml:space="preserve"> 2009; 54(14): 1209-1227.</w:t>
      </w:r>
    </w:p>
    <w:p w14:paraId="393F280A" w14:textId="537E75AD" w:rsidR="00B875B3" w:rsidRPr="00C63940" w:rsidRDefault="00BB38CD" w:rsidP="00146777">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30</w:t>
      </w:r>
      <w:r w:rsidR="00080AB2">
        <w:rPr>
          <w:rFonts w:ascii="Times New Roman" w:hAnsi="Times New Roman" w:cs="Times New Roman"/>
          <w:color w:val="222222"/>
          <w:shd w:val="clear" w:color="auto" w:fill="FFFFFF"/>
        </w:rPr>
        <w:t xml:space="preserve"> </w:t>
      </w:r>
      <w:proofErr w:type="spellStart"/>
      <w:r w:rsidR="00080AB2" w:rsidRPr="00080AB2">
        <w:rPr>
          <w:rFonts w:ascii="Times New Roman" w:hAnsi="Times New Roman" w:cs="Times New Roman"/>
          <w:color w:val="222222"/>
          <w:shd w:val="clear" w:color="auto" w:fill="FFFFFF"/>
        </w:rPr>
        <w:t>Hippisley</w:t>
      </w:r>
      <w:proofErr w:type="spellEnd"/>
      <w:r w:rsidR="00080AB2" w:rsidRPr="00080AB2">
        <w:rPr>
          <w:rFonts w:ascii="Times New Roman" w:hAnsi="Times New Roman" w:cs="Times New Roman"/>
          <w:color w:val="222222"/>
          <w:shd w:val="clear" w:color="auto" w:fill="FFFFFF"/>
        </w:rPr>
        <w:t xml:space="preserve">-Cox J, Coupland C, Robson J, Brindle P. Derivation, validation, and evaluation of a new QRISK model to estimate lifetime risk of cardiovascular disease: cohort study using </w:t>
      </w:r>
      <w:proofErr w:type="spellStart"/>
      <w:r w:rsidR="00080AB2" w:rsidRPr="00080AB2">
        <w:rPr>
          <w:rFonts w:ascii="Times New Roman" w:hAnsi="Times New Roman" w:cs="Times New Roman"/>
          <w:color w:val="222222"/>
          <w:shd w:val="clear" w:color="auto" w:fill="FFFFFF"/>
        </w:rPr>
        <w:t>QResearch</w:t>
      </w:r>
      <w:proofErr w:type="spellEnd"/>
      <w:r w:rsidR="00080AB2" w:rsidRPr="00080AB2">
        <w:rPr>
          <w:rFonts w:ascii="Times New Roman" w:hAnsi="Times New Roman" w:cs="Times New Roman"/>
          <w:color w:val="222222"/>
          <w:shd w:val="clear" w:color="auto" w:fill="FFFFFF"/>
        </w:rPr>
        <w:t xml:space="preserve"> database. B</w:t>
      </w:r>
      <w:r w:rsidR="00080AB2">
        <w:rPr>
          <w:rFonts w:ascii="Times New Roman" w:hAnsi="Times New Roman" w:cs="Times New Roman"/>
          <w:color w:val="222222"/>
          <w:shd w:val="clear" w:color="auto" w:fill="FFFFFF"/>
        </w:rPr>
        <w:t>MJ</w:t>
      </w:r>
      <w:r w:rsidR="00080AB2" w:rsidRPr="00080AB2">
        <w:rPr>
          <w:rFonts w:ascii="Times New Roman" w:hAnsi="Times New Roman" w:cs="Times New Roman"/>
          <w:color w:val="222222"/>
          <w:shd w:val="clear" w:color="auto" w:fill="FFFFFF"/>
        </w:rPr>
        <w:t xml:space="preserve"> 2010</w:t>
      </w:r>
      <w:r w:rsidR="00080AB2">
        <w:rPr>
          <w:rFonts w:ascii="Times New Roman" w:hAnsi="Times New Roman" w:cs="Times New Roman"/>
          <w:color w:val="222222"/>
          <w:shd w:val="clear" w:color="auto" w:fill="FFFFFF"/>
        </w:rPr>
        <w:t>;</w:t>
      </w:r>
      <w:r w:rsidR="00080AB2" w:rsidRPr="00080AB2">
        <w:rPr>
          <w:rFonts w:ascii="Times New Roman" w:hAnsi="Times New Roman" w:cs="Times New Roman"/>
          <w:color w:val="222222"/>
          <w:shd w:val="clear" w:color="auto" w:fill="FFFFFF"/>
        </w:rPr>
        <w:t xml:space="preserve"> 341:</w:t>
      </w:r>
      <w:r w:rsidR="00080AB2">
        <w:rPr>
          <w:rFonts w:ascii="Times New Roman" w:hAnsi="Times New Roman" w:cs="Times New Roman"/>
          <w:color w:val="222222"/>
          <w:shd w:val="clear" w:color="auto" w:fill="FFFFFF"/>
        </w:rPr>
        <w:t xml:space="preserve"> </w:t>
      </w:r>
      <w:r w:rsidR="00080AB2" w:rsidRPr="00080AB2">
        <w:rPr>
          <w:rFonts w:ascii="Times New Roman" w:hAnsi="Times New Roman" w:cs="Times New Roman"/>
          <w:color w:val="222222"/>
          <w:shd w:val="clear" w:color="auto" w:fill="FFFFFF"/>
        </w:rPr>
        <w:t>c6624.</w:t>
      </w:r>
    </w:p>
    <w:p w14:paraId="1CA2DB84" w14:textId="19D28E5E" w:rsidR="003F0E49" w:rsidRPr="00C63940" w:rsidRDefault="00C63940"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lastRenderedPageBreak/>
        <w:t>3</w:t>
      </w:r>
      <w:r w:rsidR="00BB38CD">
        <w:rPr>
          <w:rFonts w:ascii="Times New Roman" w:hAnsi="Times New Roman" w:cs="Times New Roman"/>
          <w:color w:val="222222"/>
          <w:shd w:val="clear" w:color="auto" w:fill="FFFFFF"/>
        </w:rPr>
        <w:t>1</w:t>
      </w:r>
      <w:r w:rsidR="003F0E49" w:rsidRPr="00C63940">
        <w:rPr>
          <w:rFonts w:ascii="Times New Roman" w:hAnsi="Times New Roman" w:cs="Times New Roman"/>
          <w:color w:val="222222"/>
          <w:shd w:val="clear" w:color="auto" w:fill="FFFFFF"/>
        </w:rPr>
        <w:t xml:space="preserve"> </w:t>
      </w:r>
      <w:proofErr w:type="spellStart"/>
      <w:r w:rsidR="003F0E49" w:rsidRPr="00C63940">
        <w:rPr>
          <w:rFonts w:ascii="Times New Roman" w:hAnsi="Times New Roman" w:cs="Times New Roman"/>
          <w:color w:val="222222"/>
          <w:shd w:val="clear" w:color="auto" w:fill="FFFFFF"/>
        </w:rPr>
        <w:t>Rabar</w:t>
      </w:r>
      <w:proofErr w:type="spellEnd"/>
      <w:r w:rsidR="003F0E49" w:rsidRPr="00C63940">
        <w:rPr>
          <w:rFonts w:ascii="Times New Roman" w:hAnsi="Times New Roman" w:cs="Times New Roman"/>
          <w:color w:val="222222"/>
          <w:shd w:val="clear" w:color="auto" w:fill="FFFFFF"/>
        </w:rPr>
        <w:t xml:space="preserve"> S, Harker M, </w:t>
      </w:r>
      <w:proofErr w:type="spellStart"/>
      <w:r w:rsidR="003F0E49" w:rsidRPr="00C63940">
        <w:rPr>
          <w:rFonts w:ascii="Times New Roman" w:hAnsi="Times New Roman" w:cs="Times New Roman"/>
          <w:color w:val="222222"/>
          <w:shd w:val="clear" w:color="auto" w:fill="FFFFFF"/>
        </w:rPr>
        <w:t>O'flynn</w:t>
      </w:r>
      <w:proofErr w:type="spellEnd"/>
      <w:r w:rsidR="003F0E49" w:rsidRPr="00C63940">
        <w:rPr>
          <w:rFonts w:ascii="Times New Roman" w:hAnsi="Times New Roman" w:cs="Times New Roman"/>
          <w:color w:val="222222"/>
          <w:shd w:val="clear" w:color="auto" w:fill="FFFFFF"/>
        </w:rPr>
        <w:t xml:space="preserve"> N, et al. Lipid modification and cardiovascular risk assessment for the primary and secondary prevention of cardiovascular disease: summary of updated NICE guidance. BMJ (Online) 2014: 349.</w:t>
      </w:r>
    </w:p>
    <w:p w14:paraId="1B1F8D10" w14:textId="13243929" w:rsidR="00A44962" w:rsidRPr="00C63940" w:rsidRDefault="00C63940"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2</w:t>
      </w:r>
      <w:r w:rsidR="003F0E49" w:rsidRPr="00C63940">
        <w:rPr>
          <w:rFonts w:ascii="Times New Roman" w:hAnsi="Times New Roman" w:cs="Times New Roman"/>
          <w:color w:val="222222"/>
          <w:shd w:val="clear" w:color="auto" w:fill="FFFFFF"/>
        </w:rPr>
        <w:t xml:space="preserve"> </w:t>
      </w:r>
      <w:proofErr w:type="spellStart"/>
      <w:r w:rsidR="00A44962" w:rsidRPr="00C63940">
        <w:rPr>
          <w:rFonts w:ascii="Times New Roman" w:hAnsi="Times New Roman" w:cs="Times New Roman"/>
          <w:color w:val="222222"/>
          <w:shd w:val="clear" w:color="auto" w:fill="FFFFFF"/>
        </w:rPr>
        <w:t>Kassavou</w:t>
      </w:r>
      <w:proofErr w:type="spellEnd"/>
      <w:r w:rsidR="00A44962" w:rsidRPr="00C63940">
        <w:rPr>
          <w:rFonts w:ascii="Times New Roman" w:hAnsi="Times New Roman" w:cs="Times New Roman"/>
          <w:color w:val="222222"/>
          <w:shd w:val="clear" w:color="auto" w:fill="FFFFFF"/>
        </w:rPr>
        <w:t xml:space="preserve"> A, Turner A, French DP. Do interventions to promote walking in groups increase physical activity? A meta-analysis. Int J </w:t>
      </w:r>
      <w:proofErr w:type="spellStart"/>
      <w:r w:rsidR="00A44962" w:rsidRPr="00C63940">
        <w:rPr>
          <w:rFonts w:ascii="Times New Roman" w:hAnsi="Times New Roman" w:cs="Times New Roman"/>
          <w:color w:val="222222"/>
          <w:shd w:val="clear" w:color="auto" w:fill="FFFFFF"/>
        </w:rPr>
        <w:t>Behav</w:t>
      </w:r>
      <w:proofErr w:type="spellEnd"/>
      <w:r w:rsidR="00A44962" w:rsidRPr="00C63940">
        <w:rPr>
          <w:rFonts w:ascii="Times New Roman" w:hAnsi="Times New Roman" w:cs="Times New Roman"/>
          <w:color w:val="222222"/>
          <w:shd w:val="clear" w:color="auto" w:fill="FFFFFF"/>
        </w:rPr>
        <w:t xml:space="preserve"> </w:t>
      </w:r>
      <w:proofErr w:type="spellStart"/>
      <w:r w:rsidR="00A44962" w:rsidRPr="00C63940">
        <w:rPr>
          <w:rFonts w:ascii="Times New Roman" w:hAnsi="Times New Roman" w:cs="Times New Roman"/>
          <w:color w:val="222222"/>
          <w:shd w:val="clear" w:color="auto" w:fill="FFFFFF"/>
        </w:rPr>
        <w:t>Nutr</w:t>
      </w:r>
      <w:proofErr w:type="spellEnd"/>
      <w:r w:rsidR="00A44962" w:rsidRPr="00C63940">
        <w:rPr>
          <w:rFonts w:ascii="Times New Roman" w:hAnsi="Times New Roman" w:cs="Times New Roman"/>
          <w:color w:val="222222"/>
          <w:shd w:val="clear" w:color="auto" w:fill="FFFFFF"/>
        </w:rPr>
        <w:t xml:space="preserve"> Phys Act 2013, 10: 18.</w:t>
      </w:r>
    </w:p>
    <w:p w14:paraId="13A075FE" w14:textId="5E5DBC0E"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3</w:t>
      </w:r>
      <w:r w:rsidRPr="00C63940">
        <w:rPr>
          <w:rFonts w:ascii="Times New Roman" w:hAnsi="Times New Roman" w:cs="Times New Roman"/>
          <w:color w:val="222222"/>
          <w:shd w:val="clear" w:color="auto" w:fill="FFFFFF"/>
        </w:rPr>
        <w:t xml:space="preserve"> </w:t>
      </w:r>
      <w:proofErr w:type="spellStart"/>
      <w:r w:rsidRPr="00C63940">
        <w:rPr>
          <w:rFonts w:ascii="Times New Roman" w:hAnsi="Times New Roman" w:cs="Times New Roman"/>
          <w:color w:val="222222"/>
          <w:shd w:val="clear" w:color="auto" w:fill="FFFFFF"/>
        </w:rPr>
        <w:t>Bonevski</w:t>
      </w:r>
      <w:proofErr w:type="spellEnd"/>
      <w:r w:rsidRPr="00C63940">
        <w:rPr>
          <w:rFonts w:ascii="Times New Roman" w:hAnsi="Times New Roman" w:cs="Times New Roman"/>
          <w:color w:val="222222"/>
          <w:shd w:val="clear" w:color="auto" w:fill="FFFFFF"/>
        </w:rPr>
        <w:t xml:space="preserve"> B, Randell M, Paul C, et al. Reaching the hard-to-reach: a systematic review of strategies for improving health and medical research with socially disadvantaged groups. BMC Med Res Method 2014; 14: 42.</w:t>
      </w:r>
    </w:p>
    <w:p w14:paraId="3B0E512C" w14:textId="6D75436E"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4</w:t>
      </w:r>
      <w:r w:rsidRPr="00C63940">
        <w:rPr>
          <w:rFonts w:ascii="Times New Roman" w:hAnsi="Times New Roman" w:cs="Times New Roman"/>
          <w:color w:val="222222"/>
          <w:shd w:val="clear" w:color="auto" w:fill="FFFFFF"/>
        </w:rPr>
        <w:t xml:space="preserve"> Wild SH, </w:t>
      </w:r>
      <w:proofErr w:type="spellStart"/>
      <w:r w:rsidRPr="00C63940">
        <w:rPr>
          <w:rFonts w:ascii="Times New Roman" w:hAnsi="Times New Roman" w:cs="Times New Roman"/>
          <w:color w:val="222222"/>
          <w:shd w:val="clear" w:color="auto" w:fill="FFFFFF"/>
        </w:rPr>
        <w:t>Fischbacher</w:t>
      </w:r>
      <w:proofErr w:type="spellEnd"/>
      <w:r w:rsidRPr="00C63940">
        <w:rPr>
          <w:rFonts w:ascii="Times New Roman" w:hAnsi="Times New Roman" w:cs="Times New Roman"/>
          <w:color w:val="222222"/>
          <w:shd w:val="clear" w:color="auto" w:fill="FFFFFF"/>
        </w:rPr>
        <w:t xml:space="preserve"> CM, Brock A, et al. Mortality from all causes and circulatory disease by country of birth in England and Wales 2001–2003. J Public Health 2007; 29 :191–198.</w:t>
      </w:r>
    </w:p>
    <w:p w14:paraId="213B301C" w14:textId="70E0774B"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5</w:t>
      </w:r>
      <w:r w:rsidRPr="00C63940">
        <w:rPr>
          <w:rFonts w:ascii="Times New Roman" w:hAnsi="Times New Roman" w:cs="Times New Roman"/>
          <w:color w:val="222222"/>
          <w:shd w:val="clear" w:color="auto" w:fill="FFFFFF"/>
        </w:rPr>
        <w:t xml:space="preserve"> Eisenhower A, </w:t>
      </w:r>
      <w:proofErr w:type="spellStart"/>
      <w:r w:rsidRPr="00C63940">
        <w:rPr>
          <w:rFonts w:ascii="Times New Roman" w:hAnsi="Times New Roman" w:cs="Times New Roman"/>
          <w:color w:val="222222"/>
          <w:shd w:val="clear" w:color="auto" w:fill="FFFFFF"/>
        </w:rPr>
        <w:t>Suyemoto</w:t>
      </w:r>
      <w:proofErr w:type="spellEnd"/>
      <w:r w:rsidRPr="00C63940">
        <w:rPr>
          <w:rFonts w:ascii="Times New Roman" w:hAnsi="Times New Roman" w:cs="Times New Roman"/>
          <w:color w:val="222222"/>
          <w:shd w:val="clear" w:color="auto" w:fill="FFFFFF"/>
        </w:rPr>
        <w:t xml:space="preserve"> K, </w:t>
      </w:r>
      <w:proofErr w:type="spellStart"/>
      <w:r w:rsidRPr="00C63940">
        <w:rPr>
          <w:rFonts w:ascii="Times New Roman" w:hAnsi="Times New Roman" w:cs="Times New Roman"/>
          <w:color w:val="222222"/>
          <w:shd w:val="clear" w:color="auto" w:fill="FFFFFF"/>
        </w:rPr>
        <w:t>Lucchese</w:t>
      </w:r>
      <w:proofErr w:type="spellEnd"/>
      <w:r w:rsidRPr="00C63940">
        <w:rPr>
          <w:rFonts w:ascii="Times New Roman" w:hAnsi="Times New Roman" w:cs="Times New Roman"/>
          <w:color w:val="222222"/>
          <w:shd w:val="clear" w:color="auto" w:fill="FFFFFF"/>
        </w:rPr>
        <w:t xml:space="preserve"> F, et a. “Which Box Should I Check?”: Examining Standard Check Box Approaches to Measuring Race and Ethnicity. Health services research 2014; 49(3): 1034-55.</w:t>
      </w:r>
    </w:p>
    <w:p w14:paraId="5D004911" w14:textId="571A0F78"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6</w:t>
      </w:r>
      <w:r w:rsidRPr="00C63940">
        <w:rPr>
          <w:rFonts w:ascii="Times New Roman" w:hAnsi="Times New Roman" w:cs="Times New Roman"/>
          <w:color w:val="222222"/>
          <w:shd w:val="clear" w:color="auto" w:fill="FFFFFF"/>
        </w:rPr>
        <w:t xml:space="preserve"> Baker DW, Cameron KA, </w:t>
      </w:r>
      <w:proofErr w:type="spellStart"/>
      <w:r w:rsidRPr="00C63940">
        <w:rPr>
          <w:rFonts w:ascii="Times New Roman" w:hAnsi="Times New Roman" w:cs="Times New Roman"/>
          <w:color w:val="222222"/>
          <w:shd w:val="clear" w:color="auto" w:fill="FFFFFF"/>
        </w:rPr>
        <w:t>Feinglass</w:t>
      </w:r>
      <w:proofErr w:type="spellEnd"/>
      <w:r w:rsidRPr="00C63940">
        <w:rPr>
          <w:rFonts w:ascii="Times New Roman" w:hAnsi="Times New Roman" w:cs="Times New Roman"/>
          <w:color w:val="222222"/>
          <w:shd w:val="clear" w:color="auto" w:fill="FFFFFF"/>
        </w:rPr>
        <w:t xml:space="preserve"> J, et al. Patients' attitudes toward health care providers collecting information about their race and ethnicity. J Gen Intern Med 2005; 20(10): 895-900.</w:t>
      </w:r>
    </w:p>
    <w:p w14:paraId="191BE7A3" w14:textId="02645CC9"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7</w:t>
      </w:r>
      <w:r w:rsidRPr="00C63940">
        <w:rPr>
          <w:rFonts w:ascii="Times New Roman" w:hAnsi="Times New Roman" w:cs="Times New Roman"/>
          <w:color w:val="222222"/>
          <w:shd w:val="clear" w:color="auto" w:fill="FFFFFF"/>
        </w:rPr>
        <w:t xml:space="preserve"> Saunders CL, Abel GA, El </w:t>
      </w:r>
      <w:proofErr w:type="spellStart"/>
      <w:r w:rsidRPr="00C63940">
        <w:rPr>
          <w:rFonts w:ascii="Times New Roman" w:hAnsi="Times New Roman" w:cs="Times New Roman"/>
          <w:color w:val="222222"/>
          <w:shd w:val="clear" w:color="auto" w:fill="FFFFFF"/>
        </w:rPr>
        <w:t>Turabi</w:t>
      </w:r>
      <w:proofErr w:type="spellEnd"/>
      <w:r w:rsidRPr="00C63940">
        <w:rPr>
          <w:rFonts w:ascii="Times New Roman" w:hAnsi="Times New Roman" w:cs="Times New Roman"/>
          <w:color w:val="222222"/>
          <w:shd w:val="clear" w:color="auto" w:fill="FFFFFF"/>
        </w:rPr>
        <w:t xml:space="preserve"> A, et al. Accuracy of routinely recorded ethnic group information compared with self-reported ethnicity: evidence from the English Cancer Patient Experience survey. BMJ open 2013; 3(6): e002882.</w:t>
      </w:r>
    </w:p>
    <w:p w14:paraId="070BFBAC" w14:textId="47234D4A" w:rsidR="003F0E4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8</w:t>
      </w:r>
      <w:r w:rsidRPr="00C63940">
        <w:rPr>
          <w:rFonts w:ascii="Times New Roman" w:hAnsi="Times New Roman" w:cs="Times New Roman"/>
          <w:color w:val="222222"/>
          <w:shd w:val="clear" w:color="auto" w:fill="FFFFFF"/>
        </w:rPr>
        <w:t xml:space="preserve"> </w:t>
      </w:r>
      <w:proofErr w:type="spellStart"/>
      <w:r w:rsidRPr="00C63940">
        <w:rPr>
          <w:rFonts w:ascii="Times New Roman" w:hAnsi="Times New Roman" w:cs="Times New Roman"/>
          <w:color w:val="222222"/>
          <w:shd w:val="clear" w:color="auto" w:fill="FFFFFF"/>
        </w:rPr>
        <w:t>Treweek</w:t>
      </w:r>
      <w:proofErr w:type="spellEnd"/>
      <w:r w:rsidRPr="00C63940">
        <w:rPr>
          <w:rFonts w:ascii="Times New Roman" w:hAnsi="Times New Roman" w:cs="Times New Roman"/>
          <w:color w:val="222222"/>
          <w:shd w:val="clear" w:color="auto" w:fill="FFFFFF"/>
        </w:rPr>
        <w:t xml:space="preserve"> S, Lockhart P, </w:t>
      </w:r>
      <w:proofErr w:type="spellStart"/>
      <w:r w:rsidRPr="00C63940">
        <w:rPr>
          <w:rFonts w:ascii="Times New Roman" w:hAnsi="Times New Roman" w:cs="Times New Roman"/>
          <w:color w:val="222222"/>
          <w:shd w:val="clear" w:color="auto" w:fill="FFFFFF"/>
        </w:rPr>
        <w:t>Pitkethly</w:t>
      </w:r>
      <w:proofErr w:type="spellEnd"/>
      <w:r w:rsidRPr="00C63940">
        <w:rPr>
          <w:rFonts w:ascii="Times New Roman" w:hAnsi="Times New Roman" w:cs="Times New Roman"/>
          <w:color w:val="222222"/>
          <w:shd w:val="clear" w:color="auto" w:fill="FFFFFF"/>
        </w:rPr>
        <w:t xml:space="preserve"> M, et al. Methods to improve recruitment to randomised controlled trials: Cochrane systematic review and meta-analysis. BMJ open 2013; 3: e002360.</w:t>
      </w:r>
    </w:p>
    <w:p w14:paraId="5BA4FE1C" w14:textId="1B6A2391" w:rsidR="00442559" w:rsidRPr="00C63940" w:rsidRDefault="003F0E49"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3</w:t>
      </w:r>
      <w:r w:rsidR="00BB38CD">
        <w:rPr>
          <w:rFonts w:ascii="Times New Roman" w:hAnsi="Times New Roman" w:cs="Times New Roman"/>
          <w:color w:val="222222"/>
          <w:shd w:val="clear" w:color="auto" w:fill="FFFFFF"/>
        </w:rPr>
        <w:t>9</w:t>
      </w:r>
      <w:r w:rsidRPr="00C63940">
        <w:rPr>
          <w:rFonts w:ascii="Times New Roman" w:hAnsi="Times New Roman" w:cs="Times New Roman"/>
          <w:color w:val="222222"/>
          <w:shd w:val="clear" w:color="auto" w:fill="FFFFFF"/>
        </w:rPr>
        <w:t xml:space="preserve"> Banks-Wallace J, </w:t>
      </w:r>
      <w:proofErr w:type="spellStart"/>
      <w:r w:rsidRPr="00C63940">
        <w:rPr>
          <w:rFonts w:ascii="Times New Roman" w:hAnsi="Times New Roman" w:cs="Times New Roman"/>
          <w:color w:val="222222"/>
          <w:shd w:val="clear" w:color="auto" w:fill="FFFFFF"/>
        </w:rPr>
        <w:t>Enyart</w:t>
      </w:r>
      <w:proofErr w:type="spellEnd"/>
      <w:r w:rsidRPr="00C63940">
        <w:rPr>
          <w:rFonts w:ascii="Times New Roman" w:hAnsi="Times New Roman" w:cs="Times New Roman"/>
          <w:color w:val="222222"/>
          <w:shd w:val="clear" w:color="auto" w:fill="FFFFFF"/>
        </w:rPr>
        <w:t xml:space="preserve"> J, and Johnson C. Recruitment and entrance of participants into a physical activity intervention for hypertensive African American women. Adv </w:t>
      </w:r>
      <w:proofErr w:type="spellStart"/>
      <w:r w:rsidRPr="00C63940">
        <w:rPr>
          <w:rFonts w:ascii="Times New Roman" w:hAnsi="Times New Roman" w:cs="Times New Roman"/>
          <w:color w:val="222222"/>
          <w:shd w:val="clear" w:color="auto" w:fill="FFFFFF"/>
        </w:rPr>
        <w:t>Nurs</w:t>
      </w:r>
      <w:proofErr w:type="spellEnd"/>
      <w:r w:rsidRPr="00C63940">
        <w:rPr>
          <w:rFonts w:ascii="Times New Roman" w:hAnsi="Times New Roman" w:cs="Times New Roman"/>
          <w:color w:val="222222"/>
          <w:shd w:val="clear" w:color="auto" w:fill="FFFFFF"/>
        </w:rPr>
        <w:t xml:space="preserve"> Sci 2004; 27: 102-116.</w:t>
      </w:r>
    </w:p>
    <w:p w14:paraId="6E80135F" w14:textId="554BF853" w:rsidR="00442559" w:rsidRPr="00C63940" w:rsidRDefault="00BB38CD" w:rsidP="00146777">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40</w:t>
      </w:r>
      <w:r w:rsidR="00442559" w:rsidRPr="00C63940">
        <w:rPr>
          <w:rFonts w:ascii="Times New Roman" w:hAnsi="Times New Roman" w:cs="Times New Roman"/>
          <w:color w:val="222222"/>
          <w:shd w:val="clear" w:color="auto" w:fill="FFFFFF"/>
        </w:rPr>
        <w:t xml:space="preserve"> </w:t>
      </w:r>
      <w:proofErr w:type="spellStart"/>
      <w:r w:rsidR="00442559" w:rsidRPr="00C63940">
        <w:rPr>
          <w:rFonts w:ascii="Times New Roman" w:hAnsi="Times New Roman" w:cs="Times New Roman"/>
          <w:color w:val="222222"/>
          <w:shd w:val="clear" w:color="auto" w:fill="FFFFFF"/>
        </w:rPr>
        <w:t>Kannel</w:t>
      </w:r>
      <w:proofErr w:type="spellEnd"/>
      <w:r w:rsidR="00442559" w:rsidRPr="00C63940">
        <w:rPr>
          <w:rFonts w:ascii="Times New Roman" w:hAnsi="Times New Roman" w:cs="Times New Roman"/>
          <w:color w:val="222222"/>
          <w:shd w:val="clear" w:color="auto" w:fill="FFFFFF"/>
        </w:rPr>
        <w:t xml:space="preserve"> WB. The Framingham Study: historical insight on the impact of cardiovascular risk factors in men versus women. J Gender-Specific Medicine 2001; 5: 27-37.</w:t>
      </w:r>
    </w:p>
    <w:p w14:paraId="60C457D4" w14:textId="49F07439" w:rsidR="00442559" w:rsidRPr="00C63940" w:rsidRDefault="00C63940"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4</w:t>
      </w:r>
      <w:r w:rsidR="00BB38CD">
        <w:rPr>
          <w:rFonts w:ascii="Times New Roman" w:hAnsi="Times New Roman" w:cs="Times New Roman"/>
          <w:color w:val="222222"/>
          <w:shd w:val="clear" w:color="auto" w:fill="FFFFFF"/>
        </w:rPr>
        <w:t>1</w:t>
      </w:r>
      <w:r w:rsidR="00442559" w:rsidRPr="00C63940">
        <w:rPr>
          <w:rFonts w:ascii="Times New Roman" w:hAnsi="Times New Roman" w:cs="Times New Roman"/>
          <w:color w:val="222222"/>
          <w:shd w:val="clear" w:color="auto" w:fill="FFFFFF"/>
        </w:rPr>
        <w:t xml:space="preserve"> </w:t>
      </w:r>
      <w:proofErr w:type="spellStart"/>
      <w:r w:rsidR="00442559" w:rsidRPr="00C63940">
        <w:rPr>
          <w:rFonts w:ascii="Times New Roman" w:hAnsi="Times New Roman" w:cs="Times New Roman"/>
          <w:color w:val="222222"/>
          <w:shd w:val="clear" w:color="auto" w:fill="FFFFFF"/>
        </w:rPr>
        <w:t>Lakerveld</w:t>
      </w:r>
      <w:proofErr w:type="spellEnd"/>
      <w:r w:rsidR="00442559" w:rsidRPr="00C63940">
        <w:rPr>
          <w:rFonts w:ascii="Times New Roman" w:hAnsi="Times New Roman" w:cs="Times New Roman"/>
          <w:color w:val="222222"/>
          <w:shd w:val="clear" w:color="auto" w:fill="FFFFFF"/>
        </w:rPr>
        <w:t xml:space="preserve"> J, </w:t>
      </w:r>
      <w:proofErr w:type="spellStart"/>
      <w:r w:rsidR="00442559" w:rsidRPr="00C63940">
        <w:rPr>
          <w:rFonts w:ascii="Times New Roman" w:hAnsi="Times New Roman" w:cs="Times New Roman"/>
          <w:color w:val="222222"/>
          <w:shd w:val="clear" w:color="auto" w:fill="FFFFFF"/>
        </w:rPr>
        <w:t>IJzelenberg</w:t>
      </w:r>
      <w:proofErr w:type="spellEnd"/>
      <w:r w:rsidR="00442559" w:rsidRPr="00C63940">
        <w:rPr>
          <w:rFonts w:ascii="Times New Roman" w:hAnsi="Times New Roman" w:cs="Times New Roman"/>
          <w:color w:val="222222"/>
          <w:shd w:val="clear" w:color="auto" w:fill="FFFFFF"/>
        </w:rPr>
        <w:t xml:space="preserve"> W, van </w:t>
      </w:r>
      <w:proofErr w:type="spellStart"/>
      <w:r w:rsidR="00442559" w:rsidRPr="00C63940">
        <w:rPr>
          <w:rFonts w:ascii="Times New Roman" w:hAnsi="Times New Roman" w:cs="Times New Roman"/>
          <w:color w:val="222222"/>
          <w:shd w:val="clear" w:color="auto" w:fill="FFFFFF"/>
        </w:rPr>
        <w:t>Tulder</w:t>
      </w:r>
      <w:proofErr w:type="spellEnd"/>
      <w:r w:rsidR="00442559" w:rsidRPr="00C63940">
        <w:rPr>
          <w:rFonts w:ascii="Times New Roman" w:hAnsi="Times New Roman" w:cs="Times New Roman"/>
          <w:color w:val="222222"/>
          <w:shd w:val="clear" w:color="auto" w:fill="FFFFFF"/>
        </w:rPr>
        <w:t xml:space="preserve"> MW, et al. Motives for (not) participating in a lifestyle intervention trial. BMC Med</w:t>
      </w:r>
      <w:r>
        <w:rPr>
          <w:rFonts w:ascii="Times New Roman" w:hAnsi="Times New Roman" w:cs="Times New Roman"/>
          <w:color w:val="222222"/>
          <w:shd w:val="clear" w:color="auto" w:fill="FFFFFF"/>
        </w:rPr>
        <w:t xml:space="preserve"> </w:t>
      </w:r>
      <w:r w:rsidR="00442559" w:rsidRPr="00C63940">
        <w:rPr>
          <w:rFonts w:ascii="Times New Roman" w:hAnsi="Times New Roman" w:cs="Times New Roman"/>
          <w:color w:val="222222"/>
          <w:shd w:val="clear" w:color="auto" w:fill="FFFFFF"/>
        </w:rPr>
        <w:t>Res Method</w:t>
      </w:r>
      <w:r>
        <w:rPr>
          <w:rFonts w:ascii="Times New Roman" w:hAnsi="Times New Roman" w:cs="Times New Roman"/>
          <w:color w:val="222222"/>
          <w:shd w:val="clear" w:color="auto" w:fill="FFFFFF"/>
        </w:rPr>
        <w:t xml:space="preserve"> </w:t>
      </w:r>
      <w:r w:rsidR="00442559" w:rsidRPr="00C63940">
        <w:rPr>
          <w:rFonts w:ascii="Times New Roman" w:hAnsi="Times New Roman" w:cs="Times New Roman"/>
          <w:color w:val="222222"/>
          <w:shd w:val="clear" w:color="auto" w:fill="FFFFFF"/>
        </w:rPr>
        <w:t>2008; 8(1): 17.</w:t>
      </w:r>
    </w:p>
    <w:p w14:paraId="676A43F8" w14:textId="11D07F57" w:rsidR="00442559" w:rsidRPr="00C63940" w:rsidRDefault="00C63940"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4</w:t>
      </w:r>
      <w:r w:rsidR="00BB38CD">
        <w:rPr>
          <w:rFonts w:ascii="Times New Roman" w:hAnsi="Times New Roman" w:cs="Times New Roman"/>
          <w:color w:val="222222"/>
          <w:shd w:val="clear" w:color="auto" w:fill="FFFFFF"/>
        </w:rPr>
        <w:t>2</w:t>
      </w:r>
      <w:r w:rsidR="00442559" w:rsidRPr="00C63940">
        <w:rPr>
          <w:rFonts w:ascii="Times New Roman" w:hAnsi="Times New Roman" w:cs="Times New Roman"/>
          <w:color w:val="222222"/>
          <w:shd w:val="clear" w:color="auto" w:fill="FFFFFF"/>
        </w:rPr>
        <w:t xml:space="preserve"> Lloyd-Williams F, Mair F, </w:t>
      </w:r>
      <w:proofErr w:type="spellStart"/>
      <w:r w:rsidR="00442559" w:rsidRPr="00C63940">
        <w:rPr>
          <w:rFonts w:ascii="Times New Roman" w:hAnsi="Times New Roman" w:cs="Times New Roman"/>
          <w:color w:val="222222"/>
          <w:shd w:val="clear" w:color="auto" w:fill="FFFFFF"/>
        </w:rPr>
        <w:t>Shiels</w:t>
      </w:r>
      <w:proofErr w:type="spellEnd"/>
      <w:r w:rsidR="00442559" w:rsidRPr="00C63940">
        <w:rPr>
          <w:rFonts w:ascii="Times New Roman" w:hAnsi="Times New Roman" w:cs="Times New Roman"/>
          <w:color w:val="222222"/>
          <w:shd w:val="clear" w:color="auto" w:fill="FFFFFF"/>
        </w:rPr>
        <w:t xml:space="preserve"> C, et al. Why are patients in clinical trials of heart failure not like those we see in everyday practice? J Clin Epidemiol 2003; 56(12): 1157-62.</w:t>
      </w:r>
    </w:p>
    <w:p w14:paraId="0E43B7C8" w14:textId="7CF0E6A2" w:rsidR="00E2301F" w:rsidRPr="00C63940" w:rsidRDefault="00E2301F" w:rsidP="00146777">
      <w:pPr>
        <w:spacing w:line="480" w:lineRule="auto"/>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t>4</w:t>
      </w:r>
      <w:r w:rsidR="00BB38CD">
        <w:rPr>
          <w:rFonts w:ascii="Times New Roman" w:hAnsi="Times New Roman" w:cs="Times New Roman"/>
          <w:color w:val="222222"/>
          <w:shd w:val="clear" w:color="auto" w:fill="FFFFFF"/>
        </w:rPr>
        <w:t>3</w:t>
      </w:r>
      <w:r w:rsidRPr="00C63940">
        <w:rPr>
          <w:rFonts w:ascii="Times New Roman" w:hAnsi="Times New Roman" w:cs="Times New Roman"/>
          <w:color w:val="222222"/>
          <w:shd w:val="clear" w:color="auto" w:fill="FFFFFF"/>
        </w:rPr>
        <w:t xml:space="preserve"> </w:t>
      </w:r>
      <w:proofErr w:type="spellStart"/>
      <w:r w:rsidRPr="00C63940">
        <w:rPr>
          <w:rFonts w:ascii="Times New Roman" w:hAnsi="Times New Roman" w:cs="Times New Roman"/>
          <w:color w:val="222222"/>
          <w:shd w:val="clear" w:color="auto" w:fill="FFFFFF"/>
        </w:rPr>
        <w:t>Boshuizen</w:t>
      </w:r>
      <w:proofErr w:type="spellEnd"/>
      <w:r w:rsidRPr="00C63940">
        <w:rPr>
          <w:rFonts w:ascii="Times New Roman" w:hAnsi="Times New Roman" w:cs="Times New Roman"/>
          <w:color w:val="222222"/>
          <w:shd w:val="clear" w:color="auto" w:fill="FFFFFF"/>
        </w:rPr>
        <w:t xml:space="preserve"> HC, Viet AL, </w:t>
      </w:r>
      <w:proofErr w:type="spellStart"/>
      <w:r w:rsidRPr="00C63940">
        <w:rPr>
          <w:rFonts w:ascii="Times New Roman" w:hAnsi="Times New Roman" w:cs="Times New Roman"/>
          <w:color w:val="222222"/>
          <w:shd w:val="clear" w:color="auto" w:fill="FFFFFF"/>
        </w:rPr>
        <w:t>Picavet</w:t>
      </w:r>
      <w:proofErr w:type="spellEnd"/>
      <w:r w:rsidRPr="00C63940">
        <w:rPr>
          <w:rFonts w:ascii="Times New Roman" w:hAnsi="Times New Roman" w:cs="Times New Roman"/>
          <w:color w:val="222222"/>
          <w:shd w:val="clear" w:color="auto" w:fill="FFFFFF"/>
        </w:rPr>
        <w:t xml:space="preserve"> HSJ, et al. Non-response in a survey of cardiovascular risk factors in the Dutch population: Determinants and resulting biases. Public Health 2006; 120(4): 297-308.</w:t>
      </w:r>
    </w:p>
    <w:p w14:paraId="64071288" w14:textId="77777777" w:rsidR="003C758D" w:rsidRDefault="003C758D" w:rsidP="00FA6ABC">
      <w:pPr>
        <w:rPr>
          <w:rFonts w:ascii="Times New Roman" w:hAnsi="Times New Roman" w:cs="Times New Roman"/>
          <w:color w:val="222222"/>
          <w:shd w:val="clear" w:color="auto" w:fill="FFFFFF"/>
        </w:rPr>
      </w:pPr>
    </w:p>
    <w:p w14:paraId="0FAAB08E" w14:textId="77777777" w:rsidR="00054731" w:rsidRDefault="00054731" w:rsidP="00FA6ABC">
      <w:pPr>
        <w:rPr>
          <w:rFonts w:ascii="Times New Roman" w:hAnsi="Times New Roman" w:cs="Times New Roman"/>
          <w:color w:val="222222"/>
          <w:shd w:val="clear" w:color="auto" w:fill="FFFFFF"/>
        </w:rPr>
      </w:pPr>
    </w:p>
    <w:p w14:paraId="7B707666" w14:textId="5B375960" w:rsidR="00054731" w:rsidRDefault="00054731" w:rsidP="00054731">
      <w:pPr>
        <w:spacing w:line="480" w:lineRule="auto"/>
        <w:rPr>
          <w:rFonts w:ascii="Times New Roman" w:hAnsi="Times New Roman" w:cs="Times New Roman"/>
          <w:b/>
        </w:rPr>
      </w:pPr>
      <w:r>
        <w:rPr>
          <w:rFonts w:ascii="Times New Roman" w:hAnsi="Times New Roman" w:cs="Times New Roman"/>
          <w:b/>
        </w:rPr>
        <w:t>Additional files</w:t>
      </w:r>
    </w:p>
    <w:p w14:paraId="1F4148F7" w14:textId="083CCDC8" w:rsidR="00031FFF" w:rsidRPr="00031FFF" w:rsidRDefault="00054731" w:rsidP="00031FFF">
      <w:pPr>
        <w:spacing w:line="480" w:lineRule="auto"/>
        <w:rPr>
          <w:rFonts w:ascii="Times New Roman" w:hAnsi="Times New Roman" w:cs="Times New Roman"/>
        </w:rPr>
      </w:pPr>
      <w:r>
        <w:rPr>
          <w:rFonts w:ascii="Times New Roman" w:hAnsi="Times New Roman" w:cs="Times New Roman"/>
        </w:rPr>
        <w:t>Additional file 1.doc. Letter of invitation to participants.</w:t>
      </w:r>
    </w:p>
    <w:p w14:paraId="15D688E2" w14:textId="143A959C" w:rsidR="00031FFF" w:rsidRDefault="00031FFF" w:rsidP="00FA6ABC">
      <w:pPr>
        <w:rPr>
          <w:rFonts w:ascii="Times New Roman" w:hAnsi="Times New Roman" w:cs="Times New Roman"/>
          <w:color w:val="222222"/>
          <w:shd w:val="clear" w:color="auto" w:fill="FFFFFF"/>
        </w:rPr>
        <w:sectPr w:rsidR="00031FFF" w:rsidSect="00146777">
          <w:headerReference w:type="default" r:id="rId8"/>
          <w:pgSz w:w="12240" w:h="15840" w:code="1"/>
          <w:pgMar w:top="1440" w:right="1440" w:bottom="1440" w:left="1440" w:header="720" w:footer="720" w:gutter="0"/>
          <w:lnNumType w:countBy="1" w:restart="continuous"/>
          <w:cols w:space="720"/>
          <w:docGrid w:linePitch="360"/>
        </w:sectPr>
      </w:pPr>
      <w:r>
        <w:rPr>
          <w:rFonts w:ascii="Times New Roman" w:hAnsi="Times New Roman" w:cs="Times New Roman"/>
          <w:color w:val="222222"/>
          <w:shd w:val="clear" w:color="auto" w:fill="FFFFFF"/>
        </w:rPr>
        <w:t>Additional file 2.doc. Participant information sheet.</w:t>
      </w:r>
    </w:p>
    <w:tbl>
      <w:tblPr>
        <w:tblStyle w:val="TableGrid"/>
        <w:tblpPr w:leftFromText="180" w:rightFromText="180" w:vertAnchor="page" w:horzAnchor="margin" w:tblpXSpec="center" w:tblpY="811"/>
        <w:tblW w:w="15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129"/>
        <w:gridCol w:w="1140"/>
        <w:gridCol w:w="1140"/>
        <w:gridCol w:w="1203"/>
        <w:gridCol w:w="1142"/>
        <w:gridCol w:w="1143"/>
        <w:gridCol w:w="1151"/>
        <w:gridCol w:w="1151"/>
        <w:gridCol w:w="1151"/>
        <w:gridCol w:w="1207"/>
        <w:gridCol w:w="1098"/>
        <w:gridCol w:w="1440"/>
      </w:tblGrid>
      <w:tr w:rsidR="003C758D" w14:paraId="2EA20798" w14:textId="77777777" w:rsidTr="00512859">
        <w:trPr>
          <w:trHeight w:val="530"/>
        </w:trPr>
        <w:tc>
          <w:tcPr>
            <w:tcW w:w="15643" w:type="dxa"/>
            <w:gridSpan w:val="13"/>
            <w:tcBorders>
              <w:bottom w:val="single" w:sz="4" w:space="0" w:color="auto"/>
            </w:tcBorders>
          </w:tcPr>
          <w:p w14:paraId="286465CC" w14:textId="77777777" w:rsidR="003C758D" w:rsidRPr="00F31418" w:rsidRDefault="003C758D" w:rsidP="00512859">
            <w:pPr>
              <w:rPr>
                <w:b/>
              </w:rPr>
            </w:pPr>
            <w:r w:rsidRPr="00EA1733">
              <w:rPr>
                <w:b/>
              </w:rPr>
              <w:lastRenderedPageBreak/>
              <w:t>Table 1.</w:t>
            </w:r>
            <w:r>
              <w:t xml:space="preserve"> </w:t>
            </w:r>
            <w:r w:rsidRPr="008B27F5">
              <w:t>GP practice recrui</w:t>
            </w:r>
            <w:r>
              <w:t>tment and data collection by Clinical Commissioning Group.</w:t>
            </w:r>
          </w:p>
        </w:tc>
      </w:tr>
      <w:tr w:rsidR="003C758D" w14:paraId="7A495A8E" w14:textId="77777777" w:rsidTr="00512859">
        <w:trPr>
          <w:trHeight w:val="530"/>
        </w:trPr>
        <w:tc>
          <w:tcPr>
            <w:tcW w:w="1548" w:type="dxa"/>
            <w:tcBorders>
              <w:top w:val="single" w:sz="4" w:space="0" w:color="auto"/>
            </w:tcBorders>
          </w:tcPr>
          <w:p w14:paraId="190A2CCF" w14:textId="77777777" w:rsidR="003C758D" w:rsidRDefault="003C758D" w:rsidP="00512859"/>
        </w:tc>
        <w:tc>
          <w:tcPr>
            <w:tcW w:w="14095" w:type="dxa"/>
            <w:gridSpan w:val="12"/>
            <w:tcBorders>
              <w:top w:val="single" w:sz="4" w:space="0" w:color="auto"/>
            </w:tcBorders>
          </w:tcPr>
          <w:p w14:paraId="3665CBD4" w14:textId="77777777" w:rsidR="003C758D" w:rsidRPr="00F31418" w:rsidRDefault="003C758D" w:rsidP="00512859">
            <w:pPr>
              <w:jc w:val="center"/>
              <w:rPr>
                <w:b/>
              </w:rPr>
            </w:pPr>
            <w:r w:rsidRPr="00F31418">
              <w:rPr>
                <w:b/>
              </w:rPr>
              <w:t>C</w:t>
            </w:r>
            <w:r>
              <w:rPr>
                <w:b/>
              </w:rPr>
              <w:t xml:space="preserve">linical </w:t>
            </w:r>
            <w:r w:rsidRPr="00F31418">
              <w:rPr>
                <w:b/>
              </w:rPr>
              <w:t>C</w:t>
            </w:r>
            <w:r>
              <w:rPr>
                <w:b/>
              </w:rPr>
              <w:t xml:space="preserve">ommissioning </w:t>
            </w:r>
            <w:r w:rsidRPr="00F31418">
              <w:rPr>
                <w:b/>
              </w:rPr>
              <w:t>G</w:t>
            </w:r>
            <w:r>
              <w:rPr>
                <w:b/>
              </w:rPr>
              <w:t>roup</w:t>
            </w:r>
          </w:p>
        </w:tc>
      </w:tr>
      <w:tr w:rsidR="003C758D" w14:paraId="10A807BE" w14:textId="77777777" w:rsidTr="00512859">
        <w:tc>
          <w:tcPr>
            <w:tcW w:w="1548" w:type="dxa"/>
            <w:tcBorders>
              <w:bottom w:val="single" w:sz="4" w:space="0" w:color="auto"/>
            </w:tcBorders>
          </w:tcPr>
          <w:p w14:paraId="6B23F1EB" w14:textId="77777777" w:rsidR="003C758D" w:rsidRDefault="003C758D" w:rsidP="00512859"/>
        </w:tc>
        <w:tc>
          <w:tcPr>
            <w:tcW w:w="1129" w:type="dxa"/>
            <w:tcBorders>
              <w:bottom w:val="single" w:sz="4" w:space="0" w:color="auto"/>
            </w:tcBorders>
          </w:tcPr>
          <w:p w14:paraId="5D04B9C8" w14:textId="77777777" w:rsidR="003C758D" w:rsidRPr="00F31418" w:rsidRDefault="003C758D" w:rsidP="00512859">
            <w:pPr>
              <w:rPr>
                <w:b/>
              </w:rPr>
            </w:pPr>
            <w:proofErr w:type="spellStart"/>
            <w:r w:rsidRPr="00F31418">
              <w:rPr>
                <w:b/>
              </w:rPr>
              <w:t>Bexley</w:t>
            </w:r>
            <w:proofErr w:type="spellEnd"/>
          </w:p>
        </w:tc>
        <w:tc>
          <w:tcPr>
            <w:tcW w:w="1140" w:type="dxa"/>
            <w:tcBorders>
              <w:bottom w:val="single" w:sz="4" w:space="0" w:color="auto"/>
            </w:tcBorders>
          </w:tcPr>
          <w:p w14:paraId="19581FC6" w14:textId="77777777" w:rsidR="003C758D" w:rsidRPr="00F31418" w:rsidRDefault="003C758D" w:rsidP="00512859">
            <w:pPr>
              <w:rPr>
                <w:b/>
              </w:rPr>
            </w:pPr>
            <w:r w:rsidRPr="00F31418">
              <w:rPr>
                <w:b/>
              </w:rPr>
              <w:t>Bromley</w:t>
            </w:r>
          </w:p>
        </w:tc>
        <w:tc>
          <w:tcPr>
            <w:tcW w:w="1140" w:type="dxa"/>
            <w:tcBorders>
              <w:bottom w:val="single" w:sz="4" w:space="0" w:color="auto"/>
            </w:tcBorders>
          </w:tcPr>
          <w:p w14:paraId="64C7BAE8" w14:textId="77777777" w:rsidR="003C758D" w:rsidRPr="00F31418" w:rsidRDefault="003C758D" w:rsidP="00512859">
            <w:pPr>
              <w:rPr>
                <w:b/>
              </w:rPr>
            </w:pPr>
            <w:r w:rsidRPr="00F31418">
              <w:rPr>
                <w:b/>
              </w:rPr>
              <w:t>Croydon</w:t>
            </w:r>
          </w:p>
        </w:tc>
        <w:tc>
          <w:tcPr>
            <w:tcW w:w="1203" w:type="dxa"/>
            <w:tcBorders>
              <w:bottom w:val="single" w:sz="4" w:space="0" w:color="auto"/>
            </w:tcBorders>
          </w:tcPr>
          <w:p w14:paraId="5D5A3729" w14:textId="77777777" w:rsidR="003C758D" w:rsidRPr="00F31418" w:rsidRDefault="003C758D" w:rsidP="00512859">
            <w:pPr>
              <w:rPr>
                <w:b/>
              </w:rPr>
            </w:pPr>
            <w:r w:rsidRPr="00F31418">
              <w:rPr>
                <w:b/>
              </w:rPr>
              <w:t>Greenwich</w:t>
            </w:r>
          </w:p>
        </w:tc>
        <w:tc>
          <w:tcPr>
            <w:tcW w:w="1142" w:type="dxa"/>
            <w:tcBorders>
              <w:bottom w:val="single" w:sz="4" w:space="0" w:color="auto"/>
            </w:tcBorders>
          </w:tcPr>
          <w:p w14:paraId="69031AC6" w14:textId="77777777" w:rsidR="003C758D" w:rsidRPr="00F31418" w:rsidRDefault="003C758D" w:rsidP="00512859">
            <w:pPr>
              <w:rPr>
                <w:b/>
              </w:rPr>
            </w:pPr>
            <w:r>
              <w:rPr>
                <w:b/>
              </w:rPr>
              <w:t>Kingston</w:t>
            </w:r>
          </w:p>
        </w:tc>
        <w:tc>
          <w:tcPr>
            <w:tcW w:w="1143" w:type="dxa"/>
            <w:tcBorders>
              <w:bottom w:val="single" w:sz="4" w:space="0" w:color="auto"/>
            </w:tcBorders>
          </w:tcPr>
          <w:p w14:paraId="372719F0" w14:textId="77777777" w:rsidR="003C758D" w:rsidRPr="00F31418" w:rsidRDefault="003C758D" w:rsidP="00512859">
            <w:pPr>
              <w:rPr>
                <w:b/>
              </w:rPr>
            </w:pPr>
            <w:r w:rsidRPr="00F31418">
              <w:rPr>
                <w:b/>
              </w:rPr>
              <w:t>Lambeth</w:t>
            </w:r>
          </w:p>
        </w:tc>
        <w:tc>
          <w:tcPr>
            <w:tcW w:w="1151" w:type="dxa"/>
            <w:tcBorders>
              <w:bottom w:val="single" w:sz="4" w:space="0" w:color="auto"/>
            </w:tcBorders>
          </w:tcPr>
          <w:p w14:paraId="721AD743" w14:textId="77777777" w:rsidR="003C758D" w:rsidRPr="00F31418" w:rsidRDefault="003C758D" w:rsidP="00512859">
            <w:pPr>
              <w:rPr>
                <w:b/>
              </w:rPr>
            </w:pPr>
            <w:proofErr w:type="spellStart"/>
            <w:r w:rsidRPr="00F31418">
              <w:rPr>
                <w:b/>
              </w:rPr>
              <w:t>Lewisham</w:t>
            </w:r>
            <w:proofErr w:type="spellEnd"/>
          </w:p>
        </w:tc>
        <w:tc>
          <w:tcPr>
            <w:tcW w:w="1151" w:type="dxa"/>
            <w:tcBorders>
              <w:bottom w:val="single" w:sz="4" w:space="0" w:color="auto"/>
            </w:tcBorders>
          </w:tcPr>
          <w:p w14:paraId="0AC125B2" w14:textId="77777777" w:rsidR="003C758D" w:rsidRPr="00F31418" w:rsidRDefault="003C758D" w:rsidP="00512859">
            <w:pPr>
              <w:rPr>
                <w:b/>
              </w:rPr>
            </w:pPr>
            <w:r>
              <w:rPr>
                <w:b/>
              </w:rPr>
              <w:t>Merton</w:t>
            </w:r>
          </w:p>
        </w:tc>
        <w:tc>
          <w:tcPr>
            <w:tcW w:w="1151" w:type="dxa"/>
            <w:tcBorders>
              <w:bottom w:val="single" w:sz="4" w:space="0" w:color="auto"/>
            </w:tcBorders>
          </w:tcPr>
          <w:p w14:paraId="2ECFD6FC" w14:textId="77777777" w:rsidR="003C758D" w:rsidRPr="00F31418" w:rsidRDefault="003C758D" w:rsidP="00512859">
            <w:pPr>
              <w:rPr>
                <w:b/>
              </w:rPr>
            </w:pPr>
            <w:r w:rsidRPr="00F31418">
              <w:rPr>
                <w:b/>
              </w:rPr>
              <w:t>Richmond</w:t>
            </w:r>
          </w:p>
        </w:tc>
        <w:tc>
          <w:tcPr>
            <w:tcW w:w="1207" w:type="dxa"/>
            <w:tcBorders>
              <w:bottom w:val="single" w:sz="4" w:space="0" w:color="auto"/>
            </w:tcBorders>
          </w:tcPr>
          <w:p w14:paraId="767759A9" w14:textId="77777777" w:rsidR="003C758D" w:rsidRPr="00F31418" w:rsidRDefault="003C758D" w:rsidP="00512859">
            <w:pPr>
              <w:rPr>
                <w:b/>
              </w:rPr>
            </w:pPr>
            <w:r w:rsidRPr="00F31418">
              <w:rPr>
                <w:b/>
              </w:rPr>
              <w:t>Southwark</w:t>
            </w:r>
          </w:p>
        </w:tc>
        <w:tc>
          <w:tcPr>
            <w:tcW w:w="1098" w:type="dxa"/>
            <w:tcBorders>
              <w:bottom w:val="single" w:sz="4" w:space="0" w:color="auto"/>
            </w:tcBorders>
          </w:tcPr>
          <w:p w14:paraId="5BB7999C" w14:textId="77777777" w:rsidR="003C758D" w:rsidRPr="00F31418" w:rsidRDefault="003C758D" w:rsidP="00512859">
            <w:pPr>
              <w:rPr>
                <w:b/>
              </w:rPr>
            </w:pPr>
            <w:r w:rsidRPr="00F31418">
              <w:rPr>
                <w:b/>
              </w:rPr>
              <w:t xml:space="preserve">Sutton </w:t>
            </w:r>
          </w:p>
        </w:tc>
        <w:tc>
          <w:tcPr>
            <w:tcW w:w="1440" w:type="dxa"/>
            <w:tcBorders>
              <w:bottom w:val="single" w:sz="4" w:space="0" w:color="auto"/>
            </w:tcBorders>
          </w:tcPr>
          <w:p w14:paraId="2D8CE132" w14:textId="77777777" w:rsidR="003C758D" w:rsidRPr="00F31418" w:rsidRDefault="003C758D" w:rsidP="00512859">
            <w:pPr>
              <w:rPr>
                <w:b/>
              </w:rPr>
            </w:pPr>
            <w:r w:rsidRPr="00F31418">
              <w:rPr>
                <w:b/>
              </w:rPr>
              <w:t>Wandsworth</w:t>
            </w:r>
          </w:p>
        </w:tc>
      </w:tr>
      <w:tr w:rsidR="003C758D" w14:paraId="5A73158B" w14:textId="77777777" w:rsidTr="00512859">
        <w:tc>
          <w:tcPr>
            <w:tcW w:w="1548" w:type="dxa"/>
            <w:tcBorders>
              <w:top w:val="single" w:sz="4" w:space="0" w:color="auto"/>
            </w:tcBorders>
          </w:tcPr>
          <w:p w14:paraId="193DCFEE" w14:textId="77777777" w:rsidR="003C758D" w:rsidRPr="00DF30A5" w:rsidRDefault="003C758D" w:rsidP="00512859">
            <w:pPr>
              <w:rPr>
                <w:b/>
              </w:rPr>
            </w:pPr>
            <w:r w:rsidRPr="00DF30A5">
              <w:rPr>
                <w:b/>
              </w:rPr>
              <w:t xml:space="preserve">Total </w:t>
            </w:r>
            <w:r>
              <w:rPr>
                <w:b/>
              </w:rPr>
              <w:t xml:space="preserve">GP practices </w:t>
            </w:r>
            <w:r w:rsidRPr="00DF30A5">
              <w:rPr>
                <w:b/>
              </w:rPr>
              <w:t>recruited</w:t>
            </w:r>
          </w:p>
        </w:tc>
        <w:tc>
          <w:tcPr>
            <w:tcW w:w="1129" w:type="dxa"/>
            <w:tcBorders>
              <w:top w:val="single" w:sz="4" w:space="0" w:color="auto"/>
            </w:tcBorders>
          </w:tcPr>
          <w:p w14:paraId="735E9102" w14:textId="77777777" w:rsidR="003C758D" w:rsidRDefault="003C758D" w:rsidP="00512859">
            <w:r>
              <w:t>8</w:t>
            </w:r>
          </w:p>
        </w:tc>
        <w:tc>
          <w:tcPr>
            <w:tcW w:w="1140" w:type="dxa"/>
            <w:tcBorders>
              <w:top w:val="single" w:sz="4" w:space="0" w:color="auto"/>
            </w:tcBorders>
          </w:tcPr>
          <w:p w14:paraId="0DEDF8BC" w14:textId="77777777" w:rsidR="003C758D" w:rsidRDefault="003C758D" w:rsidP="00512859">
            <w:r>
              <w:t>22</w:t>
            </w:r>
          </w:p>
        </w:tc>
        <w:tc>
          <w:tcPr>
            <w:tcW w:w="1140" w:type="dxa"/>
            <w:tcBorders>
              <w:top w:val="single" w:sz="4" w:space="0" w:color="auto"/>
            </w:tcBorders>
          </w:tcPr>
          <w:p w14:paraId="7D6BF346" w14:textId="77777777" w:rsidR="003C758D" w:rsidRDefault="003C758D" w:rsidP="00512859">
            <w:r>
              <w:t>14</w:t>
            </w:r>
          </w:p>
        </w:tc>
        <w:tc>
          <w:tcPr>
            <w:tcW w:w="1203" w:type="dxa"/>
            <w:tcBorders>
              <w:top w:val="single" w:sz="4" w:space="0" w:color="auto"/>
            </w:tcBorders>
          </w:tcPr>
          <w:p w14:paraId="3160C05D" w14:textId="77777777" w:rsidR="003C758D" w:rsidRDefault="003C758D" w:rsidP="00512859">
            <w:r>
              <w:t>14</w:t>
            </w:r>
          </w:p>
        </w:tc>
        <w:tc>
          <w:tcPr>
            <w:tcW w:w="1142" w:type="dxa"/>
            <w:tcBorders>
              <w:top w:val="single" w:sz="4" w:space="0" w:color="auto"/>
            </w:tcBorders>
          </w:tcPr>
          <w:p w14:paraId="67C0740B" w14:textId="77777777" w:rsidR="003C758D" w:rsidRDefault="003C758D" w:rsidP="00512859">
            <w:r>
              <w:t>6</w:t>
            </w:r>
          </w:p>
        </w:tc>
        <w:tc>
          <w:tcPr>
            <w:tcW w:w="1143" w:type="dxa"/>
            <w:tcBorders>
              <w:top w:val="single" w:sz="4" w:space="0" w:color="auto"/>
            </w:tcBorders>
          </w:tcPr>
          <w:p w14:paraId="5D30B60B" w14:textId="77777777" w:rsidR="003C758D" w:rsidRDefault="003C758D" w:rsidP="00512859">
            <w:r>
              <w:t>9</w:t>
            </w:r>
          </w:p>
        </w:tc>
        <w:tc>
          <w:tcPr>
            <w:tcW w:w="1151" w:type="dxa"/>
            <w:tcBorders>
              <w:top w:val="single" w:sz="4" w:space="0" w:color="auto"/>
            </w:tcBorders>
          </w:tcPr>
          <w:p w14:paraId="30C49AFD" w14:textId="77777777" w:rsidR="003C758D" w:rsidRDefault="003C758D" w:rsidP="00512859">
            <w:r>
              <w:t>16</w:t>
            </w:r>
          </w:p>
        </w:tc>
        <w:tc>
          <w:tcPr>
            <w:tcW w:w="1151" w:type="dxa"/>
            <w:tcBorders>
              <w:top w:val="single" w:sz="4" w:space="0" w:color="auto"/>
            </w:tcBorders>
          </w:tcPr>
          <w:p w14:paraId="017AB155" w14:textId="77777777" w:rsidR="003C758D" w:rsidRDefault="003C758D" w:rsidP="00512859">
            <w:r>
              <w:t>10</w:t>
            </w:r>
          </w:p>
        </w:tc>
        <w:tc>
          <w:tcPr>
            <w:tcW w:w="1151" w:type="dxa"/>
            <w:tcBorders>
              <w:top w:val="single" w:sz="4" w:space="0" w:color="auto"/>
            </w:tcBorders>
          </w:tcPr>
          <w:p w14:paraId="5AF1C00D" w14:textId="77777777" w:rsidR="003C758D" w:rsidRDefault="003C758D" w:rsidP="00512859">
            <w:r>
              <w:t>5</w:t>
            </w:r>
          </w:p>
        </w:tc>
        <w:tc>
          <w:tcPr>
            <w:tcW w:w="1207" w:type="dxa"/>
            <w:tcBorders>
              <w:top w:val="single" w:sz="4" w:space="0" w:color="auto"/>
            </w:tcBorders>
          </w:tcPr>
          <w:p w14:paraId="07619914" w14:textId="77777777" w:rsidR="003C758D" w:rsidRDefault="003C758D" w:rsidP="00512859">
            <w:r>
              <w:t>16</w:t>
            </w:r>
          </w:p>
        </w:tc>
        <w:tc>
          <w:tcPr>
            <w:tcW w:w="1098" w:type="dxa"/>
            <w:tcBorders>
              <w:top w:val="single" w:sz="4" w:space="0" w:color="auto"/>
            </w:tcBorders>
          </w:tcPr>
          <w:p w14:paraId="463A57DA" w14:textId="77777777" w:rsidR="003C758D" w:rsidRDefault="003C758D" w:rsidP="00512859">
            <w:r>
              <w:t>8</w:t>
            </w:r>
          </w:p>
        </w:tc>
        <w:tc>
          <w:tcPr>
            <w:tcW w:w="1440" w:type="dxa"/>
            <w:tcBorders>
              <w:top w:val="single" w:sz="4" w:space="0" w:color="auto"/>
            </w:tcBorders>
          </w:tcPr>
          <w:p w14:paraId="474919E4" w14:textId="77777777" w:rsidR="003C758D" w:rsidRDefault="003C758D" w:rsidP="00512859">
            <w:r>
              <w:t>6</w:t>
            </w:r>
          </w:p>
        </w:tc>
      </w:tr>
      <w:tr w:rsidR="003C758D" w14:paraId="7AB292EF" w14:textId="77777777" w:rsidTr="00512859">
        <w:tc>
          <w:tcPr>
            <w:tcW w:w="1548" w:type="dxa"/>
          </w:tcPr>
          <w:p w14:paraId="0C0E6DE9" w14:textId="77777777" w:rsidR="003C758D" w:rsidRPr="00DF30A5" w:rsidRDefault="003C758D" w:rsidP="00512859">
            <w:pPr>
              <w:ind w:left="79"/>
              <w:rPr>
                <w:b/>
                <w:i/>
              </w:rPr>
            </w:pPr>
            <w:r w:rsidRPr="00DF30A5">
              <w:rPr>
                <w:b/>
                <w:i/>
              </w:rPr>
              <w:t xml:space="preserve">EMIS </w:t>
            </w:r>
            <w:r>
              <w:rPr>
                <w:b/>
                <w:i/>
              </w:rPr>
              <w:t>p</w:t>
            </w:r>
            <w:r w:rsidRPr="00DF30A5">
              <w:rPr>
                <w:b/>
                <w:i/>
              </w:rPr>
              <w:t>ractices</w:t>
            </w:r>
          </w:p>
        </w:tc>
        <w:tc>
          <w:tcPr>
            <w:tcW w:w="1129" w:type="dxa"/>
          </w:tcPr>
          <w:p w14:paraId="209B3327" w14:textId="77777777" w:rsidR="003C758D" w:rsidRDefault="003C758D" w:rsidP="00512859">
            <w:r>
              <w:t>1</w:t>
            </w:r>
          </w:p>
        </w:tc>
        <w:tc>
          <w:tcPr>
            <w:tcW w:w="1140" w:type="dxa"/>
          </w:tcPr>
          <w:p w14:paraId="7D0618C9" w14:textId="77777777" w:rsidR="003C758D" w:rsidRDefault="003C758D" w:rsidP="00512859">
            <w:r>
              <w:t>22</w:t>
            </w:r>
          </w:p>
        </w:tc>
        <w:tc>
          <w:tcPr>
            <w:tcW w:w="1140" w:type="dxa"/>
          </w:tcPr>
          <w:p w14:paraId="6DF1CB02" w14:textId="77777777" w:rsidR="003C758D" w:rsidRDefault="003C758D" w:rsidP="00512859">
            <w:r>
              <w:t>13</w:t>
            </w:r>
          </w:p>
        </w:tc>
        <w:tc>
          <w:tcPr>
            <w:tcW w:w="1203" w:type="dxa"/>
          </w:tcPr>
          <w:p w14:paraId="7005EC75" w14:textId="77777777" w:rsidR="003C758D" w:rsidRDefault="003C758D" w:rsidP="00512859">
            <w:r>
              <w:t>2</w:t>
            </w:r>
          </w:p>
        </w:tc>
        <w:tc>
          <w:tcPr>
            <w:tcW w:w="1142" w:type="dxa"/>
          </w:tcPr>
          <w:p w14:paraId="2E4D3187" w14:textId="77777777" w:rsidR="003C758D" w:rsidRDefault="003C758D" w:rsidP="00512859">
            <w:r>
              <w:t>2</w:t>
            </w:r>
          </w:p>
        </w:tc>
        <w:tc>
          <w:tcPr>
            <w:tcW w:w="1143" w:type="dxa"/>
          </w:tcPr>
          <w:p w14:paraId="6271C69B" w14:textId="77777777" w:rsidR="003C758D" w:rsidRDefault="003C758D" w:rsidP="00512859">
            <w:r>
              <w:t>9</w:t>
            </w:r>
          </w:p>
        </w:tc>
        <w:tc>
          <w:tcPr>
            <w:tcW w:w="1151" w:type="dxa"/>
          </w:tcPr>
          <w:p w14:paraId="41DD1BD9" w14:textId="77777777" w:rsidR="003C758D" w:rsidRDefault="003C758D" w:rsidP="00512859">
            <w:r>
              <w:t>16</w:t>
            </w:r>
          </w:p>
        </w:tc>
        <w:tc>
          <w:tcPr>
            <w:tcW w:w="1151" w:type="dxa"/>
          </w:tcPr>
          <w:p w14:paraId="5A82311E" w14:textId="77777777" w:rsidR="003C758D" w:rsidRDefault="003C758D" w:rsidP="00512859">
            <w:r>
              <w:t>9</w:t>
            </w:r>
          </w:p>
        </w:tc>
        <w:tc>
          <w:tcPr>
            <w:tcW w:w="1151" w:type="dxa"/>
          </w:tcPr>
          <w:p w14:paraId="4FA32B35" w14:textId="77777777" w:rsidR="003C758D" w:rsidRDefault="003C758D" w:rsidP="00512859">
            <w:r>
              <w:t>0</w:t>
            </w:r>
          </w:p>
        </w:tc>
        <w:tc>
          <w:tcPr>
            <w:tcW w:w="1207" w:type="dxa"/>
          </w:tcPr>
          <w:p w14:paraId="41BD6BE4" w14:textId="77777777" w:rsidR="003C758D" w:rsidRDefault="003C758D" w:rsidP="00512859">
            <w:r>
              <w:t>16</w:t>
            </w:r>
          </w:p>
        </w:tc>
        <w:tc>
          <w:tcPr>
            <w:tcW w:w="1098" w:type="dxa"/>
          </w:tcPr>
          <w:p w14:paraId="1AE0E94A" w14:textId="77777777" w:rsidR="003C758D" w:rsidRDefault="003C758D" w:rsidP="00512859">
            <w:r>
              <w:t>7</w:t>
            </w:r>
          </w:p>
        </w:tc>
        <w:tc>
          <w:tcPr>
            <w:tcW w:w="1440" w:type="dxa"/>
          </w:tcPr>
          <w:p w14:paraId="41627F18" w14:textId="77777777" w:rsidR="003C758D" w:rsidRDefault="003C758D" w:rsidP="00512859">
            <w:r>
              <w:t>6</w:t>
            </w:r>
          </w:p>
        </w:tc>
      </w:tr>
      <w:tr w:rsidR="003C758D" w14:paraId="615F4B81" w14:textId="77777777" w:rsidTr="00512859">
        <w:tc>
          <w:tcPr>
            <w:tcW w:w="1548" w:type="dxa"/>
          </w:tcPr>
          <w:p w14:paraId="2FBBC526" w14:textId="77777777" w:rsidR="003C758D" w:rsidRPr="00DF30A5" w:rsidRDefault="003C758D" w:rsidP="00512859">
            <w:pPr>
              <w:ind w:left="84"/>
              <w:rPr>
                <w:b/>
                <w:i/>
              </w:rPr>
            </w:pPr>
            <w:r w:rsidRPr="00DF30A5">
              <w:rPr>
                <w:b/>
                <w:i/>
              </w:rPr>
              <w:t xml:space="preserve">Vision </w:t>
            </w:r>
            <w:r>
              <w:rPr>
                <w:b/>
                <w:i/>
              </w:rPr>
              <w:t>p</w:t>
            </w:r>
            <w:r w:rsidRPr="00DF30A5">
              <w:rPr>
                <w:b/>
                <w:i/>
              </w:rPr>
              <w:t>ractices</w:t>
            </w:r>
          </w:p>
        </w:tc>
        <w:tc>
          <w:tcPr>
            <w:tcW w:w="1129" w:type="dxa"/>
          </w:tcPr>
          <w:p w14:paraId="5187130D" w14:textId="77777777" w:rsidR="003C758D" w:rsidRDefault="003C758D" w:rsidP="00512859">
            <w:r>
              <w:t>7</w:t>
            </w:r>
          </w:p>
        </w:tc>
        <w:tc>
          <w:tcPr>
            <w:tcW w:w="1140" w:type="dxa"/>
          </w:tcPr>
          <w:p w14:paraId="45F2C82B" w14:textId="77777777" w:rsidR="003C758D" w:rsidRDefault="003C758D" w:rsidP="00512859">
            <w:r>
              <w:t>0</w:t>
            </w:r>
          </w:p>
        </w:tc>
        <w:tc>
          <w:tcPr>
            <w:tcW w:w="1140" w:type="dxa"/>
          </w:tcPr>
          <w:p w14:paraId="0DF5E96C" w14:textId="77777777" w:rsidR="003C758D" w:rsidRDefault="003C758D" w:rsidP="00512859">
            <w:r>
              <w:t>1</w:t>
            </w:r>
          </w:p>
        </w:tc>
        <w:tc>
          <w:tcPr>
            <w:tcW w:w="1203" w:type="dxa"/>
          </w:tcPr>
          <w:p w14:paraId="2E0898DF" w14:textId="77777777" w:rsidR="003C758D" w:rsidRDefault="003C758D" w:rsidP="00512859">
            <w:r>
              <w:t>12</w:t>
            </w:r>
          </w:p>
        </w:tc>
        <w:tc>
          <w:tcPr>
            <w:tcW w:w="1142" w:type="dxa"/>
          </w:tcPr>
          <w:p w14:paraId="1ADD652D" w14:textId="77777777" w:rsidR="003C758D" w:rsidRDefault="003C758D" w:rsidP="00512859">
            <w:r>
              <w:t>4</w:t>
            </w:r>
          </w:p>
        </w:tc>
        <w:tc>
          <w:tcPr>
            <w:tcW w:w="1143" w:type="dxa"/>
          </w:tcPr>
          <w:p w14:paraId="3A7F31BC" w14:textId="77777777" w:rsidR="003C758D" w:rsidRDefault="003C758D" w:rsidP="00512859">
            <w:r>
              <w:t>0</w:t>
            </w:r>
          </w:p>
        </w:tc>
        <w:tc>
          <w:tcPr>
            <w:tcW w:w="1151" w:type="dxa"/>
          </w:tcPr>
          <w:p w14:paraId="3CA3D097" w14:textId="77777777" w:rsidR="003C758D" w:rsidRDefault="003C758D" w:rsidP="00512859">
            <w:r>
              <w:t>0</w:t>
            </w:r>
          </w:p>
        </w:tc>
        <w:tc>
          <w:tcPr>
            <w:tcW w:w="1151" w:type="dxa"/>
          </w:tcPr>
          <w:p w14:paraId="7385FBC8" w14:textId="77777777" w:rsidR="003C758D" w:rsidRDefault="003C758D" w:rsidP="00512859">
            <w:r>
              <w:t>1</w:t>
            </w:r>
          </w:p>
        </w:tc>
        <w:tc>
          <w:tcPr>
            <w:tcW w:w="1151" w:type="dxa"/>
          </w:tcPr>
          <w:p w14:paraId="76191A12" w14:textId="77777777" w:rsidR="003C758D" w:rsidRDefault="003C758D" w:rsidP="00512859">
            <w:r>
              <w:t>5</w:t>
            </w:r>
          </w:p>
        </w:tc>
        <w:tc>
          <w:tcPr>
            <w:tcW w:w="1207" w:type="dxa"/>
          </w:tcPr>
          <w:p w14:paraId="3C0A0C77" w14:textId="77777777" w:rsidR="003C758D" w:rsidRDefault="003C758D" w:rsidP="00512859">
            <w:r>
              <w:t>0</w:t>
            </w:r>
          </w:p>
        </w:tc>
        <w:tc>
          <w:tcPr>
            <w:tcW w:w="1098" w:type="dxa"/>
          </w:tcPr>
          <w:p w14:paraId="688D08AB" w14:textId="77777777" w:rsidR="003C758D" w:rsidRDefault="003C758D" w:rsidP="00512859">
            <w:r>
              <w:t>1</w:t>
            </w:r>
          </w:p>
        </w:tc>
        <w:tc>
          <w:tcPr>
            <w:tcW w:w="1440" w:type="dxa"/>
          </w:tcPr>
          <w:p w14:paraId="0592875A" w14:textId="77777777" w:rsidR="003C758D" w:rsidRDefault="003C758D" w:rsidP="00512859">
            <w:r>
              <w:t>0</w:t>
            </w:r>
          </w:p>
        </w:tc>
      </w:tr>
      <w:tr w:rsidR="003C758D" w14:paraId="180F8F7F" w14:textId="77777777" w:rsidTr="00512859">
        <w:tc>
          <w:tcPr>
            <w:tcW w:w="1548" w:type="dxa"/>
          </w:tcPr>
          <w:p w14:paraId="1FE07C77" w14:textId="77777777" w:rsidR="003C758D" w:rsidRDefault="003C758D" w:rsidP="00512859"/>
        </w:tc>
        <w:tc>
          <w:tcPr>
            <w:tcW w:w="1129" w:type="dxa"/>
          </w:tcPr>
          <w:p w14:paraId="0213AA97" w14:textId="77777777" w:rsidR="003C758D" w:rsidRDefault="003C758D" w:rsidP="00512859"/>
        </w:tc>
        <w:tc>
          <w:tcPr>
            <w:tcW w:w="1140" w:type="dxa"/>
          </w:tcPr>
          <w:p w14:paraId="47840FAA" w14:textId="77777777" w:rsidR="003C758D" w:rsidRDefault="003C758D" w:rsidP="00512859"/>
        </w:tc>
        <w:tc>
          <w:tcPr>
            <w:tcW w:w="1140" w:type="dxa"/>
          </w:tcPr>
          <w:p w14:paraId="3059B810" w14:textId="77777777" w:rsidR="003C758D" w:rsidRDefault="003C758D" w:rsidP="00512859"/>
        </w:tc>
        <w:tc>
          <w:tcPr>
            <w:tcW w:w="1203" w:type="dxa"/>
          </w:tcPr>
          <w:p w14:paraId="7CF71D58" w14:textId="77777777" w:rsidR="003C758D" w:rsidRDefault="003C758D" w:rsidP="00512859"/>
        </w:tc>
        <w:tc>
          <w:tcPr>
            <w:tcW w:w="1142" w:type="dxa"/>
          </w:tcPr>
          <w:p w14:paraId="2F2DA983" w14:textId="77777777" w:rsidR="003C758D" w:rsidRDefault="003C758D" w:rsidP="00512859"/>
        </w:tc>
        <w:tc>
          <w:tcPr>
            <w:tcW w:w="1143" w:type="dxa"/>
          </w:tcPr>
          <w:p w14:paraId="05CCD9D7" w14:textId="77777777" w:rsidR="003C758D" w:rsidRDefault="003C758D" w:rsidP="00512859"/>
        </w:tc>
        <w:tc>
          <w:tcPr>
            <w:tcW w:w="1151" w:type="dxa"/>
          </w:tcPr>
          <w:p w14:paraId="1ECDB904" w14:textId="77777777" w:rsidR="003C758D" w:rsidRDefault="003C758D" w:rsidP="00512859"/>
        </w:tc>
        <w:tc>
          <w:tcPr>
            <w:tcW w:w="1151" w:type="dxa"/>
          </w:tcPr>
          <w:p w14:paraId="553F92DD" w14:textId="77777777" w:rsidR="003C758D" w:rsidRDefault="003C758D" w:rsidP="00512859"/>
        </w:tc>
        <w:tc>
          <w:tcPr>
            <w:tcW w:w="1151" w:type="dxa"/>
          </w:tcPr>
          <w:p w14:paraId="02F1FBE9" w14:textId="77777777" w:rsidR="003C758D" w:rsidRDefault="003C758D" w:rsidP="00512859"/>
        </w:tc>
        <w:tc>
          <w:tcPr>
            <w:tcW w:w="1207" w:type="dxa"/>
          </w:tcPr>
          <w:p w14:paraId="1859C209" w14:textId="77777777" w:rsidR="003C758D" w:rsidRDefault="003C758D" w:rsidP="00512859"/>
        </w:tc>
        <w:tc>
          <w:tcPr>
            <w:tcW w:w="1098" w:type="dxa"/>
          </w:tcPr>
          <w:p w14:paraId="46758313" w14:textId="77777777" w:rsidR="003C758D" w:rsidRDefault="003C758D" w:rsidP="00512859"/>
        </w:tc>
        <w:tc>
          <w:tcPr>
            <w:tcW w:w="1440" w:type="dxa"/>
          </w:tcPr>
          <w:p w14:paraId="25325C67" w14:textId="77777777" w:rsidR="003C758D" w:rsidRDefault="003C758D" w:rsidP="00512859"/>
        </w:tc>
      </w:tr>
      <w:tr w:rsidR="003C758D" w14:paraId="5627DF6D" w14:textId="77777777" w:rsidTr="00512859">
        <w:tc>
          <w:tcPr>
            <w:tcW w:w="1548" w:type="dxa"/>
          </w:tcPr>
          <w:p w14:paraId="2800B7D5" w14:textId="77777777" w:rsidR="003C758D" w:rsidRPr="00F31418" w:rsidRDefault="003C758D" w:rsidP="00512859">
            <w:pPr>
              <w:rPr>
                <w:b/>
              </w:rPr>
            </w:pPr>
            <w:r w:rsidRPr="00F31418">
              <w:rPr>
                <w:b/>
              </w:rPr>
              <w:t>Borough deprivation (I</w:t>
            </w:r>
            <w:r>
              <w:rPr>
                <w:b/>
              </w:rPr>
              <w:t xml:space="preserve">MD </w:t>
            </w:r>
            <w:r w:rsidRPr="00F31418">
              <w:rPr>
                <w:b/>
              </w:rPr>
              <w:t>2010 rank)</w:t>
            </w:r>
            <w:r>
              <w:rPr>
                <w:b/>
                <w:vertAlign w:val="superscript"/>
              </w:rPr>
              <w:t>1</w:t>
            </w:r>
          </w:p>
        </w:tc>
        <w:tc>
          <w:tcPr>
            <w:tcW w:w="1129" w:type="dxa"/>
          </w:tcPr>
          <w:p w14:paraId="3E991ECD" w14:textId="77777777" w:rsidR="003C758D" w:rsidRDefault="003C758D" w:rsidP="00512859">
            <w:r>
              <w:t>180</w:t>
            </w:r>
          </w:p>
        </w:tc>
        <w:tc>
          <w:tcPr>
            <w:tcW w:w="1140" w:type="dxa"/>
          </w:tcPr>
          <w:p w14:paraId="133F6FB3" w14:textId="77777777" w:rsidR="003C758D" w:rsidRDefault="003C758D" w:rsidP="00512859">
            <w:r>
              <w:t>217</w:t>
            </w:r>
          </w:p>
        </w:tc>
        <w:tc>
          <w:tcPr>
            <w:tcW w:w="1140" w:type="dxa"/>
          </w:tcPr>
          <w:p w14:paraId="03ACD59C" w14:textId="77777777" w:rsidR="003C758D" w:rsidRDefault="003C758D" w:rsidP="00512859">
            <w:r>
              <w:t>99</w:t>
            </w:r>
          </w:p>
        </w:tc>
        <w:tc>
          <w:tcPr>
            <w:tcW w:w="1203" w:type="dxa"/>
          </w:tcPr>
          <w:p w14:paraId="188B8243" w14:textId="77777777" w:rsidR="003C758D" w:rsidRDefault="003C758D" w:rsidP="00512859">
            <w:r>
              <w:t>19</w:t>
            </w:r>
          </w:p>
        </w:tc>
        <w:tc>
          <w:tcPr>
            <w:tcW w:w="1142" w:type="dxa"/>
          </w:tcPr>
          <w:p w14:paraId="3B110DD8" w14:textId="77777777" w:rsidR="003C758D" w:rsidRDefault="003C758D" w:rsidP="00512859">
            <w:r>
              <w:t>252</w:t>
            </w:r>
          </w:p>
        </w:tc>
        <w:tc>
          <w:tcPr>
            <w:tcW w:w="1143" w:type="dxa"/>
          </w:tcPr>
          <w:p w14:paraId="184CF894" w14:textId="77777777" w:rsidR="003C758D" w:rsidRDefault="003C758D" w:rsidP="00512859">
            <w:r>
              <w:t>14</w:t>
            </w:r>
          </w:p>
        </w:tc>
        <w:tc>
          <w:tcPr>
            <w:tcW w:w="1151" w:type="dxa"/>
          </w:tcPr>
          <w:p w14:paraId="5BE908D3" w14:textId="77777777" w:rsidR="003C758D" w:rsidRDefault="003C758D" w:rsidP="00512859">
            <w:r>
              <w:t>16</w:t>
            </w:r>
          </w:p>
        </w:tc>
        <w:tc>
          <w:tcPr>
            <w:tcW w:w="1151" w:type="dxa"/>
          </w:tcPr>
          <w:p w14:paraId="1604764C" w14:textId="77777777" w:rsidR="003C758D" w:rsidRDefault="003C758D" w:rsidP="00512859">
            <w:r>
              <w:t>208</w:t>
            </w:r>
          </w:p>
        </w:tc>
        <w:tc>
          <w:tcPr>
            <w:tcW w:w="1151" w:type="dxa"/>
          </w:tcPr>
          <w:p w14:paraId="443B0DD0" w14:textId="77777777" w:rsidR="003C758D" w:rsidRDefault="003C758D" w:rsidP="00512859">
            <w:r>
              <w:t>286</w:t>
            </w:r>
          </w:p>
        </w:tc>
        <w:tc>
          <w:tcPr>
            <w:tcW w:w="1207" w:type="dxa"/>
          </w:tcPr>
          <w:p w14:paraId="288DB3FD" w14:textId="77777777" w:rsidR="003C758D" w:rsidRDefault="003C758D" w:rsidP="00512859">
            <w:r>
              <w:t>25</w:t>
            </w:r>
          </w:p>
        </w:tc>
        <w:tc>
          <w:tcPr>
            <w:tcW w:w="1098" w:type="dxa"/>
          </w:tcPr>
          <w:p w14:paraId="5F3EB911" w14:textId="77777777" w:rsidR="003C758D" w:rsidRDefault="003C758D" w:rsidP="00512859">
            <w:r>
              <w:t>193</w:t>
            </w:r>
          </w:p>
        </w:tc>
        <w:tc>
          <w:tcPr>
            <w:tcW w:w="1440" w:type="dxa"/>
          </w:tcPr>
          <w:p w14:paraId="044E97F2" w14:textId="77777777" w:rsidR="003C758D" w:rsidRDefault="003C758D" w:rsidP="00512859">
            <w:r>
              <w:t>102</w:t>
            </w:r>
          </w:p>
        </w:tc>
      </w:tr>
      <w:tr w:rsidR="003C758D" w14:paraId="7E716C8E" w14:textId="77777777" w:rsidTr="00512859">
        <w:tc>
          <w:tcPr>
            <w:tcW w:w="1548" w:type="dxa"/>
          </w:tcPr>
          <w:p w14:paraId="52B3417F" w14:textId="77777777" w:rsidR="003C758D" w:rsidRPr="004669CC" w:rsidRDefault="003C758D" w:rsidP="00512859">
            <w:pPr>
              <w:rPr>
                <w:b/>
                <w:vertAlign w:val="superscript"/>
              </w:rPr>
            </w:pPr>
            <w:r>
              <w:rPr>
                <w:b/>
              </w:rPr>
              <w:t>Borough ethnicity (%)</w:t>
            </w:r>
            <w:r>
              <w:rPr>
                <w:b/>
                <w:vertAlign w:val="superscript"/>
              </w:rPr>
              <w:t>2</w:t>
            </w:r>
          </w:p>
        </w:tc>
        <w:tc>
          <w:tcPr>
            <w:tcW w:w="1129" w:type="dxa"/>
          </w:tcPr>
          <w:p w14:paraId="41E48A5D" w14:textId="77777777" w:rsidR="003C758D" w:rsidRDefault="003C758D" w:rsidP="00512859"/>
          <w:p w14:paraId="779CFAD5" w14:textId="77777777" w:rsidR="003C758D" w:rsidRDefault="003C758D" w:rsidP="00512859"/>
        </w:tc>
        <w:tc>
          <w:tcPr>
            <w:tcW w:w="1140" w:type="dxa"/>
          </w:tcPr>
          <w:p w14:paraId="5C4FB08B" w14:textId="77777777" w:rsidR="003C758D" w:rsidRDefault="003C758D" w:rsidP="00512859"/>
        </w:tc>
        <w:tc>
          <w:tcPr>
            <w:tcW w:w="1140" w:type="dxa"/>
          </w:tcPr>
          <w:p w14:paraId="7834A560" w14:textId="77777777" w:rsidR="003C758D" w:rsidRDefault="003C758D" w:rsidP="00512859"/>
        </w:tc>
        <w:tc>
          <w:tcPr>
            <w:tcW w:w="1203" w:type="dxa"/>
          </w:tcPr>
          <w:p w14:paraId="16B94EC3" w14:textId="77777777" w:rsidR="003C758D" w:rsidRDefault="003C758D" w:rsidP="00512859"/>
        </w:tc>
        <w:tc>
          <w:tcPr>
            <w:tcW w:w="1142" w:type="dxa"/>
          </w:tcPr>
          <w:p w14:paraId="5E0F3E1E" w14:textId="77777777" w:rsidR="003C758D" w:rsidRDefault="003C758D" w:rsidP="00512859"/>
        </w:tc>
        <w:tc>
          <w:tcPr>
            <w:tcW w:w="1143" w:type="dxa"/>
          </w:tcPr>
          <w:p w14:paraId="09CEF658" w14:textId="77777777" w:rsidR="003C758D" w:rsidRDefault="003C758D" w:rsidP="00512859"/>
        </w:tc>
        <w:tc>
          <w:tcPr>
            <w:tcW w:w="1151" w:type="dxa"/>
          </w:tcPr>
          <w:p w14:paraId="63CD4198" w14:textId="77777777" w:rsidR="003C758D" w:rsidRDefault="003C758D" w:rsidP="00512859"/>
        </w:tc>
        <w:tc>
          <w:tcPr>
            <w:tcW w:w="1151" w:type="dxa"/>
          </w:tcPr>
          <w:p w14:paraId="545A43D4" w14:textId="77777777" w:rsidR="003C758D" w:rsidRDefault="003C758D" w:rsidP="00512859"/>
        </w:tc>
        <w:tc>
          <w:tcPr>
            <w:tcW w:w="1151" w:type="dxa"/>
          </w:tcPr>
          <w:p w14:paraId="25E8ED2A" w14:textId="77777777" w:rsidR="003C758D" w:rsidRDefault="003C758D" w:rsidP="00512859"/>
        </w:tc>
        <w:tc>
          <w:tcPr>
            <w:tcW w:w="1207" w:type="dxa"/>
          </w:tcPr>
          <w:p w14:paraId="73DF333B" w14:textId="77777777" w:rsidR="003C758D" w:rsidRDefault="003C758D" w:rsidP="00512859"/>
        </w:tc>
        <w:tc>
          <w:tcPr>
            <w:tcW w:w="1098" w:type="dxa"/>
          </w:tcPr>
          <w:p w14:paraId="54BD4981" w14:textId="77777777" w:rsidR="003C758D" w:rsidRDefault="003C758D" w:rsidP="00512859"/>
        </w:tc>
        <w:tc>
          <w:tcPr>
            <w:tcW w:w="1440" w:type="dxa"/>
          </w:tcPr>
          <w:p w14:paraId="7CB9C96E" w14:textId="77777777" w:rsidR="003C758D" w:rsidRDefault="003C758D" w:rsidP="00512859"/>
        </w:tc>
      </w:tr>
      <w:tr w:rsidR="003C758D" w14:paraId="2B7797E0" w14:textId="77777777" w:rsidTr="00512859">
        <w:tc>
          <w:tcPr>
            <w:tcW w:w="1548" w:type="dxa"/>
          </w:tcPr>
          <w:p w14:paraId="605E7D7E" w14:textId="77777777" w:rsidR="003C758D" w:rsidRPr="004669CC" w:rsidRDefault="003C758D" w:rsidP="00512859">
            <w:pPr>
              <w:ind w:left="90"/>
            </w:pPr>
            <w:r w:rsidRPr="004669CC">
              <w:t>White</w:t>
            </w:r>
          </w:p>
        </w:tc>
        <w:tc>
          <w:tcPr>
            <w:tcW w:w="1129" w:type="dxa"/>
          </w:tcPr>
          <w:p w14:paraId="240138FF" w14:textId="77777777" w:rsidR="003C758D" w:rsidRDefault="003C758D" w:rsidP="00512859">
            <w:r>
              <w:t>81.9</w:t>
            </w:r>
          </w:p>
        </w:tc>
        <w:tc>
          <w:tcPr>
            <w:tcW w:w="1140" w:type="dxa"/>
          </w:tcPr>
          <w:p w14:paraId="5DF44987" w14:textId="77777777" w:rsidR="003C758D" w:rsidRDefault="003C758D" w:rsidP="00512859">
            <w:r>
              <w:t>84.3</w:t>
            </w:r>
          </w:p>
        </w:tc>
        <w:tc>
          <w:tcPr>
            <w:tcW w:w="1140" w:type="dxa"/>
          </w:tcPr>
          <w:p w14:paraId="7FB5B766" w14:textId="77777777" w:rsidR="003C758D" w:rsidRDefault="003C758D" w:rsidP="00512859">
            <w:r>
              <w:t>55.2</w:t>
            </w:r>
          </w:p>
        </w:tc>
        <w:tc>
          <w:tcPr>
            <w:tcW w:w="1203" w:type="dxa"/>
          </w:tcPr>
          <w:p w14:paraId="7949D1D1" w14:textId="77777777" w:rsidR="003C758D" w:rsidRDefault="003C758D" w:rsidP="00512859">
            <w:r>
              <w:t>62.5</w:t>
            </w:r>
          </w:p>
        </w:tc>
        <w:tc>
          <w:tcPr>
            <w:tcW w:w="1142" w:type="dxa"/>
          </w:tcPr>
          <w:p w14:paraId="2003323E" w14:textId="77777777" w:rsidR="003C758D" w:rsidRDefault="003C758D" w:rsidP="00512859">
            <w:r>
              <w:t>74.5</w:t>
            </w:r>
          </w:p>
        </w:tc>
        <w:tc>
          <w:tcPr>
            <w:tcW w:w="1143" w:type="dxa"/>
          </w:tcPr>
          <w:p w14:paraId="35AB3CFB" w14:textId="77777777" w:rsidR="003C758D" w:rsidRDefault="003C758D" w:rsidP="00512859">
            <w:r>
              <w:t>57.1</w:t>
            </w:r>
          </w:p>
        </w:tc>
        <w:tc>
          <w:tcPr>
            <w:tcW w:w="1151" w:type="dxa"/>
          </w:tcPr>
          <w:p w14:paraId="054F3577" w14:textId="77777777" w:rsidR="003C758D" w:rsidRDefault="003C758D" w:rsidP="00512859">
            <w:r>
              <w:t>53.6</w:t>
            </w:r>
          </w:p>
        </w:tc>
        <w:tc>
          <w:tcPr>
            <w:tcW w:w="1151" w:type="dxa"/>
          </w:tcPr>
          <w:p w14:paraId="4AC2C642" w14:textId="77777777" w:rsidR="003C758D" w:rsidRDefault="003C758D" w:rsidP="00512859">
            <w:r>
              <w:t>64.9</w:t>
            </w:r>
          </w:p>
        </w:tc>
        <w:tc>
          <w:tcPr>
            <w:tcW w:w="1151" w:type="dxa"/>
          </w:tcPr>
          <w:p w14:paraId="2D3CBC60" w14:textId="77777777" w:rsidR="003C758D" w:rsidRDefault="003C758D" w:rsidP="00512859">
            <w:r>
              <w:t>85.9</w:t>
            </w:r>
          </w:p>
        </w:tc>
        <w:tc>
          <w:tcPr>
            <w:tcW w:w="1207" w:type="dxa"/>
          </w:tcPr>
          <w:p w14:paraId="0E138605" w14:textId="77777777" w:rsidR="003C758D" w:rsidRDefault="003C758D" w:rsidP="00512859">
            <w:r>
              <w:t>54.3</w:t>
            </w:r>
          </w:p>
        </w:tc>
        <w:tc>
          <w:tcPr>
            <w:tcW w:w="1098" w:type="dxa"/>
          </w:tcPr>
          <w:p w14:paraId="1E092ACF" w14:textId="77777777" w:rsidR="003C758D" w:rsidRDefault="003C758D" w:rsidP="00512859">
            <w:r>
              <w:t>78.6</w:t>
            </w:r>
          </w:p>
        </w:tc>
        <w:tc>
          <w:tcPr>
            <w:tcW w:w="1440" w:type="dxa"/>
          </w:tcPr>
          <w:p w14:paraId="60BC1B7E" w14:textId="77777777" w:rsidR="003C758D" w:rsidRDefault="003C758D" w:rsidP="00512859">
            <w:r>
              <w:t>71.4</w:t>
            </w:r>
          </w:p>
        </w:tc>
      </w:tr>
      <w:tr w:rsidR="003C758D" w14:paraId="0EA5D73D" w14:textId="77777777" w:rsidTr="00512859">
        <w:tc>
          <w:tcPr>
            <w:tcW w:w="1548" w:type="dxa"/>
          </w:tcPr>
          <w:p w14:paraId="260A43D1" w14:textId="77777777" w:rsidR="003C758D" w:rsidRPr="004669CC" w:rsidRDefault="003C758D" w:rsidP="00512859">
            <w:pPr>
              <w:ind w:left="142" w:hanging="52"/>
            </w:pPr>
            <w:r>
              <w:t>Black African or Caribbean</w:t>
            </w:r>
          </w:p>
        </w:tc>
        <w:tc>
          <w:tcPr>
            <w:tcW w:w="1129" w:type="dxa"/>
          </w:tcPr>
          <w:p w14:paraId="72D881CA" w14:textId="77777777" w:rsidR="003C758D" w:rsidRDefault="003C758D" w:rsidP="00512859">
            <w:r>
              <w:t>8.5</w:t>
            </w:r>
          </w:p>
        </w:tc>
        <w:tc>
          <w:tcPr>
            <w:tcW w:w="1140" w:type="dxa"/>
          </w:tcPr>
          <w:p w14:paraId="76F80C8E" w14:textId="77777777" w:rsidR="003C758D" w:rsidRDefault="003C758D" w:rsidP="00512859">
            <w:r>
              <w:t>6.0</w:t>
            </w:r>
          </w:p>
        </w:tc>
        <w:tc>
          <w:tcPr>
            <w:tcW w:w="1140" w:type="dxa"/>
          </w:tcPr>
          <w:p w14:paraId="25068C43" w14:textId="77777777" w:rsidR="003C758D" w:rsidRDefault="003C758D" w:rsidP="00512859">
            <w:r>
              <w:t>20.2</w:t>
            </w:r>
          </w:p>
        </w:tc>
        <w:tc>
          <w:tcPr>
            <w:tcW w:w="1203" w:type="dxa"/>
          </w:tcPr>
          <w:p w14:paraId="073FB6BE" w14:textId="77777777" w:rsidR="003C758D" w:rsidRDefault="003C758D" w:rsidP="00512859">
            <w:r>
              <w:t>19.1</w:t>
            </w:r>
          </w:p>
        </w:tc>
        <w:tc>
          <w:tcPr>
            <w:tcW w:w="1142" w:type="dxa"/>
          </w:tcPr>
          <w:p w14:paraId="325246AE" w14:textId="77777777" w:rsidR="003C758D" w:rsidRDefault="003C758D" w:rsidP="00512859">
            <w:r>
              <w:t>2.4</w:t>
            </w:r>
          </w:p>
        </w:tc>
        <w:tc>
          <w:tcPr>
            <w:tcW w:w="1143" w:type="dxa"/>
          </w:tcPr>
          <w:p w14:paraId="196E48C5" w14:textId="77777777" w:rsidR="003C758D" w:rsidRDefault="003C758D" w:rsidP="00512859">
            <w:r>
              <w:t>25.9</w:t>
            </w:r>
          </w:p>
        </w:tc>
        <w:tc>
          <w:tcPr>
            <w:tcW w:w="1151" w:type="dxa"/>
          </w:tcPr>
          <w:p w14:paraId="36EA72F3" w14:textId="77777777" w:rsidR="003C758D" w:rsidRDefault="003C758D" w:rsidP="00512859">
            <w:r>
              <w:t>27.2</w:t>
            </w:r>
          </w:p>
        </w:tc>
        <w:tc>
          <w:tcPr>
            <w:tcW w:w="1151" w:type="dxa"/>
          </w:tcPr>
          <w:p w14:paraId="5B48B5C2" w14:textId="77777777" w:rsidR="003C758D" w:rsidRDefault="003C758D" w:rsidP="00512859">
            <w:r>
              <w:t>10.4</w:t>
            </w:r>
          </w:p>
        </w:tc>
        <w:tc>
          <w:tcPr>
            <w:tcW w:w="1151" w:type="dxa"/>
          </w:tcPr>
          <w:p w14:paraId="0F71B962" w14:textId="77777777" w:rsidR="003C758D" w:rsidRDefault="003C758D" w:rsidP="00512859">
            <w:r>
              <w:t>1.5</w:t>
            </w:r>
          </w:p>
        </w:tc>
        <w:tc>
          <w:tcPr>
            <w:tcW w:w="1207" w:type="dxa"/>
          </w:tcPr>
          <w:p w14:paraId="18E19947" w14:textId="77777777" w:rsidR="003C758D" w:rsidRDefault="003C758D" w:rsidP="00512859">
            <w:r>
              <w:t>26.8</w:t>
            </w:r>
          </w:p>
        </w:tc>
        <w:tc>
          <w:tcPr>
            <w:tcW w:w="1098" w:type="dxa"/>
          </w:tcPr>
          <w:p w14:paraId="21C206DF" w14:textId="77777777" w:rsidR="003C758D" w:rsidRDefault="003C758D" w:rsidP="00512859">
            <w:r>
              <w:t>4.8</w:t>
            </w:r>
          </w:p>
        </w:tc>
        <w:tc>
          <w:tcPr>
            <w:tcW w:w="1440" w:type="dxa"/>
          </w:tcPr>
          <w:p w14:paraId="2B8E56D4" w14:textId="77777777" w:rsidR="003C758D" w:rsidRDefault="003C758D" w:rsidP="00512859">
            <w:r>
              <w:t>10.6</w:t>
            </w:r>
          </w:p>
        </w:tc>
      </w:tr>
      <w:tr w:rsidR="003C758D" w14:paraId="201EEF1C" w14:textId="77777777" w:rsidTr="00512859">
        <w:tc>
          <w:tcPr>
            <w:tcW w:w="1548" w:type="dxa"/>
          </w:tcPr>
          <w:p w14:paraId="0B3EF8EF" w14:textId="77777777" w:rsidR="003C758D" w:rsidRPr="004669CC" w:rsidRDefault="003C758D" w:rsidP="00512859">
            <w:pPr>
              <w:ind w:left="90"/>
            </w:pPr>
            <w:r>
              <w:t>South Asian</w:t>
            </w:r>
          </w:p>
        </w:tc>
        <w:tc>
          <w:tcPr>
            <w:tcW w:w="1129" w:type="dxa"/>
          </w:tcPr>
          <w:p w14:paraId="09E09E07" w14:textId="77777777" w:rsidR="003C758D" w:rsidRDefault="003C758D" w:rsidP="00512859">
            <w:r>
              <w:t>3.6</w:t>
            </w:r>
          </w:p>
        </w:tc>
        <w:tc>
          <w:tcPr>
            <w:tcW w:w="1140" w:type="dxa"/>
          </w:tcPr>
          <w:p w14:paraId="091B24AC" w14:textId="77777777" w:rsidR="003C758D" w:rsidRDefault="003C758D" w:rsidP="00512859">
            <w:r>
              <w:t>2.7</w:t>
            </w:r>
          </w:p>
        </w:tc>
        <w:tc>
          <w:tcPr>
            <w:tcW w:w="1140" w:type="dxa"/>
          </w:tcPr>
          <w:p w14:paraId="715AA1D0" w14:textId="77777777" w:rsidR="003C758D" w:rsidRDefault="003C758D" w:rsidP="00512859">
            <w:r>
              <w:t>10.5</w:t>
            </w:r>
          </w:p>
        </w:tc>
        <w:tc>
          <w:tcPr>
            <w:tcW w:w="1203" w:type="dxa"/>
          </w:tcPr>
          <w:p w14:paraId="3CFEA5C5" w14:textId="77777777" w:rsidR="003C758D" w:rsidRDefault="003C758D" w:rsidP="00512859">
            <w:r>
              <w:t>4.7</w:t>
            </w:r>
          </w:p>
        </w:tc>
        <w:tc>
          <w:tcPr>
            <w:tcW w:w="1142" w:type="dxa"/>
          </w:tcPr>
          <w:p w14:paraId="102A3E20" w14:textId="77777777" w:rsidR="003C758D" w:rsidRDefault="003C758D" w:rsidP="00512859">
            <w:r>
              <w:t>6.5</w:t>
            </w:r>
          </w:p>
        </w:tc>
        <w:tc>
          <w:tcPr>
            <w:tcW w:w="1143" w:type="dxa"/>
          </w:tcPr>
          <w:p w14:paraId="3F9E1702" w14:textId="77777777" w:rsidR="003C758D" w:rsidRDefault="003C758D" w:rsidP="00512859">
            <w:r>
              <w:t>3.3</w:t>
            </w:r>
          </w:p>
        </w:tc>
        <w:tc>
          <w:tcPr>
            <w:tcW w:w="1151" w:type="dxa"/>
          </w:tcPr>
          <w:p w14:paraId="2EE58936" w14:textId="77777777" w:rsidR="003C758D" w:rsidRDefault="003C758D" w:rsidP="00512859">
            <w:r>
              <w:t>2.8</w:t>
            </w:r>
          </w:p>
        </w:tc>
        <w:tc>
          <w:tcPr>
            <w:tcW w:w="1151" w:type="dxa"/>
          </w:tcPr>
          <w:p w14:paraId="36CD9C28" w14:textId="77777777" w:rsidR="003C758D" w:rsidRDefault="003C758D" w:rsidP="00512859">
            <w:r>
              <w:t>8.9</w:t>
            </w:r>
          </w:p>
        </w:tc>
        <w:tc>
          <w:tcPr>
            <w:tcW w:w="1151" w:type="dxa"/>
          </w:tcPr>
          <w:p w14:paraId="08EC8593" w14:textId="77777777" w:rsidR="003C758D" w:rsidRDefault="003C758D" w:rsidP="00512859">
            <w:r>
              <w:t>3.9</w:t>
            </w:r>
          </w:p>
        </w:tc>
        <w:tc>
          <w:tcPr>
            <w:tcW w:w="1207" w:type="dxa"/>
          </w:tcPr>
          <w:p w14:paraId="74CD001D" w14:textId="77777777" w:rsidR="003C758D" w:rsidRDefault="003C758D" w:rsidP="00512859">
            <w:r>
              <w:t>4.0</w:t>
            </w:r>
          </w:p>
        </w:tc>
        <w:tc>
          <w:tcPr>
            <w:tcW w:w="1098" w:type="dxa"/>
          </w:tcPr>
          <w:p w14:paraId="778A3CB6" w14:textId="77777777" w:rsidR="003C758D" w:rsidRDefault="003C758D" w:rsidP="00512859">
            <w:r>
              <w:t>5.4</w:t>
            </w:r>
          </w:p>
        </w:tc>
        <w:tc>
          <w:tcPr>
            <w:tcW w:w="1440" w:type="dxa"/>
          </w:tcPr>
          <w:p w14:paraId="0D480CC7" w14:textId="77777777" w:rsidR="003C758D" w:rsidRDefault="003C758D" w:rsidP="00512859">
            <w:r>
              <w:t>6.5</w:t>
            </w:r>
          </w:p>
        </w:tc>
      </w:tr>
      <w:tr w:rsidR="003C758D" w14:paraId="3EE3F5AB" w14:textId="77777777" w:rsidTr="00512859">
        <w:tc>
          <w:tcPr>
            <w:tcW w:w="1548" w:type="dxa"/>
          </w:tcPr>
          <w:p w14:paraId="5DC7BD37" w14:textId="77777777" w:rsidR="003C758D" w:rsidRPr="004669CC" w:rsidRDefault="003C758D" w:rsidP="00512859">
            <w:pPr>
              <w:ind w:left="90"/>
            </w:pPr>
            <w:r>
              <w:t>Other Asian</w:t>
            </w:r>
          </w:p>
        </w:tc>
        <w:tc>
          <w:tcPr>
            <w:tcW w:w="1129" w:type="dxa"/>
          </w:tcPr>
          <w:p w14:paraId="52B2E216" w14:textId="77777777" w:rsidR="003C758D" w:rsidRDefault="003C758D" w:rsidP="00512859">
            <w:r>
              <w:t>2.9</w:t>
            </w:r>
          </w:p>
        </w:tc>
        <w:tc>
          <w:tcPr>
            <w:tcW w:w="1140" w:type="dxa"/>
          </w:tcPr>
          <w:p w14:paraId="3398508B" w14:textId="77777777" w:rsidR="003C758D" w:rsidRDefault="003C758D" w:rsidP="00512859">
            <w:r>
              <w:t>2.5</w:t>
            </w:r>
          </w:p>
        </w:tc>
        <w:tc>
          <w:tcPr>
            <w:tcW w:w="1140" w:type="dxa"/>
          </w:tcPr>
          <w:p w14:paraId="7556A335" w14:textId="77777777" w:rsidR="003C758D" w:rsidRDefault="003C758D" w:rsidP="00512859">
            <w:r>
              <w:t>5.9</w:t>
            </w:r>
          </w:p>
        </w:tc>
        <w:tc>
          <w:tcPr>
            <w:tcW w:w="1203" w:type="dxa"/>
          </w:tcPr>
          <w:p w14:paraId="17C029BC" w14:textId="77777777" w:rsidR="003C758D" w:rsidRDefault="003C758D" w:rsidP="00512859">
            <w:r>
              <w:t>7.0</w:t>
            </w:r>
          </w:p>
        </w:tc>
        <w:tc>
          <w:tcPr>
            <w:tcW w:w="1142" w:type="dxa"/>
          </w:tcPr>
          <w:p w14:paraId="420DBFFA" w14:textId="77777777" w:rsidR="003C758D" w:rsidRDefault="003C758D" w:rsidP="00512859">
            <w:r>
              <w:t>9.9</w:t>
            </w:r>
          </w:p>
        </w:tc>
        <w:tc>
          <w:tcPr>
            <w:tcW w:w="1143" w:type="dxa"/>
          </w:tcPr>
          <w:p w14:paraId="248AB9E1" w14:textId="77777777" w:rsidR="003C758D" w:rsidRDefault="003C758D" w:rsidP="00512859">
            <w:r>
              <w:t>3.5</w:t>
            </w:r>
          </w:p>
        </w:tc>
        <w:tc>
          <w:tcPr>
            <w:tcW w:w="1151" w:type="dxa"/>
          </w:tcPr>
          <w:p w14:paraId="7909C154" w14:textId="77777777" w:rsidR="003C758D" w:rsidRDefault="003C758D" w:rsidP="00512859">
            <w:r>
              <w:t>6.5</w:t>
            </w:r>
          </w:p>
        </w:tc>
        <w:tc>
          <w:tcPr>
            <w:tcW w:w="1151" w:type="dxa"/>
          </w:tcPr>
          <w:p w14:paraId="064AB67E" w14:textId="77777777" w:rsidR="003C758D" w:rsidRDefault="003C758D" w:rsidP="00512859">
            <w:r>
              <w:t>9.2</w:t>
            </w:r>
          </w:p>
        </w:tc>
        <w:tc>
          <w:tcPr>
            <w:tcW w:w="1151" w:type="dxa"/>
          </w:tcPr>
          <w:p w14:paraId="7B47C6BA" w14:textId="77777777" w:rsidR="003C758D" w:rsidRDefault="003C758D" w:rsidP="00512859">
            <w:r>
              <w:t>3.4</w:t>
            </w:r>
          </w:p>
        </w:tc>
        <w:tc>
          <w:tcPr>
            <w:tcW w:w="1207" w:type="dxa"/>
          </w:tcPr>
          <w:p w14:paraId="0B9FCE4D" w14:textId="77777777" w:rsidR="003C758D" w:rsidRDefault="003C758D" w:rsidP="00512859">
            <w:r>
              <w:t>5.5</w:t>
            </w:r>
          </w:p>
        </w:tc>
        <w:tc>
          <w:tcPr>
            <w:tcW w:w="1098" w:type="dxa"/>
          </w:tcPr>
          <w:p w14:paraId="0CBA15D9" w14:textId="77777777" w:rsidR="003C758D" w:rsidRDefault="003C758D" w:rsidP="00512859">
            <w:r>
              <w:t>6.2</w:t>
            </w:r>
          </w:p>
        </w:tc>
        <w:tc>
          <w:tcPr>
            <w:tcW w:w="1440" w:type="dxa"/>
          </w:tcPr>
          <w:p w14:paraId="59E4F04F" w14:textId="77777777" w:rsidR="003C758D" w:rsidRDefault="003C758D" w:rsidP="00512859">
            <w:r>
              <w:t>4.4</w:t>
            </w:r>
          </w:p>
        </w:tc>
      </w:tr>
      <w:tr w:rsidR="003C758D" w14:paraId="795A190E" w14:textId="77777777" w:rsidTr="00512859">
        <w:tc>
          <w:tcPr>
            <w:tcW w:w="1548" w:type="dxa"/>
          </w:tcPr>
          <w:p w14:paraId="4A547B56" w14:textId="77777777" w:rsidR="003C758D" w:rsidRPr="004669CC" w:rsidRDefault="003C758D" w:rsidP="00512859">
            <w:pPr>
              <w:ind w:left="90"/>
            </w:pPr>
            <w:r>
              <w:t>Other/Mixed</w:t>
            </w:r>
          </w:p>
        </w:tc>
        <w:tc>
          <w:tcPr>
            <w:tcW w:w="1129" w:type="dxa"/>
          </w:tcPr>
          <w:p w14:paraId="260C6065" w14:textId="77777777" w:rsidR="003C758D" w:rsidRDefault="003C758D" w:rsidP="00512859">
            <w:r>
              <w:t>3.0</w:t>
            </w:r>
          </w:p>
        </w:tc>
        <w:tc>
          <w:tcPr>
            <w:tcW w:w="1140" w:type="dxa"/>
          </w:tcPr>
          <w:p w14:paraId="43DAC77A" w14:textId="77777777" w:rsidR="003C758D" w:rsidRDefault="003C758D" w:rsidP="00512859">
            <w:r>
              <w:t>4.5</w:t>
            </w:r>
          </w:p>
        </w:tc>
        <w:tc>
          <w:tcPr>
            <w:tcW w:w="1140" w:type="dxa"/>
          </w:tcPr>
          <w:p w14:paraId="3B23636B" w14:textId="77777777" w:rsidR="003C758D" w:rsidRDefault="003C758D" w:rsidP="00512859">
            <w:r>
              <w:t>8.4</w:t>
            </w:r>
          </w:p>
        </w:tc>
        <w:tc>
          <w:tcPr>
            <w:tcW w:w="1203" w:type="dxa"/>
          </w:tcPr>
          <w:p w14:paraId="57A9E061" w14:textId="77777777" w:rsidR="003C758D" w:rsidRDefault="003C758D" w:rsidP="00512859">
            <w:r>
              <w:t>6.7</w:t>
            </w:r>
          </w:p>
        </w:tc>
        <w:tc>
          <w:tcPr>
            <w:tcW w:w="1142" w:type="dxa"/>
          </w:tcPr>
          <w:p w14:paraId="2B11C148" w14:textId="77777777" w:rsidR="003C758D" w:rsidRDefault="003C758D" w:rsidP="00512859">
            <w:r>
              <w:t>6.6</w:t>
            </w:r>
          </w:p>
        </w:tc>
        <w:tc>
          <w:tcPr>
            <w:tcW w:w="1143" w:type="dxa"/>
          </w:tcPr>
          <w:p w14:paraId="6330AB0A" w14:textId="77777777" w:rsidR="003C758D" w:rsidRDefault="003C758D" w:rsidP="00512859">
            <w:r>
              <w:t>10.1</w:t>
            </w:r>
          </w:p>
        </w:tc>
        <w:tc>
          <w:tcPr>
            <w:tcW w:w="1151" w:type="dxa"/>
          </w:tcPr>
          <w:p w14:paraId="5D1E8E33" w14:textId="77777777" w:rsidR="003C758D" w:rsidRDefault="003C758D" w:rsidP="00512859">
            <w:r>
              <w:t>10.0</w:t>
            </w:r>
          </w:p>
        </w:tc>
        <w:tc>
          <w:tcPr>
            <w:tcW w:w="1151" w:type="dxa"/>
          </w:tcPr>
          <w:p w14:paraId="7842261F" w14:textId="77777777" w:rsidR="003C758D" w:rsidRDefault="003C758D" w:rsidP="00512859">
            <w:r>
              <w:t>6.5</w:t>
            </w:r>
          </w:p>
        </w:tc>
        <w:tc>
          <w:tcPr>
            <w:tcW w:w="1151" w:type="dxa"/>
          </w:tcPr>
          <w:p w14:paraId="1CBD6D2C" w14:textId="77777777" w:rsidR="003C758D" w:rsidRDefault="003C758D" w:rsidP="00512859">
            <w:r>
              <w:t>5.2</w:t>
            </w:r>
          </w:p>
        </w:tc>
        <w:tc>
          <w:tcPr>
            <w:tcW w:w="1207" w:type="dxa"/>
          </w:tcPr>
          <w:p w14:paraId="2A11F8D8" w14:textId="77777777" w:rsidR="003C758D" w:rsidRDefault="003C758D" w:rsidP="00512859">
            <w:r>
              <w:t>9.4</w:t>
            </w:r>
          </w:p>
        </w:tc>
        <w:tc>
          <w:tcPr>
            <w:tcW w:w="1098" w:type="dxa"/>
          </w:tcPr>
          <w:p w14:paraId="0E84315E" w14:textId="77777777" w:rsidR="003C758D" w:rsidRDefault="003C758D" w:rsidP="00512859">
            <w:r>
              <w:t>5.0</w:t>
            </w:r>
          </w:p>
        </w:tc>
        <w:tc>
          <w:tcPr>
            <w:tcW w:w="1440" w:type="dxa"/>
          </w:tcPr>
          <w:p w14:paraId="00668DC9" w14:textId="77777777" w:rsidR="003C758D" w:rsidRDefault="003C758D" w:rsidP="00512859">
            <w:r>
              <w:t>7.1</w:t>
            </w:r>
          </w:p>
        </w:tc>
      </w:tr>
      <w:tr w:rsidR="003C758D" w14:paraId="3397D845" w14:textId="77777777" w:rsidTr="00512859">
        <w:tc>
          <w:tcPr>
            <w:tcW w:w="1548" w:type="dxa"/>
          </w:tcPr>
          <w:p w14:paraId="10802168" w14:textId="77777777" w:rsidR="003C758D" w:rsidRPr="00F31418" w:rsidRDefault="003C758D" w:rsidP="00512859">
            <w:pPr>
              <w:rPr>
                <w:b/>
              </w:rPr>
            </w:pPr>
            <w:r w:rsidRPr="00F31418">
              <w:rPr>
                <w:b/>
              </w:rPr>
              <w:t xml:space="preserve">Anonymous data collected </w:t>
            </w:r>
          </w:p>
        </w:tc>
        <w:tc>
          <w:tcPr>
            <w:tcW w:w="1129" w:type="dxa"/>
          </w:tcPr>
          <w:p w14:paraId="1E8E4343" w14:textId="77777777" w:rsidR="003C758D" w:rsidRDefault="003C758D" w:rsidP="00512859"/>
        </w:tc>
        <w:tc>
          <w:tcPr>
            <w:tcW w:w="1140" w:type="dxa"/>
          </w:tcPr>
          <w:p w14:paraId="52B728D2" w14:textId="77777777" w:rsidR="003C758D" w:rsidRDefault="003C758D" w:rsidP="00512859"/>
        </w:tc>
        <w:tc>
          <w:tcPr>
            <w:tcW w:w="1140" w:type="dxa"/>
          </w:tcPr>
          <w:p w14:paraId="57A5E511" w14:textId="77777777" w:rsidR="003C758D" w:rsidRDefault="003C758D" w:rsidP="00512859"/>
        </w:tc>
        <w:tc>
          <w:tcPr>
            <w:tcW w:w="1203" w:type="dxa"/>
          </w:tcPr>
          <w:p w14:paraId="1251A2C8" w14:textId="77777777" w:rsidR="003C758D" w:rsidRDefault="003C758D" w:rsidP="00512859"/>
        </w:tc>
        <w:tc>
          <w:tcPr>
            <w:tcW w:w="1142" w:type="dxa"/>
          </w:tcPr>
          <w:p w14:paraId="60DE91D2" w14:textId="77777777" w:rsidR="003C758D" w:rsidRDefault="003C758D" w:rsidP="00512859"/>
        </w:tc>
        <w:tc>
          <w:tcPr>
            <w:tcW w:w="1143" w:type="dxa"/>
          </w:tcPr>
          <w:p w14:paraId="558D03D9" w14:textId="77777777" w:rsidR="003C758D" w:rsidRDefault="003C758D" w:rsidP="00512859"/>
        </w:tc>
        <w:tc>
          <w:tcPr>
            <w:tcW w:w="1151" w:type="dxa"/>
          </w:tcPr>
          <w:p w14:paraId="1DD97E84" w14:textId="77777777" w:rsidR="003C758D" w:rsidRDefault="003C758D" w:rsidP="00512859"/>
        </w:tc>
        <w:tc>
          <w:tcPr>
            <w:tcW w:w="1151" w:type="dxa"/>
          </w:tcPr>
          <w:p w14:paraId="3BD749E5" w14:textId="77777777" w:rsidR="003C758D" w:rsidRDefault="003C758D" w:rsidP="00512859"/>
        </w:tc>
        <w:tc>
          <w:tcPr>
            <w:tcW w:w="1151" w:type="dxa"/>
          </w:tcPr>
          <w:p w14:paraId="4D3ABC05" w14:textId="77777777" w:rsidR="003C758D" w:rsidRDefault="003C758D" w:rsidP="00512859"/>
        </w:tc>
        <w:tc>
          <w:tcPr>
            <w:tcW w:w="1207" w:type="dxa"/>
          </w:tcPr>
          <w:p w14:paraId="614BDFE2" w14:textId="77777777" w:rsidR="003C758D" w:rsidRDefault="003C758D" w:rsidP="00512859"/>
        </w:tc>
        <w:tc>
          <w:tcPr>
            <w:tcW w:w="1098" w:type="dxa"/>
          </w:tcPr>
          <w:p w14:paraId="36D8D9A9" w14:textId="77777777" w:rsidR="003C758D" w:rsidRDefault="003C758D" w:rsidP="00512859"/>
        </w:tc>
        <w:tc>
          <w:tcPr>
            <w:tcW w:w="1440" w:type="dxa"/>
          </w:tcPr>
          <w:p w14:paraId="38230C33" w14:textId="77777777" w:rsidR="003C758D" w:rsidRDefault="003C758D" w:rsidP="00512859"/>
        </w:tc>
      </w:tr>
      <w:tr w:rsidR="003C758D" w14:paraId="4FB8C7B1" w14:textId="77777777" w:rsidTr="00512859">
        <w:tc>
          <w:tcPr>
            <w:tcW w:w="1548" w:type="dxa"/>
          </w:tcPr>
          <w:p w14:paraId="63509D71" w14:textId="77777777" w:rsidR="003C758D" w:rsidRPr="004669CC" w:rsidRDefault="003C758D" w:rsidP="00512859">
            <w:pPr>
              <w:ind w:left="90"/>
            </w:pPr>
            <w:r w:rsidRPr="004669CC">
              <w:t>GP practices</w:t>
            </w:r>
          </w:p>
        </w:tc>
        <w:tc>
          <w:tcPr>
            <w:tcW w:w="1129" w:type="dxa"/>
          </w:tcPr>
          <w:p w14:paraId="26B4D1BE" w14:textId="77777777" w:rsidR="003C758D" w:rsidRDefault="003C758D" w:rsidP="00512859">
            <w:r>
              <w:t>1</w:t>
            </w:r>
          </w:p>
        </w:tc>
        <w:tc>
          <w:tcPr>
            <w:tcW w:w="1140" w:type="dxa"/>
          </w:tcPr>
          <w:p w14:paraId="01DF29C3" w14:textId="77777777" w:rsidR="003C758D" w:rsidRDefault="003C758D" w:rsidP="00512859">
            <w:r>
              <w:t>11</w:t>
            </w:r>
          </w:p>
        </w:tc>
        <w:tc>
          <w:tcPr>
            <w:tcW w:w="1140" w:type="dxa"/>
          </w:tcPr>
          <w:p w14:paraId="6951D91B" w14:textId="77777777" w:rsidR="003C758D" w:rsidRDefault="003C758D" w:rsidP="00512859">
            <w:r>
              <w:t>11</w:t>
            </w:r>
          </w:p>
        </w:tc>
        <w:tc>
          <w:tcPr>
            <w:tcW w:w="1203" w:type="dxa"/>
          </w:tcPr>
          <w:p w14:paraId="0402D4A7" w14:textId="77777777" w:rsidR="003C758D" w:rsidRDefault="003C758D" w:rsidP="00512859">
            <w:r>
              <w:t>1</w:t>
            </w:r>
          </w:p>
        </w:tc>
        <w:tc>
          <w:tcPr>
            <w:tcW w:w="1142" w:type="dxa"/>
          </w:tcPr>
          <w:p w14:paraId="7BA4CE1A" w14:textId="77777777" w:rsidR="003C758D" w:rsidRDefault="003C758D" w:rsidP="00512859">
            <w:r>
              <w:t>1</w:t>
            </w:r>
          </w:p>
        </w:tc>
        <w:tc>
          <w:tcPr>
            <w:tcW w:w="1143" w:type="dxa"/>
          </w:tcPr>
          <w:p w14:paraId="7C83A790" w14:textId="77777777" w:rsidR="003C758D" w:rsidRDefault="003C758D" w:rsidP="00512859">
            <w:r>
              <w:t>6</w:t>
            </w:r>
          </w:p>
        </w:tc>
        <w:tc>
          <w:tcPr>
            <w:tcW w:w="1151" w:type="dxa"/>
          </w:tcPr>
          <w:p w14:paraId="61C043B6" w14:textId="77777777" w:rsidR="003C758D" w:rsidRDefault="003C758D" w:rsidP="00512859">
            <w:r>
              <w:t>11</w:t>
            </w:r>
          </w:p>
        </w:tc>
        <w:tc>
          <w:tcPr>
            <w:tcW w:w="1151" w:type="dxa"/>
          </w:tcPr>
          <w:p w14:paraId="27F27576" w14:textId="77777777" w:rsidR="003C758D" w:rsidRDefault="003C758D" w:rsidP="00512859">
            <w:r>
              <w:t>2</w:t>
            </w:r>
          </w:p>
        </w:tc>
        <w:tc>
          <w:tcPr>
            <w:tcW w:w="1151" w:type="dxa"/>
          </w:tcPr>
          <w:p w14:paraId="1B90E944" w14:textId="77777777" w:rsidR="003C758D" w:rsidRDefault="003C758D" w:rsidP="00512859">
            <w:r>
              <w:t>0</w:t>
            </w:r>
          </w:p>
        </w:tc>
        <w:tc>
          <w:tcPr>
            <w:tcW w:w="1207" w:type="dxa"/>
          </w:tcPr>
          <w:p w14:paraId="21518E6D" w14:textId="77777777" w:rsidR="003C758D" w:rsidRDefault="003C758D" w:rsidP="00512859">
            <w:r>
              <w:t>9</w:t>
            </w:r>
          </w:p>
        </w:tc>
        <w:tc>
          <w:tcPr>
            <w:tcW w:w="1098" w:type="dxa"/>
          </w:tcPr>
          <w:p w14:paraId="50D1B254" w14:textId="77777777" w:rsidR="003C758D" w:rsidRDefault="003C758D" w:rsidP="00512859">
            <w:r>
              <w:t>3</w:t>
            </w:r>
          </w:p>
        </w:tc>
        <w:tc>
          <w:tcPr>
            <w:tcW w:w="1440" w:type="dxa"/>
          </w:tcPr>
          <w:p w14:paraId="17B32C57" w14:textId="77777777" w:rsidR="003C758D" w:rsidRDefault="003C758D" w:rsidP="00512859">
            <w:r>
              <w:t>4</w:t>
            </w:r>
          </w:p>
        </w:tc>
      </w:tr>
      <w:tr w:rsidR="003C758D" w14:paraId="58FF105F" w14:textId="77777777" w:rsidTr="00512859">
        <w:tc>
          <w:tcPr>
            <w:tcW w:w="1548" w:type="dxa"/>
            <w:tcBorders>
              <w:bottom w:val="single" w:sz="4" w:space="0" w:color="auto"/>
            </w:tcBorders>
          </w:tcPr>
          <w:p w14:paraId="7ED1B314" w14:textId="77777777" w:rsidR="003C758D" w:rsidRPr="004669CC" w:rsidRDefault="003C758D" w:rsidP="00512859">
            <w:pPr>
              <w:ind w:left="90"/>
            </w:pPr>
            <w:r w:rsidRPr="004669CC">
              <w:t>Patient</w:t>
            </w:r>
            <w:r>
              <w:t>s</w:t>
            </w:r>
          </w:p>
        </w:tc>
        <w:tc>
          <w:tcPr>
            <w:tcW w:w="1129" w:type="dxa"/>
            <w:tcBorders>
              <w:bottom w:val="single" w:sz="4" w:space="0" w:color="auto"/>
            </w:tcBorders>
          </w:tcPr>
          <w:p w14:paraId="4DD0080A" w14:textId="77777777" w:rsidR="003C758D" w:rsidRDefault="003C758D" w:rsidP="00512859">
            <w:r>
              <w:t>328</w:t>
            </w:r>
          </w:p>
        </w:tc>
        <w:tc>
          <w:tcPr>
            <w:tcW w:w="1140" w:type="dxa"/>
            <w:tcBorders>
              <w:bottom w:val="single" w:sz="4" w:space="0" w:color="auto"/>
            </w:tcBorders>
          </w:tcPr>
          <w:p w14:paraId="40D1588D" w14:textId="77777777" w:rsidR="003C758D" w:rsidRDefault="003C758D" w:rsidP="00512859">
            <w:r>
              <w:t>2463</w:t>
            </w:r>
          </w:p>
        </w:tc>
        <w:tc>
          <w:tcPr>
            <w:tcW w:w="1140" w:type="dxa"/>
            <w:tcBorders>
              <w:bottom w:val="single" w:sz="4" w:space="0" w:color="auto"/>
            </w:tcBorders>
          </w:tcPr>
          <w:p w14:paraId="3A3EE8CC" w14:textId="77777777" w:rsidR="003C758D" w:rsidRDefault="003C758D" w:rsidP="00512859">
            <w:r>
              <w:t>1663</w:t>
            </w:r>
          </w:p>
        </w:tc>
        <w:tc>
          <w:tcPr>
            <w:tcW w:w="1203" w:type="dxa"/>
            <w:tcBorders>
              <w:bottom w:val="single" w:sz="4" w:space="0" w:color="auto"/>
            </w:tcBorders>
          </w:tcPr>
          <w:p w14:paraId="1A75B034" w14:textId="77777777" w:rsidR="003C758D" w:rsidRDefault="003C758D" w:rsidP="00512859">
            <w:r>
              <w:t>255</w:t>
            </w:r>
          </w:p>
        </w:tc>
        <w:tc>
          <w:tcPr>
            <w:tcW w:w="1142" w:type="dxa"/>
            <w:tcBorders>
              <w:bottom w:val="single" w:sz="4" w:space="0" w:color="auto"/>
            </w:tcBorders>
          </w:tcPr>
          <w:p w14:paraId="2FF5896B" w14:textId="77777777" w:rsidR="003C758D" w:rsidRDefault="003C758D" w:rsidP="00512859">
            <w:r>
              <w:t>27</w:t>
            </w:r>
          </w:p>
        </w:tc>
        <w:tc>
          <w:tcPr>
            <w:tcW w:w="1143" w:type="dxa"/>
            <w:tcBorders>
              <w:bottom w:val="single" w:sz="4" w:space="0" w:color="auto"/>
            </w:tcBorders>
          </w:tcPr>
          <w:p w14:paraId="79A58F21" w14:textId="77777777" w:rsidR="003C758D" w:rsidRDefault="003C758D" w:rsidP="00512859">
            <w:r>
              <w:t>845</w:t>
            </w:r>
          </w:p>
        </w:tc>
        <w:tc>
          <w:tcPr>
            <w:tcW w:w="1151" w:type="dxa"/>
            <w:tcBorders>
              <w:bottom w:val="single" w:sz="4" w:space="0" w:color="auto"/>
            </w:tcBorders>
          </w:tcPr>
          <w:p w14:paraId="5F70ED35" w14:textId="77777777" w:rsidR="003C758D" w:rsidRDefault="003C758D" w:rsidP="00512859">
            <w:r>
              <w:t>1281</w:t>
            </w:r>
          </w:p>
        </w:tc>
        <w:tc>
          <w:tcPr>
            <w:tcW w:w="1151" w:type="dxa"/>
            <w:tcBorders>
              <w:bottom w:val="single" w:sz="4" w:space="0" w:color="auto"/>
            </w:tcBorders>
          </w:tcPr>
          <w:p w14:paraId="0A48ECCA" w14:textId="77777777" w:rsidR="003C758D" w:rsidRDefault="003C758D" w:rsidP="00512859">
            <w:r>
              <w:t>41</w:t>
            </w:r>
          </w:p>
        </w:tc>
        <w:tc>
          <w:tcPr>
            <w:tcW w:w="1151" w:type="dxa"/>
            <w:tcBorders>
              <w:bottom w:val="single" w:sz="4" w:space="0" w:color="auto"/>
            </w:tcBorders>
          </w:tcPr>
          <w:p w14:paraId="2AB0AF64" w14:textId="77777777" w:rsidR="003C758D" w:rsidRDefault="003C758D" w:rsidP="00512859">
            <w:r>
              <w:t>0</w:t>
            </w:r>
          </w:p>
        </w:tc>
        <w:tc>
          <w:tcPr>
            <w:tcW w:w="1207" w:type="dxa"/>
            <w:tcBorders>
              <w:bottom w:val="single" w:sz="4" w:space="0" w:color="auto"/>
            </w:tcBorders>
          </w:tcPr>
          <w:p w14:paraId="57455709" w14:textId="77777777" w:rsidR="003C758D" w:rsidRDefault="003C758D" w:rsidP="00512859">
            <w:r>
              <w:t>666</w:t>
            </w:r>
          </w:p>
        </w:tc>
        <w:tc>
          <w:tcPr>
            <w:tcW w:w="1098" w:type="dxa"/>
            <w:tcBorders>
              <w:bottom w:val="single" w:sz="4" w:space="0" w:color="auto"/>
            </w:tcBorders>
          </w:tcPr>
          <w:p w14:paraId="1A28C798" w14:textId="77777777" w:rsidR="003C758D" w:rsidRDefault="003C758D" w:rsidP="00512859">
            <w:r>
              <w:t>786</w:t>
            </w:r>
          </w:p>
        </w:tc>
        <w:tc>
          <w:tcPr>
            <w:tcW w:w="1440" w:type="dxa"/>
            <w:tcBorders>
              <w:bottom w:val="single" w:sz="4" w:space="0" w:color="auto"/>
            </w:tcBorders>
          </w:tcPr>
          <w:p w14:paraId="297DC519" w14:textId="77777777" w:rsidR="003C758D" w:rsidRDefault="003C758D" w:rsidP="00512859">
            <w:r>
              <w:t>646</w:t>
            </w:r>
          </w:p>
        </w:tc>
      </w:tr>
      <w:tr w:rsidR="003C758D" w14:paraId="1E8FF565" w14:textId="77777777" w:rsidTr="00512859">
        <w:tc>
          <w:tcPr>
            <w:tcW w:w="15643" w:type="dxa"/>
            <w:gridSpan w:val="13"/>
            <w:tcBorders>
              <w:top w:val="single" w:sz="4" w:space="0" w:color="auto"/>
            </w:tcBorders>
          </w:tcPr>
          <w:p w14:paraId="4C23E082" w14:textId="77777777" w:rsidR="003C758D" w:rsidRDefault="003C758D" w:rsidP="00512859">
            <w:r>
              <w:t>IMD: Index of Multiple Deprivation</w:t>
            </w:r>
          </w:p>
          <w:p w14:paraId="1768A675" w14:textId="77777777" w:rsidR="003C758D" w:rsidRPr="004669CC" w:rsidRDefault="003C758D" w:rsidP="00512859">
            <w:r>
              <w:t xml:space="preserve">Data presented is </w:t>
            </w:r>
            <w:r>
              <w:rPr>
                <w:i/>
              </w:rPr>
              <w:t xml:space="preserve">n </w:t>
            </w:r>
            <w:r>
              <w:t>unless otherwise stated.</w:t>
            </w:r>
          </w:p>
          <w:p w14:paraId="24C69811" w14:textId="77777777" w:rsidR="003C758D" w:rsidRDefault="003C758D" w:rsidP="00512859">
            <w:r>
              <w:rPr>
                <w:vertAlign w:val="superscript"/>
              </w:rPr>
              <w:t>1</w:t>
            </w:r>
            <w:r>
              <w:t xml:space="preserve"> Ranked from 1 (most deprived) to 326 (least deprived) from 326 Local Authorities.</w:t>
            </w:r>
          </w:p>
          <w:p w14:paraId="71C49B8A" w14:textId="77777777" w:rsidR="003C758D" w:rsidRPr="00E71415" w:rsidRDefault="003C758D" w:rsidP="00512859">
            <w:pPr>
              <w:rPr>
                <w:vertAlign w:val="superscript"/>
              </w:rPr>
            </w:pPr>
            <w:r>
              <w:rPr>
                <w:vertAlign w:val="superscript"/>
              </w:rPr>
              <w:t>2</w:t>
            </w:r>
            <w:r>
              <w:t xml:space="preserve"> Based on CENSUS 2011 data.</w:t>
            </w:r>
            <w:r>
              <w:rPr>
                <w:vertAlign w:val="superscript"/>
              </w:rPr>
              <w:t>20</w:t>
            </w:r>
          </w:p>
        </w:tc>
      </w:tr>
    </w:tbl>
    <w:p w14:paraId="58AE1CB8" w14:textId="77777777" w:rsidR="003C758D" w:rsidRDefault="003C758D" w:rsidP="00FA6ABC">
      <w:pPr>
        <w:rPr>
          <w:rFonts w:ascii="Times New Roman" w:hAnsi="Times New Roman" w:cs="Times New Roman"/>
          <w:color w:val="222222"/>
          <w:shd w:val="clear" w:color="auto" w:fill="FFFFFF"/>
        </w:rPr>
        <w:sectPr w:rsidR="003C758D" w:rsidSect="003C758D">
          <w:pgSz w:w="15840" w:h="12240" w:orient="landscape" w:code="1"/>
          <w:pgMar w:top="1440" w:right="1440" w:bottom="1440" w:left="1440" w:header="720" w:footer="720" w:gutter="0"/>
          <w:lnNumType w:countBy="1" w:restart="continuous"/>
          <w:cols w:space="720"/>
          <w:docGrid w:linePitch="360"/>
        </w:sectPr>
      </w:pPr>
    </w:p>
    <w:tbl>
      <w:tblPr>
        <w:tblStyle w:val="TableGrid"/>
        <w:tblpPr w:leftFromText="180" w:rightFromText="180" w:vertAnchor="page" w:horzAnchor="margin" w:tblpX="-885" w:tblpY="1036"/>
        <w:tblW w:w="14851" w:type="dxa"/>
        <w:tblLayout w:type="fixed"/>
        <w:tblLook w:val="04A0" w:firstRow="1" w:lastRow="0" w:firstColumn="1" w:lastColumn="0" w:noHBand="0" w:noVBand="1"/>
      </w:tblPr>
      <w:tblGrid>
        <w:gridCol w:w="648"/>
        <w:gridCol w:w="27"/>
        <w:gridCol w:w="63"/>
        <w:gridCol w:w="2205"/>
        <w:gridCol w:w="1560"/>
        <w:gridCol w:w="1559"/>
        <w:gridCol w:w="1701"/>
        <w:gridCol w:w="1276"/>
        <w:gridCol w:w="2238"/>
        <w:gridCol w:w="2238"/>
        <w:gridCol w:w="1336"/>
      </w:tblGrid>
      <w:tr w:rsidR="00BB38CD" w14:paraId="7FFAEE00" w14:textId="77777777" w:rsidTr="00F86BAB">
        <w:trPr>
          <w:trHeight w:val="529"/>
        </w:trPr>
        <w:tc>
          <w:tcPr>
            <w:tcW w:w="14851" w:type="dxa"/>
            <w:gridSpan w:val="11"/>
            <w:tcBorders>
              <w:top w:val="nil"/>
              <w:left w:val="nil"/>
              <w:bottom w:val="single" w:sz="4" w:space="0" w:color="auto"/>
              <w:right w:val="nil"/>
            </w:tcBorders>
          </w:tcPr>
          <w:p w14:paraId="27CF4676" w14:textId="77777777" w:rsidR="00BB38CD" w:rsidRDefault="00BB38CD" w:rsidP="00F86BAB">
            <w:r w:rsidRPr="009712F7">
              <w:rPr>
                <w:b/>
              </w:rPr>
              <w:lastRenderedPageBreak/>
              <w:t>Table 2.</w:t>
            </w:r>
            <w:r>
              <w:t xml:space="preserve"> Comparison of responders and non-responders to trial invite</w:t>
            </w:r>
          </w:p>
          <w:p w14:paraId="55CEF788" w14:textId="77777777" w:rsidR="00BB38CD" w:rsidRPr="00D15E5F" w:rsidRDefault="00BB38CD" w:rsidP="00F86BAB">
            <w:pPr>
              <w:rPr>
                <w:b/>
                <w:lang w:val="en-GB"/>
              </w:rPr>
            </w:pPr>
          </w:p>
        </w:tc>
      </w:tr>
      <w:tr w:rsidR="00BB38CD" w14:paraId="55E6D4A3" w14:textId="77777777" w:rsidTr="00F86BAB">
        <w:trPr>
          <w:trHeight w:val="529"/>
        </w:trPr>
        <w:tc>
          <w:tcPr>
            <w:tcW w:w="2943" w:type="dxa"/>
            <w:gridSpan w:val="4"/>
            <w:tcBorders>
              <w:top w:val="single" w:sz="4" w:space="0" w:color="auto"/>
              <w:left w:val="nil"/>
              <w:bottom w:val="single" w:sz="4" w:space="0" w:color="auto"/>
              <w:right w:val="nil"/>
            </w:tcBorders>
          </w:tcPr>
          <w:p w14:paraId="58896EC9" w14:textId="77777777" w:rsidR="00BB38CD" w:rsidRDefault="00BB38CD" w:rsidP="00F86BAB">
            <w:pPr>
              <w:rPr>
                <w:lang w:val="en-GB"/>
              </w:rPr>
            </w:pPr>
          </w:p>
        </w:tc>
        <w:tc>
          <w:tcPr>
            <w:tcW w:w="1560" w:type="dxa"/>
            <w:tcBorders>
              <w:top w:val="single" w:sz="4" w:space="0" w:color="auto"/>
              <w:left w:val="nil"/>
              <w:bottom w:val="single" w:sz="4" w:space="0" w:color="auto"/>
              <w:right w:val="nil"/>
            </w:tcBorders>
          </w:tcPr>
          <w:p w14:paraId="2B6BE75E" w14:textId="77777777" w:rsidR="00BB38CD" w:rsidRPr="00271B82" w:rsidRDefault="00BB38CD" w:rsidP="00F86BAB">
            <w:pPr>
              <w:rPr>
                <w:b/>
                <w:vertAlign w:val="superscript"/>
                <w:lang w:val="en-GB"/>
              </w:rPr>
            </w:pPr>
            <w:r>
              <w:rPr>
                <w:b/>
                <w:lang w:val="en-GB"/>
              </w:rPr>
              <w:t>All invited n=8902</w:t>
            </w:r>
            <w:r>
              <w:rPr>
                <w:b/>
                <w:vertAlign w:val="superscript"/>
                <w:lang w:val="en-GB"/>
              </w:rPr>
              <w:t>a</w:t>
            </w:r>
          </w:p>
        </w:tc>
        <w:tc>
          <w:tcPr>
            <w:tcW w:w="1559" w:type="dxa"/>
            <w:tcBorders>
              <w:top w:val="single" w:sz="4" w:space="0" w:color="auto"/>
              <w:left w:val="nil"/>
              <w:bottom w:val="single" w:sz="4" w:space="0" w:color="auto"/>
              <w:right w:val="nil"/>
            </w:tcBorders>
          </w:tcPr>
          <w:p w14:paraId="6597CC86" w14:textId="77777777" w:rsidR="00BB38CD" w:rsidRPr="00D15E5F" w:rsidRDefault="00BB38CD" w:rsidP="00F86BAB">
            <w:pPr>
              <w:rPr>
                <w:b/>
                <w:lang w:val="en-GB"/>
              </w:rPr>
            </w:pPr>
            <w:r w:rsidRPr="00D15E5F">
              <w:rPr>
                <w:b/>
                <w:lang w:val="en-GB"/>
              </w:rPr>
              <w:t>Responded to invitation</w:t>
            </w:r>
          </w:p>
          <w:p w14:paraId="0B8E268C" w14:textId="77777777" w:rsidR="00BB38CD" w:rsidRPr="00D15E5F" w:rsidRDefault="00BB38CD" w:rsidP="00F86BAB">
            <w:pPr>
              <w:rPr>
                <w:b/>
                <w:lang w:val="en-GB"/>
              </w:rPr>
            </w:pPr>
            <w:r w:rsidRPr="00D15E5F">
              <w:rPr>
                <w:b/>
                <w:lang w:val="en-GB"/>
              </w:rPr>
              <w:t>n=1</w:t>
            </w:r>
            <w:r>
              <w:rPr>
                <w:b/>
                <w:lang w:val="en-GB"/>
              </w:rPr>
              <w:t>489</w:t>
            </w:r>
          </w:p>
        </w:tc>
        <w:tc>
          <w:tcPr>
            <w:tcW w:w="1701" w:type="dxa"/>
            <w:tcBorders>
              <w:top w:val="single" w:sz="4" w:space="0" w:color="auto"/>
              <w:left w:val="nil"/>
              <w:bottom w:val="single" w:sz="4" w:space="0" w:color="auto"/>
              <w:right w:val="nil"/>
            </w:tcBorders>
          </w:tcPr>
          <w:p w14:paraId="6769719E" w14:textId="77777777" w:rsidR="00BB38CD" w:rsidRPr="00D15E5F" w:rsidRDefault="00BB38CD" w:rsidP="00F86BAB">
            <w:pPr>
              <w:rPr>
                <w:b/>
                <w:lang w:val="en-GB"/>
              </w:rPr>
            </w:pPr>
            <w:r w:rsidRPr="00D15E5F">
              <w:rPr>
                <w:b/>
                <w:lang w:val="en-GB"/>
              </w:rPr>
              <w:t>Did not respond to invitation</w:t>
            </w:r>
          </w:p>
          <w:p w14:paraId="5338B368" w14:textId="77777777" w:rsidR="00BB38CD" w:rsidRPr="00D15E5F" w:rsidRDefault="00BB38CD" w:rsidP="00F86BAB">
            <w:pPr>
              <w:rPr>
                <w:b/>
                <w:lang w:val="en-GB"/>
              </w:rPr>
            </w:pPr>
            <w:r w:rsidRPr="00D15E5F">
              <w:rPr>
                <w:b/>
                <w:lang w:val="en-GB"/>
              </w:rPr>
              <w:t>n=7</w:t>
            </w:r>
            <w:r>
              <w:rPr>
                <w:b/>
                <w:lang w:val="en-GB"/>
              </w:rPr>
              <w:t>413</w:t>
            </w:r>
          </w:p>
          <w:p w14:paraId="41478408" w14:textId="77777777" w:rsidR="00BB38CD" w:rsidRPr="00D15E5F" w:rsidRDefault="00BB38CD" w:rsidP="00F86BAB">
            <w:pPr>
              <w:rPr>
                <w:b/>
                <w:lang w:val="en-GB"/>
              </w:rPr>
            </w:pPr>
          </w:p>
        </w:tc>
        <w:tc>
          <w:tcPr>
            <w:tcW w:w="1276" w:type="dxa"/>
            <w:tcBorders>
              <w:top w:val="single" w:sz="4" w:space="0" w:color="auto"/>
              <w:left w:val="nil"/>
              <w:bottom w:val="single" w:sz="4" w:space="0" w:color="auto"/>
              <w:right w:val="nil"/>
            </w:tcBorders>
          </w:tcPr>
          <w:p w14:paraId="6FA10C48" w14:textId="77777777" w:rsidR="00BB38CD" w:rsidRPr="00D15E5F" w:rsidRDefault="00BB38CD" w:rsidP="00F86BAB">
            <w:pPr>
              <w:rPr>
                <w:b/>
                <w:lang w:val="en-GB"/>
              </w:rPr>
            </w:pPr>
            <w:r>
              <w:rPr>
                <w:b/>
                <w:lang w:val="en-GB"/>
              </w:rPr>
              <w:t>Response rate (%)</w:t>
            </w:r>
          </w:p>
        </w:tc>
        <w:tc>
          <w:tcPr>
            <w:tcW w:w="2238" w:type="dxa"/>
            <w:tcBorders>
              <w:top w:val="single" w:sz="4" w:space="0" w:color="auto"/>
              <w:left w:val="nil"/>
              <w:bottom w:val="single" w:sz="4" w:space="0" w:color="auto"/>
              <w:right w:val="nil"/>
            </w:tcBorders>
          </w:tcPr>
          <w:p w14:paraId="10611D25" w14:textId="77777777" w:rsidR="00BB38CD" w:rsidRPr="00D15E5F" w:rsidRDefault="00BB38CD" w:rsidP="00F86BAB">
            <w:pPr>
              <w:rPr>
                <w:b/>
                <w:lang w:val="en-GB"/>
              </w:rPr>
            </w:pPr>
            <w:r w:rsidRPr="00D15E5F">
              <w:rPr>
                <w:b/>
                <w:lang w:val="en-GB"/>
              </w:rPr>
              <w:t xml:space="preserve">Unadjusted </w:t>
            </w:r>
            <w:r>
              <w:rPr>
                <w:b/>
                <w:lang w:val="en-GB"/>
              </w:rPr>
              <w:t xml:space="preserve">OR </w:t>
            </w:r>
            <w:r w:rsidRPr="00D15E5F">
              <w:rPr>
                <w:b/>
                <w:lang w:val="en-GB"/>
              </w:rPr>
              <w:t>for response to mailout</w:t>
            </w:r>
          </w:p>
          <w:p w14:paraId="78A7D8FF" w14:textId="77777777" w:rsidR="00BB38CD" w:rsidRPr="00D15E5F" w:rsidRDefault="00BB38CD" w:rsidP="00F86BAB">
            <w:pPr>
              <w:rPr>
                <w:b/>
                <w:lang w:val="en-GB"/>
              </w:rPr>
            </w:pPr>
            <w:r>
              <w:rPr>
                <w:b/>
                <w:lang w:val="en-GB"/>
              </w:rPr>
              <w:t>(95% CI</w:t>
            </w:r>
            <w:r w:rsidRPr="00D15E5F">
              <w:rPr>
                <w:b/>
                <w:lang w:val="en-GB"/>
              </w:rPr>
              <w:t>)</w:t>
            </w:r>
          </w:p>
        </w:tc>
        <w:tc>
          <w:tcPr>
            <w:tcW w:w="2238" w:type="dxa"/>
            <w:tcBorders>
              <w:top w:val="single" w:sz="4" w:space="0" w:color="auto"/>
              <w:left w:val="nil"/>
              <w:bottom w:val="single" w:sz="4" w:space="0" w:color="auto"/>
              <w:right w:val="nil"/>
            </w:tcBorders>
          </w:tcPr>
          <w:p w14:paraId="5A3CB68E" w14:textId="77777777" w:rsidR="00BB38CD" w:rsidRPr="00D15E5F" w:rsidRDefault="00BB38CD" w:rsidP="00F86BAB">
            <w:pPr>
              <w:rPr>
                <w:b/>
                <w:lang w:val="en-GB"/>
              </w:rPr>
            </w:pPr>
            <w:r>
              <w:rPr>
                <w:b/>
                <w:lang w:val="en-GB"/>
              </w:rPr>
              <w:t>Adjusted OR</w:t>
            </w:r>
            <w:r w:rsidRPr="00D15E5F">
              <w:rPr>
                <w:b/>
                <w:lang w:val="en-GB"/>
              </w:rPr>
              <w:t xml:space="preserve"> for response to mailout</w:t>
            </w:r>
          </w:p>
          <w:p w14:paraId="6634529B" w14:textId="77777777" w:rsidR="00BB38CD" w:rsidRPr="00D15E5F" w:rsidRDefault="00BB38CD" w:rsidP="00F86BAB">
            <w:pPr>
              <w:rPr>
                <w:b/>
                <w:lang w:val="en-GB"/>
              </w:rPr>
            </w:pPr>
            <w:r>
              <w:rPr>
                <w:b/>
                <w:lang w:val="en-GB"/>
              </w:rPr>
              <w:t>(95% CI</w:t>
            </w:r>
            <w:r w:rsidRPr="00D15E5F">
              <w:rPr>
                <w:b/>
                <w:lang w:val="en-GB"/>
              </w:rPr>
              <w:t>)</w:t>
            </w:r>
          </w:p>
        </w:tc>
        <w:tc>
          <w:tcPr>
            <w:tcW w:w="1336" w:type="dxa"/>
            <w:tcBorders>
              <w:top w:val="single" w:sz="4" w:space="0" w:color="auto"/>
              <w:left w:val="nil"/>
              <w:bottom w:val="single" w:sz="4" w:space="0" w:color="auto"/>
              <w:right w:val="nil"/>
            </w:tcBorders>
          </w:tcPr>
          <w:p w14:paraId="0051E92B" w14:textId="77777777" w:rsidR="00BB38CD" w:rsidRPr="00D15E5F" w:rsidRDefault="00BB38CD" w:rsidP="00F86BAB">
            <w:pPr>
              <w:rPr>
                <w:b/>
                <w:lang w:val="en-GB"/>
              </w:rPr>
            </w:pPr>
            <w:r w:rsidRPr="00D15E5F">
              <w:rPr>
                <w:b/>
                <w:lang w:val="en-GB"/>
              </w:rPr>
              <w:t>Test for trend</w:t>
            </w:r>
          </w:p>
          <w:p w14:paraId="616AB677" w14:textId="77777777" w:rsidR="00BB38CD" w:rsidRPr="00D15E5F" w:rsidRDefault="00BB38CD" w:rsidP="00F86BAB">
            <w:pPr>
              <w:rPr>
                <w:b/>
                <w:lang w:val="en-GB"/>
              </w:rPr>
            </w:pPr>
            <w:r>
              <w:rPr>
                <w:b/>
                <w:lang w:val="en-GB"/>
              </w:rPr>
              <w:t>(</w:t>
            </w:r>
            <w:r w:rsidRPr="00D15E5F">
              <w:rPr>
                <w:b/>
                <w:lang w:val="en-GB"/>
              </w:rPr>
              <w:t>p</w:t>
            </w:r>
            <w:r>
              <w:rPr>
                <w:b/>
                <w:lang w:val="en-GB"/>
              </w:rPr>
              <w:t>)</w:t>
            </w:r>
          </w:p>
        </w:tc>
      </w:tr>
      <w:tr w:rsidR="00BB38CD" w14:paraId="343D2BAA" w14:textId="77777777" w:rsidTr="00F86BAB">
        <w:trPr>
          <w:trHeight w:val="250"/>
        </w:trPr>
        <w:tc>
          <w:tcPr>
            <w:tcW w:w="2943" w:type="dxa"/>
            <w:gridSpan w:val="4"/>
            <w:tcBorders>
              <w:top w:val="single" w:sz="4" w:space="0" w:color="auto"/>
              <w:left w:val="nil"/>
              <w:bottom w:val="nil"/>
              <w:right w:val="nil"/>
            </w:tcBorders>
          </w:tcPr>
          <w:p w14:paraId="13785E8A" w14:textId="35A4B8F2" w:rsidR="00BB38CD" w:rsidRPr="003C708D" w:rsidRDefault="00BB38CD" w:rsidP="00F86BAB">
            <w:pPr>
              <w:rPr>
                <w:b/>
                <w:lang w:val="en-GB"/>
              </w:rPr>
            </w:pPr>
            <w:r>
              <w:rPr>
                <w:b/>
                <w:lang w:val="en-GB"/>
              </w:rPr>
              <w:t xml:space="preserve">Age at invitation </w:t>
            </w:r>
            <w:r w:rsidR="00E870D3">
              <w:rPr>
                <w:b/>
                <w:lang w:val="en-GB"/>
              </w:rPr>
              <w:t>(</w:t>
            </w:r>
            <w:r>
              <w:rPr>
                <w:b/>
                <w:lang w:val="en-GB"/>
              </w:rPr>
              <w:t>years</w:t>
            </w:r>
            <w:r w:rsidR="00E870D3">
              <w:rPr>
                <w:b/>
                <w:lang w:val="en-GB"/>
              </w:rPr>
              <w:t>)</w:t>
            </w:r>
            <w:r>
              <w:rPr>
                <w:b/>
                <w:lang w:val="en-GB"/>
              </w:rPr>
              <w:t xml:space="preserve"> </w:t>
            </w:r>
          </w:p>
        </w:tc>
        <w:tc>
          <w:tcPr>
            <w:tcW w:w="1560" w:type="dxa"/>
            <w:tcBorders>
              <w:top w:val="single" w:sz="4" w:space="0" w:color="auto"/>
              <w:left w:val="nil"/>
              <w:bottom w:val="nil"/>
              <w:right w:val="nil"/>
            </w:tcBorders>
          </w:tcPr>
          <w:p w14:paraId="0BCF8823" w14:textId="2456E876" w:rsidR="00BB38CD" w:rsidRDefault="00BB38CD" w:rsidP="00F86BAB">
            <w:pPr>
              <w:rPr>
                <w:lang w:val="en-GB"/>
              </w:rPr>
            </w:pPr>
            <w:r>
              <w:rPr>
                <w:lang w:val="en-GB"/>
              </w:rPr>
              <w:t>67.3</w:t>
            </w:r>
            <w:r w:rsidR="00E870D3">
              <w:rPr>
                <w:lang w:val="en-GB"/>
              </w:rPr>
              <w:t xml:space="preserve"> (</w:t>
            </w:r>
            <w:r>
              <w:rPr>
                <w:lang w:val="en-GB"/>
              </w:rPr>
              <w:t>5.7</w:t>
            </w:r>
            <w:r w:rsidR="00E870D3">
              <w:rPr>
                <w:lang w:val="en-GB"/>
              </w:rPr>
              <w:t>)</w:t>
            </w:r>
          </w:p>
        </w:tc>
        <w:tc>
          <w:tcPr>
            <w:tcW w:w="1559" w:type="dxa"/>
            <w:tcBorders>
              <w:top w:val="single" w:sz="4" w:space="0" w:color="auto"/>
              <w:left w:val="nil"/>
              <w:bottom w:val="nil"/>
              <w:right w:val="nil"/>
            </w:tcBorders>
          </w:tcPr>
          <w:p w14:paraId="33A65C71" w14:textId="20052B3E" w:rsidR="00BB38CD" w:rsidRDefault="00BB38CD" w:rsidP="00F86BAB">
            <w:pPr>
              <w:rPr>
                <w:lang w:val="en-GB"/>
              </w:rPr>
            </w:pPr>
            <w:r>
              <w:rPr>
                <w:lang w:val="en-GB"/>
              </w:rPr>
              <w:t>68.1</w:t>
            </w:r>
            <w:r w:rsidR="00E870D3">
              <w:rPr>
                <w:lang w:val="en-GB"/>
              </w:rPr>
              <w:t xml:space="preserve"> (</w:t>
            </w:r>
            <w:r>
              <w:rPr>
                <w:lang w:val="en-GB"/>
              </w:rPr>
              <w:t>5.1</w:t>
            </w:r>
            <w:r w:rsidR="00E870D3">
              <w:rPr>
                <w:lang w:val="en-GB"/>
              </w:rPr>
              <w:t>)</w:t>
            </w:r>
          </w:p>
        </w:tc>
        <w:tc>
          <w:tcPr>
            <w:tcW w:w="1701" w:type="dxa"/>
            <w:tcBorders>
              <w:top w:val="single" w:sz="4" w:space="0" w:color="auto"/>
              <w:left w:val="nil"/>
              <w:bottom w:val="nil"/>
              <w:right w:val="nil"/>
            </w:tcBorders>
          </w:tcPr>
          <w:p w14:paraId="10351799" w14:textId="37492C7B" w:rsidR="00BB38CD" w:rsidRDefault="00BB38CD" w:rsidP="00F86BAB">
            <w:pPr>
              <w:rPr>
                <w:lang w:val="en-GB"/>
              </w:rPr>
            </w:pPr>
            <w:r>
              <w:rPr>
                <w:lang w:val="en-GB"/>
              </w:rPr>
              <w:t>67.2</w:t>
            </w:r>
            <w:r w:rsidR="00E870D3">
              <w:rPr>
                <w:lang w:val="en-GB"/>
              </w:rPr>
              <w:t xml:space="preserve"> (</w:t>
            </w:r>
            <w:r>
              <w:rPr>
                <w:lang w:val="en-GB"/>
              </w:rPr>
              <w:t>5.8</w:t>
            </w:r>
            <w:r w:rsidR="00E870D3">
              <w:rPr>
                <w:lang w:val="en-GB"/>
              </w:rPr>
              <w:t>)</w:t>
            </w:r>
          </w:p>
        </w:tc>
        <w:tc>
          <w:tcPr>
            <w:tcW w:w="1276" w:type="dxa"/>
            <w:tcBorders>
              <w:top w:val="single" w:sz="4" w:space="0" w:color="auto"/>
              <w:left w:val="nil"/>
              <w:bottom w:val="nil"/>
              <w:right w:val="nil"/>
            </w:tcBorders>
          </w:tcPr>
          <w:p w14:paraId="5FD6F311" w14:textId="77777777" w:rsidR="00BB38CD" w:rsidRDefault="00BB38CD" w:rsidP="00F86BAB">
            <w:pPr>
              <w:rPr>
                <w:lang w:val="en-GB"/>
              </w:rPr>
            </w:pPr>
          </w:p>
        </w:tc>
        <w:tc>
          <w:tcPr>
            <w:tcW w:w="2238" w:type="dxa"/>
            <w:tcBorders>
              <w:top w:val="single" w:sz="4" w:space="0" w:color="auto"/>
              <w:left w:val="nil"/>
              <w:bottom w:val="nil"/>
              <w:right w:val="nil"/>
            </w:tcBorders>
          </w:tcPr>
          <w:p w14:paraId="5437ACA4" w14:textId="77777777" w:rsidR="00BB38CD" w:rsidRPr="00271B82" w:rsidRDefault="00BB38CD" w:rsidP="00F86BAB">
            <w:pPr>
              <w:rPr>
                <w:vertAlign w:val="superscript"/>
                <w:lang w:val="en-GB"/>
              </w:rPr>
            </w:pPr>
            <w:r>
              <w:rPr>
                <w:lang w:val="en-GB"/>
              </w:rPr>
              <w:t>1.14 (1.08, 1.21)</w:t>
            </w:r>
            <w:r>
              <w:rPr>
                <w:vertAlign w:val="superscript"/>
                <w:lang w:val="en-GB"/>
              </w:rPr>
              <w:t>b</w:t>
            </w:r>
          </w:p>
        </w:tc>
        <w:tc>
          <w:tcPr>
            <w:tcW w:w="2238" w:type="dxa"/>
            <w:tcBorders>
              <w:top w:val="single" w:sz="4" w:space="0" w:color="auto"/>
              <w:left w:val="nil"/>
              <w:bottom w:val="nil"/>
              <w:right w:val="nil"/>
            </w:tcBorders>
          </w:tcPr>
          <w:p w14:paraId="76E6E4C5" w14:textId="77777777" w:rsidR="00BB38CD" w:rsidRPr="00271B82" w:rsidRDefault="00BB38CD" w:rsidP="00F86BAB">
            <w:pPr>
              <w:rPr>
                <w:vertAlign w:val="superscript"/>
                <w:lang w:val="en-GB"/>
              </w:rPr>
            </w:pPr>
            <w:r>
              <w:rPr>
                <w:lang w:val="en-GB"/>
              </w:rPr>
              <w:t>1.19 (1.12, 1.26)</w:t>
            </w:r>
            <w:r>
              <w:rPr>
                <w:vertAlign w:val="superscript"/>
                <w:lang w:val="en-GB"/>
              </w:rPr>
              <w:t>b</w:t>
            </w:r>
          </w:p>
        </w:tc>
        <w:tc>
          <w:tcPr>
            <w:tcW w:w="1336" w:type="dxa"/>
            <w:tcBorders>
              <w:top w:val="single" w:sz="4" w:space="0" w:color="auto"/>
              <w:left w:val="nil"/>
              <w:bottom w:val="nil"/>
              <w:right w:val="nil"/>
            </w:tcBorders>
          </w:tcPr>
          <w:p w14:paraId="12E34790" w14:textId="77777777" w:rsidR="00BB38CD" w:rsidRDefault="00BB38CD" w:rsidP="00F86BAB">
            <w:pPr>
              <w:rPr>
                <w:lang w:val="en-GB"/>
              </w:rPr>
            </w:pPr>
            <w:r>
              <w:rPr>
                <w:lang w:val="en-GB"/>
              </w:rPr>
              <w:t>&lt;0.001</w:t>
            </w:r>
          </w:p>
        </w:tc>
      </w:tr>
      <w:tr w:rsidR="00BB38CD" w14:paraId="54539F25" w14:textId="77777777" w:rsidTr="00F86BAB">
        <w:trPr>
          <w:trHeight w:val="250"/>
        </w:trPr>
        <w:tc>
          <w:tcPr>
            <w:tcW w:w="2943" w:type="dxa"/>
            <w:gridSpan w:val="4"/>
            <w:tcBorders>
              <w:top w:val="nil"/>
              <w:left w:val="nil"/>
              <w:bottom w:val="nil"/>
              <w:right w:val="nil"/>
            </w:tcBorders>
          </w:tcPr>
          <w:p w14:paraId="29C0F61F" w14:textId="77777777" w:rsidR="00BB38CD" w:rsidRPr="003C708D" w:rsidRDefault="00BB38CD" w:rsidP="00F86BAB">
            <w:pPr>
              <w:rPr>
                <w:b/>
                <w:lang w:val="en-GB"/>
              </w:rPr>
            </w:pPr>
            <w:r w:rsidRPr="003C708D">
              <w:rPr>
                <w:b/>
                <w:lang w:val="en-GB"/>
              </w:rPr>
              <w:t>Age at invitation</w:t>
            </w:r>
          </w:p>
        </w:tc>
        <w:tc>
          <w:tcPr>
            <w:tcW w:w="1560" w:type="dxa"/>
            <w:tcBorders>
              <w:top w:val="nil"/>
              <w:left w:val="nil"/>
              <w:bottom w:val="nil"/>
              <w:right w:val="nil"/>
            </w:tcBorders>
          </w:tcPr>
          <w:p w14:paraId="6AAEC32C" w14:textId="77777777" w:rsidR="00BB38CD" w:rsidRDefault="00BB38CD" w:rsidP="00F86BAB">
            <w:pPr>
              <w:rPr>
                <w:lang w:val="en-GB"/>
              </w:rPr>
            </w:pPr>
          </w:p>
        </w:tc>
        <w:tc>
          <w:tcPr>
            <w:tcW w:w="1559" w:type="dxa"/>
            <w:tcBorders>
              <w:top w:val="nil"/>
              <w:left w:val="nil"/>
              <w:bottom w:val="nil"/>
              <w:right w:val="nil"/>
            </w:tcBorders>
          </w:tcPr>
          <w:p w14:paraId="4D826CDD" w14:textId="77777777" w:rsidR="00BB38CD" w:rsidRDefault="00BB38CD" w:rsidP="00F86BAB">
            <w:pPr>
              <w:rPr>
                <w:lang w:val="en-GB"/>
              </w:rPr>
            </w:pPr>
          </w:p>
        </w:tc>
        <w:tc>
          <w:tcPr>
            <w:tcW w:w="1701" w:type="dxa"/>
            <w:tcBorders>
              <w:top w:val="nil"/>
              <w:left w:val="nil"/>
              <w:bottom w:val="nil"/>
              <w:right w:val="nil"/>
            </w:tcBorders>
          </w:tcPr>
          <w:p w14:paraId="1F973A1F" w14:textId="77777777" w:rsidR="00BB38CD" w:rsidRDefault="00BB38CD" w:rsidP="00F86BAB">
            <w:pPr>
              <w:rPr>
                <w:lang w:val="en-GB"/>
              </w:rPr>
            </w:pPr>
          </w:p>
        </w:tc>
        <w:tc>
          <w:tcPr>
            <w:tcW w:w="1276" w:type="dxa"/>
            <w:tcBorders>
              <w:top w:val="nil"/>
              <w:left w:val="nil"/>
              <w:bottom w:val="nil"/>
              <w:right w:val="nil"/>
            </w:tcBorders>
          </w:tcPr>
          <w:p w14:paraId="079D76F4" w14:textId="77777777" w:rsidR="00BB38CD" w:rsidRDefault="00BB38CD" w:rsidP="00F86BAB">
            <w:pPr>
              <w:rPr>
                <w:lang w:val="en-GB"/>
              </w:rPr>
            </w:pPr>
          </w:p>
        </w:tc>
        <w:tc>
          <w:tcPr>
            <w:tcW w:w="2238" w:type="dxa"/>
            <w:tcBorders>
              <w:top w:val="nil"/>
              <w:left w:val="nil"/>
              <w:bottom w:val="nil"/>
              <w:right w:val="nil"/>
            </w:tcBorders>
          </w:tcPr>
          <w:p w14:paraId="3EE93141" w14:textId="77777777" w:rsidR="00BB38CD" w:rsidRDefault="00BB38CD" w:rsidP="00F86BAB">
            <w:pPr>
              <w:rPr>
                <w:lang w:val="en-GB"/>
              </w:rPr>
            </w:pPr>
          </w:p>
        </w:tc>
        <w:tc>
          <w:tcPr>
            <w:tcW w:w="2238" w:type="dxa"/>
            <w:tcBorders>
              <w:top w:val="nil"/>
              <w:left w:val="nil"/>
              <w:bottom w:val="nil"/>
              <w:right w:val="nil"/>
            </w:tcBorders>
          </w:tcPr>
          <w:p w14:paraId="13135073" w14:textId="77777777" w:rsidR="00BB38CD" w:rsidRDefault="00BB38CD" w:rsidP="00F86BAB">
            <w:pPr>
              <w:rPr>
                <w:lang w:val="en-GB"/>
              </w:rPr>
            </w:pPr>
          </w:p>
        </w:tc>
        <w:tc>
          <w:tcPr>
            <w:tcW w:w="1336" w:type="dxa"/>
            <w:tcBorders>
              <w:top w:val="nil"/>
              <w:left w:val="nil"/>
              <w:bottom w:val="nil"/>
              <w:right w:val="nil"/>
            </w:tcBorders>
          </w:tcPr>
          <w:p w14:paraId="67020A57" w14:textId="77777777" w:rsidR="00BB38CD" w:rsidRDefault="00BB38CD" w:rsidP="00F86BAB">
            <w:pPr>
              <w:rPr>
                <w:lang w:val="en-GB"/>
              </w:rPr>
            </w:pPr>
          </w:p>
        </w:tc>
      </w:tr>
      <w:tr w:rsidR="00BB38CD" w14:paraId="117763AA" w14:textId="77777777" w:rsidTr="00F86BAB">
        <w:trPr>
          <w:trHeight w:val="264"/>
        </w:trPr>
        <w:tc>
          <w:tcPr>
            <w:tcW w:w="648" w:type="dxa"/>
            <w:tcBorders>
              <w:top w:val="nil"/>
              <w:left w:val="nil"/>
              <w:bottom w:val="nil"/>
              <w:right w:val="nil"/>
            </w:tcBorders>
          </w:tcPr>
          <w:p w14:paraId="270D2BBB" w14:textId="77777777" w:rsidR="00BB38CD" w:rsidRDefault="00BB38CD" w:rsidP="00F86BAB">
            <w:pPr>
              <w:rPr>
                <w:lang w:val="en-GB"/>
              </w:rPr>
            </w:pPr>
          </w:p>
        </w:tc>
        <w:tc>
          <w:tcPr>
            <w:tcW w:w="2295" w:type="dxa"/>
            <w:gridSpan w:val="3"/>
            <w:tcBorders>
              <w:top w:val="nil"/>
              <w:left w:val="nil"/>
              <w:bottom w:val="nil"/>
              <w:right w:val="nil"/>
            </w:tcBorders>
          </w:tcPr>
          <w:p w14:paraId="3F535DE1" w14:textId="77777777" w:rsidR="00BB38CD" w:rsidRDefault="00BB38CD" w:rsidP="00F86BAB">
            <w:pPr>
              <w:rPr>
                <w:lang w:val="en-GB"/>
              </w:rPr>
            </w:pPr>
            <w:r>
              <w:rPr>
                <w:lang w:val="en-GB"/>
              </w:rPr>
              <w:t>40-59yrs</w:t>
            </w:r>
          </w:p>
        </w:tc>
        <w:tc>
          <w:tcPr>
            <w:tcW w:w="1560" w:type="dxa"/>
            <w:tcBorders>
              <w:top w:val="nil"/>
              <w:left w:val="nil"/>
              <w:bottom w:val="nil"/>
              <w:right w:val="nil"/>
            </w:tcBorders>
          </w:tcPr>
          <w:p w14:paraId="7C455C5F" w14:textId="2FC66383" w:rsidR="00BB38CD" w:rsidRDefault="00BB38CD" w:rsidP="00F86BAB">
            <w:pPr>
              <w:rPr>
                <w:lang w:val="en-GB"/>
              </w:rPr>
            </w:pPr>
            <w:r>
              <w:rPr>
                <w:lang w:val="en-GB"/>
              </w:rPr>
              <w:t>976 (11.0</w:t>
            </w:r>
            <w:r w:rsidR="00CF4AA7">
              <w:rPr>
                <w:lang w:val="en-GB"/>
              </w:rPr>
              <w:t>%</w:t>
            </w:r>
            <w:r>
              <w:rPr>
                <w:lang w:val="en-GB"/>
              </w:rPr>
              <w:t>)</w:t>
            </w:r>
          </w:p>
        </w:tc>
        <w:tc>
          <w:tcPr>
            <w:tcW w:w="1559" w:type="dxa"/>
            <w:tcBorders>
              <w:top w:val="nil"/>
              <w:left w:val="nil"/>
              <w:bottom w:val="nil"/>
              <w:right w:val="nil"/>
            </w:tcBorders>
          </w:tcPr>
          <w:p w14:paraId="0BF5AE56" w14:textId="0AF78681" w:rsidR="00BB38CD" w:rsidRDefault="00BB38CD" w:rsidP="00F86BAB">
            <w:pPr>
              <w:rPr>
                <w:lang w:val="en-GB"/>
              </w:rPr>
            </w:pPr>
            <w:r>
              <w:rPr>
                <w:lang w:val="en-GB"/>
              </w:rPr>
              <w:t>124 (8.4</w:t>
            </w:r>
            <w:r w:rsidR="00CF4AA7">
              <w:rPr>
                <w:lang w:val="en-GB"/>
              </w:rPr>
              <w:t>%</w:t>
            </w:r>
            <w:r>
              <w:rPr>
                <w:lang w:val="en-GB"/>
              </w:rPr>
              <w:t>)</w:t>
            </w:r>
          </w:p>
        </w:tc>
        <w:tc>
          <w:tcPr>
            <w:tcW w:w="1701" w:type="dxa"/>
            <w:tcBorders>
              <w:top w:val="nil"/>
              <w:left w:val="nil"/>
              <w:bottom w:val="nil"/>
              <w:right w:val="nil"/>
            </w:tcBorders>
          </w:tcPr>
          <w:p w14:paraId="6B2DDC9A" w14:textId="54EFB7E9" w:rsidR="00BB38CD" w:rsidRDefault="00BB38CD" w:rsidP="00F86BAB">
            <w:pPr>
              <w:rPr>
                <w:lang w:val="en-GB"/>
              </w:rPr>
            </w:pPr>
            <w:r>
              <w:rPr>
                <w:lang w:val="en-GB"/>
              </w:rPr>
              <w:t>852 (11.6</w:t>
            </w:r>
            <w:r w:rsidR="00CF4AA7">
              <w:rPr>
                <w:lang w:val="en-GB"/>
              </w:rPr>
              <w:t>%</w:t>
            </w:r>
            <w:r>
              <w:rPr>
                <w:lang w:val="en-GB"/>
              </w:rPr>
              <w:t>)</w:t>
            </w:r>
          </w:p>
        </w:tc>
        <w:tc>
          <w:tcPr>
            <w:tcW w:w="1276" w:type="dxa"/>
            <w:tcBorders>
              <w:top w:val="nil"/>
              <w:left w:val="nil"/>
              <w:bottom w:val="nil"/>
              <w:right w:val="nil"/>
            </w:tcBorders>
          </w:tcPr>
          <w:p w14:paraId="5974E519" w14:textId="77777777" w:rsidR="00BB38CD" w:rsidRDefault="00BB38CD" w:rsidP="00F86BAB">
            <w:pPr>
              <w:rPr>
                <w:lang w:val="en-GB"/>
              </w:rPr>
            </w:pPr>
            <w:r>
              <w:rPr>
                <w:lang w:val="en-GB"/>
              </w:rPr>
              <w:t>12.7</w:t>
            </w:r>
          </w:p>
        </w:tc>
        <w:tc>
          <w:tcPr>
            <w:tcW w:w="2238" w:type="dxa"/>
            <w:tcBorders>
              <w:top w:val="nil"/>
              <w:left w:val="nil"/>
              <w:bottom w:val="nil"/>
              <w:right w:val="nil"/>
            </w:tcBorders>
          </w:tcPr>
          <w:p w14:paraId="7485D24F" w14:textId="77777777" w:rsidR="00BB38CD" w:rsidRDefault="00BB38CD" w:rsidP="00F86BAB">
            <w:pPr>
              <w:rPr>
                <w:lang w:val="en-GB"/>
              </w:rPr>
            </w:pPr>
          </w:p>
        </w:tc>
        <w:tc>
          <w:tcPr>
            <w:tcW w:w="2238" w:type="dxa"/>
            <w:tcBorders>
              <w:top w:val="nil"/>
              <w:left w:val="nil"/>
              <w:bottom w:val="nil"/>
              <w:right w:val="nil"/>
            </w:tcBorders>
          </w:tcPr>
          <w:p w14:paraId="4CE225EC" w14:textId="77777777" w:rsidR="00BB38CD" w:rsidRDefault="00BB38CD" w:rsidP="00F86BAB">
            <w:pPr>
              <w:rPr>
                <w:lang w:val="en-GB"/>
              </w:rPr>
            </w:pPr>
          </w:p>
        </w:tc>
        <w:tc>
          <w:tcPr>
            <w:tcW w:w="1336" w:type="dxa"/>
            <w:tcBorders>
              <w:top w:val="nil"/>
              <w:left w:val="nil"/>
              <w:bottom w:val="nil"/>
              <w:right w:val="nil"/>
            </w:tcBorders>
          </w:tcPr>
          <w:p w14:paraId="1AD5A714" w14:textId="77777777" w:rsidR="00BB38CD" w:rsidRDefault="00BB38CD" w:rsidP="00F86BAB">
            <w:pPr>
              <w:rPr>
                <w:lang w:val="en-GB"/>
              </w:rPr>
            </w:pPr>
          </w:p>
        </w:tc>
      </w:tr>
      <w:tr w:rsidR="00BB38CD" w14:paraId="5682F924" w14:textId="77777777" w:rsidTr="00F86BAB">
        <w:trPr>
          <w:trHeight w:val="264"/>
        </w:trPr>
        <w:tc>
          <w:tcPr>
            <w:tcW w:w="648" w:type="dxa"/>
            <w:tcBorders>
              <w:top w:val="nil"/>
              <w:left w:val="nil"/>
              <w:bottom w:val="nil"/>
              <w:right w:val="nil"/>
            </w:tcBorders>
          </w:tcPr>
          <w:p w14:paraId="2C37297B" w14:textId="77777777" w:rsidR="00BB38CD" w:rsidRDefault="00BB38CD" w:rsidP="00F86BAB">
            <w:pPr>
              <w:rPr>
                <w:lang w:val="en-GB"/>
              </w:rPr>
            </w:pPr>
          </w:p>
        </w:tc>
        <w:tc>
          <w:tcPr>
            <w:tcW w:w="2295" w:type="dxa"/>
            <w:gridSpan w:val="3"/>
            <w:tcBorders>
              <w:top w:val="nil"/>
              <w:left w:val="nil"/>
              <w:bottom w:val="nil"/>
              <w:right w:val="nil"/>
            </w:tcBorders>
          </w:tcPr>
          <w:p w14:paraId="5B3F1A6A" w14:textId="77777777" w:rsidR="00BB38CD" w:rsidRDefault="00BB38CD" w:rsidP="00F86BAB">
            <w:pPr>
              <w:rPr>
                <w:lang w:val="en-GB"/>
              </w:rPr>
            </w:pPr>
            <w:r>
              <w:rPr>
                <w:lang w:val="en-GB"/>
              </w:rPr>
              <w:t>60-64yrs</w:t>
            </w:r>
          </w:p>
        </w:tc>
        <w:tc>
          <w:tcPr>
            <w:tcW w:w="1560" w:type="dxa"/>
            <w:tcBorders>
              <w:top w:val="nil"/>
              <w:left w:val="nil"/>
              <w:bottom w:val="nil"/>
              <w:right w:val="nil"/>
            </w:tcBorders>
          </w:tcPr>
          <w:p w14:paraId="1EE54055" w14:textId="68E464CA" w:rsidR="00BB38CD" w:rsidRDefault="00BB38CD" w:rsidP="00F86BAB">
            <w:pPr>
              <w:rPr>
                <w:lang w:val="en-GB"/>
              </w:rPr>
            </w:pPr>
            <w:r>
              <w:rPr>
                <w:lang w:val="en-GB"/>
              </w:rPr>
              <w:t>1462 (16.4</w:t>
            </w:r>
            <w:r w:rsidR="00CF4AA7">
              <w:rPr>
                <w:lang w:val="en-GB"/>
              </w:rPr>
              <w:t>%</w:t>
            </w:r>
            <w:r>
              <w:rPr>
                <w:lang w:val="en-GB"/>
              </w:rPr>
              <w:t>)</w:t>
            </w:r>
          </w:p>
        </w:tc>
        <w:tc>
          <w:tcPr>
            <w:tcW w:w="1559" w:type="dxa"/>
            <w:tcBorders>
              <w:top w:val="nil"/>
              <w:left w:val="nil"/>
              <w:bottom w:val="nil"/>
              <w:right w:val="nil"/>
            </w:tcBorders>
          </w:tcPr>
          <w:p w14:paraId="5BE1BEF7" w14:textId="197A7C19" w:rsidR="00BB38CD" w:rsidRDefault="00BB38CD" w:rsidP="00F86BAB">
            <w:pPr>
              <w:rPr>
                <w:lang w:val="en-GB"/>
              </w:rPr>
            </w:pPr>
            <w:r>
              <w:rPr>
                <w:lang w:val="en-GB"/>
              </w:rPr>
              <w:t>200 (13.5</w:t>
            </w:r>
            <w:r w:rsidR="00CF4AA7">
              <w:rPr>
                <w:lang w:val="en-GB"/>
              </w:rPr>
              <w:t>%</w:t>
            </w:r>
            <w:r>
              <w:rPr>
                <w:lang w:val="en-GB"/>
              </w:rPr>
              <w:t>)</w:t>
            </w:r>
          </w:p>
        </w:tc>
        <w:tc>
          <w:tcPr>
            <w:tcW w:w="1701" w:type="dxa"/>
            <w:tcBorders>
              <w:top w:val="nil"/>
              <w:left w:val="nil"/>
              <w:bottom w:val="nil"/>
              <w:right w:val="nil"/>
            </w:tcBorders>
          </w:tcPr>
          <w:p w14:paraId="7E67EB82" w14:textId="0B6F5691" w:rsidR="00BB38CD" w:rsidRDefault="00BB38CD" w:rsidP="00F86BAB">
            <w:pPr>
              <w:rPr>
                <w:lang w:val="en-GB"/>
              </w:rPr>
            </w:pPr>
            <w:r>
              <w:rPr>
                <w:lang w:val="en-GB"/>
              </w:rPr>
              <w:t>1262 (17.0</w:t>
            </w:r>
            <w:r w:rsidR="00CF4AA7">
              <w:rPr>
                <w:lang w:val="en-GB"/>
              </w:rPr>
              <w:t>%</w:t>
            </w:r>
            <w:r>
              <w:rPr>
                <w:lang w:val="en-GB"/>
              </w:rPr>
              <w:t>)</w:t>
            </w:r>
          </w:p>
        </w:tc>
        <w:tc>
          <w:tcPr>
            <w:tcW w:w="1276" w:type="dxa"/>
            <w:tcBorders>
              <w:top w:val="nil"/>
              <w:left w:val="nil"/>
              <w:bottom w:val="nil"/>
              <w:right w:val="nil"/>
            </w:tcBorders>
          </w:tcPr>
          <w:p w14:paraId="73C2DC00" w14:textId="77777777" w:rsidR="00BB38CD" w:rsidRDefault="00BB38CD" w:rsidP="00F86BAB">
            <w:pPr>
              <w:rPr>
                <w:lang w:val="en-GB"/>
              </w:rPr>
            </w:pPr>
            <w:r>
              <w:rPr>
                <w:lang w:val="en-GB"/>
              </w:rPr>
              <w:t>13.7</w:t>
            </w:r>
          </w:p>
        </w:tc>
        <w:tc>
          <w:tcPr>
            <w:tcW w:w="2238" w:type="dxa"/>
            <w:tcBorders>
              <w:top w:val="nil"/>
              <w:left w:val="nil"/>
              <w:bottom w:val="nil"/>
              <w:right w:val="nil"/>
            </w:tcBorders>
          </w:tcPr>
          <w:p w14:paraId="157EDCEB" w14:textId="77777777" w:rsidR="00BB38CD" w:rsidRDefault="00BB38CD" w:rsidP="00F86BAB">
            <w:pPr>
              <w:rPr>
                <w:lang w:val="en-GB"/>
              </w:rPr>
            </w:pPr>
          </w:p>
        </w:tc>
        <w:tc>
          <w:tcPr>
            <w:tcW w:w="2238" w:type="dxa"/>
            <w:tcBorders>
              <w:top w:val="nil"/>
              <w:left w:val="nil"/>
              <w:bottom w:val="nil"/>
              <w:right w:val="nil"/>
            </w:tcBorders>
          </w:tcPr>
          <w:p w14:paraId="3EEDF305" w14:textId="77777777" w:rsidR="00BB38CD" w:rsidRDefault="00BB38CD" w:rsidP="00F86BAB">
            <w:pPr>
              <w:rPr>
                <w:lang w:val="en-GB"/>
              </w:rPr>
            </w:pPr>
          </w:p>
        </w:tc>
        <w:tc>
          <w:tcPr>
            <w:tcW w:w="1336" w:type="dxa"/>
            <w:tcBorders>
              <w:top w:val="nil"/>
              <w:left w:val="nil"/>
              <w:bottom w:val="nil"/>
              <w:right w:val="nil"/>
            </w:tcBorders>
          </w:tcPr>
          <w:p w14:paraId="4990E3E1" w14:textId="77777777" w:rsidR="00BB38CD" w:rsidRDefault="00BB38CD" w:rsidP="00F86BAB">
            <w:pPr>
              <w:rPr>
                <w:lang w:val="en-GB"/>
              </w:rPr>
            </w:pPr>
          </w:p>
        </w:tc>
      </w:tr>
      <w:tr w:rsidR="00BB38CD" w14:paraId="4B6AD179" w14:textId="77777777" w:rsidTr="00F86BAB">
        <w:trPr>
          <w:trHeight w:val="264"/>
        </w:trPr>
        <w:tc>
          <w:tcPr>
            <w:tcW w:w="648" w:type="dxa"/>
            <w:tcBorders>
              <w:top w:val="nil"/>
              <w:left w:val="nil"/>
              <w:bottom w:val="nil"/>
              <w:right w:val="nil"/>
            </w:tcBorders>
          </w:tcPr>
          <w:p w14:paraId="799CC213" w14:textId="77777777" w:rsidR="00BB38CD" w:rsidRDefault="00BB38CD" w:rsidP="00F86BAB">
            <w:pPr>
              <w:rPr>
                <w:lang w:val="en-GB"/>
              </w:rPr>
            </w:pPr>
          </w:p>
        </w:tc>
        <w:tc>
          <w:tcPr>
            <w:tcW w:w="2295" w:type="dxa"/>
            <w:gridSpan w:val="3"/>
            <w:tcBorders>
              <w:top w:val="nil"/>
              <w:left w:val="nil"/>
              <w:bottom w:val="nil"/>
              <w:right w:val="nil"/>
            </w:tcBorders>
          </w:tcPr>
          <w:p w14:paraId="0DCE579B" w14:textId="77777777" w:rsidR="00BB38CD" w:rsidRDefault="00BB38CD" w:rsidP="00F86BAB">
            <w:pPr>
              <w:rPr>
                <w:lang w:val="en-GB"/>
              </w:rPr>
            </w:pPr>
            <w:r>
              <w:rPr>
                <w:lang w:val="en-GB"/>
              </w:rPr>
              <w:t>65-69yrs</w:t>
            </w:r>
          </w:p>
        </w:tc>
        <w:tc>
          <w:tcPr>
            <w:tcW w:w="1560" w:type="dxa"/>
            <w:tcBorders>
              <w:top w:val="nil"/>
              <w:left w:val="nil"/>
              <w:bottom w:val="nil"/>
              <w:right w:val="nil"/>
            </w:tcBorders>
          </w:tcPr>
          <w:p w14:paraId="40037CCC" w14:textId="1CFB8F2C" w:rsidR="00BB38CD" w:rsidRDefault="00BB38CD" w:rsidP="00F86BAB">
            <w:pPr>
              <w:rPr>
                <w:lang w:val="en-GB"/>
              </w:rPr>
            </w:pPr>
            <w:r>
              <w:rPr>
                <w:lang w:val="en-GB"/>
              </w:rPr>
              <w:t>2989 (33.6</w:t>
            </w:r>
            <w:r w:rsidR="00CF4AA7">
              <w:rPr>
                <w:lang w:val="en-GB"/>
              </w:rPr>
              <w:t>%</w:t>
            </w:r>
            <w:r>
              <w:rPr>
                <w:lang w:val="en-GB"/>
              </w:rPr>
              <w:t>)</w:t>
            </w:r>
          </w:p>
        </w:tc>
        <w:tc>
          <w:tcPr>
            <w:tcW w:w="1559" w:type="dxa"/>
            <w:tcBorders>
              <w:top w:val="nil"/>
              <w:left w:val="nil"/>
              <w:bottom w:val="nil"/>
              <w:right w:val="nil"/>
            </w:tcBorders>
          </w:tcPr>
          <w:p w14:paraId="60D76D62" w14:textId="5A58BDE9" w:rsidR="00BB38CD" w:rsidRDefault="00BB38CD" w:rsidP="00F86BAB">
            <w:pPr>
              <w:rPr>
                <w:lang w:val="en-GB"/>
              </w:rPr>
            </w:pPr>
            <w:r>
              <w:rPr>
                <w:lang w:val="en-GB"/>
              </w:rPr>
              <w:t>536 (36.0</w:t>
            </w:r>
            <w:r w:rsidR="00CF4AA7">
              <w:rPr>
                <w:lang w:val="en-GB"/>
              </w:rPr>
              <w:t>%</w:t>
            </w:r>
            <w:r>
              <w:rPr>
                <w:lang w:val="en-GB"/>
              </w:rPr>
              <w:t>)</w:t>
            </w:r>
          </w:p>
        </w:tc>
        <w:tc>
          <w:tcPr>
            <w:tcW w:w="1701" w:type="dxa"/>
            <w:tcBorders>
              <w:top w:val="nil"/>
              <w:left w:val="nil"/>
              <w:bottom w:val="nil"/>
              <w:right w:val="nil"/>
            </w:tcBorders>
          </w:tcPr>
          <w:p w14:paraId="438C292F" w14:textId="4958A1E3" w:rsidR="00BB38CD" w:rsidRDefault="00BB38CD" w:rsidP="00F86BAB">
            <w:pPr>
              <w:rPr>
                <w:lang w:val="en-GB"/>
              </w:rPr>
            </w:pPr>
            <w:r>
              <w:rPr>
                <w:lang w:val="en-GB"/>
              </w:rPr>
              <w:t>2453 (33.1</w:t>
            </w:r>
            <w:r w:rsidR="00CF4AA7">
              <w:rPr>
                <w:lang w:val="en-GB"/>
              </w:rPr>
              <w:t>%</w:t>
            </w:r>
            <w:r>
              <w:rPr>
                <w:lang w:val="en-GB"/>
              </w:rPr>
              <w:t>)</w:t>
            </w:r>
          </w:p>
        </w:tc>
        <w:tc>
          <w:tcPr>
            <w:tcW w:w="1276" w:type="dxa"/>
            <w:tcBorders>
              <w:top w:val="nil"/>
              <w:left w:val="nil"/>
              <w:bottom w:val="nil"/>
              <w:right w:val="nil"/>
            </w:tcBorders>
          </w:tcPr>
          <w:p w14:paraId="7314CF15" w14:textId="77777777" w:rsidR="00BB38CD" w:rsidRDefault="00BB38CD" w:rsidP="00F86BAB">
            <w:pPr>
              <w:rPr>
                <w:lang w:val="en-GB"/>
              </w:rPr>
            </w:pPr>
            <w:r>
              <w:rPr>
                <w:lang w:val="en-GB"/>
              </w:rPr>
              <w:t>17.9</w:t>
            </w:r>
          </w:p>
        </w:tc>
        <w:tc>
          <w:tcPr>
            <w:tcW w:w="2238" w:type="dxa"/>
            <w:tcBorders>
              <w:top w:val="nil"/>
              <w:left w:val="nil"/>
              <w:bottom w:val="nil"/>
              <w:right w:val="nil"/>
            </w:tcBorders>
          </w:tcPr>
          <w:p w14:paraId="00593EC3" w14:textId="77777777" w:rsidR="00BB38CD" w:rsidRDefault="00BB38CD" w:rsidP="00F86BAB">
            <w:pPr>
              <w:rPr>
                <w:lang w:val="en-GB"/>
              </w:rPr>
            </w:pPr>
          </w:p>
        </w:tc>
        <w:tc>
          <w:tcPr>
            <w:tcW w:w="2238" w:type="dxa"/>
            <w:tcBorders>
              <w:top w:val="nil"/>
              <w:left w:val="nil"/>
              <w:bottom w:val="nil"/>
              <w:right w:val="nil"/>
            </w:tcBorders>
          </w:tcPr>
          <w:p w14:paraId="7AC96221" w14:textId="77777777" w:rsidR="00BB38CD" w:rsidRDefault="00BB38CD" w:rsidP="00F86BAB">
            <w:pPr>
              <w:rPr>
                <w:lang w:val="en-GB"/>
              </w:rPr>
            </w:pPr>
          </w:p>
        </w:tc>
        <w:tc>
          <w:tcPr>
            <w:tcW w:w="1336" w:type="dxa"/>
            <w:tcBorders>
              <w:top w:val="nil"/>
              <w:left w:val="nil"/>
              <w:bottom w:val="nil"/>
              <w:right w:val="nil"/>
            </w:tcBorders>
          </w:tcPr>
          <w:p w14:paraId="1AC67B09" w14:textId="77777777" w:rsidR="00BB38CD" w:rsidRDefault="00BB38CD" w:rsidP="00F86BAB">
            <w:pPr>
              <w:rPr>
                <w:lang w:val="en-GB"/>
              </w:rPr>
            </w:pPr>
          </w:p>
        </w:tc>
      </w:tr>
      <w:tr w:rsidR="00BB38CD" w14:paraId="62C3209C" w14:textId="77777777" w:rsidTr="00F86BAB">
        <w:trPr>
          <w:trHeight w:val="264"/>
        </w:trPr>
        <w:tc>
          <w:tcPr>
            <w:tcW w:w="648" w:type="dxa"/>
            <w:tcBorders>
              <w:top w:val="nil"/>
              <w:left w:val="nil"/>
              <w:bottom w:val="nil"/>
              <w:right w:val="nil"/>
            </w:tcBorders>
          </w:tcPr>
          <w:p w14:paraId="5BF2FA8D" w14:textId="77777777" w:rsidR="00BB38CD" w:rsidRDefault="00BB38CD" w:rsidP="00F86BAB">
            <w:pPr>
              <w:rPr>
                <w:lang w:val="en-GB"/>
              </w:rPr>
            </w:pPr>
          </w:p>
        </w:tc>
        <w:tc>
          <w:tcPr>
            <w:tcW w:w="2295" w:type="dxa"/>
            <w:gridSpan w:val="3"/>
            <w:tcBorders>
              <w:top w:val="nil"/>
              <w:left w:val="nil"/>
              <w:bottom w:val="nil"/>
              <w:right w:val="nil"/>
            </w:tcBorders>
          </w:tcPr>
          <w:p w14:paraId="1382ED22" w14:textId="77777777" w:rsidR="00BB38CD" w:rsidRDefault="00BB38CD" w:rsidP="00F86BAB">
            <w:pPr>
              <w:rPr>
                <w:lang w:val="en-GB"/>
              </w:rPr>
            </w:pPr>
            <w:r>
              <w:rPr>
                <w:lang w:val="en-GB"/>
              </w:rPr>
              <w:t>70-75yrs</w:t>
            </w:r>
          </w:p>
        </w:tc>
        <w:tc>
          <w:tcPr>
            <w:tcW w:w="1560" w:type="dxa"/>
            <w:tcBorders>
              <w:top w:val="nil"/>
              <w:left w:val="nil"/>
              <w:bottom w:val="nil"/>
              <w:right w:val="nil"/>
            </w:tcBorders>
          </w:tcPr>
          <w:p w14:paraId="20CFF923" w14:textId="79B05323" w:rsidR="00BB38CD" w:rsidRDefault="00BB38CD" w:rsidP="00F86BAB">
            <w:pPr>
              <w:rPr>
                <w:lang w:val="en-GB"/>
              </w:rPr>
            </w:pPr>
            <w:r>
              <w:rPr>
                <w:lang w:val="en-GB"/>
              </w:rPr>
              <w:t>3475 (39.0</w:t>
            </w:r>
            <w:r w:rsidR="00CF4AA7">
              <w:rPr>
                <w:lang w:val="en-GB"/>
              </w:rPr>
              <w:t>%</w:t>
            </w:r>
            <w:r>
              <w:rPr>
                <w:lang w:val="en-GB"/>
              </w:rPr>
              <w:t>)</w:t>
            </w:r>
          </w:p>
        </w:tc>
        <w:tc>
          <w:tcPr>
            <w:tcW w:w="1559" w:type="dxa"/>
            <w:tcBorders>
              <w:top w:val="nil"/>
              <w:left w:val="nil"/>
              <w:bottom w:val="nil"/>
              <w:right w:val="nil"/>
            </w:tcBorders>
          </w:tcPr>
          <w:p w14:paraId="659567A3" w14:textId="2324EB04" w:rsidR="00BB38CD" w:rsidRDefault="00BB38CD" w:rsidP="00F86BAB">
            <w:pPr>
              <w:rPr>
                <w:lang w:val="en-GB"/>
              </w:rPr>
            </w:pPr>
            <w:r>
              <w:rPr>
                <w:lang w:val="en-GB"/>
              </w:rPr>
              <w:t>629 (42.2</w:t>
            </w:r>
            <w:r w:rsidR="00CF4AA7">
              <w:rPr>
                <w:lang w:val="en-GB"/>
              </w:rPr>
              <w:t>%</w:t>
            </w:r>
            <w:r>
              <w:rPr>
                <w:lang w:val="en-GB"/>
              </w:rPr>
              <w:t>)</w:t>
            </w:r>
          </w:p>
        </w:tc>
        <w:tc>
          <w:tcPr>
            <w:tcW w:w="1701" w:type="dxa"/>
            <w:tcBorders>
              <w:top w:val="nil"/>
              <w:left w:val="nil"/>
              <w:bottom w:val="nil"/>
              <w:right w:val="nil"/>
            </w:tcBorders>
          </w:tcPr>
          <w:p w14:paraId="2FB5D3B3" w14:textId="6847578E" w:rsidR="00BB38CD" w:rsidRDefault="00BB38CD" w:rsidP="00F86BAB">
            <w:pPr>
              <w:rPr>
                <w:lang w:val="en-GB"/>
              </w:rPr>
            </w:pPr>
            <w:r>
              <w:rPr>
                <w:lang w:val="en-GB"/>
              </w:rPr>
              <w:t>2846 (38.4</w:t>
            </w:r>
            <w:r w:rsidR="00CF4AA7">
              <w:rPr>
                <w:lang w:val="en-GB"/>
              </w:rPr>
              <w:t>%</w:t>
            </w:r>
            <w:r>
              <w:rPr>
                <w:lang w:val="en-GB"/>
              </w:rPr>
              <w:t>)</w:t>
            </w:r>
          </w:p>
        </w:tc>
        <w:tc>
          <w:tcPr>
            <w:tcW w:w="1276" w:type="dxa"/>
            <w:tcBorders>
              <w:top w:val="nil"/>
              <w:left w:val="nil"/>
              <w:bottom w:val="nil"/>
              <w:right w:val="nil"/>
            </w:tcBorders>
          </w:tcPr>
          <w:p w14:paraId="6D873AB0" w14:textId="77777777" w:rsidR="00BB38CD" w:rsidRDefault="00BB38CD" w:rsidP="00F86BAB">
            <w:pPr>
              <w:rPr>
                <w:lang w:val="en-GB"/>
              </w:rPr>
            </w:pPr>
            <w:r>
              <w:rPr>
                <w:lang w:val="en-GB"/>
              </w:rPr>
              <w:t>18.1</w:t>
            </w:r>
          </w:p>
        </w:tc>
        <w:tc>
          <w:tcPr>
            <w:tcW w:w="2238" w:type="dxa"/>
            <w:tcBorders>
              <w:top w:val="nil"/>
              <w:left w:val="nil"/>
              <w:bottom w:val="nil"/>
              <w:right w:val="nil"/>
            </w:tcBorders>
          </w:tcPr>
          <w:p w14:paraId="77E368C5" w14:textId="77777777" w:rsidR="00BB38CD" w:rsidRDefault="00BB38CD" w:rsidP="00F86BAB">
            <w:pPr>
              <w:rPr>
                <w:lang w:val="en-GB"/>
              </w:rPr>
            </w:pPr>
          </w:p>
        </w:tc>
        <w:tc>
          <w:tcPr>
            <w:tcW w:w="2238" w:type="dxa"/>
            <w:tcBorders>
              <w:top w:val="nil"/>
              <w:left w:val="nil"/>
              <w:bottom w:val="nil"/>
              <w:right w:val="nil"/>
            </w:tcBorders>
          </w:tcPr>
          <w:p w14:paraId="6A375110" w14:textId="77777777" w:rsidR="00BB38CD" w:rsidRDefault="00BB38CD" w:rsidP="00F86BAB">
            <w:pPr>
              <w:rPr>
                <w:lang w:val="en-GB"/>
              </w:rPr>
            </w:pPr>
          </w:p>
        </w:tc>
        <w:tc>
          <w:tcPr>
            <w:tcW w:w="1336" w:type="dxa"/>
            <w:tcBorders>
              <w:top w:val="nil"/>
              <w:left w:val="nil"/>
              <w:bottom w:val="nil"/>
              <w:right w:val="nil"/>
            </w:tcBorders>
          </w:tcPr>
          <w:p w14:paraId="672DCA9F" w14:textId="77777777" w:rsidR="00BB38CD" w:rsidRDefault="00BB38CD" w:rsidP="00F86BAB">
            <w:pPr>
              <w:rPr>
                <w:lang w:val="en-GB"/>
              </w:rPr>
            </w:pPr>
          </w:p>
        </w:tc>
      </w:tr>
      <w:tr w:rsidR="00BB38CD" w14:paraId="2DA4B2CA" w14:textId="77777777" w:rsidTr="00F86BAB">
        <w:trPr>
          <w:trHeight w:val="264"/>
        </w:trPr>
        <w:tc>
          <w:tcPr>
            <w:tcW w:w="2943" w:type="dxa"/>
            <w:gridSpan w:val="4"/>
            <w:tcBorders>
              <w:top w:val="nil"/>
              <w:left w:val="nil"/>
              <w:bottom w:val="nil"/>
              <w:right w:val="nil"/>
            </w:tcBorders>
          </w:tcPr>
          <w:p w14:paraId="72C6DB42" w14:textId="15278BE0" w:rsidR="00BB38CD" w:rsidRDefault="001A350B" w:rsidP="00F86BAB">
            <w:pPr>
              <w:rPr>
                <w:lang w:val="en-GB"/>
              </w:rPr>
            </w:pPr>
            <w:r>
              <w:rPr>
                <w:b/>
                <w:lang w:val="en-GB"/>
              </w:rPr>
              <w:t>Sex</w:t>
            </w:r>
          </w:p>
        </w:tc>
        <w:tc>
          <w:tcPr>
            <w:tcW w:w="1560" w:type="dxa"/>
            <w:tcBorders>
              <w:top w:val="nil"/>
              <w:left w:val="nil"/>
              <w:bottom w:val="nil"/>
              <w:right w:val="nil"/>
            </w:tcBorders>
          </w:tcPr>
          <w:p w14:paraId="51D663F8" w14:textId="77777777" w:rsidR="00BB38CD" w:rsidRDefault="00BB38CD" w:rsidP="00F86BAB">
            <w:pPr>
              <w:rPr>
                <w:lang w:val="en-GB"/>
              </w:rPr>
            </w:pPr>
          </w:p>
        </w:tc>
        <w:tc>
          <w:tcPr>
            <w:tcW w:w="1559" w:type="dxa"/>
            <w:tcBorders>
              <w:top w:val="nil"/>
              <w:left w:val="nil"/>
              <w:bottom w:val="nil"/>
              <w:right w:val="nil"/>
            </w:tcBorders>
          </w:tcPr>
          <w:p w14:paraId="28C5F7A3" w14:textId="77777777" w:rsidR="00BB38CD" w:rsidRDefault="00BB38CD" w:rsidP="00F86BAB">
            <w:pPr>
              <w:rPr>
                <w:lang w:val="en-GB"/>
              </w:rPr>
            </w:pPr>
          </w:p>
        </w:tc>
        <w:tc>
          <w:tcPr>
            <w:tcW w:w="1701" w:type="dxa"/>
            <w:tcBorders>
              <w:top w:val="nil"/>
              <w:left w:val="nil"/>
              <w:bottom w:val="nil"/>
              <w:right w:val="nil"/>
            </w:tcBorders>
          </w:tcPr>
          <w:p w14:paraId="4DB9FA30" w14:textId="77777777" w:rsidR="00BB38CD" w:rsidRDefault="00BB38CD" w:rsidP="00F86BAB">
            <w:pPr>
              <w:rPr>
                <w:lang w:val="en-GB"/>
              </w:rPr>
            </w:pPr>
          </w:p>
        </w:tc>
        <w:tc>
          <w:tcPr>
            <w:tcW w:w="1276" w:type="dxa"/>
            <w:tcBorders>
              <w:top w:val="nil"/>
              <w:left w:val="nil"/>
              <w:bottom w:val="nil"/>
              <w:right w:val="nil"/>
            </w:tcBorders>
          </w:tcPr>
          <w:p w14:paraId="72BFD256" w14:textId="77777777" w:rsidR="00BB38CD" w:rsidRDefault="00BB38CD" w:rsidP="00F86BAB">
            <w:pPr>
              <w:rPr>
                <w:lang w:val="en-GB"/>
              </w:rPr>
            </w:pPr>
          </w:p>
        </w:tc>
        <w:tc>
          <w:tcPr>
            <w:tcW w:w="2238" w:type="dxa"/>
            <w:tcBorders>
              <w:top w:val="nil"/>
              <w:left w:val="nil"/>
              <w:bottom w:val="nil"/>
              <w:right w:val="nil"/>
            </w:tcBorders>
          </w:tcPr>
          <w:p w14:paraId="43F51159" w14:textId="77777777" w:rsidR="00BB38CD" w:rsidRDefault="00BB38CD" w:rsidP="00F86BAB">
            <w:pPr>
              <w:rPr>
                <w:lang w:val="en-GB"/>
              </w:rPr>
            </w:pPr>
          </w:p>
        </w:tc>
        <w:tc>
          <w:tcPr>
            <w:tcW w:w="2238" w:type="dxa"/>
            <w:tcBorders>
              <w:top w:val="nil"/>
              <w:left w:val="nil"/>
              <w:bottom w:val="nil"/>
              <w:right w:val="nil"/>
            </w:tcBorders>
          </w:tcPr>
          <w:p w14:paraId="2BA75096" w14:textId="77777777" w:rsidR="00BB38CD" w:rsidRDefault="00BB38CD" w:rsidP="00F86BAB">
            <w:pPr>
              <w:rPr>
                <w:lang w:val="en-GB"/>
              </w:rPr>
            </w:pPr>
          </w:p>
        </w:tc>
        <w:tc>
          <w:tcPr>
            <w:tcW w:w="1336" w:type="dxa"/>
            <w:tcBorders>
              <w:top w:val="nil"/>
              <w:left w:val="nil"/>
              <w:bottom w:val="nil"/>
              <w:right w:val="nil"/>
            </w:tcBorders>
          </w:tcPr>
          <w:p w14:paraId="4CCB4862" w14:textId="77777777" w:rsidR="00BB38CD" w:rsidRDefault="00BB38CD" w:rsidP="00F86BAB">
            <w:pPr>
              <w:rPr>
                <w:lang w:val="en-GB"/>
              </w:rPr>
            </w:pPr>
          </w:p>
        </w:tc>
      </w:tr>
      <w:tr w:rsidR="00BB38CD" w14:paraId="509EE77F" w14:textId="77777777" w:rsidTr="00F86BAB">
        <w:trPr>
          <w:trHeight w:val="250"/>
        </w:trPr>
        <w:tc>
          <w:tcPr>
            <w:tcW w:w="648" w:type="dxa"/>
            <w:tcBorders>
              <w:top w:val="nil"/>
              <w:left w:val="nil"/>
              <w:bottom w:val="nil"/>
              <w:right w:val="nil"/>
            </w:tcBorders>
          </w:tcPr>
          <w:p w14:paraId="226BCB66" w14:textId="77777777" w:rsidR="00BB38CD" w:rsidRDefault="00BB38CD" w:rsidP="00F86BAB">
            <w:pPr>
              <w:rPr>
                <w:lang w:val="en-GB"/>
              </w:rPr>
            </w:pPr>
          </w:p>
        </w:tc>
        <w:tc>
          <w:tcPr>
            <w:tcW w:w="2295" w:type="dxa"/>
            <w:gridSpan w:val="3"/>
            <w:tcBorders>
              <w:top w:val="nil"/>
              <w:left w:val="nil"/>
              <w:bottom w:val="nil"/>
              <w:right w:val="nil"/>
            </w:tcBorders>
          </w:tcPr>
          <w:p w14:paraId="1C66BDA2" w14:textId="77777777" w:rsidR="00BB38CD" w:rsidRDefault="00BB38CD" w:rsidP="00F86BAB">
            <w:pPr>
              <w:rPr>
                <w:lang w:val="en-GB"/>
              </w:rPr>
            </w:pPr>
            <w:r>
              <w:rPr>
                <w:lang w:val="en-GB"/>
              </w:rPr>
              <w:t>Female</w:t>
            </w:r>
          </w:p>
        </w:tc>
        <w:tc>
          <w:tcPr>
            <w:tcW w:w="1560" w:type="dxa"/>
            <w:tcBorders>
              <w:top w:val="nil"/>
              <w:left w:val="nil"/>
              <w:bottom w:val="nil"/>
              <w:right w:val="nil"/>
            </w:tcBorders>
          </w:tcPr>
          <w:p w14:paraId="2C859E75" w14:textId="7C7262D7" w:rsidR="00BB38CD" w:rsidRDefault="00BB38CD" w:rsidP="00F86BAB">
            <w:pPr>
              <w:rPr>
                <w:lang w:val="en-GB"/>
              </w:rPr>
            </w:pPr>
            <w:r>
              <w:rPr>
                <w:lang w:val="en-GB"/>
              </w:rPr>
              <w:t>1847 (20.7</w:t>
            </w:r>
            <w:r w:rsidR="00CF4AA7">
              <w:rPr>
                <w:lang w:val="en-GB"/>
              </w:rPr>
              <w:t>%</w:t>
            </w:r>
            <w:r>
              <w:rPr>
                <w:lang w:val="en-GB"/>
              </w:rPr>
              <w:t>)</w:t>
            </w:r>
          </w:p>
        </w:tc>
        <w:tc>
          <w:tcPr>
            <w:tcW w:w="1559" w:type="dxa"/>
            <w:tcBorders>
              <w:top w:val="nil"/>
              <w:left w:val="nil"/>
              <w:bottom w:val="nil"/>
              <w:right w:val="nil"/>
            </w:tcBorders>
          </w:tcPr>
          <w:p w14:paraId="1D1CC799" w14:textId="51B4E0E7" w:rsidR="00BB38CD" w:rsidRDefault="00BB38CD" w:rsidP="00F86BAB">
            <w:pPr>
              <w:rPr>
                <w:lang w:val="en-GB"/>
              </w:rPr>
            </w:pPr>
            <w:r>
              <w:rPr>
                <w:lang w:val="en-GB"/>
              </w:rPr>
              <w:t>291 (19.5</w:t>
            </w:r>
            <w:r w:rsidR="00CF4AA7">
              <w:rPr>
                <w:lang w:val="en-GB"/>
              </w:rPr>
              <w:t>%</w:t>
            </w:r>
            <w:r>
              <w:rPr>
                <w:lang w:val="en-GB"/>
              </w:rPr>
              <w:t>)</w:t>
            </w:r>
          </w:p>
        </w:tc>
        <w:tc>
          <w:tcPr>
            <w:tcW w:w="1701" w:type="dxa"/>
            <w:tcBorders>
              <w:top w:val="nil"/>
              <w:left w:val="nil"/>
              <w:bottom w:val="nil"/>
              <w:right w:val="nil"/>
            </w:tcBorders>
          </w:tcPr>
          <w:p w14:paraId="7421EAEE" w14:textId="634949FC" w:rsidR="00BB38CD" w:rsidRDefault="00BB38CD" w:rsidP="00F86BAB">
            <w:pPr>
              <w:rPr>
                <w:lang w:val="en-GB"/>
              </w:rPr>
            </w:pPr>
            <w:r>
              <w:rPr>
                <w:lang w:val="en-GB"/>
              </w:rPr>
              <w:t>1556 (21.0</w:t>
            </w:r>
            <w:r w:rsidR="00CF4AA7">
              <w:rPr>
                <w:lang w:val="en-GB"/>
              </w:rPr>
              <w:t>%</w:t>
            </w:r>
            <w:r>
              <w:rPr>
                <w:lang w:val="en-GB"/>
              </w:rPr>
              <w:t>)</w:t>
            </w:r>
          </w:p>
        </w:tc>
        <w:tc>
          <w:tcPr>
            <w:tcW w:w="1276" w:type="dxa"/>
            <w:tcBorders>
              <w:top w:val="nil"/>
              <w:left w:val="nil"/>
              <w:bottom w:val="nil"/>
              <w:right w:val="nil"/>
            </w:tcBorders>
          </w:tcPr>
          <w:p w14:paraId="543EAF0F" w14:textId="77777777" w:rsidR="00BB38CD" w:rsidRDefault="00BB38CD" w:rsidP="00F86BAB">
            <w:pPr>
              <w:rPr>
                <w:lang w:val="en-GB"/>
              </w:rPr>
            </w:pPr>
            <w:r>
              <w:rPr>
                <w:lang w:val="en-GB"/>
              </w:rPr>
              <w:t>15.8</w:t>
            </w:r>
          </w:p>
        </w:tc>
        <w:tc>
          <w:tcPr>
            <w:tcW w:w="2238" w:type="dxa"/>
            <w:tcBorders>
              <w:top w:val="nil"/>
              <w:left w:val="nil"/>
              <w:bottom w:val="nil"/>
              <w:right w:val="nil"/>
            </w:tcBorders>
          </w:tcPr>
          <w:p w14:paraId="03CEC35F" w14:textId="77777777" w:rsidR="00BB38CD" w:rsidRDefault="00BB38CD" w:rsidP="00F86BAB">
            <w:pPr>
              <w:rPr>
                <w:lang w:val="en-GB"/>
              </w:rPr>
            </w:pPr>
            <w:r>
              <w:rPr>
                <w:lang w:val="en-GB"/>
              </w:rPr>
              <w:t>1.00</w:t>
            </w:r>
          </w:p>
        </w:tc>
        <w:tc>
          <w:tcPr>
            <w:tcW w:w="2238" w:type="dxa"/>
            <w:tcBorders>
              <w:top w:val="nil"/>
              <w:left w:val="nil"/>
              <w:bottom w:val="nil"/>
              <w:right w:val="nil"/>
            </w:tcBorders>
          </w:tcPr>
          <w:p w14:paraId="2E29BCB9" w14:textId="77777777" w:rsidR="00BB38CD" w:rsidRDefault="00BB38CD" w:rsidP="00F86BAB">
            <w:pPr>
              <w:rPr>
                <w:lang w:val="en-GB"/>
              </w:rPr>
            </w:pPr>
            <w:r>
              <w:rPr>
                <w:lang w:val="en-GB"/>
              </w:rPr>
              <w:t>1.00</w:t>
            </w:r>
          </w:p>
        </w:tc>
        <w:tc>
          <w:tcPr>
            <w:tcW w:w="1336" w:type="dxa"/>
            <w:tcBorders>
              <w:top w:val="nil"/>
              <w:left w:val="nil"/>
              <w:bottom w:val="nil"/>
              <w:right w:val="nil"/>
            </w:tcBorders>
          </w:tcPr>
          <w:p w14:paraId="1239DB4E" w14:textId="77777777" w:rsidR="00BB38CD" w:rsidRDefault="00BB38CD" w:rsidP="00F86BAB">
            <w:pPr>
              <w:rPr>
                <w:lang w:val="en-GB"/>
              </w:rPr>
            </w:pPr>
          </w:p>
        </w:tc>
      </w:tr>
      <w:tr w:rsidR="00BB38CD" w14:paraId="20A64310" w14:textId="77777777" w:rsidTr="00F86BAB">
        <w:trPr>
          <w:trHeight w:val="250"/>
        </w:trPr>
        <w:tc>
          <w:tcPr>
            <w:tcW w:w="648" w:type="dxa"/>
            <w:tcBorders>
              <w:top w:val="nil"/>
              <w:left w:val="nil"/>
              <w:bottom w:val="nil"/>
              <w:right w:val="nil"/>
            </w:tcBorders>
          </w:tcPr>
          <w:p w14:paraId="7B23DAC2" w14:textId="77777777" w:rsidR="00BB38CD" w:rsidRDefault="00BB38CD" w:rsidP="00F86BAB">
            <w:pPr>
              <w:rPr>
                <w:lang w:val="en-GB"/>
              </w:rPr>
            </w:pPr>
          </w:p>
        </w:tc>
        <w:tc>
          <w:tcPr>
            <w:tcW w:w="2295" w:type="dxa"/>
            <w:gridSpan w:val="3"/>
            <w:tcBorders>
              <w:top w:val="nil"/>
              <w:left w:val="nil"/>
              <w:bottom w:val="nil"/>
              <w:right w:val="nil"/>
            </w:tcBorders>
          </w:tcPr>
          <w:p w14:paraId="298C4CB3" w14:textId="77777777" w:rsidR="00BB38CD" w:rsidRDefault="00BB38CD" w:rsidP="00F86BAB">
            <w:pPr>
              <w:rPr>
                <w:lang w:val="en-GB"/>
              </w:rPr>
            </w:pPr>
            <w:r>
              <w:rPr>
                <w:lang w:val="en-GB"/>
              </w:rPr>
              <w:t>Male</w:t>
            </w:r>
          </w:p>
        </w:tc>
        <w:tc>
          <w:tcPr>
            <w:tcW w:w="1560" w:type="dxa"/>
            <w:tcBorders>
              <w:top w:val="nil"/>
              <w:left w:val="nil"/>
              <w:bottom w:val="nil"/>
              <w:right w:val="nil"/>
            </w:tcBorders>
          </w:tcPr>
          <w:p w14:paraId="06672B33" w14:textId="4B46DF7F" w:rsidR="00BB38CD" w:rsidRDefault="00BB38CD" w:rsidP="00F86BAB">
            <w:pPr>
              <w:rPr>
                <w:lang w:val="en-GB"/>
              </w:rPr>
            </w:pPr>
            <w:r>
              <w:rPr>
                <w:lang w:val="en-GB"/>
              </w:rPr>
              <w:t>7055 (79.3</w:t>
            </w:r>
            <w:r w:rsidR="00CF4AA7">
              <w:rPr>
                <w:lang w:val="en-GB"/>
              </w:rPr>
              <w:t>%</w:t>
            </w:r>
            <w:r>
              <w:rPr>
                <w:lang w:val="en-GB"/>
              </w:rPr>
              <w:t>)</w:t>
            </w:r>
          </w:p>
        </w:tc>
        <w:tc>
          <w:tcPr>
            <w:tcW w:w="1559" w:type="dxa"/>
            <w:tcBorders>
              <w:top w:val="nil"/>
              <w:left w:val="nil"/>
              <w:bottom w:val="nil"/>
              <w:right w:val="nil"/>
            </w:tcBorders>
          </w:tcPr>
          <w:p w14:paraId="3EF0F189" w14:textId="07EE07FB" w:rsidR="00BB38CD" w:rsidRDefault="00BB38CD" w:rsidP="00F86BAB">
            <w:pPr>
              <w:rPr>
                <w:lang w:val="en-GB"/>
              </w:rPr>
            </w:pPr>
            <w:r>
              <w:rPr>
                <w:lang w:val="en-GB"/>
              </w:rPr>
              <w:t>1198 (80.5</w:t>
            </w:r>
            <w:r w:rsidR="00CF4AA7">
              <w:rPr>
                <w:lang w:val="en-GB"/>
              </w:rPr>
              <w:t>%</w:t>
            </w:r>
            <w:r>
              <w:rPr>
                <w:lang w:val="en-GB"/>
              </w:rPr>
              <w:t>)</w:t>
            </w:r>
          </w:p>
        </w:tc>
        <w:tc>
          <w:tcPr>
            <w:tcW w:w="1701" w:type="dxa"/>
            <w:tcBorders>
              <w:top w:val="nil"/>
              <w:left w:val="nil"/>
              <w:bottom w:val="nil"/>
              <w:right w:val="nil"/>
            </w:tcBorders>
          </w:tcPr>
          <w:p w14:paraId="3C6EDC7A" w14:textId="0DA82B15" w:rsidR="00BB38CD" w:rsidRDefault="00BB38CD" w:rsidP="00F86BAB">
            <w:pPr>
              <w:rPr>
                <w:lang w:val="en-GB"/>
              </w:rPr>
            </w:pPr>
            <w:r>
              <w:rPr>
                <w:lang w:val="en-GB"/>
              </w:rPr>
              <w:t>5857 (79.0</w:t>
            </w:r>
            <w:r w:rsidR="00CF4AA7">
              <w:rPr>
                <w:lang w:val="en-GB"/>
              </w:rPr>
              <w:t>%</w:t>
            </w:r>
            <w:r>
              <w:rPr>
                <w:lang w:val="en-GB"/>
              </w:rPr>
              <w:t>)</w:t>
            </w:r>
          </w:p>
        </w:tc>
        <w:tc>
          <w:tcPr>
            <w:tcW w:w="1276" w:type="dxa"/>
            <w:tcBorders>
              <w:top w:val="nil"/>
              <w:left w:val="nil"/>
              <w:bottom w:val="nil"/>
              <w:right w:val="nil"/>
            </w:tcBorders>
          </w:tcPr>
          <w:p w14:paraId="040D07A5" w14:textId="77777777" w:rsidR="00BB38CD" w:rsidRDefault="00BB38CD" w:rsidP="00F86BAB">
            <w:pPr>
              <w:rPr>
                <w:lang w:val="en-GB"/>
              </w:rPr>
            </w:pPr>
            <w:r>
              <w:rPr>
                <w:lang w:val="en-GB"/>
              </w:rPr>
              <w:t>17.0</w:t>
            </w:r>
          </w:p>
        </w:tc>
        <w:tc>
          <w:tcPr>
            <w:tcW w:w="2238" w:type="dxa"/>
            <w:tcBorders>
              <w:top w:val="nil"/>
              <w:left w:val="nil"/>
              <w:bottom w:val="nil"/>
              <w:right w:val="nil"/>
            </w:tcBorders>
          </w:tcPr>
          <w:p w14:paraId="02EAF7D2" w14:textId="77777777" w:rsidR="00BB38CD" w:rsidRDefault="00BB38CD" w:rsidP="00F86BAB">
            <w:pPr>
              <w:rPr>
                <w:lang w:val="en-GB"/>
              </w:rPr>
            </w:pPr>
            <w:r>
              <w:rPr>
                <w:lang w:val="en-GB"/>
              </w:rPr>
              <w:t>1.07 (0.93, 1.23)</w:t>
            </w:r>
          </w:p>
        </w:tc>
        <w:tc>
          <w:tcPr>
            <w:tcW w:w="2238" w:type="dxa"/>
            <w:tcBorders>
              <w:top w:val="nil"/>
              <w:left w:val="nil"/>
              <w:bottom w:val="nil"/>
              <w:right w:val="nil"/>
            </w:tcBorders>
          </w:tcPr>
          <w:p w14:paraId="0B31F395" w14:textId="77777777" w:rsidR="00BB38CD" w:rsidRDefault="00BB38CD" w:rsidP="00F86BAB">
            <w:pPr>
              <w:rPr>
                <w:lang w:val="en-GB"/>
              </w:rPr>
            </w:pPr>
            <w:r>
              <w:rPr>
                <w:lang w:val="en-GB"/>
              </w:rPr>
              <w:t>1.25 (1.08, 1.45)</w:t>
            </w:r>
          </w:p>
        </w:tc>
        <w:tc>
          <w:tcPr>
            <w:tcW w:w="1336" w:type="dxa"/>
            <w:tcBorders>
              <w:top w:val="nil"/>
              <w:left w:val="nil"/>
              <w:bottom w:val="nil"/>
              <w:right w:val="nil"/>
            </w:tcBorders>
          </w:tcPr>
          <w:p w14:paraId="165A48C4" w14:textId="77777777" w:rsidR="00BB38CD" w:rsidRDefault="00BB38CD" w:rsidP="00F86BAB">
            <w:pPr>
              <w:rPr>
                <w:lang w:val="en-GB"/>
              </w:rPr>
            </w:pPr>
            <w:r>
              <w:rPr>
                <w:lang w:val="en-GB"/>
              </w:rPr>
              <w:t>0.004</w:t>
            </w:r>
          </w:p>
        </w:tc>
      </w:tr>
      <w:tr w:rsidR="00BB38CD" w14:paraId="3BC65C5A" w14:textId="77777777" w:rsidTr="00F86BAB">
        <w:trPr>
          <w:trHeight w:val="264"/>
        </w:trPr>
        <w:tc>
          <w:tcPr>
            <w:tcW w:w="2943" w:type="dxa"/>
            <w:gridSpan w:val="4"/>
            <w:tcBorders>
              <w:top w:val="nil"/>
              <w:left w:val="nil"/>
              <w:bottom w:val="nil"/>
              <w:right w:val="nil"/>
            </w:tcBorders>
          </w:tcPr>
          <w:p w14:paraId="25678C6D" w14:textId="77777777" w:rsidR="00BB38CD" w:rsidRPr="00B22015" w:rsidRDefault="00BB38CD" w:rsidP="00F86BAB">
            <w:pPr>
              <w:rPr>
                <w:b/>
                <w:lang w:val="en-GB"/>
              </w:rPr>
            </w:pPr>
            <w:r w:rsidRPr="00B22015">
              <w:rPr>
                <w:b/>
                <w:lang w:val="en-GB"/>
              </w:rPr>
              <w:t>Ethnicity</w:t>
            </w:r>
          </w:p>
        </w:tc>
        <w:tc>
          <w:tcPr>
            <w:tcW w:w="1560" w:type="dxa"/>
            <w:tcBorders>
              <w:top w:val="nil"/>
              <w:left w:val="nil"/>
              <w:bottom w:val="nil"/>
              <w:right w:val="nil"/>
            </w:tcBorders>
          </w:tcPr>
          <w:p w14:paraId="1082F7FF" w14:textId="77777777" w:rsidR="00BB38CD" w:rsidRDefault="00BB38CD" w:rsidP="00F86BAB">
            <w:pPr>
              <w:rPr>
                <w:lang w:val="en-GB"/>
              </w:rPr>
            </w:pPr>
          </w:p>
        </w:tc>
        <w:tc>
          <w:tcPr>
            <w:tcW w:w="1559" w:type="dxa"/>
            <w:tcBorders>
              <w:top w:val="nil"/>
              <w:left w:val="nil"/>
              <w:bottom w:val="nil"/>
              <w:right w:val="nil"/>
            </w:tcBorders>
          </w:tcPr>
          <w:p w14:paraId="0B70AAEC" w14:textId="77777777" w:rsidR="00BB38CD" w:rsidRDefault="00BB38CD" w:rsidP="00F86BAB">
            <w:pPr>
              <w:rPr>
                <w:lang w:val="en-GB"/>
              </w:rPr>
            </w:pPr>
          </w:p>
        </w:tc>
        <w:tc>
          <w:tcPr>
            <w:tcW w:w="1701" w:type="dxa"/>
            <w:tcBorders>
              <w:top w:val="nil"/>
              <w:left w:val="nil"/>
              <w:bottom w:val="nil"/>
              <w:right w:val="nil"/>
            </w:tcBorders>
          </w:tcPr>
          <w:p w14:paraId="7C59E12E" w14:textId="77777777" w:rsidR="00BB38CD" w:rsidRDefault="00BB38CD" w:rsidP="00F86BAB">
            <w:pPr>
              <w:rPr>
                <w:lang w:val="en-GB"/>
              </w:rPr>
            </w:pPr>
          </w:p>
        </w:tc>
        <w:tc>
          <w:tcPr>
            <w:tcW w:w="1276" w:type="dxa"/>
            <w:tcBorders>
              <w:top w:val="nil"/>
              <w:left w:val="nil"/>
              <w:bottom w:val="nil"/>
              <w:right w:val="nil"/>
            </w:tcBorders>
          </w:tcPr>
          <w:p w14:paraId="1F20A82C" w14:textId="77777777" w:rsidR="00BB38CD" w:rsidRDefault="00BB38CD" w:rsidP="00F86BAB">
            <w:pPr>
              <w:rPr>
                <w:lang w:val="en-GB"/>
              </w:rPr>
            </w:pPr>
          </w:p>
        </w:tc>
        <w:tc>
          <w:tcPr>
            <w:tcW w:w="2238" w:type="dxa"/>
            <w:tcBorders>
              <w:top w:val="nil"/>
              <w:left w:val="nil"/>
              <w:bottom w:val="nil"/>
              <w:right w:val="nil"/>
            </w:tcBorders>
          </w:tcPr>
          <w:p w14:paraId="42E064FE" w14:textId="77777777" w:rsidR="00BB38CD" w:rsidRDefault="00BB38CD" w:rsidP="00F86BAB">
            <w:pPr>
              <w:rPr>
                <w:lang w:val="en-GB"/>
              </w:rPr>
            </w:pPr>
          </w:p>
        </w:tc>
        <w:tc>
          <w:tcPr>
            <w:tcW w:w="2238" w:type="dxa"/>
            <w:tcBorders>
              <w:top w:val="nil"/>
              <w:left w:val="nil"/>
              <w:bottom w:val="nil"/>
              <w:right w:val="nil"/>
            </w:tcBorders>
          </w:tcPr>
          <w:p w14:paraId="358F4947" w14:textId="77777777" w:rsidR="00BB38CD" w:rsidRDefault="00BB38CD" w:rsidP="00F86BAB">
            <w:pPr>
              <w:rPr>
                <w:lang w:val="en-GB"/>
              </w:rPr>
            </w:pPr>
          </w:p>
        </w:tc>
        <w:tc>
          <w:tcPr>
            <w:tcW w:w="1336" w:type="dxa"/>
            <w:tcBorders>
              <w:top w:val="nil"/>
              <w:left w:val="nil"/>
              <w:bottom w:val="nil"/>
              <w:right w:val="nil"/>
            </w:tcBorders>
          </w:tcPr>
          <w:p w14:paraId="54FAFCF0" w14:textId="77777777" w:rsidR="00BB38CD" w:rsidRPr="00271B82" w:rsidRDefault="00BB38CD" w:rsidP="00F86BAB">
            <w:pPr>
              <w:rPr>
                <w:vertAlign w:val="superscript"/>
                <w:lang w:val="en-GB"/>
              </w:rPr>
            </w:pPr>
            <w:r>
              <w:rPr>
                <w:lang w:val="en-GB"/>
              </w:rPr>
              <w:t>&lt;0.001</w:t>
            </w:r>
            <w:r>
              <w:rPr>
                <w:vertAlign w:val="superscript"/>
                <w:lang w:val="en-GB"/>
              </w:rPr>
              <w:t>c</w:t>
            </w:r>
          </w:p>
        </w:tc>
      </w:tr>
      <w:tr w:rsidR="00BB38CD" w14:paraId="07ACB666" w14:textId="77777777" w:rsidTr="00F86BAB">
        <w:trPr>
          <w:trHeight w:val="264"/>
        </w:trPr>
        <w:tc>
          <w:tcPr>
            <w:tcW w:w="648" w:type="dxa"/>
            <w:tcBorders>
              <w:top w:val="nil"/>
              <w:left w:val="nil"/>
              <w:bottom w:val="nil"/>
              <w:right w:val="nil"/>
            </w:tcBorders>
          </w:tcPr>
          <w:p w14:paraId="43D1C861" w14:textId="77777777" w:rsidR="00BB38CD" w:rsidRDefault="00BB38CD" w:rsidP="00F86BAB">
            <w:pPr>
              <w:rPr>
                <w:lang w:val="en-GB"/>
              </w:rPr>
            </w:pPr>
          </w:p>
        </w:tc>
        <w:tc>
          <w:tcPr>
            <w:tcW w:w="2295" w:type="dxa"/>
            <w:gridSpan w:val="3"/>
            <w:tcBorders>
              <w:top w:val="nil"/>
              <w:left w:val="nil"/>
              <w:bottom w:val="nil"/>
              <w:right w:val="nil"/>
            </w:tcBorders>
          </w:tcPr>
          <w:p w14:paraId="6201095A" w14:textId="77777777" w:rsidR="00BB38CD" w:rsidRDefault="00BB38CD" w:rsidP="00F86BAB">
            <w:pPr>
              <w:rPr>
                <w:lang w:val="en-GB"/>
              </w:rPr>
            </w:pPr>
            <w:r>
              <w:rPr>
                <w:lang w:val="en-GB"/>
              </w:rPr>
              <w:t>White</w:t>
            </w:r>
          </w:p>
        </w:tc>
        <w:tc>
          <w:tcPr>
            <w:tcW w:w="1560" w:type="dxa"/>
            <w:tcBorders>
              <w:top w:val="nil"/>
              <w:left w:val="nil"/>
              <w:bottom w:val="nil"/>
              <w:right w:val="nil"/>
            </w:tcBorders>
          </w:tcPr>
          <w:p w14:paraId="5CD0B2E9" w14:textId="78F8DBAE" w:rsidR="00BB38CD" w:rsidRDefault="00BB38CD" w:rsidP="00F86BAB">
            <w:pPr>
              <w:rPr>
                <w:lang w:val="en-GB"/>
              </w:rPr>
            </w:pPr>
            <w:r>
              <w:rPr>
                <w:lang w:val="en-GB"/>
              </w:rPr>
              <w:t>6223 (69.9</w:t>
            </w:r>
            <w:r w:rsidR="00CF4AA7">
              <w:rPr>
                <w:lang w:val="en-GB"/>
              </w:rPr>
              <w:t>%</w:t>
            </w:r>
            <w:r>
              <w:rPr>
                <w:lang w:val="en-GB"/>
              </w:rPr>
              <w:t>)</w:t>
            </w:r>
          </w:p>
        </w:tc>
        <w:tc>
          <w:tcPr>
            <w:tcW w:w="1559" w:type="dxa"/>
            <w:tcBorders>
              <w:top w:val="nil"/>
              <w:left w:val="nil"/>
              <w:bottom w:val="nil"/>
              <w:right w:val="nil"/>
            </w:tcBorders>
          </w:tcPr>
          <w:p w14:paraId="4D6C8017" w14:textId="7141E4A8" w:rsidR="00BB38CD" w:rsidRDefault="00BB38CD" w:rsidP="00F86BAB">
            <w:pPr>
              <w:rPr>
                <w:lang w:val="en-GB"/>
              </w:rPr>
            </w:pPr>
            <w:r>
              <w:rPr>
                <w:lang w:val="en-GB"/>
              </w:rPr>
              <w:t>1128 (75.8</w:t>
            </w:r>
            <w:r w:rsidR="00CF4AA7">
              <w:rPr>
                <w:lang w:val="en-GB"/>
              </w:rPr>
              <w:t>%</w:t>
            </w:r>
            <w:r>
              <w:rPr>
                <w:lang w:val="en-GB"/>
              </w:rPr>
              <w:t>)</w:t>
            </w:r>
          </w:p>
        </w:tc>
        <w:tc>
          <w:tcPr>
            <w:tcW w:w="1701" w:type="dxa"/>
            <w:tcBorders>
              <w:top w:val="nil"/>
              <w:left w:val="nil"/>
              <w:bottom w:val="nil"/>
              <w:right w:val="nil"/>
            </w:tcBorders>
          </w:tcPr>
          <w:p w14:paraId="567ADE53" w14:textId="078972A3" w:rsidR="00BB38CD" w:rsidRDefault="00BB38CD" w:rsidP="00F86BAB">
            <w:pPr>
              <w:rPr>
                <w:lang w:val="en-GB"/>
              </w:rPr>
            </w:pPr>
            <w:r>
              <w:rPr>
                <w:lang w:val="en-GB"/>
              </w:rPr>
              <w:t>5095 (68.7</w:t>
            </w:r>
            <w:r w:rsidR="00CF4AA7">
              <w:rPr>
                <w:lang w:val="en-GB"/>
              </w:rPr>
              <w:t>%</w:t>
            </w:r>
            <w:r>
              <w:rPr>
                <w:lang w:val="en-GB"/>
              </w:rPr>
              <w:t>)</w:t>
            </w:r>
          </w:p>
        </w:tc>
        <w:tc>
          <w:tcPr>
            <w:tcW w:w="1276" w:type="dxa"/>
            <w:tcBorders>
              <w:top w:val="nil"/>
              <w:left w:val="nil"/>
              <w:bottom w:val="nil"/>
              <w:right w:val="nil"/>
            </w:tcBorders>
          </w:tcPr>
          <w:p w14:paraId="42B00C8A" w14:textId="77777777" w:rsidR="00BB38CD" w:rsidRDefault="00BB38CD" w:rsidP="00F86BAB">
            <w:pPr>
              <w:rPr>
                <w:lang w:val="en-GB"/>
              </w:rPr>
            </w:pPr>
            <w:r>
              <w:rPr>
                <w:lang w:val="en-GB"/>
              </w:rPr>
              <w:t>18.1</w:t>
            </w:r>
          </w:p>
        </w:tc>
        <w:tc>
          <w:tcPr>
            <w:tcW w:w="2238" w:type="dxa"/>
            <w:tcBorders>
              <w:top w:val="nil"/>
              <w:left w:val="nil"/>
              <w:bottom w:val="nil"/>
              <w:right w:val="nil"/>
            </w:tcBorders>
          </w:tcPr>
          <w:p w14:paraId="76DDE3AB" w14:textId="77777777" w:rsidR="00BB38CD" w:rsidRDefault="00BB38CD" w:rsidP="00F86BAB">
            <w:pPr>
              <w:rPr>
                <w:lang w:val="en-GB"/>
              </w:rPr>
            </w:pPr>
            <w:r>
              <w:rPr>
                <w:lang w:val="en-GB"/>
              </w:rPr>
              <w:t>1.00</w:t>
            </w:r>
          </w:p>
        </w:tc>
        <w:tc>
          <w:tcPr>
            <w:tcW w:w="2238" w:type="dxa"/>
            <w:tcBorders>
              <w:top w:val="nil"/>
              <w:left w:val="nil"/>
              <w:bottom w:val="nil"/>
              <w:right w:val="nil"/>
            </w:tcBorders>
          </w:tcPr>
          <w:p w14:paraId="397419A6" w14:textId="77777777" w:rsidR="00BB38CD" w:rsidRDefault="00BB38CD" w:rsidP="00F86BAB">
            <w:pPr>
              <w:rPr>
                <w:lang w:val="en-GB"/>
              </w:rPr>
            </w:pPr>
            <w:r>
              <w:rPr>
                <w:lang w:val="en-GB"/>
              </w:rPr>
              <w:t>1.00</w:t>
            </w:r>
          </w:p>
        </w:tc>
        <w:tc>
          <w:tcPr>
            <w:tcW w:w="1336" w:type="dxa"/>
            <w:tcBorders>
              <w:top w:val="nil"/>
              <w:left w:val="nil"/>
              <w:bottom w:val="nil"/>
              <w:right w:val="nil"/>
            </w:tcBorders>
          </w:tcPr>
          <w:p w14:paraId="3608B8F7" w14:textId="77777777" w:rsidR="00BB38CD" w:rsidRDefault="00BB38CD" w:rsidP="00F86BAB">
            <w:pPr>
              <w:rPr>
                <w:lang w:val="en-GB"/>
              </w:rPr>
            </w:pPr>
          </w:p>
        </w:tc>
      </w:tr>
      <w:tr w:rsidR="00BB38CD" w14:paraId="49CCECF1" w14:textId="77777777" w:rsidTr="00F86BAB">
        <w:trPr>
          <w:trHeight w:val="264"/>
        </w:trPr>
        <w:tc>
          <w:tcPr>
            <w:tcW w:w="648" w:type="dxa"/>
            <w:tcBorders>
              <w:top w:val="nil"/>
              <w:left w:val="nil"/>
              <w:bottom w:val="nil"/>
              <w:right w:val="nil"/>
            </w:tcBorders>
          </w:tcPr>
          <w:p w14:paraId="07DE124B" w14:textId="77777777" w:rsidR="00BB38CD" w:rsidRDefault="00BB38CD" w:rsidP="00F86BAB">
            <w:pPr>
              <w:rPr>
                <w:lang w:val="en-GB"/>
              </w:rPr>
            </w:pPr>
          </w:p>
        </w:tc>
        <w:tc>
          <w:tcPr>
            <w:tcW w:w="2295" w:type="dxa"/>
            <w:gridSpan w:val="3"/>
            <w:tcBorders>
              <w:top w:val="nil"/>
              <w:left w:val="nil"/>
              <w:bottom w:val="nil"/>
              <w:right w:val="nil"/>
            </w:tcBorders>
          </w:tcPr>
          <w:p w14:paraId="6D70734D" w14:textId="77777777" w:rsidR="00BB38CD" w:rsidRDefault="00BB38CD" w:rsidP="00F86BAB">
            <w:pPr>
              <w:ind w:left="61" w:hanging="61"/>
              <w:rPr>
                <w:lang w:val="en-GB"/>
              </w:rPr>
            </w:pPr>
            <w:r>
              <w:rPr>
                <w:lang w:val="en-GB"/>
              </w:rPr>
              <w:t>Black African or Caribbean</w:t>
            </w:r>
          </w:p>
        </w:tc>
        <w:tc>
          <w:tcPr>
            <w:tcW w:w="1560" w:type="dxa"/>
            <w:tcBorders>
              <w:top w:val="nil"/>
              <w:left w:val="nil"/>
              <w:bottom w:val="nil"/>
              <w:right w:val="nil"/>
            </w:tcBorders>
          </w:tcPr>
          <w:p w14:paraId="0E0449AF" w14:textId="7E10AC86" w:rsidR="00BB38CD" w:rsidRDefault="00BB38CD" w:rsidP="00F86BAB">
            <w:pPr>
              <w:rPr>
                <w:lang w:val="en-GB"/>
              </w:rPr>
            </w:pPr>
            <w:r>
              <w:rPr>
                <w:lang w:val="en-GB"/>
              </w:rPr>
              <w:t>272 (3.1</w:t>
            </w:r>
            <w:r w:rsidR="00CF4AA7">
              <w:rPr>
                <w:lang w:val="en-GB"/>
              </w:rPr>
              <w:t>%</w:t>
            </w:r>
            <w:r>
              <w:rPr>
                <w:lang w:val="en-GB"/>
              </w:rPr>
              <w:t>)</w:t>
            </w:r>
          </w:p>
        </w:tc>
        <w:tc>
          <w:tcPr>
            <w:tcW w:w="1559" w:type="dxa"/>
            <w:tcBorders>
              <w:top w:val="nil"/>
              <w:left w:val="nil"/>
              <w:bottom w:val="nil"/>
              <w:right w:val="nil"/>
            </w:tcBorders>
          </w:tcPr>
          <w:p w14:paraId="558B8A07" w14:textId="3946EEBF" w:rsidR="00BB38CD" w:rsidRDefault="00BB38CD" w:rsidP="00F86BAB">
            <w:pPr>
              <w:rPr>
                <w:lang w:val="en-GB"/>
              </w:rPr>
            </w:pPr>
            <w:r>
              <w:rPr>
                <w:lang w:val="en-GB"/>
              </w:rPr>
              <w:t>34 (2.3</w:t>
            </w:r>
            <w:r w:rsidR="00CF4AA7">
              <w:rPr>
                <w:lang w:val="en-GB"/>
              </w:rPr>
              <w:t>%</w:t>
            </w:r>
            <w:r>
              <w:rPr>
                <w:lang w:val="en-GB"/>
              </w:rPr>
              <w:t>)</w:t>
            </w:r>
          </w:p>
        </w:tc>
        <w:tc>
          <w:tcPr>
            <w:tcW w:w="1701" w:type="dxa"/>
            <w:tcBorders>
              <w:top w:val="nil"/>
              <w:left w:val="nil"/>
              <w:bottom w:val="nil"/>
              <w:right w:val="nil"/>
            </w:tcBorders>
          </w:tcPr>
          <w:p w14:paraId="653B0502" w14:textId="3EFF9EEC" w:rsidR="00BB38CD" w:rsidRDefault="00BB38CD" w:rsidP="00F86BAB">
            <w:pPr>
              <w:rPr>
                <w:lang w:val="en-GB"/>
              </w:rPr>
            </w:pPr>
            <w:r>
              <w:rPr>
                <w:lang w:val="en-GB"/>
              </w:rPr>
              <w:t>238 (3.2</w:t>
            </w:r>
            <w:r w:rsidR="00CF4AA7">
              <w:rPr>
                <w:lang w:val="en-GB"/>
              </w:rPr>
              <w:t>%</w:t>
            </w:r>
            <w:r>
              <w:rPr>
                <w:lang w:val="en-GB"/>
              </w:rPr>
              <w:t>)</w:t>
            </w:r>
          </w:p>
        </w:tc>
        <w:tc>
          <w:tcPr>
            <w:tcW w:w="1276" w:type="dxa"/>
            <w:tcBorders>
              <w:top w:val="nil"/>
              <w:left w:val="nil"/>
              <w:bottom w:val="nil"/>
              <w:right w:val="nil"/>
            </w:tcBorders>
          </w:tcPr>
          <w:p w14:paraId="243C0F18" w14:textId="77777777" w:rsidR="00BB38CD" w:rsidRDefault="00BB38CD" w:rsidP="00F86BAB">
            <w:pPr>
              <w:rPr>
                <w:lang w:val="en-GB"/>
              </w:rPr>
            </w:pPr>
            <w:r>
              <w:rPr>
                <w:lang w:val="en-GB"/>
              </w:rPr>
              <w:t>12.5</w:t>
            </w:r>
          </w:p>
        </w:tc>
        <w:tc>
          <w:tcPr>
            <w:tcW w:w="2238" w:type="dxa"/>
            <w:tcBorders>
              <w:top w:val="nil"/>
              <w:left w:val="nil"/>
              <w:bottom w:val="nil"/>
              <w:right w:val="nil"/>
            </w:tcBorders>
          </w:tcPr>
          <w:p w14:paraId="2F1BDEBE" w14:textId="77777777" w:rsidR="00BB38CD" w:rsidRDefault="00BB38CD" w:rsidP="00F86BAB">
            <w:pPr>
              <w:rPr>
                <w:lang w:val="en-GB"/>
              </w:rPr>
            </w:pPr>
            <w:r>
              <w:rPr>
                <w:lang w:val="en-GB"/>
              </w:rPr>
              <w:t>0.74 (0.50, 1.07)</w:t>
            </w:r>
          </w:p>
        </w:tc>
        <w:tc>
          <w:tcPr>
            <w:tcW w:w="2238" w:type="dxa"/>
            <w:tcBorders>
              <w:top w:val="nil"/>
              <w:left w:val="nil"/>
              <w:bottom w:val="nil"/>
              <w:right w:val="nil"/>
            </w:tcBorders>
          </w:tcPr>
          <w:p w14:paraId="5B3CDC63" w14:textId="77777777" w:rsidR="00BB38CD" w:rsidRDefault="00BB38CD" w:rsidP="00F86BAB">
            <w:pPr>
              <w:rPr>
                <w:lang w:val="en-GB"/>
              </w:rPr>
            </w:pPr>
            <w:r>
              <w:rPr>
                <w:lang w:val="en-GB"/>
              </w:rPr>
              <w:t>0.67 (0.45, 0.98)</w:t>
            </w:r>
          </w:p>
        </w:tc>
        <w:tc>
          <w:tcPr>
            <w:tcW w:w="1336" w:type="dxa"/>
            <w:tcBorders>
              <w:top w:val="nil"/>
              <w:left w:val="nil"/>
              <w:bottom w:val="nil"/>
              <w:right w:val="nil"/>
            </w:tcBorders>
          </w:tcPr>
          <w:p w14:paraId="48DFB91A" w14:textId="77777777" w:rsidR="00BB38CD" w:rsidRDefault="00BB38CD" w:rsidP="00F86BAB">
            <w:pPr>
              <w:rPr>
                <w:lang w:val="en-GB"/>
              </w:rPr>
            </w:pPr>
            <w:r>
              <w:rPr>
                <w:lang w:val="en-GB"/>
              </w:rPr>
              <w:t>0.040</w:t>
            </w:r>
          </w:p>
        </w:tc>
      </w:tr>
      <w:tr w:rsidR="00BB38CD" w14:paraId="6644B52D" w14:textId="77777777" w:rsidTr="00F86BAB">
        <w:trPr>
          <w:trHeight w:val="264"/>
        </w:trPr>
        <w:tc>
          <w:tcPr>
            <w:tcW w:w="648" w:type="dxa"/>
            <w:tcBorders>
              <w:top w:val="nil"/>
              <w:left w:val="nil"/>
              <w:bottom w:val="nil"/>
              <w:right w:val="nil"/>
            </w:tcBorders>
          </w:tcPr>
          <w:p w14:paraId="55AAB2DD" w14:textId="77777777" w:rsidR="00BB38CD" w:rsidRDefault="00BB38CD" w:rsidP="00F86BAB">
            <w:pPr>
              <w:rPr>
                <w:lang w:val="en-GB"/>
              </w:rPr>
            </w:pPr>
          </w:p>
        </w:tc>
        <w:tc>
          <w:tcPr>
            <w:tcW w:w="2295" w:type="dxa"/>
            <w:gridSpan w:val="3"/>
            <w:tcBorders>
              <w:top w:val="nil"/>
              <w:left w:val="nil"/>
              <w:bottom w:val="nil"/>
              <w:right w:val="nil"/>
            </w:tcBorders>
          </w:tcPr>
          <w:p w14:paraId="109CB5E9" w14:textId="77777777" w:rsidR="00BB38CD" w:rsidRDefault="00BB38CD" w:rsidP="00F86BAB">
            <w:pPr>
              <w:rPr>
                <w:lang w:val="en-GB"/>
              </w:rPr>
            </w:pPr>
            <w:r>
              <w:rPr>
                <w:lang w:val="en-GB"/>
              </w:rPr>
              <w:t>South Asian</w:t>
            </w:r>
          </w:p>
        </w:tc>
        <w:tc>
          <w:tcPr>
            <w:tcW w:w="1560" w:type="dxa"/>
            <w:tcBorders>
              <w:top w:val="nil"/>
              <w:left w:val="nil"/>
              <w:bottom w:val="nil"/>
              <w:right w:val="nil"/>
            </w:tcBorders>
          </w:tcPr>
          <w:p w14:paraId="66FB5527" w14:textId="60B79CDE" w:rsidR="00BB38CD" w:rsidRDefault="00BB38CD" w:rsidP="00F86BAB">
            <w:pPr>
              <w:rPr>
                <w:lang w:val="en-GB"/>
              </w:rPr>
            </w:pPr>
            <w:r>
              <w:rPr>
                <w:lang w:val="en-GB"/>
              </w:rPr>
              <w:t>578 (6.5</w:t>
            </w:r>
            <w:r w:rsidR="00CF4AA7">
              <w:rPr>
                <w:lang w:val="en-GB"/>
              </w:rPr>
              <w:t>%</w:t>
            </w:r>
            <w:r>
              <w:rPr>
                <w:lang w:val="en-GB"/>
              </w:rPr>
              <w:t>)</w:t>
            </w:r>
          </w:p>
        </w:tc>
        <w:tc>
          <w:tcPr>
            <w:tcW w:w="1559" w:type="dxa"/>
            <w:tcBorders>
              <w:top w:val="nil"/>
              <w:left w:val="nil"/>
              <w:bottom w:val="nil"/>
              <w:right w:val="nil"/>
            </w:tcBorders>
          </w:tcPr>
          <w:p w14:paraId="52FEAB22" w14:textId="444C2C29" w:rsidR="00BB38CD" w:rsidRDefault="00BB38CD" w:rsidP="00F86BAB">
            <w:pPr>
              <w:rPr>
                <w:lang w:val="en-GB"/>
              </w:rPr>
            </w:pPr>
            <w:r>
              <w:rPr>
                <w:lang w:val="en-GB"/>
              </w:rPr>
              <w:t>98 (6.6</w:t>
            </w:r>
            <w:r w:rsidR="00CF4AA7">
              <w:rPr>
                <w:lang w:val="en-GB"/>
              </w:rPr>
              <w:t>%</w:t>
            </w:r>
            <w:r>
              <w:rPr>
                <w:lang w:val="en-GB"/>
              </w:rPr>
              <w:t>)</w:t>
            </w:r>
          </w:p>
        </w:tc>
        <w:tc>
          <w:tcPr>
            <w:tcW w:w="1701" w:type="dxa"/>
            <w:tcBorders>
              <w:top w:val="nil"/>
              <w:left w:val="nil"/>
              <w:bottom w:val="nil"/>
              <w:right w:val="nil"/>
            </w:tcBorders>
          </w:tcPr>
          <w:p w14:paraId="0EF81BC2" w14:textId="6F80970D" w:rsidR="00BB38CD" w:rsidRDefault="00BB38CD" w:rsidP="00F86BAB">
            <w:pPr>
              <w:rPr>
                <w:lang w:val="en-GB"/>
              </w:rPr>
            </w:pPr>
            <w:r>
              <w:rPr>
                <w:lang w:val="en-GB"/>
              </w:rPr>
              <w:t>480 (6.5</w:t>
            </w:r>
            <w:r w:rsidR="00CF4AA7">
              <w:rPr>
                <w:lang w:val="en-GB"/>
              </w:rPr>
              <w:t>%</w:t>
            </w:r>
            <w:r>
              <w:rPr>
                <w:lang w:val="en-GB"/>
              </w:rPr>
              <w:t>)</w:t>
            </w:r>
          </w:p>
        </w:tc>
        <w:tc>
          <w:tcPr>
            <w:tcW w:w="1276" w:type="dxa"/>
            <w:tcBorders>
              <w:top w:val="nil"/>
              <w:left w:val="nil"/>
              <w:bottom w:val="nil"/>
              <w:right w:val="nil"/>
            </w:tcBorders>
          </w:tcPr>
          <w:p w14:paraId="5F4DA43C" w14:textId="77777777" w:rsidR="00BB38CD" w:rsidRDefault="00BB38CD" w:rsidP="00F86BAB">
            <w:pPr>
              <w:rPr>
                <w:lang w:val="en-GB"/>
              </w:rPr>
            </w:pPr>
            <w:r>
              <w:rPr>
                <w:lang w:val="en-GB"/>
              </w:rPr>
              <w:t>17.0</w:t>
            </w:r>
          </w:p>
        </w:tc>
        <w:tc>
          <w:tcPr>
            <w:tcW w:w="2238" w:type="dxa"/>
            <w:tcBorders>
              <w:top w:val="nil"/>
              <w:left w:val="nil"/>
              <w:bottom w:val="nil"/>
              <w:right w:val="nil"/>
            </w:tcBorders>
          </w:tcPr>
          <w:p w14:paraId="40A28BEE" w14:textId="77777777" w:rsidR="00BB38CD" w:rsidRDefault="00BB38CD" w:rsidP="00F86BAB">
            <w:pPr>
              <w:rPr>
                <w:lang w:val="en-GB"/>
              </w:rPr>
            </w:pPr>
            <w:r>
              <w:rPr>
                <w:lang w:val="en-GB"/>
              </w:rPr>
              <w:t>0.90 (0.70, 1.14)</w:t>
            </w:r>
          </w:p>
        </w:tc>
        <w:tc>
          <w:tcPr>
            <w:tcW w:w="2238" w:type="dxa"/>
            <w:tcBorders>
              <w:top w:val="nil"/>
              <w:left w:val="nil"/>
              <w:bottom w:val="nil"/>
              <w:right w:val="nil"/>
            </w:tcBorders>
          </w:tcPr>
          <w:p w14:paraId="36DF0626" w14:textId="77777777" w:rsidR="00BB38CD" w:rsidRDefault="00BB38CD" w:rsidP="00F86BAB">
            <w:pPr>
              <w:rPr>
                <w:lang w:val="en-GB"/>
              </w:rPr>
            </w:pPr>
            <w:r>
              <w:rPr>
                <w:lang w:val="en-GB"/>
              </w:rPr>
              <w:t>1.08 (0.84, 1.38)</w:t>
            </w:r>
          </w:p>
        </w:tc>
        <w:tc>
          <w:tcPr>
            <w:tcW w:w="1336" w:type="dxa"/>
            <w:tcBorders>
              <w:top w:val="nil"/>
              <w:left w:val="nil"/>
              <w:bottom w:val="nil"/>
              <w:right w:val="nil"/>
            </w:tcBorders>
          </w:tcPr>
          <w:p w14:paraId="24FBADBB" w14:textId="77777777" w:rsidR="00BB38CD" w:rsidRDefault="00BB38CD" w:rsidP="00F86BAB">
            <w:pPr>
              <w:rPr>
                <w:lang w:val="en-GB"/>
              </w:rPr>
            </w:pPr>
            <w:r>
              <w:rPr>
                <w:lang w:val="en-GB"/>
              </w:rPr>
              <w:t>0.542</w:t>
            </w:r>
          </w:p>
        </w:tc>
      </w:tr>
      <w:tr w:rsidR="00BB38CD" w14:paraId="3B3602AD" w14:textId="77777777" w:rsidTr="00F86BAB">
        <w:trPr>
          <w:trHeight w:val="264"/>
        </w:trPr>
        <w:tc>
          <w:tcPr>
            <w:tcW w:w="648" w:type="dxa"/>
            <w:tcBorders>
              <w:top w:val="nil"/>
              <w:left w:val="nil"/>
              <w:bottom w:val="nil"/>
              <w:right w:val="nil"/>
            </w:tcBorders>
          </w:tcPr>
          <w:p w14:paraId="74E75BCE" w14:textId="77777777" w:rsidR="00BB38CD" w:rsidRDefault="00BB38CD" w:rsidP="00F86BAB">
            <w:pPr>
              <w:rPr>
                <w:lang w:val="en-GB"/>
              </w:rPr>
            </w:pPr>
          </w:p>
        </w:tc>
        <w:tc>
          <w:tcPr>
            <w:tcW w:w="2295" w:type="dxa"/>
            <w:gridSpan w:val="3"/>
            <w:tcBorders>
              <w:top w:val="nil"/>
              <w:left w:val="nil"/>
              <w:bottom w:val="nil"/>
              <w:right w:val="nil"/>
            </w:tcBorders>
          </w:tcPr>
          <w:p w14:paraId="6AB9F395" w14:textId="77777777" w:rsidR="00BB38CD" w:rsidRDefault="00BB38CD" w:rsidP="00F86BAB">
            <w:pPr>
              <w:rPr>
                <w:lang w:val="en-GB"/>
              </w:rPr>
            </w:pPr>
            <w:r>
              <w:rPr>
                <w:lang w:val="en-GB"/>
              </w:rPr>
              <w:t>Other Asian</w:t>
            </w:r>
          </w:p>
        </w:tc>
        <w:tc>
          <w:tcPr>
            <w:tcW w:w="1560" w:type="dxa"/>
            <w:tcBorders>
              <w:top w:val="nil"/>
              <w:left w:val="nil"/>
              <w:bottom w:val="nil"/>
              <w:right w:val="nil"/>
            </w:tcBorders>
          </w:tcPr>
          <w:p w14:paraId="7AC27DCE" w14:textId="7F09EB27" w:rsidR="00BB38CD" w:rsidRDefault="00BB38CD" w:rsidP="00F86BAB">
            <w:pPr>
              <w:rPr>
                <w:lang w:val="en-GB"/>
              </w:rPr>
            </w:pPr>
            <w:r>
              <w:rPr>
                <w:lang w:val="en-GB"/>
              </w:rPr>
              <w:t>240 (2.7</w:t>
            </w:r>
            <w:r w:rsidR="00CF4AA7">
              <w:rPr>
                <w:lang w:val="en-GB"/>
              </w:rPr>
              <w:t>%</w:t>
            </w:r>
            <w:r>
              <w:rPr>
                <w:lang w:val="en-GB"/>
              </w:rPr>
              <w:t>)</w:t>
            </w:r>
          </w:p>
        </w:tc>
        <w:tc>
          <w:tcPr>
            <w:tcW w:w="1559" w:type="dxa"/>
            <w:tcBorders>
              <w:top w:val="nil"/>
              <w:left w:val="nil"/>
              <w:bottom w:val="nil"/>
              <w:right w:val="nil"/>
            </w:tcBorders>
          </w:tcPr>
          <w:p w14:paraId="12615082" w14:textId="6F37A1EE" w:rsidR="00BB38CD" w:rsidRDefault="00BB38CD" w:rsidP="00F86BAB">
            <w:pPr>
              <w:rPr>
                <w:lang w:val="en-GB"/>
              </w:rPr>
            </w:pPr>
            <w:r>
              <w:rPr>
                <w:lang w:val="en-GB"/>
              </w:rPr>
              <w:t>31 (2.1</w:t>
            </w:r>
            <w:r w:rsidR="00CF4AA7">
              <w:rPr>
                <w:lang w:val="en-GB"/>
              </w:rPr>
              <w:t>%</w:t>
            </w:r>
            <w:r>
              <w:rPr>
                <w:lang w:val="en-GB"/>
              </w:rPr>
              <w:t>)</w:t>
            </w:r>
          </w:p>
        </w:tc>
        <w:tc>
          <w:tcPr>
            <w:tcW w:w="1701" w:type="dxa"/>
            <w:tcBorders>
              <w:top w:val="nil"/>
              <w:left w:val="nil"/>
              <w:bottom w:val="nil"/>
              <w:right w:val="nil"/>
            </w:tcBorders>
          </w:tcPr>
          <w:p w14:paraId="3A5A4AB1" w14:textId="332FCD54" w:rsidR="00BB38CD" w:rsidRDefault="00BB38CD" w:rsidP="00F86BAB">
            <w:pPr>
              <w:rPr>
                <w:lang w:val="en-GB"/>
              </w:rPr>
            </w:pPr>
            <w:r>
              <w:rPr>
                <w:lang w:val="en-GB"/>
              </w:rPr>
              <w:t>209 (2.8</w:t>
            </w:r>
            <w:r w:rsidR="00CF4AA7">
              <w:rPr>
                <w:lang w:val="en-GB"/>
              </w:rPr>
              <w:t>%</w:t>
            </w:r>
            <w:r>
              <w:rPr>
                <w:lang w:val="en-GB"/>
              </w:rPr>
              <w:t>)</w:t>
            </w:r>
          </w:p>
        </w:tc>
        <w:tc>
          <w:tcPr>
            <w:tcW w:w="1276" w:type="dxa"/>
            <w:tcBorders>
              <w:top w:val="nil"/>
              <w:left w:val="nil"/>
              <w:bottom w:val="nil"/>
              <w:right w:val="nil"/>
            </w:tcBorders>
          </w:tcPr>
          <w:p w14:paraId="34F03C5F" w14:textId="77777777" w:rsidR="00BB38CD" w:rsidRDefault="00BB38CD" w:rsidP="00F86BAB">
            <w:pPr>
              <w:rPr>
                <w:lang w:val="en-GB"/>
              </w:rPr>
            </w:pPr>
            <w:r>
              <w:rPr>
                <w:lang w:val="en-GB"/>
              </w:rPr>
              <w:t>12.9</w:t>
            </w:r>
          </w:p>
        </w:tc>
        <w:tc>
          <w:tcPr>
            <w:tcW w:w="2238" w:type="dxa"/>
            <w:tcBorders>
              <w:top w:val="nil"/>
              <w:left w:val="nil"/>
              <w:bottom w:val="nil"/>
              <w:right w:val="nil"/>
            </w:tcBorders>
          </w:tcPr>
          <w:p w14:paraId="7F48DAB4" w14:textId="77777777" w:rsidR="00BB38CD" w:rsidRDefault="00BB38CD" w:rsidP="00F86BAB">
            <w:pPr>
              <w:rPr>
                <w:lang w:val="en-GB"/>
              </w:rPr>
            </w:pPr>
            <w:r>
              <w:rPr>
                <w:lang w:val="en-GB"/>
              </w:rPr>
              <w:t>0.69 (0.47, 1.03)</w:t>
            </w:r>
          </w:p>
        </w:tc>
        <w:tc>
          <w:tcPr>
            <w:tcW w:w="2238" w:type="dxa"/>
            <w:tcBorders>
              <w:top w:val="nil"/>
              <w:left w:val="nil"/>
              <w:bottom w:val="nil"/>
              <w:right w:val="nil"/>
            </w:tcBorders>
          </w:tcPr>
          <w:p w14:paraId="28FB358F" w14:textId="77777777" w:rsidR="00BB38CD" w:rsidRDefault="00BB38CD" w:rsidP="00F86BAB">
            <w:pPr>
              <w:rPr>
                <w:lang w:val="en-GB"/>
              </w:rPr>
            </w:pPr>
            <w:r>
              <w:rPr>
                <w:lang w:val="en-GB"/>
              </w:rPr>
              <w:t>0.69 (0.46, 1.02)</w:t>
            </w:r>
          </w:p>
        </w:tc>
        <w:tc>
          <w:tcPr>
            <w:tcW w:w="1336" w:type="dxa"/>
            <w:tcBorders>
              <w:top w:val="nil"/>
              <w:left w:val="nil"/>
              <w:bottom w:val="nil"/>
              <w:right w:val="nil"/>
            </w:tcBorders>
          </w:tcPr>
          <w:p w14:paraId="484286B1" w14:textId="77777777" w:rsidR="00BB38CD" w:rsidRDefault="00BB38CD" w:rsidP="00F86BAB">
            <w:pPr>
              <w:rPr>
                <w:lang w:val="en-GB"/>
              </w:rPr>
            </w:pPr>
            <w:r>
              <w:rPr>
                <w:lang w:val="en-GB"/>
              </w:rPr>
              <w:t>0.066</w:t>
            </w:r>
          </w:p>
        </w:tc>
      </w:tr>
      <w:tr w:rsidR="00BB38CD" w14:paraId="2F8BE92F" w14:textId="77777777" w:rsidTr="00F86BAB">
        <w:trPr>
          <w:trHeight w:val="264"/>
        </w:trPr>
        <w:tc>
          <w:tcPr>
            <w:tcW w:w="648" w:type="dxa"/>
            <w:tcBorders>
              <w:top w:val="nil"/>
              <w:left w:val="nil"/>
              <w:bottom w:val="nil"/>
              <w:right w:val="nil"/>
            </w:tcBorders>
          </w:tcPr>
          <w:p w14:paraId="2211808A" w14:textId="77777777" w:rsidR="00BB38CD" w:rsidRDefault="00BB38CD" w:rsidP="00F86BAB">
            <w:pPr>
              <w:rPr>
                <w:lang w:val="en-GB"/>
              </w:rPr>
            </w:pPr>
          </w:p>
        </w:tc>
        <w:tc>
          <w:tcPr>
            <w:tcW w:w="2295" w:type="dxa"/>
            <w:gridSpan w:val="3"/>
            <w:tcBorders>
              <w:top w:val="nil"/>
              <w:left w:val="nil"/>
              <w:bottom w:val="nil"/>
              <w:right w:val="nil"/>
            </w:tcBorders>
          </w:tcPr>
          <w:p w14:paraId="147CF1DF" w14:textId="77777777" w:rsidR="00BB38CD" w:rsidRDefault="00BB38CD" w:rsidP="00F86BAB">
            <w:pPr>
              <w:rPr>
                <w:lang w:val="en-GB"/>
              </w:rPr>
            </w:pPr>
            <w:r>
              <w:rPr>
                <w:lang w:val="en-GB"/>
              </w:rPr>
              <w:t>Other/Mixed</w:t>
            </w:r>
          </w:p>
        </w:tc>
        <w:tc>
          <w:tcPr>
            <w:tcW w:w="1560" w:type="dxa"/>
            <w:tcBorders>
              <w:top w:val="nil"/>
              <w:left w:val="nil"/>
              <w:bottom w:val="nil"/>
              <w:right w:val="nil"/>
            </w:tcBorders>
          </w:tcPr>
          <w:p w14:paraId="1857B348" w14:textId="3A8F36B2" w:rsidR="00BB38CD" w:rsidRDefault="00BB38CD" w:rsidP="00F86BAB">
            <w:pPr>
              <w:rPr>
                <w:lang w:val="en-GB"/>
              </w:rPr>
            </w:pPr>
            <w:r>
              <w:rPr>
                <w:lang w:val="en-GB"/>
              </w:rPr>
              <w:t>147 (1.7</w:t>
            </w:r>
            <w:r w:rsidR="00CF4AA7">
              <w:rPr>
                <w:lang w:val="en-GB"/>
              </w:rPr>
              <w:t>%</w:t>
            </w:r>
            <w:r>
              <w:rPr>
                <w:lang w:val="en-GB"/>
              </w:rPr>
              <w:t>)</w:t>
            </w:r>
          </w:p>
        </w:tc>
        <w:tc>
          <w:tcPr>
            <w:tcW w:w="1559" w:type="dxa"/>
            <w:tcBorders>
              <w:top w:val="nil"/>
              <w:left w:val="nil"/>
              <w:bottom w:val="nil"/>
              <w:right w:val="nil"/>
            </w:tcBorders>
          </w:tcPr>
          <w:p w14:paraId="77859EA1" w14:textId="577644BB" w:rsidR="00BB38CD" w:rsidRDefault="00BB38CD" w:rsidP="00F86BAB">
            <w:pPr>
              <w:rPr>
                <w:lang w:val="en-GB"/>
              </w:rPr>
            </w:pPr>
            <w:r>
              <w:rPr>
                <w:lang w:val="en-GB"/>
              </w:rPr>
              <w:t>16 (1.1</w:t>
            </w:r>
            <w:r w:rsidR="00CF4AA7">
              <w:rPr>
                <w:lang w:val="en-GB"/>
              </w:rPr>
              <w:t>%</w:t>
            </w:r>
            <w:r>
              <w:rPr>
                <w:lang w:val="en-GB"/>
              </w:rPr>
              <w:t>)</w:t>
            </w:r>
          </w:p>
        </w:tc>
        <w:tc>
          <w:tcPr>
            <w:tcW w:w="1701" w:type="dxa"/>
            <w:tcBorders>
              <w:top w:val="nil"/>
              <w:left w:val="nil"/>
              <w:bottom w:val="nil"/>
              <w:right w:val="nil"/>
            </w:tcBorders>
          </w:tcPr>
          <w:p w14:paraId="5C237FA5" w14:textId="4BE4CFE1" w:rsidR="00BB38CD" w:rsidRDefault="00BB38CD" w:rsidP="00F86BAB">
            <w:pPr>
              <w:rPr>
                <w:lang w:val="en-GB"/>
              </w:rPr>
            </w:pPr>
            <w:r>
              <w:rPr>
                <w:lang w:val="en-GB"/>
              </w:rPr>
              <w:t>131 (1.8</w:t>
            </w:r>
            <w:r w:rsidR="00CF4AA7">
              <w:rPr>
                <w:lang w:val="en-GB"/>
              </w:rPr>
              <w:t>%</w:t>
            </w:r>
            <w:r>
              <w:rPr>
                <w:lang w:val="en-GB"/>
              </w:rPr>
              <w:t>)</w:t>
            </w:r>
          </w:p>
        </w:tc>
        <w:tc>
          <w:tcPr>
            <w:tcW w:w="1276" w:type="dxa"/>
            <w:tcBorders>
              <w:top w:val="nil"/>
              <w:left w:val="nil"/>
              <w:bottom w:val="nil"/>
              <w:right w:val="nil"/>
            </w:tcBorders>
          </w:tcPr>
          <w:p w14:paraId="58E4D234" w14:textId="77777777" w:rsidR="00BB38CD" w:rsidRDefault="00BB38CD" w:rsidP="00F86BAB">
            <w:pPr>
              <w:rPr>
                <w:lang w:val="en-GB"/>
              </w:rPr>
            </w:pPr>
            <w:r>
              <w:rPr>
                <w:lang w:val="en-GB"/>
              </w:rPr>
              <w:t>10.9</w:t>
            </w:r>
          </w:p>
        </w:tc>
        <w:tc>
          <w:tcPr>
            <w:tcW w:w="2238" w:type="dxa"/>
            <w:tcBorders>
              <w:top w:val="nil"/>
              <w:left w:val="nil"/>
              <w:bottom w:val="nil"/>
              <w:right w:val="nil"/>
            </w:tcBorders>
          </w:tcPr>
          <w:p w14:paraId="5D60F8FE" w14:textId="77777777" w:rsidR="00BB38CD" w:rsidRDefault="00BB38CD" w:rsidP="00F86BAB">
            <w:pPr>
              <w:rPr>
                <w:lang w:val="en-GB"/>
              </w:rPr>
            </w:pPr>
            <w:r>
              <w:rPr>
                <w:lang w:val="en-GB"/>
              </w:rPr>
              <w:t>0.62 (0.36, 1.05)</w:t>
            </w:r>
          </w:p>
        </w:tc>
        <w:tc>
          <w:tcPr>
            <w:tcW w:w="2238" w:type="dxa"/>
            <w:tcBorders>
              <w:top w:val="nil"/>
              <w:left w:val="nil"/>
              <w:bottom w:val="nil"/>
              <w:right w:val="nil"/>
            </w:tcBorders>
          </w:tcPr>
          <w:p w14:paraId="6C3D1BE3" w14:textId="77777777" w:rsidR="00BB38CD" w:rsidRDefault="00BB38CD" w:rsidP="00F86BAB">
            <w:pPr>
              <w:rPr>
                <w:lang w:val="en-GB"/>
              </w:rPr>
            </w:pPr>
            <w:r>
              <w:rPr>
                <w:lang w:val="en-GB"/>
              </w:rPr>
              <w:t>0.61 (0.36, 1.04)</w:t>
            </w:r>
          </w:p>
        </w:tc>
        <w:tc>
          <w:tcPr>
            <w:tcW w:w="1336" w:type="dxa"/>
            <w:tcBorders>
              <w:top w:val="nil"/>
              <w:left w:val="nil"/>
              <w:bottom w:val="nil"/>
              <w:right w:val="nil"/>
            </w:tcBorders>
          </w:tcPr>
          <w:p w14:paraId="7F63B7B7" w14:textId="77777777" w:rsidR="00BB38CD" w:rsidRDefault="00BB38CD" w:rsidP="00F86BAB">
            <w:pPr>
              <w:rPr>
                <w:lang w:val="en-GB"/>
              </w:rPr>
            </w:pPr>
            <w:r>
              <w:rPr>
                <w:lang w:val="en-GB"/>
              </w:rPr>
              <w:t>0.072</w:t>
            </w:r>
          </w:p>
        </w:tc>
      </w:tr>
      <w:tr w:rsidR="00BB38CD" w14:paraId="0D580696" w14:textId="77777777" w:rsidTr="00F86BAB">
        <w:trPr>
          <w:trHeight w:val="264"/>
        </w:trPr>
        <w:tc>
          <w:tcPr>
            <w:tcW w:w="648" w:type="dxa"/>
            <w:tcBorders>
              <w:top w:val="nil"/>
              <w:left w:val="nil"/>
              <w:bottom w:val="nil"/>
              <w:right w:val="nil"/>
            </w:tcBorders>
          </w:tcPr>
          <w:p w14:paraId="257D73BD" w14:textId="77777777" w:rsidR="00BB38CD" w:rsidRDefault="00BB38CD" w:rsidP="00F86BAB">
            <w:pPr>
              <w:rPr>
                <w:lang w:val="en-GB"/>
              </w:rPr>
            </w:pPr>
          </w:p>
        </w:tc>
        <w:tc>
          <w:tcPr>
            <w:tcW w:w="2295" w:type="dxa"/>
            <w:gridSpan w:val="3"/>
            <w:tcBorders>
              <w:top w:val="nil"/>
              <w:left w:val="nil"/>
              <w:bottom w:val="nil"/>
              <w:right w:val="nil"/>
            </w:tcBorders>
          </w:tcPr>
          <w:p w14:paraId="58CDCDF5" w14:textId="77777777" w:rsidR="00BB38CD" w:rsidRDefault="00BB38CD" w:rsidP="00F86BAB">
            <w:pPr>
              <w:rPr>
                <w:lang w:val="en-GB"/>
              </w:rPr>
            </w:pPr>
            <w:r>
              <w:rPr>
                <w:lang w:val="en-GB"/>
              </w:rPr>
              <w:t>Missing</w:t>
            </w:r>
          </w:p>
        </w:tc>
        <w:tc>
          <w:tcPr>
            <w:tcW w:w="1560" w:type="dxa"/>
            <w:tcBorders>
              <w:top w:val="nil"/>
              <w:left w:val="nil"/>
              <w:bottom w:val="nil"/>
              <w:right w:val="nil"/>
            </w:tcBorders>
          </w:tcPr>
          <w:p w14:paraId="6A6327F6" w14:textId="23322A80" w:rsidR="00BB38CD" w:rsidRDefault="00BB38CD" w:rsidP="00F86BAB">
            <w:pPr>
              <w:rPr>
                <w:lang w:val="en-GB"/>
              </w:rPr>
            </w:pPr>
            <w:r>
              <w:rPr>
                <w:lang w:val="en-GB"/>
              </w:rPr>
              <w:t>1442 (16.2</w:t>
            </w:r>
            <w:r w:rsidR="00CF4AA7">
              <w:rPr>
                <w:lang w:val="en-GB"/>
              </w:rPr>
              <w:t>%</w:t>
            </w:r>
            <w:r>
              <w:rPr>
                <w:lang w:val="en-GB"/>
              </w:rPr>
              <w:t>)</w:t>
            </w:r>
          </w:p>
        </w:tc>
        <w:tc>
          <w:tcPr>
            <w:tcW w:w="1559" w:type="dxa"/>
            <w:tcBorders>
              <w:top w:val="nil"/>
              <w:left w:val="nil"/>
              <w:bottom w:val="nil"/>
              <w:right w:val="nil"/>
            </w:tcBorders>
          </w:tcPr>
          <w:p w14:paraId="79010126" w14:textId="1F609664" w:rsidR="00BB38CD" w:rsidRDefault="00BB38CD" w:rsidP="00F86BAB">
            <w:pPr>
              <w:rPr>
                <w:lang w:val="en-GB"/>
              </w:rPr>
            </w:pPr>
            <w:r>
              <w:rPr>
                <w:lang w:val="en-GB"/>
              </w:rPr>
              <w:t>182 (12.2</w:t>
            </w:r>
            <w:r w:rsidR="00CF4AA7">
              <w:rPr>
                <w:lang w:val="en-GB"/>
              </w:rPr>
              <w:t>%</w:t>
            </w:r>
            <w:r>
              <w:rPr>
                <w:lang w:val="en-GB"/>
              </w:rPr>
              <w:t>)</w:t>
            </w:r>
          </w:p>
        </w:tc>
        <w:tc>
          <w:tcPr>
            <w:tcW w:w="1701" w:type="dxa"/>
            <w:tcBorders>
              <w:top w:val="nil"/>
              <w:left w:val="nil"/>
              <w:bottom w:val="nil"/>
              <w:right w:val="nil"/>
            </w:tcBorders>
          </w:tcPr>
          <w:p w14:paraId="36960784" w14:textId="2407C5B4" w:rsidR="00BB38CD" w:rsidRDefault="00BB38CD" w:rsidP="00F86BAB">
            <w:pPr>
              <w:rPr>
                <w:lang w:val="en-GB"/>
              </w:rPr>
            </w:pPr>
            <w:r>
              <w:rPr>
                <w:lang w:val="en-GB"/>
              </w:rPr>
              <w:t>1260 (17.0</w:t>
            </w:r>
            <w:r w:rsidR="00CF4AA7">
              <w:rPr>
                <w:lang w:val="en-GB"/>
              </w:rPr>
              <w:t>%</w:t>
            </w:r>
            <w:r>
              <w:rPr>
                <w:lang w:val="en-GB"/>
              </w:rPr>
              <w:t>)</w:t>
            </w:r>
          </w:p>
        </w:tc>
        <w:tc>
          <w:tcPr>
            <w:tcW w:w="1276" w:type="dxa"/>
            <w:tcBorders>
              <w:top w:val="nil"/>
              <w:left w:val="nil"/>
              <w:bottom w:val="nil"/>
              <w:right w:val="nil"/>
            </w:tcBorders>
          </w:tcPr>
          <w:p w14:paraId="34AB1E68" w14:textId="77777777" w:rsidR="00BB38CD" w:rsidRDefault="00BB38CD" w:rsidP="00F86BAB">
            <w:pPr>
              <w:rPr>
                <w:lang w:val="en-GB"/>
              </w:rPr>
            </w:pPr>
            <w:r>
              <w:rPr>
                <w:lang w:val="en-GB"/>
              </w:rPr>
              <w:t>12.6</w:t>
            </w:r>
          </w:p>
        </w:tc>
        <w:tc>
          <w:tcPr>
            <w:tcW w:w="2238" w:type="dxa"/>
            <w:tcBorders>
              <w:top w:val="nil"/>
              <w:left w:val="nil"/>
              <w:bottom w:val="nil"/>
              <w:right w:val="nil"/>
            </w:tcBorders>
          </w:tcPr>
          <w:p w14:paraId="23BA5240" w14:textId="77777777" w:rsidR="00BB38CD" w:rsidRDefault="00BB38CD" w:rsidP="00F86BAB">
            <w:pPr>
              <w:rPr>
                <w:lang w:val="en-GB"/>
              </w:rPr>
            </w:pPr>
            <w:r>
              <w:rPr>
                <w:lang w:val="en-GB"/>
              </w:rPr>
              <w:t>0.58 (0.48, 0.69)</w:t>
            </w:r>
          </w:p>
        </w:tc>
        <w:tc>
          <w:tcPr>
            <w:tcW w:w="2238" w:type="dxa"/>
            <w:tcBorders>
              <w:top w:val="nil"/>
              <w:left w:val="nil"/>
              <w:bottom w:val="nil"/>
              <w:right w:val="nil"/>
            </w:tcBorders>
          </w:tcPr>
          <w:p w14:paraId="3DF22C41" w14:textId="77777777" w:rsidR="00BB38CD" w:rsidRDefault="00BB38CD" w:rsidP="00F86BAB">
            <w:pPr>
              <w:rPr>
                <w:lang w:val="en-GB"/>
              </w:rPr>
            </w:pPr>
            <w:r>
              <w:rPr>
                <w:lang w:val="en-GB"/>
              </w:rPr>
              <w:t>0.55 (0.46, 0.66)</w:t>
            </w:r>
          </w:p>
        </w:tc>
        <w:tc>
          <w:tcPr>
            <w:tcW w:w="1336" w:type="dxa"/>
            <w:tcBorders>
              <w:top w:val="nil"/>
              <w:left w:val="nil"/>
              <w:bottom w:val="nil"/>
              <w:right w:val="nil"/>
            </w:tcBorders>
          </w:tcPr>
          <w:p w14:paraId="0E988CA3" w14:textId="77777777" w:rsidR="00BB38CD" w:rsidRDefault="00BB38CD" w:rsidP="00F86BAB">
            <w:pPr>
              <w:rPr>
                <w:lang w:val="en-GB"/>
              </w:rPr>
            </w:pPr>
            <w:r>
              <w:rPr>
                <w:lang w:val="en-GB"/>
              </w:rPr>
              <w:t>&lt;0.001</w:t>
            </w:r>
          </w:p>
        </w:tc>
      </w:tr>
      <w:tr w:rsidR="00BB38CD" w14:paraId="36CE3DEE" w14:textId="77777777" w:rsidTr="00F86BAB">
        <w:trPr>
          <w:trHeight w:val="264"/>
        </w:trPr>
        <w:tc>
          <w:tcPr>
            <w:tcW w:w="2943" w:type="dxa"/>
            <w:gridSpan w:val="4"/>
            <w:tcBorders>
              <w:top w:val="nil"/>
              <w:left w:val="nil"/>
              <w:bottom w:val="nil"/>
              <w:right w:val="nil"/>
            </w:tcBorders>
          </w:tcPr>
          <w:p w14:paraId="050152E8" w14:textId="77777777" w:rsidR="00BB38CD" w:rsidRPr="00E678F6" w:rsidRDefault="00BB38CD" w:rsidP="00F86BAB">
            <w:pPr>
              <w:rPr>
                <w:b/>
                <w:lang w:val="en-GB"/>
              </w:rPr>
            </w:pPr>
            <w:r w:rsidRPr="00E678F6">
              <w:rPr>
                <w:b/>
                <w:lang w:val="en-GB"/>
              </w:rPr>
              <w:t xml:space="preserve">IMD </w:t>
            </w:r>
            <w:r>
              <w:rPr>
                <w:b/>
                <w:lang w:val="en-GB"/>
              </w:rPr>
              <w:t>2010 quintile</w:t>
            </w:r>
          </w:p>
        </w:tc>
        <w:tc>
          <w:tcPr>
            <w:tcW w:w="1560" w:type="dxa"/>
            <w:tcBorders>
              <w:top w:val="nil"/>
              <w:left w:val="nil"/>
              <w:bottom w:val="nil"/>
              <w:right w:val="nil"/>
            </w:tcBorders>
          </w:tcPr>
          <w:p w14:paraId="1ED63A6B" w14:textId="77777777" w:rsidR="00BB38CD" w:rsidRDefault="00BB38CD" w:rsidP="00F86BAB">
            <w:pPr>
              <w:rPr>
                <w:lang w:val="en-GB"/>
              </w:rPr>
            </w:pPr>
          </w:p>
        </w:tc>
        <w:tc>
          <w:tcPr>
            <w:tcW w:w="1559" w:type="dxa"/>
            <w:tcBorders>
              <w:top w:val="nil"/>
              <w:left w:val="nil"/>
              <w:bottom w:val="nil"/>
              <w:right w:val="nil"/>
            </w:tcBorders>
          </w:tcPr>
          <w:p w14:paraId="1B8BCDD3" w14:textId="77777777" w:rsidR="00BB38CD" w:rsidRDefault="00BB38CD" w:rsidP="00F86BAB">
            <w:pPr>
              <w:rPr>
                <w:lang w:val="en-GB"/>
              </w:rPr>
            </w:pPr>
          </w:p>
        </w:tc>
        <w:tc>
          <w:tcPr>
            <w:tcW w:w="1701" w:type="dxa"/>
            <w:tcBorders>
              <w:top w:val="nil"/>
              <w:left w:val="nil"/>
              <w:bottom w:val="nil"/>
              <w:right w:val="nil"/>
            </w:tcBorders>
          </w:tcPr>
          <w:p w14:paraId="5D63DEE8" w14:textId="77777777" w:rsidR="00BB38CD" w:rsidRDefault="00BB38CD" w:rsidP="00F86BAB">
            <w:pPr>
              <w:rPr>
                <w:lang w:val="en-GB"/>
              </w:rPr>
            </w:pPr>
          </w:p>
        </w:tc>
        <w:tc>
          <w:tcPr>
            <w:tcW w:w="1276" w:type="dxa"/>
            <w:tcBorders>
              <w:top w:val="nil"/>
              <w:left w:val="nil"/>
              <w:bottom w:val="nil"/>
              <w:right w:val="nil"/>
            </w:tcBorders>
          </w:tcPr>
          <w:p w14:paraId="5B6B6084" w14:textId="77777777" w:rsidR="00BB38CD" w:rsidRDefault="00BB38CD" w:rsidP="00F86BAB">
            <w:pPr>
              <w:rPr>
                <w:lang w:val="en-GB"/>
              </w:rPr>
            </w:pPr>
          </w:p>
        </w:tc>
        <w:tc>
          <w:tcPr>
            <w:tcW w:w="2238" w:type="dxa"/>
            <w:tcBorders>
              <w:top w:val="nil"/>
              <w:left w:val="nil"/>
              <w:bottom w:val="nil"/>
              <w:right w:val="nil"/>
            </w:tcBorders>
          </w:tcPr>
          <w:p w14:paraId="416299EB" w14:textId="77777777" w:rsidR="00BB38CD" w:rsidRDefault="00BB38CD" w:rsidP="00F86BAB">
            <w:pPr>
              <w:rPr>
                <w:lang w:val="en-GB"/>
              </w:rPr>
            </w:pPr>
          </w:p>
        </w:tc>
        <w:tc>
          <w:tcPr>
            <w:tcW w:w="2238" w:type="dxa"/>
            <w:tcBorders>
              <w:top w:val="nil"/>
              <w:left w:val="nil"/>
              <w:bottom w:val="nil"/>
              <w:right w:val="nil"/>
            </w:tcBorders>
          </w:tcPr>
          <w:p w14:paraId="7EB7B0C6" w14:textId="77777777" w:rsidR="00BB38CD" w:rsidRDefault="00BB38CD" w:rsidP="00F86BAB">
            <w:pPr>
              <w:rPr>
                <w:lang w:val="en-GB"/>
              </w:rPr>
            </w:pPr>
          </w:p>
        </w:tc>
        <w:tc>
          <w:tcPr>
            <w:tcW w:w="1336" w:type="dxa"/>
            <w:tcBorders>
              <w:top w:val="nil"/>
              <w:left w:val="nil"/>
              <w:bottom w:val="nil"/>
              <w:right w:val="nil"/>
            </w:tcBorders>
          </w:tcPr>
          <w:p w14:paraId="6805850D" w14:textId="77777777" w:rsidR="00BB38CD" w:rsidRPr="008E2E6E" w:rsidRDefault="00BB38CD" w:rsidP="00F86BAB">
            <w:pPr>
              <w:rPr>
                <w:vertAlign w:val="superscript"/>
                <w:lang w:val="en-GB"/>
              </w:rPr>
            </w:pPr>
            <w:r>
              <w:rPr>
                <w:lang w:val="en-GB"/>
              </w:rPr>
              <w:t>&lt;0.001</w:t>
            </w:r>
            <w:r>
              <w:rPr>
                <w:vertAlign w:val="superscript"/>
                <w:lang w:val="en-GB"/>
              </w:rPr>
              <w:t>c</w:t>
            </w:r>
          </w:p>
        </w:tc>
      </w:tr>
      <w:tr w:rsidR="00BB38CD" w14:paraId="2EA7DC3D" w14:textId="77777777" w:rsidTr="00F86BAB">
        <w:trPr>
          <w:trHeight w:val="250"/>
        </w:trPr>
        <w:tc>
          <w:tcPr>
            <w:tcW w:w="738" w:type="dxa"/>
            <w:gridSpan w:val="3"/>
            <w:tcBorders>
              <w:top w:val="nil"/>
              <w:left w:val="nil"/>
              <w:bottom w:val="nil"/>
              <w:right w:val="nil"/>
            </w:tcBorders>
          </w:tcPr>
          <w:p w14:paraId="212AB71E" w14:textId="77777777" w:rsidR="00BB38CD" w:rsidRPr="00E678F6" w:rsidRDefault="00BB38CD" w:rsidP="00F86BAB">
            <w:pPr>
              <w:rPr>
                <w:b/>
                <w:lang w:val="en-GB"/>
              </w:rPr>
            </w:pPr>
          </w:p>
        </w:tc>
        <w:tc>
          <w:tcPr>
            <w:tcW w:w="2205" w:type="dxa"/>
            <w:tcBorders>
              <w:top w:val="nil"/>
              <w:left w:val="nil"/>
              <w:bottom w:val="nil"/>
              <w:right w:val="nil"/>
            </w:tcBorders>
          </w:tcPr>
          <w:p w14:paraId="7EBFC3B3" w14:textId="77777777" w:rsidR="00BB38CD" w:rsidRPr="00E678F6" w:rsidRDefault="00BB38CD" w:rsidP="00F86BAB">
            <w:pPr>
              <w:rPr>
                <w:lang w:val="en-GB"/>
              </w:rPr>
            </w:pPr>
            <w:r w:rsidRPr="00E678F6">
              <w:rPr>
                <w:lang w:val="en-GB"/>
              </w:rPr>
              <w:t>1 (</w:t>
            </w:r>
            <w:r>
              <w:rPr>
                <w:lang w:val="en-GB"/>
              </w:rPr>
              <w:t>least</w:t>
            </w:r>
            <w:r w:rsidRPr="00E678F6">
              <w:rPr>
                <w:lang w:val="en-GB"/>
              </w:rPr>
              <w:t xml:space="preserve"> deprived)</w:t>
            </w:r>
          </w:p>
        </w:tc>
        <w:tc>
          <w:tcPr>
            <w:tcW w:w="1560" w:type="dxa"/>
            <w:tcBorders>
              <w:top w:val="nil"/>
              <w:left w:val="nil"/>
              <w:bottom w:val="nil"/>
              <w:right w:val="nil"/>
            </w:tcBorders>
          </w:tcPr>
          <w:p w14:paraId="1DC3A703" w14:textId="56953030" w:rsidR="00BB38CD" w:rsidRDefault="00BB38CD" w:rsidP="00F86BAB">
            <w:pPr>
              <w:rPr>
                <w:lang w:val="en-GB"/>
              </w:rPr>
            </w:pPr>
            <w:r>
              <w:rPr>
                <w:lang w:val="en-GB"/>
              </w:rPr>
              <w:t>1407 (15.8</w:t>
            </w:r>
            <w:r w:rsidR="00CF4AA7">
              <w:rPr>
                <w:lang w:val="en-GB"/>
              </w:rPr>
              <w:t>%</w:t>
            </w:r>
            <w:r>
              <w:rPr>
                <w:lang w:val="en-GB"/>
              </w:rPr>
              <w:t>)</w:t>
            </w:r>
          </w:p>
        </w:tc>
        <w:tc>
          <w:tcPr>
            <w:tcW w:w="1559" w:type="dxa"/>
            <w:tcBorders>
              <w:top w:val="nil"/>
              <w:left w:val="nil"/>
              <w:bottom w:val="nil"/>
              <w:right w:val="nil"/>
            </w:tcBorders>
          </w:tcPr>
          <w:p w14:paraId="75EAD0AA" w14:textId="09F1E165" w:rsidR="00BB38CD" w:rsidRPr="00E678F6" w:rsidRDefault="00BB38CD" w:rsidP="00F86BAB">
            <w:pPr>
              <w:rPr>
                <w:lang w:val="en-GB"/>
              </w:rPr>
            </w:pPr>
            <w:r>
              <w:rPr>
                <w:lang w:val="en-GB"/>
              </w:rPr>
              <w:t>293 (19.7</w:t>
            </w:r>
            <w:r w:rsidR="00CF4AA7">
              <w:rPr>
                <w:lang w:val="en-GB"/>
              </w:rPr>
              <w:t>%</w:t>
            </w:r>
            <w:r>
              <w:rPr>
                <w:lang w:val="en-GB"/>
              </w:rPr>
              <w:t>)</w:t>
            </w:r>
          </w:p>
        </w:tc>
        <w:tc>
          <w:tcPr>
            <w:tcW w:w="1701" w:type="dxa"/>
            <w:tcBorders>
              <w:top w:val="nil"/>
              <w:left w:val="nil"/>
              <w:bottom w:val="nil"/>
              <w:right w:val="nil"/>
            </w:tcBorders>
          </w:tcPr>
          <w:p w14:paraId="4C53FAE6" w14:textId="5938517F" w:rsidR="00BB38CD" w:rsidRPr="00E678F6" w:rsidRDefault="00BB38CD" w:rsidP="00F86BAB">
            <w:pPr>
              <w:rPr>
                <w:lang w:val="en-GB"/>
              </w:rPr>
            </w:pPr>
            <w:r>
              <w:rPr>
                <w:lang w:val="en-GB"/>
              </w:rPr>
              <w:t>1114 (15.0</w:t>
            </w:r>
            <w:r w:rsidR="00CF4AA7">
              <w:rPr>
                <w:lang w:val="en-GB"/>
              </w:rPr>
              <w:t>%</w:t>
            </w:r>
            <w:r>
              <w:rPr>
                <w:lang w:val="en-GB"/>
              </w:rPr>
              <w:t>)</w:t>
            </w:r>
          </w:p>
        </w:tc>
        <w:tc>
          <w:tcPr>
            <w:tcW w:w="1276" w:type="dxa"/>
            <w:tcBorders>
              <w:top w:val="nil"/>
              <w:left w:val="nil"/>
              <w:bottom w:val="nil"/>
              <w:right w:val="nil"/>
            </w:tcBorders>
          </w:tcPr>
          <w:p w14:paraId="4CCD2E2F" w14:textId="77777777" w:rsidR="00BB38CD" w:rsidRDefault="00BB38CD" w:rsidP="00F86BAB">
            <w:pPr>
              <w:rPr>
                <w:lang w:val="en-GB"/>
              </w:rPr>
            </w:pPr>
            <w:r>
              <w:rPr>
                <w:lang w:val="en-GB"/>
              </w:rPr>
              <w:t>20.8</w:t>
            </w:r>
          </w:p>
        </w:tc>
        <w:tc>
          <w:tcPr>
            <w:tcW w:w="2238" w:type="dxa"/>
            <w:tcBorders>
              <w:top w:val="nil"/>
              <w:left w:val="nil"/>
              <w:bottom w:val="nil"/>
              <w:right w:val="nil"/>
            </w:tcBorders>
          </w:tcPr>
          <w:p w14:paraId="767198BD" w14:textId="77777777" w:rsidR="00BB38CD" w:rsidRDefault="00BB38CD" w:rsidP="00F86BAB">
            <w:pPr>
              <w:rPr>
                <w:lang w:val="en-GB"/>
              </w:rPr>
            </w:pPr>
            <w:r>
              <w:rPr>
                <w:lang w:val="en-GB"/>
              </w:rPr>
              <w:t>1.00</w:t>
            </w:r>
          </w:p>
        </w:tc>
        <w:tc>
          <w:tcPr>
            <w:tcW w:w="2238" w:type="dxa"/>
            <w:tcBorders>
              <w:top w:val="nil"/>
              <w:left w:val="nil"/>
              <w:bottom w:val="nil"/>
              <w:right w:val="nil"/>
            </w:tcBorders>
          </w:tcPr>
          <w:p w14:paraId="7EFD786D" w14:textId="77777777" w:rsidR="00BB38CD" w:rsidRDefault="00BB38CD" w:rsidP="00F86BAB">
            <w:pPr>
              <w:rPr>
                <w:lang w:val="en-GB"/>
              </w:rPr>
            </w:pPr>
            <w:r>
              <w:rPr>
                <w:lang w:val="en-GB"/>
              </w:rPr>
              <w:t>1.00</w:t>
            </w:r>
          </w:p>
        </w:tc>
        <w:tc>
          <w:tcPr>
            <w:tcW w:w="1336" w:type="dxa"/>
            <w:tcBorders>
              <w:top w:val="nil"/>
              <w:left w:val="nil"/>
              <w:bottom w:val="nil"/>
              <w:right w:val="nil"/>
            </w:tcBorders>
          </w:tcPr>
          <w:p w14:paraId="5D01F1D8" w14:textId="77777777" w:rsidR="00BB38CD" w:rsidRDefault="00BB38CD" w:rsidP="00F86BAB">
            <w:pPr>
              <w:rPr>
                <w:lang w:val="en-GB"/>
              </w:rPr>
            </w:pPr>
          </w:p>
        </w:tc>
      </w:tr>
      <w:tr w:rsidR="00BB38CD" w14:paraId="06155182" w14:textId="77777777" w:rsidTr="00F86BAB">
        <w:trPr>
          <w:trHeight w:val="264"/>
        </w:trPr>
        <w:tc>
          <w:tcPr>
            <w:tcW w:w="738" w:type="dxa"/>
            <w:gridSpan w:val="3"/>
            <w:tcBorders>
              <w:top w:val="nil"/>
              <w:left w:val="nil"/>
              <w:bottom w:val="nil"/>
              <w:right w:val="nil"/>
            </w:tcBorders>
          </w:tcPr>
          <w:p w14:paraId="78B8D1CB" w14:textId="77777777" w:rsidR="00BB38CD" w:rsidRPr="00E678F6" w:rsidRDefault="00BB38CD" w:rsidP="00F86BAB">
            <w:pPr>
              <w:rPr>
                <w:b/>
                <w:lang w:val="en-GB"/>
              </w:rPr>
            </w:pPr>
          </w:p>
        </w:tc>
        <w:tc>
          <w:tcPr>
            <w:tcW w:w="2205" w:type="dxa"/>
            <w:tcBorders>
              <w:top w:val="nil"/>
              <w:left w:val="nil"/>
              <w:bottom w:val="nil"/>
              <w:right w:val="nil"/>
            </w:tcBorders>
          </w:tcPr>
          <w:p w14:paraId="65555D71" w14:textId="77777777" w:rsidR="00BB38CD" w:rsidRPr="00E678F6" w:rsidRDefault="00BB38CD" w:rsidP="00F86BAB">
            <w:pPr>
              <w:rPr>
                <w:lang w:val="en-GB"/>
              </w:rPr>
            </w:pPr>
            <w:r w:rsidRPr="00E678F6">
              <w:rPr>
                <w:lang w:val="en-GB"/>
              </w:rPr>
              <w:t>2</w:t>
            </w:r>
          </w:p>
        </w:tc>
        <w:tc>
          <w:tcPr>
            <w:tcW w:w="1560" w:type="dxa"/>
            <w:tcBorders>
              <w:top w:val="nil"/>
              <w:left w:val="nil"/>
              <w:bottom w:val="nil"/>
              <w:right w:val="nil"/>
            </w:tcBorders>
          </w:tcPr>
          <w:p w14:paraId="16EEAC44" w14:textId="34668A6A" w:rsidR="00BB38CD" w:rsidRDefault="00BB38CD" w:rsidP="00F86BAB">
            <w:pPr>
              <w:rPr>
                <w:lang w:val="en-GB"/>
              </w:rPr>
            </w:pPr>
            <w:r>
              <w:rPr>
                <w:lang w:val="en-GB"/>
              </w:rPr>
              <w:t>1531 (17.2</w:t>
            </w:r>
            <w:r w:rsidR="00CF4AA7">
              <w:rPr>
                <w:lang w:val="en-GB"/>
              </w:rPr>
              <w:t>%</w:t>
            </w:r>
            <w:r>
              <w:rPr>
                <w:lang w:val="en-GB"/>
              </w:rPr>
              <w:t>)</w:t>
            </w:r>
          </w:p>
        </w:tc>
        <w:tc>
          <w:tcPr>
            <w:tcW w:w="1559" w:type="dxa"/>
            <w:tcBorders>
              <w:top w:val="nil"/>
              <w:left w:val="nil"/>
              <w:bottom w:val="nil"/>
              <w:right w:val="nil"/>
            </w:tcBorders>
          </w:tcPr>
          <w:p w14:paraId="5D537BFA" w14:textId="138900D7" w:rsidR="00BB38CD" w:rsidRPr="00E678F6" w:rsidRDefault="00BB38CD" w:rsidP="00F86BAB">
            <w:pPr>
              <w:rPr>
                <w:lang w:val="en-GB"/>
              </w:rPr>
            </w:pPr>
            <w:r>
              <w:rPr>
                <w:lang w:val="en-GB"/>
              </w:rPr>
              <w:t>285 (19.1</w:t>
            </w:r>
            <w:r w:rsidR="00CF4AA7">
              <w:rPr>
                <w:lang w:val="en-GB"/>
              </w:rPr>
              <w:t>%</w:t>
            </w:r>
            <w:r>
              <w:rPr>
                <w:lang w:val="en-GB"/>
              </w:rPr>
              <w:t>)</w:t>
            </w:r>
          </w:p>
        </w:tc>
        <w:tc>
          <w:tcPr>
            <w:tcW w:w="1701" w:type="dxa"/>
            <w:tcBorders>
              <w:top w:val="nil"/>
              <w:left w:val="nil"/>
              <w:bottom w:val="nil"/>
              <w:right w:val="nil"/>
            </w:tcBorders>
          </w:tcPr>
          <w:p w14:paraId="66C80667" w14:textId="609B5D6F" w:rsidR="00BB38CD" w:rsidRPr="00E678F6" w:rsidRDefault="00BB38CD" w:rsidP="00F86BAB">
            <w:pPr>
              <w:rPr>
                <w:lang w:val="en-GB"/>
              </w:rPr>
            </w:pPr>
            <w:r>
              <w:rPr>
                <w:lang w:val="en-GB"/>
              </w:rPr>
              <w:t>1246 (16.8</w:t>
            </w:r>
            <w:r w:rsidR="00CF4AA7">
              <w:rPr>
                <w:lang w:val="en-GB"/>
              </w:rPr>
              <w:t>%</w:t>
            </w:r>
            <w:r>
              <w:rPr>
                <w:lang w:val="en-GB"/>
              </w:rPr>
              <w:t>)</w:t>
            </w:r>
          </w:p>
        </w:tc>
        <w:tc>
          <w:tcPr>
            <w:tcW w:w="1276" w:type="dxa"/>
            <w:tcBorders>
              <w:top w:val="nil"/>
              <w:left w:val="nil"/>
              <w:bottom w:val="nil"/>
              <w:right w:val="nil"/>
            </w:tcBorders>
          </w:tcPr>
          <w:p w14:paraId="22AA7C6E" w14:textId="77777777" w:rsidR="00BB38CD" w:rsidRDefault="00BB38CD" w:rsidP="00F86BAB">
            <w:pPr>
              <w:rPr>
                <w:lang w:val="en-GB"/>
              </w:rPr>
            </w:pPr>
            <w:r>
              <w:rPr>
                <w:lang w:val="en-GB"/>
              </w:rPr>
              <w:t>18.6</w:t>
            </w:r>
          </w:p>
        </w:tc>
        <w:tc>
          <w:tcPr>
            <w:tcW w:w="2238" w:type="dxa"/>
            <w:tcBorders>
              <w:top w:val="nil"/>
              <w:left w:val="nil"/>
              <w:bottom w:val="nil"/>
              <w:right w:val="nil"/>
            </w:tcBorders>
          </w:tcPr>
          <w:p w14:paraId="017447BB" w14:textId="77777777" w:rsidR="00BB38CD" w:rsidRDefault="00BB38CD" w:rsidP="00F86BAB">
            <w:pPr>
              <w:rPr>
                <w:lang w:val="en-GB"/>
              </w:rPr>
            </w:pPr>
            <w:r>
              <w:rPr>
                <w:lang w:val="en-GB"/>
              </w:rPr>
              <w:t>0.86 (0.70, 1.04)</w:t>
            </w:r>
          </w:p>
        </w:tc>
        <w:tc>
          <w:tcPr>
            <w:tcW w:w="2238" w:type="dxa"/>
            <w:tcBorders>
              <w:top w:val="nil"/>
              <w:left w:val="nil"/>
              <w:bottom w:val="nil"/>
              <w:right w:val="nil"/>
            </w:tcBorders>
          </w:tcPr>
          <w:p w14:paraId="64F07426" w14:textId="77777777" w:rsidR="00BB38CD" w:rsidRDefault="00BB38CD" w:rsidP="00F86BAB">
            <w:pPr>
              <w:rPr>
                <w:lang w:val="en-GB"/>
              </w:rPr>
            </w:pPr>
            <w:r>
              <w:rPr>
                <w:lang w:val="en-GB"/>
              </w:rPr>
              <w:t>0.87 (0.72, 1.07)</w:t>
            </w:r>
          </w:p>
        </w:tc>
        <w:tc>
          <w:tcPr>
            <w:tcW w:w="1336" w:type="dxa"/>
            <w:tcBorders>
              <w:top w:val="nil"/>
              <w:left w:val="nil"/>
              <w:bottom w:val="nil"/>
              <w:right w:val="nil"/>
            </w:tcBorders>
          </w:tcPr>
          <w:p w14:paraId="77A4BDE1" w14:textId="77777777" w:rsidR="00BB38CD" w:rsidRDefault="00BB38CD" w:rsidP="00F86BAB">
            <w:pPr>
              <w:rPr>
                <w:lang w:val="en-GB"/>
              </w:rPr>
            </w:pPr>
            <w:r>
              <w:rPr>
                <w:lang w:val="en-GB"/>
              </w:rPr>
              <w:t>0.190</w:t>
            </w:r>
          </w:p>
        </w:tc>
      </w:tr>
      <w:tr w:rsidR="00BB38CD" w14:paraId="150EFDE6" w14:textId="77777777" w:rsidTr="00F86BAB">
        <w:trPr>
          <w:trHeight w:val="264"/>
        </w:trPr>
        <w:tc>
          <w:tcPr>
            <w:tcW w:w="738" w:type="dxa"/>
            <w:gridSpan w:val="3"/>
            <w:tcBorders>
              <w:top w:val="nil"/>
              <w:left w:val="nil"/>
              <w:bottom w:val="nil"/>
              <w:right w:val="nil"/>
            </w:tcBorders>
          </w:tcPr>
          <w:p w14:paraId="7AE4A9EF" w14:textId="77777777" w:rsidR="00BB38CD" w:rsidRPr="00E678F6" w:rsidRDefault="00BB38CD" w:rsidP="00F86BAB">
            <w:pPr>
              <w:rPr>
                <w:b/>
                <w:lang w:val="en-GB"/>
              </w:rPr>
            </w:pPr>
          </w:p>
        </w:tc>
        <w:tc>
          <w:tcPr>
            <w:tcW w:w="2205" w:type="dxa"/>
            <w:tcBorders>
              <w:top w:val="nil"/>
              <w:left w:val="nil"/>
              <w:bottom w:val="nil"/>
              <w:right w:val="nil"/>
            </w:tcBorders>
          </w:tcPr>
          <w:p w14:paraId="3158417E" w14:textId="77777777" w:rsidR="00BB38CD" w:rsidRPr="00E678F6" w:rsidRDefault="00BB38CD" w:rsidP="00F86BAB">
            <w:pPr>
              <w:rPr>
                <w:lang w:val="en-GB"/>
              </w:rPr>
            </w:pPr>
            <w:r w:rsidRPr="00E678F6">
              <w:rPr>
                <w:lang w:val="en-GB"/>
              </w:rPr>
              <w:t>3</w:t>
            </w:r>
          </w:p>
        </w:tc>
        <w:tc>
          <w:tcPr>
            <w:tcW w:w="1560" w:type="dxa"/>
            <w:tcBorders>
              <w:top w:val="nil"/>
              <w:left w:val="nil"/>
              <w:bottom w:val="nil"/>
              <w:right w:val="nil"/>
            </w:tcBorders>
          </w:tcPr>
          <w:p w14:paraId="21D5486E" w14:textId="5CD8CA57" w:rsidR="00BB38CD" w:rsidRDefault="00BB38CD" w:rsidP="00F86BAB">
            <w:pPr>
              <w:rPr>
                <w:lang w:val="en-GB"/>
              </w:rPr>
            </w:pPr>
            <w:r>
              <w:rPr>
                <w:lang w:val="en-GB"/>
              </w:rPr>
              <w:t>1616 (18.2</w:t>
            </w:r>
            <w:r w:rsidR="00CF4AA7">
              <w:rPr>
                <w:lang w:val="en-GB"/>
              </w:rPr>
              <w:t>%</w:t>
            </w:r>
            <w:r>
              <w:rPr>
                <w:lang w:val="en-GB"/>
              </w:rPr>
              <w:t>)</w:t>
            </w:r>
          </w:p>
        </w:tc>
        <w:tc>
          <w:tcPr>
            <w:tcW w:w="1559" w:type="dxa"/>
            <w:tcBorders>
              <w:top w:val="nil"/>
              <w:left w:val="nil"/>
              <w:bottom w:val="nil"/>
              <w:right w:val="nil"/>
            </w:tcBorders>
          </w:tcPr>
          <w:p w14:paraId="0E486CA5" w14:textId="3A2E0BD7" w:rsidR="00BB38CD" w:rsidRPr="00E678F6" w:rsidRDefault="00BB38CD" w:rsidP="00F86BAB">
            <w:pPr>
              <w:rPr>
                <w:lang w:val="en-GB"/>
              </w:rPr>
            </w:pPr>
            <w:r>
              <w:rPr>
                <w:lang w:val="en-GB"/>
              </w:rPr>
              <w:t>315 (21.2</w:t>
            </w:r>
            <w:r w:rsidR="00CF4AA7">
              <w:rPr>
                <w:lang w:val="en-GB"/>
              </w:rPr>
              <w:t>%</w:t>
            </w:r>
            <w:r>
              <w:rPr>
                <w:lang w:val="en-GB"/>
              </w:rPr>
              <w:t>)</w:t>
            </w:r>
          </w:p>
        </w:tc>
        <w:tc>
          <w:tcPr>
            <w:tcW w:w="1701" w:type="dxa"/>
            <w:tcBorders>
              <w:top w:val="nil"/>
              <w:left w:val="nil"/>
              <w:bottom w:val="nil"/>
              <w:right w:val="nil"/>
            </w:tcBorders>
          </w:tcPr>
          <w:p w14:paraId="0B7CB0C3" w14:textId="435C6588" w:rsidR="00BB38CD" w:rsidRPr="00E678F6" w:rsidRDefault="00BB38CD" w:rsidP="00F86BAB">
            <w:pPr>
              <w:rPr>
                <w:lang w:val="en-GB"/>
              </w:rPr>
            </w:pPr>
            <w:r>
              <w:rPr>
                <w:lang w:val="en-GB"/>
              </w:rPr>
              <w:t>1301 (17.6</w:t>
            </w:r>
            <w:r w:rsidR="00CF4AA7">
              <w:rPr>
                <w:lang w:val="en-GB"/>
              </w:rPr>
              <w:t>%</w:t>
            </w:r>
            <w:r>
              <w:rPr>
                <w:lang w:val="en-GB"/>
              </w:rPr>
              <w:t>)</w:t>
            </w:r>
          </w:p>
        </w:tc>
        <w:tc>
          <w:tcPr>
            <w:tcW w:w="1276" w:type="dxa"/>
            <w:tcBorders>
              <w:top w:val="nil"/>
              <w:left w:val="nil"/>
              <w:bottom w:val="nil"/>
              <w:right w:val="nil"/>
            </w:tcBorders>
          </w:tcPr>
          <w:p w14:paraId="4995F2DE" w14:textId="77777777" w:rsidR="00BB38CD" w:rsidRDefault="00BB38CD" w:rsidP="00F86BAB">
            <w:pPr>
              <w:rPr>
                <w:lang w:val="en-GB"/>
              </w:rPr>
            </w:pPr>
            <w:r>
              <w:rPr>
                <w:lang w:val="en-GB"/>
              </w:rPr>
              <w:t>19.5</w:t>
            </w:r>
          </w:p>
        </w:tc>
        <w:tc>
          <w:tcPr>
            <w:tcW w:w="2238" w:type="dxa"/>
            <w:tcBorders>
              <w:top w:val="nil"/>
              <w:left w:val="nil"/>
              <w:bottom w:val="nil"/>
              <w:right w:val="nil"/>
            </w:tcBorders>
          </w:tcPr>
          <w:p w14:paraId="18931A2C" w14:textId="77777777" w:rsidR="00BB38CD" w:rsidRDefault="00BB38CD" w:rsidP="00F86BAB">
            <w:pPr>
              <w:rPr>
                <w:lang w:val="en-GB"/>
              </w:rPr>
            </w:pPr>
            <w:r>
              <w:rPr>
                <w:lang w:val="en-GB"/>
              </w:rPr>
              <w:t>0.80 (0.65, 0.98)</w:t>
            </w:r>
          </w:p>
        </w:tc>
        <w:tc>
          <w:tcPr>
            <w:tcW w:w="2238" w:type="dxa"/>
            <w:tcBorders>
              <w:top w:val="nil"/>
              <w:left w:val="nil"/>
              <w:bottom w:val="nil"/>
              <w:right w:val="nil"/>
            </w:tcBorders>
          </w:tcPr>
          <w:p w14:paraId="5E5FD68F" w14:textId="77777777" w:rsidR="00BB38CD" w:rsidRDefault="00BB38CD" w:rsidP="00F86BAB">
            <w:pPr>
              <w:rPr>
                <w:lang w:val="en-GB"/>
              </w:rPr>
            </w:pPr>
            <w:r>
              <w:rPr>
                <w:lang w:val="en-GB"/>
              </w:rPr>
              <w:t>0.85 (0.69, 1.05)</w:t>
            </w:r>
          </w:p>
        </w:tc>
        <w:tc>
          <w:tcPr>
            <w:tcW w:w="1336" w:type="dxa"/>
            <w:tcBorders>
              <w:top w:val="nil"/>
              <w:left w:val="nil"/>
              <w:bottom w:val="nil"/>
              <w:right w:val="nil"/>
            </w:tcBorders>
          </w:tcPr>
          <w:p w14:paraId="1DB71E38" w14:textId="77777777" w:rsidR="00BB38CD" w:rsidRDefault="00BB38CD" w:rsidP="00F86BAB">
            <w:pPr>
              <w:rPr>
                <w:lang w:val="en-GB"/>
              </w:rPr>
            </w:pPr>
            <w:r>
              <w:rPr>
                <w:lang w:val="en-GB"/>
              </w:rPr>
              <w:t>0.139</w:t>
            </w:r>
          </w:p>
        </w:tc>
      </w:tr>
      <w:tr w:rsidR="00BB38CD" w14:paraId="4ABA6ED2" w14:textId="77777777" w:rsidTr="00F86BAB">
        <w:trPr>
          <w:trHeight w:val="264"/>
        </w:trPr>
        <w:tc>
          <w:tcPr>
            <w:tcW w:w="738" w:type="dxa"/>
            <w:gridSpan w:val="3"/>
            <w:tcBorders>
              <w:top w:val="nil"/>
              <w:left w:val="nil"/>
              <w:bottom w:val="nil"/>
              <w:right w:val="nil"/>
            </w:tcBorders>
          </w:tcPr>
          <w:p w14:paraId="7B2F12D4" w14:textId="77777777" w:rsidR="00BB38CD" w:rsidRPr="00E678F6" w:rsidRDefault="00BB38CD" w:rsidP="00F86BAB">
            <w:pPr>
              <w:rPr>
                <w:b/>
                <w:lang w:val="en-GB"/>
              </w:rPr>
            </w:pPr>
          </w:p>
        </w:tc>
        <w:tc>
          <w:tcPr>
            <w:tcW w:w="2205" w:type="dxa"/>
            <w:tcBorders>
              <w:top w:val="nil"/>
              <w:left w:val="nil"/>
              <w:bottom w:val="nil"/>
              <w:right w:val="nil"/>
            </w:tcBorders>
          </w:tcPr>
          <w:p w14:paraId="57F24AA5" w14:textId="77777777" w:rsidR="00BB38CD" w:rsidRPr="00E678F6" w:rsidRDefault="00BB38CD" w:rsidP="00F86BAB">
            <w:pPr>
              <w:rPr>
                <w:lang w:val="en-GB"/>
              </w:rPr>
            </w:pPr>
            <w:r w:rsidRPr="00E678F6">
              <w:rPr>
                <w:lang w:val="en-GB"/>
              </w:rPr>
              <w:t>4</w:t>
            </w:r>
          </w:p>
        </w:tc>
        <w:tc>
          <w:tcPr>
            <w:tcW w:w="1560" w:type="dxa"/>
            <w:tcBorders>
              <w:top w:val="nil"/>
              <w:left w:val="nil"/>
              <w:bottom w:val="nil"/>
              <w:right w:val="nil"/>
            </w:tcBorders>
          </w:tcPr>
          <w:p w14:paraId="0526910F" w14:textId="03D7508A" w:rsidR="00BB38CD" w:rsidRDefault="00BB38CD" w:rsidP="00F86BAB">
            <w:pPr>
              <w:rPr>
                <w:lang w:val="en-GB"/>
              </w:rPr>
            </w:pPr>
            <w:r>
              <w:rPr>
                <w:lang w:val="en-GB"/>
              </w:rPr>
              <w:t>2725 (30.6</w:t>
            </w:r>
            <w:r w:rsidR="00CF4AA7">
              <w:rPr>
                <w:lang w:val="en-GB"/>
              </w:rPr>
              <w:t>%</w:t>
            </w:r>
            <w:r>
              <w:rPr>
                <w:lang w:val="en-GB"/>
              </w:rPr>
              <w:t>)</w:t>
            </w:r>
          </w:p>
        </w:tc>
        <w:tc>
          <w:tcPr>
            <w:tcW w:w="1559" w:type="dxa"/>
            <w:tcBorders>
              <w:top w:val="nil"/>
              <w:left w:val="nil"/>
              <w:bottom w:val="nil"/>
              <w:right w:val="nil"/>
            </w:tcBorders>
          </w:tcPr>
          <w:p w14:paraId="33979C41" w14:textId="5591170C" w:rsidR="00BB38CD" w:rsidRPr="00E678F6" w:rsidRDefault="00BB38CD" w:rsidP="00F86BAB">
            <w:pPr>
              <w:rPr>
                <w:lang w:val="en-GB"/>
              </w:rPr>
            </w:pPr>
            <w:r>
              <w:rPr>
                <w:lang w:val="en-GB"/>
              </w:rPr>
              <w:t>420 (28.2</w:t>
            </w:r>
            <w:r w:rsidR="00CF4AA7">
              <w:rPr>
                <w:lang w:val="en-GB"/>
              </w:rPr>
              <w:t>%</w:t>
            </w:r>
            <w:r>
              <w:rPr>
                <w:lang w:val="en-GB"/>
              </w:rPr>
              <w:t>)</w:t>
            </w:r>
          </w:p>
        </w:tc>
        <w:tc>
          <w:tcPr>
            <w:tcW w:w="1701" w:type="dxa"/>
            <w:tcBorders>
              <w:top w:val="nil"/>
              <w:left w:val="nil"/>
              <w:bottom w:val="nil"/>
              <w:right w:val="nil"/>
            </w:tcBorders>
          </w:tcPr>
          <w:p w14:paraId="5A523F1B" w14:textId="4AAFF610" w:rsidR="00BB38CD" w:rsidRPr="00E678F6" w:rsidRDefault="00BB38CD" w:rsidP="00F86BAB">
            <w:pPr>
              <w:rPr>
                <w:lang w:val="en-GB"/>
              </w:rPr>
            </w:pPr>
            <w:r>
              <w:rPr>
                <w:lang w:val="en-GB"/>
              </w:rPr>
              <w:t>2305 (31.1</w:t>
            </w:r>
            <w:r w:rsidR="00CF4AA7">
              <w:rPr>
                <w:lang w:val="en-GB"/>
              </w:rPr>
              <w:t>%</w:t>
            </w:r>
            <w:r>
              <w:rPr>
                <w:lang w:val="en-GB"/>
              </w:rPr>
              <w:t>)</w:t>
            </w:r>
          </w:p>
        </w:tc>
        <w:tc>
          <w:tcPr>
            <w:tcW w:w="1276" w:type="dxa"/>
            <w:tcBorders>
              <w:top w:val="nil"/>
              <w:left w:val="nil"/>
              <w:bottom w:val="nil"/>
              <w:right w:val="nil"/>
            </w:tcBorders>
          </w:tcPr>
          <w:p w14:paraId="204BD251" w14:textId="77777777" w:rsidR="00BB38CD" w:rsidRDefault="00BB38CD" w:rsidP="00F86BAB">
            <w:pPr>
              <w:rPr>
                <w:lang w:val="en-GB"/>
              </w:rPr>
            </w:pPr>
            <w:r>
              <w:rPr>
                <w:lang w:val="en-GB"/>
              </w:rPr>
              <w:t>15.4</w:t>
            </w:r>
          </w:p>
        </w:tc>
        <w:tc>
          <w:tcPr>
            <w:tcW w:w="2238" w:type="dxa"/>
            <w:tcBorders>
              <w:top w:val="nil"/>
              <w:left w:val="nil"/>
              <w:bottom w:val="nil"/>
              <w:right w:val="nil"/>
            </w:tcBorders>
          </w:tcPr>
          <w:p w14:paraId="17D0294C" w14:textId="77777777" w:rsidR="00BB38CD" w:rsidRDefault="00BB38CD" w:rsidP="00F86BAB">
            <w:pPr>
              <w:rPr>
                <w:lang w:val="en-GB"/>
              </w:rPr>
            </w:pPr>
            <w:r>
              <w:rPr>
                <w:lang w:val="en-GB"/>
              </w:rPr>
              <w:t>0.64 (0.52, 0.79)</w:t>
            </w:r>
          </w:p>
        </w:tc>
        <w:tc>
          <w:tcPr>
            <w:tcW w:w="2238" w:type="dxa"/>
            <w:tcBorders>
              <w:top w:val="nil"/>
              <w:left w:val="nil"/>
              <w:bottom w:val="nil"/>
              <w:right w:val="nil"/>
            </w:tcBorders>
          </w:tcPr>
          <w:p w14:paraId="27CD011B" w14:textId="77777777" w:rsidR="00BB38CD" w:rsidRDefault="00BB38CD" w:rsidP="00F86BAB">
            <w:pPr>
              <w:rPr>
                <w:lang w:val="en-GB"/>
              </w:rPr>
            </w:pPr>
            <w:r>
              <w:rPr>
                <w:lang w:val="en-GB"/>
              </w:rPr>
              <w:t>0.70 (0.56, 0.87)</w:t>
            </w:r>
          </w:p>
        </w:tc>
        <w:tc>
          <w:tcPr>
            <w:tcW w:w="1336" w:type="dxa"/>
            <w:tcBorders>
              <w:top w:val="nil"/>
              <w:left w:val="nil"/>
              <w:bottom w:val="nil"/>
              <w:right w:val="nil"/>
            </w:tcBorders>
          </w:tcPr>
          <w:p w14:paraId="7EB040FF" w14:textId="77777777" w:rsidR="00BB38CD" w:rsidRDefault="00BB38CD" w:rsidP="00F86BAB">
            <w:pPr>
              <w:rPr>
                <w:lang w:val="en-GB"/>
              </w:rPr>
            </w:pPr>
            <w:r>
              <w:rPr>
                <w:lang w:val="en-GB"/>
              </w:rPr>
              <w:t>0.001</w:t>
            </w:r>
          </w:p>
        </w:tc>
      </w:tr>
      <w:tr w:rsidR="00BB38CD" w14:paraId="749E5490" w14:textId="77777777" w:rsidTr="00F86BAB">
        <w:trPr>
          <w:trHeight w:val="264"/>
        </w:trPr>
        <w:tc>
          <w:tcPr>
            <w:tcW w:w="738" w:type="dxa"/>
            <w:gridSpan w:val="3"/>
            <w:tcBorders>
              <w:top w:val="nil"/>
              <w:left w:val="nil"/>
              <w:bottom w:val="nil"/>
              <w:right w:val="nil"/>
            </w:tcBorders>
          </w:tcPr>
          <w:p w14:paraId="6D3A559D" w14:textId="77777777" w:rsidR="00BB38CD" w:rsidRPr="00E678F6" w:rsidRDefault="00BB38CD" w:rsidP="00F86BAB">
            <w:pPr>
              <w:rPr>
                <w:b/>
                <w:lang w:val="en-GB"/>
              </w:rPr>
            </w:pPr>
          </w:p>
        </w:tc>
        <w:tc>
          <w:tcPr>
            <w:tcW w:w="2205" w:type="dxa"/>
            <w:tcBorders>
              <w:top w:val="nil"/>
              <w:left w:val="nil"/>
              <w:bottom w:val="nil"/>
              <w:right w:val="nil"/>
            </w:tcBorders>
          </w:tcPr>
          <w:p w14:paraId="71F35461" w14:textId="77777777" w:rsidR="00BB38CD" w:rsidRPr="00E678F6" w:rsidRDefault="00BB38CD" w:rsidP="00F86BAB">
            <w:pPr>
              <w:rPr>
                <w:lang w:val="en-GB"/>
              </w:rPr>
            </w:pPr>
            <w:r w:rsidRPr="00E678F6">
              <w:rPr>
                <w:lang w:val="en-GB"/>
              </w:rPr>
              <w:t>5 (</w:t>
            </w:r>
            <w:r>
              <w:rPr>
                <w:lang w:val="en-GB"/>
              </w:rPr>
              <w:t>most</w:t>
            </w:r>
            <w:r w:rsidRPr="00E678F6">
              <w:rPr>
                <w:lang w:val="en-GB"/>
              </w:rPr>
              <w:t xml:space="preserve"> deprived)</w:t>
            </w:r>
          </w:p>
        </w:tc>
        <w:tc>
          <w:tcPr>
            <w:tcW w:w="1560" w:type="dxa"/>
            <w:tcBorders>
              <w:top w:val="nil"/>
              <w:left w:val="nil"/>
              <w:bottom w:val="nil"/>
              <w:right w:val="nil"/>
            </w:tcBorders>
          </w:tcPr>
          <w:p w14:paraId="1EF90041" w14:textId="763964F1" w:rsidR="00BB38CD" w:rsidRDefault="00BB38CD" w:rsidP="00F86BAB">
            <w:pPr>
              <w:rPr>
                <w:lang w:val="en-GB"/>
              </w:rPr>
            </w:pPr>
            <w:r>
              <w:rPr>
                <w:lang w:val="en-GB"/>
              </w:rPr>
              <w:t>1604 (18.0</w:t>
            </w:r>
            <w:r w:rsidR="00CF4AA7">
              <w:rPr>
                <w:lang w:val="en-GB"/>
              </w:rPr>
              <w:t>%</w:t>
            </w:r>
            <w:r>
              <w:rPr>
                <w:lang w:val="en-GB"/>
              </w:rPr>
              <w:t>)</w:t>
            </w:r>
          </w:p>
        </w:tc>
        <w:tc>
          <w:tcPr>
            <w:tcW w:w="1559" w:type="dxa"/>
            <w:tcBorders>
              <w:top w:val="nil"/>
              <w:left w:val="nil"/>
              <w:bottom w:val="nil"/>
              <w:right w:val="nil"/>
            </w:tcBorders>
          </w:tcPr>
          <w:p w14:paraId="518B908F" w14:textId="7AEF9E19" w:rsidR="00BB38CD" w:rsidRPr="00E678F6" w:rsidRDefault="00BB38CD" w:rsidP="00F86BAB">
            <w:pPr>
              <w:rPr>
                <w:lang w:val="en-GB"/>
              </w:rPr>
            </w:pPr>
            <w:r>
              <w:rPr>
                <w:lang w:val="en-GB"/>
              </w:rPr>
              <w:t>171 (11.5</w:t>
            </w:r>
            <w:r w:rsidR="00CF4AA7">
              <w:rPr>
                <w:lang w:val="en-GB"/>
              </w:rPr>
              <w:t>%</w:t>
            </w:r>
            <w:r>
              <w:rPr>
                <w:lang w:val="en-GB"/>
              </w:rPr>
              <w:t>)</w:t>
            </w:r>
          </w:p>
        </w:tc>
        <w:tc>
          <w:tcPr>
            <w:tcW w:w="1701" w:type="dxa"/>
            <w:tcBorders>
              <w:top w:val="nil"/>
              <w:left w:val="nil"/>
              <w:bottom w:val="nil"/>
              <w:right w:val="nil"/>
            </w:tcBorders>
          </w:tcPr>
          <w:p w14:paraId="72359AB5" w14:textId="5B7F8D9E" w:rsidR="00BB38CD" w:rsidRPr="00E678F6" w:rsidRDefault="00BB38CD" w:rsidP="00F86BAB">
            <w:pPr>
              <w:rPr>
                <w:lang w:val="en-GB"/>
              </w:rPr>
            </w:pPr>
            <w:r>
              <w:rPr>
                <w:lang w:val="en-GB"/>
              </w:rPr>
              <w:t>1433 (19.3</w:t>
            </w:r>
            <w:r w:rsidR="00CF4AA7">
              <w:rPr>
                <w:lang w:val="en-GB"/>
              </w:rPr>
              <w:t>%</w:t>
            </w:r>
            <w:r>
              <w:rPr>
                <w:lang w:val="en-GB"/>
              </w:rPr>
              <w:t>)</w:t>
            </w:r>
          </w:p>
        </w:tc>
        <w:tc>
          <w:tcPr>
            <w:tcW w:w="1276" w:type="dxa"/>
            <w:tcBorders>
              <w:top w:val="nil"/>
              <w:left w:val="nil"/>
              <w:bottom w:val="nil"/>
              <w:right w:val="nil"/>
            </w:tcBorders>
          </w:tcPr>
          <w:p w14:paraId="0D7D0D04" w14:textId="77777777" w:rsidR="00BB38CD" w:rsidRDefault="00BB38CD" w:rsidP="00F86BAB">
            <w:pPr>
              <w:rPr>
                <w:lang w:val="en-GB"/>
              </w:rPr>
            </w:pPr>
            <w:r>
              <w:rPr>
                <w:lang w:val="en-GB"/>
              </w:rPr>
              <w:t>10.7</w:t>
            </w:r>
          </w:p>
        </w:tc>
        <w:tc>
          <w:tcPr>
            <w:tcW w:w="2238" w:type="dxa"/>
            <w:tcBorders>
              <w:top w:val="nil"/>
              <w:left w:val="nil"/>
              <w:bottom w:val="nil"/>
              <w:right w:val="nil"/>
            </w:tcBorders>
          </w:tcPr>
          <w:p w14:paraId="1168FE4A" w14:textId="77777777" w:rsidR="00BB38CD" w:rsidRDefault="00BB38CD" w:rsidP="00F86BAB">
            <w:pPr>
              <w:rPr>
                <w:lang w:val="en-GB"/>
              </w:rPr>
            </w:pPr>
            <w:r>
              <w:rPr>
                <w:lang w:val="en-GB"/>
              </w:rPr>
              <w:t>0.46 (0.23, 0.33)</w:t>
            </w:r>
          </w:p>
        </w:tc>
        <w:tc>
          <w:tcPr>
            <w:tcW w:w="2238" w:type="dxa"/>
            <w:tcBorders>
              <w:top w:val="nil"/>
              <w:left w:val="nil"/>
              <w:bottom w:val="nil"/>
              <w:right w:val="nil"/>
            </w:tcBorders>
          </w:tcPr>
          <w:p w14:paraId="03F01A54" w14:textId="77777777" w:rsidR="00BB38CD" w:rsidRDefault="00BB38CD" w:rsidP="00F86BAB">
            <w:pPr>
              <w:rPr>
                <w:lang w:val="en-GB"/>
              </w:rPr>
            </w:pPr>
            <w:r>
              <w:rPr>
                <w:lang w:val="en-GB"/>
              </w:rPr>
              <w:t>0.52 (0.40, 0.68)</w:t>
            </w:r>
          </w:p>
        </w:tc>
        <w:tc>
          <w:tcPr>
            <w:tcW w:w="1336" w:type="dxa"/>
            <w:tcBorders>
              <w:top w:val="nil"/>
              <w:left w:val="nil"/>
              <w:bottom w:val="nil"/>
              <w:right w:val="nil"/>
            </w:tcBorders>
          </w:tcPr>
          <w:p w14:paraId="2D2EB9E5" w14:textId="77777777" w:rsidR="00BB38CD" w:rsidRDefault="00BB38CD" w:rsidP="00F86BAB">
            <w:pPr>
              <w:rPr>
                <w:lang w:val="en-GB"/>
              </w:rPr>
            </w:pPr>
            <w:r>
              <w:rPr>
                <w:lang w:val="en-GB"/>
              </w:rPr>
              <w:t>&lt;0.001</w:t>
            </w:r>
          </w:p>
        </w:tc>
      </w:tr>
      <w:tr w:rsidR="00BB38CD" w14:paraId="278310CB" w14:textId="77777777" w:rsidTr="00F86BAB">
        <w:trPr>
          <w:trHeight w:val="264"/>
        </w:trPr>
        <w:tc>
          <w:tcPr>
            <w:tcW w:w="738" w:type="dxa"/>
            <w:gridSpan w:val="3"/>
            <w:tcBorders>
              <w:top w:val="nil"/>
              <w:left w:val="nil"/>
              <w:bottom w:val="nil"/>
              <w:right w:val="nil"/>
            </w:tcBorders>
          </w:tcPr>
          <w:p w14:paraId="791F185D" w14:textId="77777777" w:rsidR="00BB38CD" w:rsidRPr="00E678F6" w:rsidRDefault="00BB38CD" w:rsidP="00F86BAB">
            <w:pPr>
              <w:rPr>
                <w:b/>
                <w:lang w:val="en-GB"/>
              </w:rPr>
            </w:pPr>
          </w:p>
        </w:tc>
        <w:tc>
          <w:tcPr>
            <w:tcW w:w="2205" w:type="dxa"/>
            <w:tcBorders>
              <w:top w:val="nil"/>
              <w:left w:val="nil"/>
              <w:bottom w:val="nil"/>
              <w:right w:val="nil"/>
            </w:tcBorders>
          </w:tcPr>
          <w:p w14:paraId="38F691F6" w14:textId="77777777" w:rsidR="00BB38CD" w:rsidRPr="00E678F6" w:rsidRDefault="00BB38CD" w:rsidP="00F86BAB">
            <w:pPr>
              <w:rPr>
                <w:lang w:val="en-GB"/>
              </w:rPr>
            </w:pPr>
            <w:r>
              <w:rPr>
                <w:lang w:val="en-GB"/>
              </w:rPr>
              <w:t>Unknown</w:t>
            </w:r>
          </w:p>
        </w:tc>
        <w:tc>
          <w:tcPr>
            <w:tcW w:w="1560" w:type="dxa"/>
            <w:tcBorders>
              <w:top w:val="nil"/>
              <w:left w:val="nil"/>
              <w:bottom w:val="nil"/>
              <w:right w:val="nil"/>
            </w:tcBorders>
          </w:tcPr>
          <w:p w14:paraId="664A4CAD" w14:textId="12E27534" w:rsidR="00BB38CD" w:rsidRDefault="00BB38CD" w:rsidP="00F86BAB">
            <w:pPr>
              <w:rPr>
                <w:lang w:val="en-GB"/>
              </w:rPr>
            </w:pPr>
            <w:r>
              <w:rPr>
                <w:lang w:val="en-GB"/>
              </w:rPr>
              <w:t>19 (0.2</w:t>
            </w:r>
            <w:r w:rsidR="00CF4AA7">
              <w:rPr>
                <w:lang w:val="en-GB"/>
              </w:rPr>
              <w:t>%</w:t>
            </w:r>
            <w:r>
              <w:rPr>
                <w:lang w:val="en-GB"/>
              </w:rPr>
              <w:t>)</w:t>
            </w:r>
          </w:p>
        </w:tc>
        <w:tc>
          <w:tcPr>
            <w:tcW w:w="1559" w:type="dxa"/>
            <w:tcBorders>
              <w:top w:val="nil"/>
              <w:left w:val="nil"/>
              <w:bottom w:val="nil"/>
              <w:right w:val="nil"/>
            </w:tcBorders>
          </w:tcPr>
          <w:p w14:paraId="4B6C7F89" w14:textId="7BE77E92" w:rsidR="00BB38CD" w:rsidRDefault="00BB38CD" w:rsidP="00F86BAB">
            <w:pPr>
              <w:rPr>
                <w:lang w:val="en-GB"/>
              </w:rPr>
            </w:pPr>
            <w:r>
              <w:rPr>
                <w:lang w:val="en-GB"/>
              </w:rPr>
              <w:t>5 (0.3</w:t>
            </w:r>
            <w:r w:rsidR="00CF4AA7">
              <w:rPr>
                <w:lang w:val="en-GB"/>
              </w:rPr>
              <w:t>%</w:t>
            </w:r>
            <w:r>
              <w:rPr>
                <w:lang w:val="en-GB"/>
              </w:rPr>
              <w:t>)</w:t>
            </w:r>
          </w:p>
        </w:tc>
        <w:tc>
          <w:tcPr>
            <w:tcW w:w="1701" w:type="dxa"/>
            <w:tcBorders>
              <w:top w:val="nil"/>
              <w:left w:val="nil"/>
              <w:bottom w:val="nil"/>
              <w:right w:val="nil"/>
            </w:tcBorders>
          </w:tcPr>
          <w:p w14:paraId="1C6579D2" w14:textId="4768BD04" w:rsidR="00BB38CD" w:rsidRDefault="00BB38CD" w:rsidP="00F86BAB">
            <w:pPr>
              <w:rPr>
                <w:lang w:val="en-GB"/>
              </w:rPr>
            </w:pPr>
            <w:r>
              <w:rPr>
                <w:lang w:val="en-GB"/>
              </w:rPr>
              <w:t>14 (0.2</w:t>
            </w:r>
            <w:r w:rsidR="00CF4AA7">
              <w:rPr>
                <w:lang w:val="en-GB"/>
              </w:rPr>
              <w:t>%</w:t>
            </w:r>
            <w:r>
              <w:rPr>
                <w:lang w:val="en-GB"/>
              </w:rPr>
              <w:t>)</w:t>
            </w:r>
          </w:p>
        </w:tc>
        <w:tc>
          <w:tcPr>
            <w:tcW w:w="1276" w:type="dxa"/>
            <w:tcBorders>
              <w:top w:val="nil"/>
              <w:left w:val="nil"/>
              <w:bottom w:val="nil"/>
              <w:right w:val="nil"/>
            </w:tcBorders>
          </w:tcPr>
          <w:p w14:paraId="7BFF38F7" w14:textId="77777777" w:rsidR="00BB38CD" w:rsidRDefault="00BB38CD" w:rsidP="00F86BAB">
            <w:pPr>
              <w:rPr>
                <w:lang w:val="en-GB"/>
              </w:rPr>
            </w:pPr>
            <w:r>
              <w:rPr>
                <w:lang w:val="en-GB"/>
              </w:rPr>
              <w:t>26.3</w:t>
            </w:r>
          </w:p>
        </w:tc>
        <w:tc>
          <w:tcPr>
            <w:tcW w:w="2238" w:type="dxa"/>
            <w:tcBorders>
              <w:top w:val="nil"/>
              <w:left w:val="nil"/>
              <w:bottom w:val="nil"/>
              <w:right w:val="nil"/>
            </w:tcBorders>
          </w:tcPr>
          <w:p w14:paraId="0939471B" w14:textId="77777777" w:rsidR="00BB38CD" w:rsidRDefault="00BB38CD" w:rsidP="00F86BAB">
            <w:pPr>
              <w:rPr>
                <w:lang w:val="en-GB"/>
              </w:rPr>
            </w:pPr>
          </w:p>
        </w:tc>
        <w:tc>
          <w:tcPr>
            <w:tcW w:w="2238" w:type="dxa"/>
            <w:tcBorders>
              <w:top w:val="nil"/>
              <w:left w:val="nil"/>
              <w:bottom w:val="nil"/>
              <w:right w:val="nil"/>
            </w:tcBorders>
          </w:tcPr>
          <w:p w14:paraId="75699585" w14:textId="77777777" w:rsidR="00BB38CD" w:rsidRDefault="00BB38CD" w:rsidP="00F86BAB">
            <w:pPr>
              <w:rPr>
                <w:lang w:val="en-GB"/>
              </w:rPr>
            </w:pPr>
          </w:p>
        </w:tc>
        <w:tc>
          <w:tcPr>
            <w:tcW w:w="1336" w:type="dxa"/>
            <w:tcBorders>
              <w:top w:val="nil"/>
              <w:left w:val="nil"/>
              <w:bottom w:val="nil"/>
              <w:right w:val="nil"/>
            </w:tcBorders>
          </w:tcPr>
          <w:p w14:paraId="6E9A10CA" w14:textId="77777777" w:rsidR="00BB38CD" w:rsidRDefault="00BB38CD" w:rsidP="00F86BAB">
            <w:pPr>
              <w:rPr>
                <w:lang w:val="en-GB"/>
              </w:rPr>
            </w:pPr>
          </w:p>
        </w:tc>
      </w:tr>
      <w:tr w:rsidR="00BB38CD" w14:paraId="734CB649" w14:textId="77777777" w:rsidTr="00F86BAB">
        <w:trPr>
          <w:trHeight w:val="264"/>
        </w:trPr>
        <w:tc>
          <w:tcPr>
            <w:tcW w:w="2943" w:type="dxa"/>
            <w:gridSpan w:val="4"/>
            <w:tcBorders>
              <w:top w:val="nil"/>
              <w:left w:val="nil"/>
              <w:bottom w:val="nil"/>
              <w:right w:val="nil"/>
            </w:tcBorders>
          </w:tcPr>
          <w:p w14:paraId="6A27F583" w14:textId="4961B470" w:rsidR="00BB38CD" w:rsidRPr="00E678F6" w:rsidRDefault="00BB38CD" w:rsidP="00F86BAB">
            <w:pPr>
              <w:rPr>
                <w:lang w:val="en-GB"/>
              </w:rPr>
            </w:pPr>
            <w:r>
              <w:rPr>
                <w:b/>
                <w:lang w:val="en-GB"/>
              </w:rPr>
              <w:t xml:space="preserve">QRisk2 score </w:t>
            </w:r>
            <w:r w:rsidR="00E870D3">
              <w:rPr>
                <w:b/>
                <w:lang w:val="en-GB"/>
              </w:rPr>
              <w:t>(%)</w:t>
            </w:r>
          </w:p>
        </w:tc>
        <w:tc>
          <w:tcPr>
            <w:tcW w:w="1560" w:type="dxa"/>
            <w:tcBorders>
              <w:top w:val="nil"/>
              <w:left w:val="nil"/>
              <w:bottom w:val="nil"/>
              <w:right w:val="nil"/>
            </w:tcBorders>
          </w:tcPr>
          <w:p w14:paraId="1A02A485" w14:textId="20671D33" w:rsidR="00BB38CD" w:rsidRDefault="00BB38CD" w:rsidP="00F86BAB">
            <w:pPr>
              <w:rPr>
                <w:lang w:val="en-GB"/>
              </w:rPr>
            </w:pPr>
            <w:r>
              <w:rPr>
                <w:lang w:val="en-GB"/>
              </w:rPr>
              <w:t xml:space="preserve">25.2 </w:t>
            </w:r>
            <w:r w:rsidR="00E870D3">
              <w:rPr>
                <w:lang w:val="en-GB"/>
              </w:rPr>
              <w:t>(</w:t>
            </w:r>
            <w:r>
              <w:rPr>
                <w:lang w:val="en-GB"/>
              </w:rPr>
              <w:t>5.0</w:t>
            </w:r>
            <w:r w:rsidR="00E870D3">
              <w:rPr>
                <w:lang w:val="en-GB"/>
              </w:rPr>
              <w:t>)</w:t>
            </w:r>
          </w:p>
        </w:tc>
        <w:tc>
          <w:tcPr>
            <w:tcW w:w="1559" w:type="dxa"/>
            <w:tcBorders>
              <w:top w:val="nil"/>
              <w:left w:val="nil"/>
              <w:bottom w:val="nil"/>
              <w:right w:val="nil"/>
            </w:tcBorders>
          </w:tcPr>
          <w:p w14:paraId="726E3471" w14:textId="7FB52494" w:rsidR="00BB38CD" w:rsidRDefault="00BB38CD" w:rsidP="00E870D3">
            <w:pPr>
              <w:rPr>
                <w:lang w:val="en-GB"/>
              </w:rPr>
            </w:pPr>
            <w:r>
              <w:rPr>
                <w:lang w:val="en-GB"/>
              </w:rPr>
              <w:t xml:space="preserve">24.6 </w:t>
            </w:r>
            <w:r w:rsidR="00E870D3">
              <w:rPr>
                <w:lang w:val="en-GB"/>
              </w:rPr>
              <w:t>(</w:t>
            </w:r>
            <w:r>
              <w:rPr>
                <w:lang w:val="en-GB"/>
              </w:rPr>
              <w:t>4.5</w:t>
            </w:r>
            <w:r w:rsidR="00E870D3">
              <w:rPr>
                <w:lang w:val="en-GB"/>
              </w:rPr>
              <w:t>)</w:t>
            </w:r>
          </w:p>
        </w:tc>
        <w:tc>
          <w:tcPr>
            <w:tcW w:w="1701" w:type="dxa"/>
            <w:tcBorders>
              <w:top w:val="nil"/>
              <w:left w:val="nil"/>
              <w:bottom w:val="nil"/>
              <w:right w:val="nil"/>
            </w:tcBorders>
          </w:tcPr>
          <w:p w14:paraId="08DEC0C0" w14:textId="64AC6DD7" w:rsidR="00BB38CD" w:rsidRDefault="00BB38CD" w:rsidP="00E870D3">
            <w:pPr>
              <w:rPr>
                <w:lang w:val="en-GB"/>
              </w:rPr>
            </w:pPr>
            <w:r>
              <w:rPr>
                <w:lang w:val="en-GB"/>
              </w:rPr>
              <w:t xml:space="preserve">25.3 </w:t>
            </w:r>
            <w:r w:rsidR="00E870D3">
              <w:rPr>
                <w:lang w:val="en-GB"/>
              </w:rPr>
              <w:t>(</w:t>
            </w:r>
            <w:r>
              <w:rPr>
                <w:lang w:val="en-GB"/>
              </w:rPr>
              <w:t>5.1</w:t>
            </w:r>
            <w:r w:rsidR="00E870D3">
              <w:rPr>
                <w:lang w:val="en-GB"/>
              </w:rPr>
              <w:t>)</w:t>
            </w:r>
          </w:p>
        </w:tc>
        <w:tc>
          <w:tcPr>
            <w:tcW w:w="1276" w:type="dxa"/>
            <w:tcBorders>
              <w:top w:val="nil"/>
              <w:left w:val="nil"/>
              <w:bottom w:val="nil"/>
              <w:right w:val="nil"/>
            </w:tcBorders>
          </w:tcPr>
          <w:p w14:paraId="6495363A" w14:textId="77777777" w:rsidR="00BB38CD" w:rsidRDefault="00BB38CD" w:rsidP="00F86BAB">
            <w:pPr>
              <w:rPr>
                <w:lang w:val="en-GB"/>
              </w:rPr>
            </w:pPr>
          </w:p>
        </w:tc>
        <w:tc>
          <w:tcPr>
            <w:tcW w:w="2238" w:type="dxa"/>
            <w:tcBorders>
              <w:top w:val="nil"/>
              <w:left w:val="nil"/>
              <w:bottom w:val="nil"/>
              <w:right w:val="nil"/>
            </w:tcBorders>
          </w:tcPr>
          <w:p w14:paraId="4B4E3CEA" w14:textId="77777777" w:rsidR="00BB38CD" w:rsidRPr="00004101" w:rsidRDefault="00BB38CD" w:rsidP="00F86BAB">
            <w:pPr>
              <w:rPr>
                <w:vertAlign w:val="superscript"/>
                <w:lang w:val="en-GB"/>
              </w:rPr>
            </w:pPr>
            <w:r>
              <w:rPr>
                <w:lang w:val="en-GB"/>
              </w:rPr>
              <w:t>0.86 (0.81, 0.92)</w:t>
            </w:r>
            <w:r>
              <w:rPr>
                <w:vertAlign w:val="superscript"/>
                <w:lang w:val="en-GB"/>
              </w:rPr>
              <w:t>d</w:t>
            </w:r>
          </w:p>
        </w:tc>
        <w:tc>
          <w:tcPr>
            <w:tcW w:w="2238" w:type="dxa"/>
            <w:tcBorders>
              <w:top w:val="nil"/>
              <w:left w:val="nil"/>
              <w:bottom w:val="nil"/>
              <w:right w:val="nil"/>
            </w:tcBorders>
          </w:tcPr>
          <w:p w14:paraId="1383C1CA" w14:textId="77777777" w:rsidR="00BB38CD" w:rsidRPr="00004101" w:rsidRDefault="00BB38CD" w:rsidP="00F86BAB">
            <w:pPr>
              <w:rPr>
                <w:vertAlign w:val="superscript"/>
                <w:lang w:val="en-GB"/>
              </w:rPr>
            </w:pPr>
            <w:r>
              <w:rPr>
                <w:lang w:val="en-GB"/>
              </w:rPr>
              <w:t>0.82 (0.77, 0.88)</w:t>
            </w:r>
            <w:r>
              <w:rPr>
                <w:vertAlign w:val="superscript"/>
                <w:lang w:val="en-GB"/>
              </w:rPr>
              <w:t>d</w:t>
            </w:r>
          </w:p>
        </w:tc>
        <w:tc>
          <w:tcPr>
            <w:tcW w:w="1336" w:type="dxa"/>
            <w:tcBorders>
              <w:top w:val="nil"/>
              <w:left w:val="nil"/>
              <w:bottom w:val="nil"/>
              <w:right w:val="nil"/>
            </w:tcBorders>
          </w:tcPr>
          <w:p w14:paraId="40AE219F" w14:textId="77777777" w:rsidR="00BB38CD" w:rsidRDefault="00BB38CD" w:rsidP="00F86BAB">
            <w:pPr>
              <w:rPr>
                <w:lang w:val="en-GB"/>
              </w:rPr>
            </w:pPr>
            <w:r>
              <w:rPr>
                <w:lang w:val="en-GB"/>
              </w:rPr>
              <w:t>&lt;0.001</w:t>
            </w:r>
          </w:p>
        </w:tc>
      </w:tr>
      <w:tr w:rsidR="00BB38CD" w14:paraId="58A2FB03" w14:textId="77777777" w:rsidTr="00F86BAB">
        <w:trPr>
          <w:trHeight w:val="264"/>
        </w:trPr>
        <w:tc>
          <w:tcPr>
            <w:tcW w:w="675" w:type="dxa"/>
            <w:gridSpan w:val="2"/>
            <w:tcBorders>
              <w:top w:val="nil"/>
              <w:left w:val="nil"/>
              <w:bottom w:val="nil"/>
              <w:right w:val="nil"/>
            </w:tcBorders>
          </w:tcPr>
          <w:p w14:paraId="60FA1371" w14:textId="77777777" w:rsidR="00BB38CD" w:rsidRDefault="00BB38CD" w:rsidP="00F86BAB">
            <w:pPr>
              <w:rPr>
                <w:b/>
                <w:lang w:val="en-GB"/>
              </w:rPr>
            </w:pPr>
          </w:p>
        </w:tc>
        <w:tc>
          <w:tcPr>
            <w:tcW w:w="2268" w:type="dxa"/>
            <w:gridSpan w:val="2"/>
            <w:tcBorders>
              <w:top w:val="nil"/>
              <w:left w:val="nil"/>
              <w:bottom w:val="nil"/>
              <w:right w:val="nil"/>
            </w:tcBorders>
          </w:tcPr>
          <w:p w14:paraId="74C8B8E1" w14:textId="77777777" w:rsidR="00BB38CD" w:rsidRPr="00677A51" w:rsidRDefault="00BB38CD" w:rsidP="00F86BAB">
            <w:pPr>
              <w:rPr>
                <w:lang w:val="en-GB"/>
              </w:rPr>
            </w:pPr>
            <w:r>
              <w:rPr>
                <w:lang w:val="en-GB"/>
              </w:rPr>
              <w:t>20-24.9%</w:t>
            </w:r>
          </w:p>
        </w:tc>
        <w:tc>
          <w:tcPr>
            <w:tcW w:w="1560" w:type="dxa"/>
            <w:tcBorders>
              <w:top w:val="nil"/>
              <w:left w:val="nil"/>
              <w:bottom w:val="nil"/>
              <w:right w:val="nil"/>
            </w:tcBorders>
          </w:tcPr>
          <w:p w14:paraId="53697FFB" w14:textId="14B704EA" w:rsidR="00BB38CD" w:rsidRDefault="00BB38CD" w:rsidP="00F86BAB">
            <w:pPr>
              <w:rPr>
                <w:lang w:val="en-GB"/>
              </w:rPr>
            </w:pPr>
            <w:r>
              <w:rPr>
                <w:lang w:val="en-GB"/>
              </w:rPr>
              <w:t>5357 (60.2</w:t>
            </w:r>
            <w:r w:rsidR="00CF4AA7">
              <w:rPr>
                <w:lang w:val="en-GB"/>
              </w:rPr>
              <w:t>%</w:t>
            </w:r>
            <w:r>
              <w:rPr>
                <w:lang w:val="en-GB"/>
              </w:rPr>
              <w:t>)</w:t>
            </w:r>
          </w:p>
        </w:tc>
        <w:tc>
          <w:tcPr>
            <w:tcW w:w="1559" w:type="dxa"/>
            <w:tcBorders>
              <w:top w:val="nil"/>
              <w:left w:val="nil"/>
              <w:bottom w:val="nil"/>
              <w:right w:val="nil"/>
            </w:tcBorders>
          </w:tcPr>
          <w:p w14:paraId="115F9DEC" w14:textId="4BC87DD8" w:rsidR="00BB38CD" w:rsidRDefault="00BB38CD" w:rsidP="00F86BAB">
            <w:pPr>
              <w:rPr>
                <w:lang w:val="en-GB"/>
              </w:rPr>
            </w:pPr>
            <w:r>
              <w:rPr>
                <w:lang w:val="en-GB"/>
              </w:rPr>
              <w:t>968 (65.0</w:t>
            </w:r>
            <w:r w:rsidR="00CF4AA7">
              <w:rPr>
                <w:lang w:val="en-GB"/>
              </w:rPr>
              <w:t>%</w:t>
            </w:r>
            <w:r>
              <w:rPr>
                <w:lang w:val="en-GB"/>
              </w:rPr>
              <w:t>)</w:t>
            </w:r>
          </w:p>
        </w:tc>
        <w:tc>
          <w:tcPr>
            <w:tcW w:w="1701" w:type="dxa"/>
            <w:tcBorders>
              <w:top w:val="nil"/>
              <w:left w:val="nil"/>
              <w:bottom w:val="nil"/>
              <w:right w:val="nil"/>
            </w:tcBorders>
          </w:tcPr>
          <w:p w14:paraId="1C3A2321" w14:textId="18281B65" w:rsidR="00BB38CD" w:rsidRDefault="00BB38CD" w:rsidP="00F86BAB">
            <w:pPr>
              <w:rPr>
                <w:lang w:val="en-GB"/>
              </w:rPr>
            </w:pPr>
            <w:r>
              <w:rPr>
                <w:lang w:val="en-GB"/>
              </w:rPr>
              <w:t>4389 (59.2</w:t>
            </w:r>
            <w:r w:rsidR="00CF4AA7">
              <w:rPr>
                <w:lang w:val="en-GB"/>
              </w:rPr>
              <w:t>%</w:t>
            </w:r>
            <w:r>
              <w:rPr>
                <w:lang w:val="en-GB"/>
              </w:rPr>
              <w:t>)</w:t>
            </w:r>
          </w:p>
        </w:tc>
        <w:tc>
          <w:tcPr>
            <w:tcW w:w="1276" w:type="dxa"/>
            <w:tcBorders>
              <w:top w:val="nil"/>
              <w:left w:val="nil"/>
              <w:bottom w:val="nil"/>
              <w:right w:val="nil"/>
            </w:tcBorders>
          </w:tcPr>
          <w:p w14:paraId="7D626BE5" w14:textId="77777777" w:rsidR="00BB38CD" w:rsidRDefault="00BB38CD" w:rsidP="00F86BAB">
            <w:pPr>
              <w:rPr>
                <w:lang w:val="en-GB"/>
              </w:rPr>
            </w:pPr>
            <w:r>
              <w:rPr>
                <w:lang w:val="en-GB"/>
              </w:rPr>
              <w:t>18.1</w:t>
            </w:r>
          </w:p>
        </w:tc>
        <w:tc>
          <w:tcPr>
            <w:tcW w:w="2238" w:type="dxa"/>
            <w:tcBorders>
              <w:top w:val="nil"/>
              <w:left w:val="nil"/>
              <w:bottom w:val="nil"/>
              <w:right w:val="nil"/>
            </w:tcBorders>
          </w:tcPr>
          <w:p w14:paraId="43D23843" w14:textId="77777777" w:rsidR="00BB38CD" w:rsidRDefault="00BB38CD" w:rsidP="00F86BAB">
            <w:pPr>
              <w:rPr>
                <w:lang w:val="en-GB"/>
              </w:rPr>
            </w:pPr>
          </w:p>
        </w:tc>
        <w:tc>
          <w:tcPr>
            <w:tcW w:w="2238" w:type="dxa"/>
            <w:tcBorders>
              <w:top w:val="nil"/>
              <w:left w:val="nil"/>
              <w:bottom w:val="nil"/>
              <w:right w:val="nil"/>
            </w:tcBorders>
          </w:tcPr>
          <w:p w14:paraId="72C536C8" w14:textId="77777777" w:rsidR="00BB38CD" w:rsidRDefault="00BB38CD" w:rsidP="00F86BAB">
            <w:pPr>
              <w:rPr>
                <w:lang w:val="en-GB"/>
              </w:rPr>
            </w:pPr>
          </w:p>
        </w:tc>
        <w:tc>
          <w:tcPr>
            <w:tcW w:w="1336" w:type="dxa"/>
            <w:tcBorders>
              <w:top w:val="nil"/>
              <w:left w:val="nil"/>
              <w:bottom w:val="nil"/>
              <w:right w:val="nil"/>
            </w:tcBorders>
          </w:tcPr>
          <w:p w14:paraId="12D38BB3" w14:textId="77777777" w:rsidR="00BB38CD" w:rsidRDefault="00BB38CD" w:rsidP="00F86BAB">
            <w:pPr>
              <w:rPr>
                <w:lang w:val="en-GB"/>
              </w:rPr>
            </w:pPr>
          </w:p>
        </w:tc>
      </w:tr>
      <w:tr w:rsidR="00BB38CD" w14:paraId="563A2761" w14:textId="77777777" w:rsidTr="00F86BAB">
        <w:trPr>
          <w:trHeight w:val="264"/>
        </w:trPr>
        <w:tc>
          <w:tcPr>
            <w:tcW w:w="675" w:type="dxa"/>
            <w:gridSpan w:val="2"/>
            <w:tcBorders>
              <w:top w:val="nil"/>
              <w:left w:val="nil"/>
              <w:bottom w:val="nil"/>
              <w:right w:val="nil"/>
            </w:tcBorders>
          </w:tcPr>
          <w:p w14:paraId="7F8489A3" w14:textId="77777777" w:rsidR="00BB38CD" w:rsidRDefault="00BB38CD" w:rsidP="00F86BAB">
            <w:pPr>
              <w:rPr>
                <w:b/>
                <w:lang w:val="en-GB"/>
              </w:rPr>
            </w:pPr>
          </w:p>
        </w:tc>
        <w:tc>
          <w:tcPr>
            <w:tcW w:w="2268" w:type="dxa"/>
            <w:gridSpan w:val="2"/>
            <w:tcBorders>
              <w:top w:val="nil"/>
              <w:left w:val="nil"/>
              <w:bottom w:val="nil"/>
              <w:right w:val="nil"/>
            </w:tcBorders>
          </w:tcPr>
          <w:p w14:paraId="1AA13378" w14:textId="77777777" w:rsidR="00BB38CD" w:rsidRPr="00677A51" w:rsidRDefault="00BB38CD" w:rsidP="00F86BAB">
            <w:pPr>
              <w:rPr>
                <w:lang w:val="en-GB"/>
              </w:rPr>
            </w:pPr>
            <w:r w:rsidRPr="00677A51">
              <w:rPr>
                <w:lang w:val="en-GB"/>
              </w:rPr>
              <w:t>25-</w:t>
            </w:r>
            <w:r>
              <w:rPr>
                <w:lang w:val="en-GB"/>
              </w:rPr>
              <w:t>29.9%</w:t>
            </w:r>
          </w:p>
        </w:tc>
        <w:tc>
          <w:tcPr>
            <w:tcW w:w="1560" w:type="dxa"/>
            <w:tcBorders>
              <w:top w:val="nil"/>
              <w:left w:val="nil"/>
              <w:bottom w:val="nil"/>
              <w:right w:val="nil"/>
            </w:tcBorders>
          </w:tcPr>
          <w:p w14:paraId="354042CF" w14:textId="4C444140" w:rsidR="00BB38CD" w:rsidRDefault="00BB38CD" w:rsidP="00F86BAB">
            <w:pPr>
              <w:rPr>
                <w:lang w:val="en-GB"/>
              </w:rPr>
            </w:pPr>
            <w:r>
              <w:rPr>
                <w:lang w:val="en-GB"/>
              </w:rPr>
              <w:t>2245 (25.2</w:t>
            </w:r>
            <w:r w:rsidR="00CF4AA7">
              <w:rPr>
                <w:lang w:val="en-GB"/>
              </w:rPr>
              <w:t>%</w:t>
            </w:r>
            <w:r>
              <w:rPr>
                <w:lang w:val="en-GB"/>
              </w:rPr>
              <w:t>)</w:t>
            </w:r>
          </w:p>
        </w:tc>
        <w:tc>
          <w:tcPr>
            <w:tcW w:w="1559" w:type="dxa"/>
            <w:tcBorders>
              <w:top w:val="nil"/>
              <w:left w:val="nil"/>
              <w:bottom w:val="nil"/>
              <w:right w:val="nil"/>
            </w:tcBorders>
          </w:tcPr>
          <w:p w14:paraId="7D4FCC39" w14:textId="7FB7DDE4" w:rsidR="00BB38CD" w:rsidRDefault="00BB38CD" w:rsidP="00F86BAB">
            <w:pPr>
              <w:rPr>
                <w:lang w:val="en-GB"/>
              </w:rPr>
            </w:pPr>
            <w:r>
              <w:rPr>
                <w:lang w:val="en-GB"/>
              </w:rPr>
              <w:t>347 (23.3</w:t>
            </w:r>
            <w:r w:rsidR="00CF4AA7">
              <w:rPr>
                <w:lang w:val="en-GB"/>
              </w:rPr>
              <w:t>%</w:t>
            </w:r>
            <w:r>
              <w:rPr>
                <w:lang w:val="en-GB"/>
              </w:rPr>
              <w:t>)</w:t>
            </w:r>
          </w:p>
        </w:tc>
        <w:tc>
          <w:tcPr>
            <w:tcW w:w="1701" w:type="dxa"/>
            <w:tcBorders>
              <w:top w:val="nil"/>
              <w:left w:val="nil"/>
              <w:bottom w:val="nil"/>
              <w:right w:val="nil"/>
            </w:tcBorders>
          </w:tcPr>
          <w:p w14:paraId="795A9C6B" w14:textId="55AFBC78" w:rsidR="00BB38CD" w:rsidRDefault="00BB38CD" w:rsidP="00F86BAB">
            <w:pPr>
              <w:rPr>
                <w:lang w:val="en-GB"/>
              </w:rPr>
            </w:pPr>
            <w:r>
              <w:rPr>
                <w:lang w:val="en-GB"/>
              </w:rPr>
              <w:t>1898 (25.6</w:t>
            </w:r>
            <w:r w:rsidR="00CF4AA7">
              <w:rPr>
                <w:lang w:val="en-GB"/>
              </w:rPr>
              <w:t>%</w:t>
            </w:r>
            <w:r>
              <w:rPr>
                <w:lang w:val="en-GB"/>
              </w:rPr>
              <w:t>)</w:t>
            </w:r>
          </w:p>
        </w:tc>
        <w:tc>
          <w:tcPr>
            <w:tcW w:w="1276" w:type="dxa"/>
            <w:tcBorders>
              <w:top w:val="nil"/>
              <w:left w:val="nil"/>
              <w:bottom w:val="nil"/>
              <w:right w:val="nil"/>
            </w:tcBorders>
          </w:tcPr>
          <w:p w14:paraId="242F9C80" w14:textId="77777777" w:rsidR="00BB38CD" w:rsidRDefault="00BB38CD" w:rsidP="00F86BAB">
            <w:pPr>
              <w:rPr>
                <w:lang w:val="en-GB"/>
              </w:rPr>
            </w:pPr>
            <w:r>
              <w:rPr>
                <w:lang w:val="en-GB"/>
              </w:rPr>
              <w:t>15.5</w:t>
            </w:r>
          </w:p>
        </w:tc>
        <w:tc>
          <w:tcPr>
            <w:tcW w:w="2238" w:type="dxa"/>
            <w:tcBorders>
              <w:top w:val="nil"/>
              <w:left w:val="nil"/>
              <w:bottom w:val="nil"/>
              <w:right w:val="nil"/>
            </w:tcBorders>
          </w:tcPr>
          <w:p w14:paraId="51939611" w14:textId="77777777" w:rsidR="00BB38CD" w:rsidRDefault="00BB38CD" w:rsidP="00F86BAB">
            <w:pPr>
              <w:rPr>
                <w:lang w:val="en-GB"/>
              </w:rPr>
            </w:pPr>
          </w:p>
        </w:tc>
        <w:tc>
          <w:tcPr>
            <w:tcW w:w="2238" w:type="dxa"/>
            <w:tcBorders>
              <w:top w:val="nil"/>
              <w:left w:val="nil"/>
              <w:bottom w:val="nil"/>
              <w:right w:val="nil"/>
            </w:tcBorders>
          </w:tcPr>
          <w:p w14:paraId="25F0F387" w14:textId="77777777" w:rsidR="00BB38CD" w:rsidRDefault="00BB38CD" w:rsidP="00F86BAB">
            <w:pPr>
              <w:rPr>
                <w:lang w:val="en-GB"/>
              </w:rPr>
            </w:pPr>
          </w:p>
        </w:tc>
        <w:tc>
          <w:tcPr>
            <w:tcW w:w="1336" w:type="dxa"/>
            <w:tcBorders>
              <w:top w:val="nil"/>
              <w:left w:val="nil"/>
              <w:bottom w:val="nil"/>
              <w:right w:val="nil"/>
            </w:tcBorders>
          </w:tcPr>
          <w:p w14:paraId="27BB445B" w14:textId="77777777" w:rsidR="00BB38CD" w:rsidRDefault="00BB38CD" w:rsidP="00F86BAB">
            <w:pPr>
              <w:rPr>
                <w:lang w:val="en-GB"/>
              </w:rPr>
            </w:pPr>
          </w:p>
        </w:tc>
      </w:tr>
      <w:tr w:rsidR="00BB38CD" w14:paraId="654BCD27" w14:textId="77777777" w:rsidTr="00F86BAB">
        <w:trPr>
          <w:trHeight w:val="264"/>
        </w:trPr>
        <w:tc>
          <w:tcPr>
            <w:tcW w:w="675" w:type="dxa"/>
            <w:gridSpan w:val="2"/>
            <w:tcBorders>
              <w:top w:val="nil"/>
              <w:left w:val="nil"/>
              <w:bottom w:val="single" w:sz="4" w:space="0" w:color="auto"/>
              <w:right w:val="nil"/>
            </w:tcBorders>
          </w:tcPr>
          <w:p w14:paraId="1005A9A7" w14:textId="77777777" w:rsidR="00BB38CD" w:rsidRDefault="00BB38CD" w:rsidP="00F86BAB">
            <w:pPr>
              <w:rPr>
                <w:b/>
                <w:lang w:val="en-GB"/>
              </w:rPr>
            </w:pPr>
          </w:p>
        </w:tc>
        <w:tc>
          <w:tcPr>
            <w:tcW w:w="2268" w:type="dxa"/>
            <w:gridSpan w:val="2"/>
            <w:tcBorders>
              <w:top w:val="nil"/>
              <w:left w:val="nil"/>
              <w:bottom w:val="single" w:sz="4" w:space="0" w:color="auto"/>
              <w:right w:val="nil"/>
            </w:tcBorders>
          </w:tcPr>
          <w:p w14:paraId="444A3758" w14:textId="77777777" w:rsidR="00BB38CD" w:rsidRPr="00677A51" w:rsidRDefault="00BB38CD" w:rsidP="00F86BAB">
            <w:pPr>
              <w:rPr>
                <w:lang w:val="en-GB"/>
              </w:rPr>
            </w:pPr>
            <w:r w:rsidRPr="00677A51">
              <w:rPr>
                <w:lang w:val="en-GB"/>
              </w:rPr>
              <w:t>&gt;30</w:t>
            </w:r>
            <w:r>
              <w:rPr>
                <w:lang w:val="en-GB"/>
              </w:rPr>
              <w:t>%</w:t>
            </w:r>
          </w:p>
        </w:tc>
        <w:tc>
          <w:tcPr>
            <w:tcW w:w="1560" w:type="dxa"/>
            <w:tcBorders>
              <w:top w:val="nil"/>
              <w:left w:val="nil"/>
              <w:bottom w:val="single" w:sz="4" w:space="0" w:color="auto"/>
              <w:right w:val="nil"/>
            </w:tcBorders>
          </w:tcPr>
          <w:p w14:paraId="6E3A1657" w14:textId="71880F96" w:rsidR="00BB38CD" w:rsidRDefault="00BB38CD" w:rsidP="00F86BAB">
            <w:pPr>
              <w:rPr>
                <w:lang w:val="en-GB"/>
              </w:rPr>
            </w:pPr>
            <w:r>
              <w:rPr>
                <w:lang w:val="en-GB"/>
              </w:rPr>
              <w:t>1300 (14.6</w:t>
            </w:r>
            <w:r w:rsidR="00CF4AA7">
              <w:rPr>
                <w:lang w:val="en-GB"/>
              </w:rPr>
              <w:t>%</w:t>
            </w:r>
            <w:r>
              <w:rPr>
                <w:lang w:val="en-GB"/>
              </w:rPr>
              <w:t>)</w:t>
            </w:r>
          </w:p>
        </w:tc>
        <w:tc>
          <w:tcPr>
            <w:tcW w:w="1559" w:type="dxa"/>
            <w:tcBorders>
              <w:top w:val="nil"/>
              <w:left w:val="nil"/>
              <w:bottom w:val="single" w:sz="4" w:space="0" w:color="auto"/>
              <w:right w:val="nil"/>
            </w:tcBorders>
          </w:tcPr>
          <w:p w14:paraId="4577EC9C" w14:textId="0BCAD772" w:rsidR="00BB38CD" w:rsidRDefault="00BB38CD" w:rsidP="00F86BAB">
            <w:pPr>
              <w:rPr>
                <w:lang w:val="en-GB"/>
              </w:rPr>
            </w:pPr>
            <w:r>
              <w:rPr>
                <w:lang w:val="en-GB"/>
              </w:rPr>
              <w:t>174 (11.7</w:t>
            </w:r>
            <w:r w:rsidR="00CF4AA7">
              <w:rPr>
                <w:lang w:val="en-GB"/>
              </w:rPr>
              <w:t>%</w:t>
            </w:r>
            <w:r>
              <w:rPr>
                <w:lang w:val="en-GB"/>
              </w:rPr>
              <w:t>)</w:t>
            </w:r>
          </w:p>
        </w:tc>
        <w:tc>
          <w:tcPr>
            <w:tcW w:w="1701" w:type="dxa"/>
            <w:tcBorders>
              <w:top w:val="nil"/>
              <w:left w:val="nil"/>
              <w:bottom w:val="single" w:sz="4" w:space="0" w:color="auto"/>
              <w:right w:val="nil"/>
            </w:tcBorders>
          </w:tcPr>
          <w:p w14:paraId="24BCF0D1" w14:textId="51DE2C12" w:rsidR="00BB38CD" w:rsidRDefault="00BB38CD" w:rsidP="00F86BAB">
            <w:pPr>
              <w:rPr>
                <w:lang w:val="en-GB"/>
              </w:rPr>
            </w:pPr>
            <w:r>
              <w:rPr>
                <w:lang w:val="en-GB"/>
              </w:rPr>
              <w:t>1126 (15.2</w:t>
            </w:r>
            <w:r w:rsidR="00CF4AA7">
              <w:rPr>
                <w:lang w:val="en-GB"/>
              </w:rPr>
              <w:t>%</w:t>
            </w:r>
            <w:r>
              <w:rPr>
                <w:lang w:val="en-GB"/>
              </w:rPr>
              <w:t>)</w:t>
            </w:r>
          </w:p>
        </w:tc>
        <w:tc>
          <w:tcPr>
            <w:tcW w:w="1276" w:type="dxa"/>
            <w:tcBorders>
              <w:top w:val="nil"/>
              <w:left w:val="nil"/>
              <w:bottom w:val="single" w:sz="4" w:space="0" w:color="auto"/>
              <w:right w:val="nil"/>
            </w:tcBorders>
          </w:tcPr>
          <w:p w14:paraId="7F6F5B16" w14:textId="77777777" w:rsidR="00BB38CD" w:rsidRDefault="00BB38CD" w:rsidP="00F86BAB">
            <w:pPr>
              <w:rPr>
                <w:lang w:val="en-GB"/>
              </w:rPr>
            </w:pPr>
            <w:r>
              <w:rPr>
                <w:lang w:val="en-GB"/>
              </w:rPr>
              <w:t>13.4</w:t>
            </w:r>
          </w:p>
        </w:tc>
        <w:tc>
          <w:tcPr>
            <w:tcW w:w="2238" w:type="dxa"/>
            <w:tcBorders>
              <w:top w:val="nil"/>
              <w:left w:val="nil"/>
              <w:bottom w:val="single" w:sz="4" w:space="0" w:color="auto"/>
              <w:right w:val="nil"/>
            </w:tcBorders>
          </w:tcPr>
          <w:p w14:paraId="6E066109" w14:textId="77777777" w:rsidR="00BB38CD" w:rsidRDefault="00BB38CD" w:rsidP="00F86BAB">
            <w:pPr>
              <w:rPr>
                <w:lang w:val="en-GB"/>
              </w:rPr>
            </w:pPr>
          </w:p>
        </w:tc>
        <w:tc>
          <w:tcPr>
            <w:tcW w:w="2238" w:type="dxa"/>
            <w:tcBorders>
              <w:top w:val="nil"/>
              <w:left w:val="nil"/>
              <w:bottom w:val="single" w:sz="4" w:space="0" w:color="auto"/>
              <w:right w:val="nil"/>
            </w:tcBorders>
          </w:tcPr>
          <w:p w14:paraId="05C594D4" w14:textId="77777777" w:rsidR="00BB38CD" w:rsidRDefault="00BB38CD" w:rsidP="00F86BAB">
            <w:pPr>
              <w:rPr>
                <w:lang w:val="en-GB"/>
              </w:rPr>
            </w:pPr>
          </w:p>
        </w:tc>
        <w:tc>
          <w:tcPr>
            <w:tcW w:w="1336" w:type="dxa"/>
            <w:tcBorders>
              <w:top w:val="nil"/>
              <w:left w:val="nil"/>
              <w:bottom w:val="single" w:sz="4" w:space="0" w:color="auto"/>
              <w:right w:val="nil"/>
            </w:tcBorders>
          </w:tcPr>
          <w:p w14:paraId="07EB348D" w14:textId="77777777" w:rsidR="00BB38CD" w:rsidRDefault="00BB38CD" w:rsidP="00F86BAB">
            <w:pPr>
              <w:rPr>
                <w:lang w:val="en-GB"/>
              </w:rPr>
            </w:pPr>
          </w:p>
        </w:tc>
      </w:tr>
      <w:tr w:rsidR="00BB38CD" w14:paraId="64D2C39F" w14:textId="77777777" w:rsidTr="00F86BAB">
        <w:trPr>
          <w:trHeight w:val="264"/>
        </w:trPr>
        <w:tc>
          <w:tcPr>
            <w:tcW w:w="14851" w:type="dxa"/>
            <w:gridSpan w:val="11"/>
            <w:tcBorders>
              <w:top w:val="single" w:sz="4" w:space="0" w:color="auto"/>
              <w:left w:val="nil"/>
              <w:bottom w:val="nil"/>
              <w:right w:val="nil"/>
            </w:tcBorders>
          </w:tcPr>
          <w:p w14:paraId="280A3965" w14:textId="77777777" w:rsidR="00BB38CD" w:rsidRPr="009712F7" w:rsidRDefault="00BB38CD" w:rsidP="00F86BAB">
            <w:pPr>
              <w:rPr>
                <w:sz w:val="20"/>
                <w:szCs w:val="20"/>
              </w:rPr>
            </w:pPr>
            <w:r w:rsidRPr="009712F7">
              <w:rPr>
                <w:sz w:val="20"/>
                <w:szCs w:val="20"/>
              </w:rPr>
              <w:lastRenderedPageBreak/>
              <w:t>OR: odds ratio; CI: confidence intervals; IMD: Index of Multiple Deprivation</w:t>
            </w:r>
          </w:p>
          <w:p w14:paraId="2B48A492" w14:textId="357D0217" w:rsidR="00BB38CD" w:rsidRPr="009712F7" w:rsidRDefault="00BB38CD" w:rsidP="00F86BAB">
            <w:pPr>
              <w:rPr>
                <w:sz w:val="20"/>
                <w:szCs w:val="20"/>
              </w:rPr>
            </w:pPr>
            <w:r w:rsidRPr="009712F7">
              <w:rPr>
                <w:sz w:val="20"/>
                <w:szCs w:val="20"/>
              </w:rPr>
              <w:t xml:space="preserve">Data are presented as mean </w:t>
            </w:r>
            <w:r w:rsidR="00E870D3">
              <w:rPr>
                <w:sz w:val="20"/>
                <w:szCs w:val="20"/>
                <w:lang w:val="en-GB"/>
              </w:rPr>
              <w:t>(</w:t>
            </w:r>
            <w:r w:rsidRPr="009712F7">
              <w:rPr>
                <w:sz w:val="20"/>
                <w:szCs w:val="20"/>
                <w:lang w:val="en-GB"/>
              </w:rPr>
              <w:t>SD</w:t>
            </w:r>
            <w:r w:rsidR="00E870D3">
              <w:rPr>
                <w:sz w:val="20"/>
                <w:szCs w:val="20"/>
                <w:lang w:val="en-GB"/>
              </w:rPr>
              <w:t>)</w:t>
            </w:r>
            <w:r w:rsidRPr="009712F7">
              <w:rPr>
                <w:sz w:val="20"/>
                <w:szCs w:val="20"/>
                <w:lang w:val="en-GB"/>
              </w:rPr>
              <w:t xml:space="preserve"> or </w:t>
            </w:r>
            <w:r w:rsidRPr="009712F7">
              <w:rPr>
                <w:i/>
                <w:sz w:val="20"/>
                <w:szCs w:val="20"/>
                <w:lang w:val="en-GB"/>
              </w:rPr>
              <w:t xml:space="preserve">n </w:t>
            </w:r>
            <w:r w:rsidRPr="009712F7">
              <w:rPr>
                <w:sz w:val="20"/>
                <w:szCs w:val="20"/>
                <w:lang w:val="en-GB"/>
              </w:rPr>
              <w:t>(%) unless otherwise stated</w:t>
            </w:r>
          </w:p>
          <w:p w14:paraId="1CDE3674" w14:textId="77777777" w:rsidR="00BB38CD" w:rsidRPr="009712F7" w:rsidRDefault="00BB38CD" w:rsidP="00F86BAB">
            <w:pPr>
              <w:rPr>
                <w:sz w:val="20"/>
                <w:szCs w:val="20"/>
              </w:rPr>
            </w:pPr>
            <w:proofErr w:type="spellStart"/>
            <w:r w:rsidRPr="009712F7">
              <w:rPr>
                <w:sz w:val="20"/>
                <w:szCs w:val="20"/>
                <w:vertAlign w:val="superscript"/>
              </w:rPr>
              <w:t>a</w:t>
            </w:r>
            <w:proofErr w:type="spellEnd"/>
            <w:r w:rsidRPr="009712F7">
              <w:rPr>
                <w:sz w:val="20"/>
                <w:szCs w:val="20"/>
              </w:rPr>
              <w:t xml:space="preserve"> All patients invited to participate in the trial from GP practice sites at which it was possible to extract </w:t>
            </w:r>
            <w:proofErr w:type="spellStart"/>
            <w:r w:rsidRPr="009712F7">
              <w:rPr>
                <w:sz w:val="20"/>
                <w:szCs w:val="20"/>
              </w:rPr>
              <w:t>anonymised</w:t>
            </w:r>
            <w:proofErr w:type="spellEnd"/>
            <w:r w:rsidRPr="009712F7">
              <w:rPr>
                <w:sz w:val="20"/>
                <w:szCs w:val="20"/>
              </w:rPr>
              <w:t xml:space="preserve"> data</w:t>
            </w:r>
          </w:p>
          <w:p w14:paraId="13DBC993" w14:textId="77777777" w:rsidR="00BB38CD" w:rsidRPr="009712F7" w:rsidRDefault="00BB38CD" w:rsidP="00F86BAB">
            <w:pPr>
              <w:rPr>
                <w:sz w:val="20"/>
                <w:szCs w:val="20"/>
              </w:rPr>
            </w:pPr>
            <w:r w:rsidRPr="009712F7">
              <w:rPr>
                <w:sz w:val="20"/>
                <w:szCs w:val="20"/>
                <w:vertAlign w:val="superscript"/>
              </w:rPr>
              <w:t xml:space="preserve">b </w:t>
            </w:r>
            <w:r w:rsidRPr="009712F7">
              <w:rPr>
                <w:sz w:val="20"/>
                <w:szCs w:val="20"/>
              </w:rPr>
              <w:t>OR per 5 year increase in age</w:t>
            </w:r>
          </w:p>
          <w:p w14:paraId="71D0C02D" w14:textId="55D8F2F3" w:rsidR="00BB38CD" w:rsidRPr="009712F7" w:rsidRDefault="00BB38CD" w:rsidP="00F86BAB">
            <w:pPr>
              <w:rPr>
                <w:sz w:val="20"/>
                <w:szCs w:val="20"/>
              </w:rPr>
            </w:pPr>
            <w:r w:rsidRPr="009712F7">
              <w:rPr>
                <w:sz w:val="20"/>
                <w:szCs w:val="20"/>
                <w:vertAlign w:val="superscript"/>
              </w:rPr>
              <w:t xml:space="preserve">c </w:t>
            </w:r>
            <w:r w:rsidRPr="009712F7">
              <w:rPr>
                <w:sz w:val="20"/>
                <w:szCs w:val="20"/>
              </w:rPr>
              <w:t>C</w:t>
            </w:r>
            <w:r w:rsidR="00D137C1">
              <w:rPr>
                <w:sz w:val="20"/>
                <w:szCs w:val="20"/>
              </w:rPr>
              <w:t>hi square test for independence</w:t>
            </w:r>
          </w:p>
          <w:p w14:paraId="70696BE4" w14:textId="2ED6DBD6" w:rsidR="00BB38CD" w:rsidRPr="009712F7" w:rsidRDefault="00D137C1" w:rsidP="00F86BAB">
            <w:pPr>
              <w:rPr>
                <w:sz w:val="20"/>
                <w:szCs w:val="20"/>
              </w:rPr>
            </w:pPr>
            <w:r>
              <w:rPr>
                <w:sz w:val="20"/>
                <w:szCs w:val="20"/>
                <w:vertAlign w:val="superscript"/>
              </w:rPr>
              <w:t>d</w:t>
            </w:r>
            <w:r w:rsidR="00BB38CD" w:rsidRPr="009712F7">
              <w:rPr>
                <w:sz w:val="20"/>
                <w:szCs w:val="20"/>
                <w:vertAlign w:val="superscript"/>
              </w:rPr>
              <w:t xml:space="preserve"> </w:t>
            </w:r>
            <w:r w:rsidR="00BB38CD" w:rsidRPr="009712F7">
              <w:rPr>
                <w:sz w:val="20"/>
                <w:szCs w:val="20"/>
              </w:rPr>
              <w:t>OR per 5% increase in QRisk2 score</w:t>
            </w:r>
          </w:p>
          <w:p w14:paraId="175CF940" w14:textId="77777777" w:rsidR="00BB38CD" w:rsidRDefault="00BB38CD" w:rsidP="00F86BAB">
            <w:pPr>
              <w:rPr>
                <w:lang w:val="en-GB"/>
              </w:rPr>
            </w:pPr>
          </w:p>
        </w:tc>
      </w:tr>
    </w:tbl>
    <w:p w14:paraId="15F00744" w14:textId="07656A5D" w:rsidR="00F146F2" w:rsidRPr="00C63940" w:rsidRDefault="00FA6ABC" w:rsidP="00FA6ABC">
      <w:pPr>
        <w:rPr>
          <w:rFonts w:ascii="Times New Roman" w:hAnsi="Times New Roman" w:cs="Times New Roman"/>
          <w:color w:val="222222"/>
          <w:shd w:val="clear" w:color="auto" w:fill="FFFFFF"/>
        </w:rPr>
      </w:pPr>
      <w:r w:rsidRPr="00C63940">
        <w:rPr>
          <w:rFonts w:ascii="Times New Roman" w:hAnsi="Times New Roman" w:cs="Times New Roman"/>
          <w:color w:val="222222"/>
          <w:shd w:val="clear" w:color="auto" w:fill="FFFFFF"/>
        </w:rPr>
        <w:fldChar w:fldCharType="begin"/>
      </w:r>
      <w:r w:rsidRPr="00C63940">
        <w:rPr>
          <w:rFonts w:ascii="Times New Roman" w:hAnsi="Times New Roman" w:cs="Times New Roman"/>
          <w:color w:val="222222"/>
          <w:shd w:val="clear" w:color="auto" w:fill="FFFFFF"/>
        </w:rPr>
        <w:instrText xml:space="preserve"> ADDIN EN.REFLIST </w:instrText>
      </w:r>
      <w:r w:rsidRPr="00C63940">
        <w:rPr>
          <w:rFonts w:ascii="Times New Roman" w:hAnsi="Times New Roman" w:cs="Times New Roman"/>
          <w:color w:val="222222"/>
          <w:shd w:val="clear" w:color="auto" w:fill="FFFFFF"/>
        </w:rPr>
        <w:fldChar w:fldCharType="end"/>
      </w:r>
    </w:p>
    <w:sectPr w:rsidR="00F146F2" w:rsidRPr="00C63940" w:rsidSect="003C758D">
      <w:pgSz w:w="15840" w:h="12240" w:orient="landscape"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9072" w14:textId="77777777" w:rsidR="00C36148" w:rsidRDefault="00C36148" w:rsidP="00771D7E">
      <w:pPr>
        <w:spacing w:after="0" w:line="240" w:lineRule="auto"/>
      </w:pPr>
      <w:r>
        <w:separator/>
      </w:r>
    </w:p>
  </w:endnote>
  <w:endnote w:type="continuationSeparator" w:id="0">
    <w:p w14:paraId="25D62ADC" w14:textId="77777777" w:rsidR="00C36148" w:rsidRDefault="00C36148" w:rsidP="0077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1798" w14:textId="77777777" w:rsidR="00C36148" w:rsidRDefault="00C36148" w:rsidP="00771D7E">
      <w:pPr>
        <w:spacing w:after="0" w:line="240" w:lineRule="auto"/>
      </w:pPr>
      <w:r>
        <w:separator/>
      </w:r>
    </w:p>
  </w:footnote>
  <w:footnote w:type="continuationSeparator" w:id="0">
    <w:p w14:paraId="295EFB63" w14:textId="77777777" w:rsidR="00C36148" w:rsidRDefault="00C36148" w:rsidP="00771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77011"/>
      <w:docPartObj>
        <w:docPartGallery w:val="Page Numbers (Top of Page)"/>
        <w:docPartUnique/>
      </w:docPartObj>
    </w:sdtPr>
    <w:sdtEndPr>
      <w:rPr>
        <w:noProof/>
      </w:rPr>
    </w:sdtEndPr>
    <w:sdtContent>
      <w:p w14:paraId="409E9F4B" w14:textId="5C18981F" w:rsidR="00C36148" w:rsidRDefault="00C36148">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77D3B6C5" w14:textId="77777777" w:rsidR="00C36148" w:rsidRDefault="00C36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DBE"/>
    <w:multiLevelType w:val="hybridMultilevel"/>
    <w:tmpl w:val="93C2F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709D"/>
    <w:multiLevelType w:val="hybridMultilevel"/>
    <w:tmpl w:val="9E02587C"/>
    <w:lvl w:ilvl="0" w:tplc="810895C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3011"/>
    <w:multiLevelType w:val="hybridMultilevel"/>
    <w:tmpl w:val="9944676A"/>
    <w:lvl w:ilvl="0" w:tplc="C592EA06">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23A7D"/>
    <w:multiLevelType w:val="hybridMultilevel"/>
    <w:tmpl w:val="B7BE8328"/>
    <w:lvl w:ilvl="0" w:tplc="34C2661C">
      <w:start w:val="1"/>
      <w:numFmt w:val="decimal"/>
      <w:lvlText w:val="%1."/>
      <w:lvlJc w:val="left"/>
      <w:pPr>
        <w:ind w:left="720" w:hanging="360"/>
      </w:pPr>
      <w:rPr>
        <w:rFonts w:ascii="Trebuchet MS" w:hAnsi="Trebuchet MS"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476A0"/>
    <w:multiLevelType w:val="hybridMultilevel"/>
    <w:tmpl w:val="4FA28C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5D5B12"/>
    <w:multiLevelType w:val="hybridMultilevel"/>
    <w:tmpl w:val="E06402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8B70A0F"/>
    <w:multiLevelType w:val="hybridMultilevel"/>
    <w:tmpl w:val="35D24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4B5A86"/>
    <w:multiLevelType w:val="hybridMultilevel"/>
    <w:tmpl w:val="35D23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87AD5"/>
    <w:multiLevelType w:val="hybridMultilevel"/>
    <w:tmpl w:val="E064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B7F24"/>
    <w:multiLevelType w:val="hybridMultilevel"/>
    <w:tmpl w:val="5392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D03C8"/>
    <w:multiLevelType w:val="multilevel"/>
    <w:tmpl w:val="6A969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46A18"/>
    <w:multiLevelType w:val="hybridMultilevel"/>
    <w:tmpl w:val="4434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3"/>
  </w:num>
  <w:num w:numId="6">
    <w:abstractNumId w:val="7"/>
  </w:num>
  <w:num w:numId="7">
    <w:abstractNumId w:val="0"/>
  </w:num>
  <w:num w:numId="8">
    <w:abstractNumId w:val="1"/>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edra9xpxepvneze5cvx0fxvxxvv2wt25px&quot;&gt;My EndNote Library&lt;record-ids&gt;&lt;item&gt;127&lt;/item&gt;&lt;/record-ids&gt;&lt;/item&gt;&lt;/Libraries&gt;"/>
  </w:docVars>
  <w:rsids>
    <w:rsidRoot w:val="00BB6EA9"/>
    <w:rsid w:val="000017D5"/>
    <w:rsid w:val="00001E24"/>
    <w:rsid w:val="00004C1A"/>
    <w:rsid w:val="0000569D"/>
    <w:rsid w:val="000057B9"/>
    <w:rsid w:val="00006928"/>
    <w:rsid w:val="00013485"/>
    <w:rsid w:val="00015ADC"/>
    <w:rsid w:val="00017DC1"/>
    <w:rsid w:val="00021463"/>
    <w:rsid w:val="00022039"/>
    <w:rsid w:val="0002281A"/>
    <w:rsid w:val="00026C88"/>
    <w:rsid w:val="00026FE7"/>
    <w:rsid w:val="000273B4"/>
    <w:rsid w:val="00031FFF"/>
    <w:rsid w:val="00032D35"/>
    <w:rsid w:val="00034C5B"/>
    <w:rsid w:val="00036833"/>
    <w:rsid w:val="00043526"/>
    <w:rsid w:val="0004436D"/>
    <w:rsid w:val="000455F6"/>
    <w:rsid w:val="0005378D"/>
    <w:rsid w:val="00054731"/>
    <w:rsid w:val="00055412"/>
    <w:rsid w:val="000555DA"/>
    <w:rsid w:val="00060ACE"/>
    <w:rsid w:val="00061DB6"/>
    <w:rsid w:val="00065A07"/>
    <w:rsid w:val="00065EE6"/>
    <w:rsid w:val="00066BAF"/>
    <w:rsid w:val="000675CB"/>
    <w:rsid w:val="000708E7"/>
    <w:rsid w:val="00072345"/>
    <w:rsid w:val="00075E98"/>
    <w:rsid w:val="00076FB7"/>
    <w:rsid w:val="00080AB2"/>
    <w:rsid w:val="00087AFC"/>
    <w:rsid w:val="00091A90"/>
    <w:rsid w:val="00092273"/>
    <w:rsid w:val="000930C0"/>
    <w:rsid w:val="000935E1"/>
    <w:rsid w:val="00093B23"/>
    <w:rsid w:val="00095EDC"/>
    <w:rsid w:val="00096143"/>
    <w:rsid w:val="00096F67"/>
    <w:rsid w:val="000A0A14"/>
    <w:rsid w:val="000A1AEB"/>
    <w:rsid w:val="000B1300"/>
    <w:rsid w:val="000C2AD0"/>
    <w:rsid w:val="000C3C08"/>
    <w:rsid w:val="000C45F7"/>
    <w:rsid w:val="000C6048"/>
    <w:rsid w:val="000C6E46"/>
    <w:rsid w:val="000D0C8E"/>
    <w:rsid w:val="000D38B0"/>
    <w:rsid w:val="000D419F"/>
    <w:rsid w:val="000D7277"/>
    <w:rsid w:val="000E30E3"/>
    <w:rsid w:val="000F0B32"/>
    <w:rsid w:val="000F23A5"/>
    <w:rsid w:val="000F2E12"/>
    <w:rsid w:val="00101D23"/>
    <w:rsid w:val="00112FC6"/>
    <w:rsid w:val="00113CC5"/>
    <w:rsid w:val="001151B3"/>
    <w:rsid w:val="0011677D"/>
    <w:rsid w:val="00121DBF"/>
    <w:rsid w:val="0012244C"/>
    <w:rsid w:val="001313EE"/>
    <w:rsid w:val="00135C9B"/>
    <w:rsid w:val="001411B1"/>
    <w:rsid w:val="0014310D"/>
    <w:rsid w:val="001435C7"/>
    <w:rsid w:val="001457B5"/>
    <w:rsid w:val="00145A57"/>
    <w:rsid w:val="00146777"/>
    <w:rsid w:val="00146FCA"/>
    <w:rsid w:val="001472B4"/>
    <w:rsid w:val="00147FC7"/>
    <w:rsid w:val="00152798"/>
    <w:rsid w:val="00156977"/>
    <w:rsid w:val="0015700D"/>
    <w:rsid w:val="00163E0A"/>
    <w:rsid w:val="001652E2"/>
    <w:rsid w:val="001673A3"/>
    <w:rsid w:val="001673B0"/>
    <w:rsid w:val="0017322B"/>
    <w:rsid w:val="00175BDC"/>
    <w:rsid w:val="001763B3"/>
    <w:rsid w:val="0017791C"/>
    <w:rsid w:val="00180156"/>
    <w:rsid w:val="00180F85"/>
    <w:rsid w:val="00182264"/>
    <w:rsid w:val="001856AC"/>
    <w:rsid w:val="00187D49"/>
    <w:rsid w:val="00187F3C"/>
    <w:rsid w:val="00190022"/>
    <w:rsid w:val="00190F30"/>
    <w:rsid w:val="001A0608"/>
    <w:rsid w:val="001A26BD"/>
    <w:rsid w:val="001A3217"/>
    <w:rsid w:val="001A350B"/>
    <w:rsid w:val="001A4A6C"/>
    <w:rsid w:val="001A5F21"/>
    <w:rsid w:val="001A6D52"/>
    <w:rsid w:val="001B05C9"/>
    <w:rsid w:val="001B2041"/>
    <w:rsid w:val="001B35AE"/>
    <w:rsid w:val="001B3C84"/>
    <w:rsid w:val="001B4AF8"/>
    <w:rsid w:val="001D0934"/>
    <w:rsid w:val="001D230A"/>
    <w:rsid w:val="001D4474"/>
    <w:rsid w:val="001E3091"/>
    <w:rsid w:val="001E701A"/>
    <w:rsid w:val="001F128D"/>
    <w:rsid w:val="001F1A31"/>
    <w:rsid w:val="001F29B7"/>
    <w:rsid w:val="001F2E99"/>
    <w:rsid w:val="001F5E16"/>
    <w:rsid w:val="001F7484"/>
    <w:rsid w:val="00203899"/>
    <w:rsid w:val="002039CB"/>
    <w:rsid w:val="00203D73"/>
    <w:rsid w:val="00206CAB"/>
    <w:rsid w:val="0020768E"/>
    <w:rsid w:val="00211420"/>
    <w:rsid w:val="00221E28"/>
    <w:rsid w:val="00230D07"/>
    <w:rsid w:val="00231221"/>
    <w:rsid w:val="0023126B"/>
    <w:rsid w:val="00231379"/>
    <w:rsid w:val="00232F20"/>
    <w:rsid w:val="0023428D"/>
    <w:rsid w:val="0023748F"/>
    <w:rsid w:val="0024004F"/>
    <w:rsid w:val="00241060"/>
    <w:rsid w:val="0024242C"/>
    <w:rsid w:val="002441D9"/>
    <w:rsid w:val="0024775F"/>
    <w:rsid w:val="0025084E"/>
    <w:rsid w:val="00255928"/>
    <w:rsid w:val="00262854"/>
    <w:rsid w:val="00263E1E"/>
    <w:rsid w:val="00265BE0"/>
    <w:rsid w:val="00274CF1"/>
    <w:rsid w:val="00277E63"/>
    <w:rsid w:val="00282CDE"/>
    <w:rsid w:val="00283688"/>
    <w:rsid w:val="0028569A"/>
    <w:rsid w:val="00286CA5"/>
    <w:rsid w:val="00287CF3"/>
    <w:rsid w:val="0029011E"/>
    <w:rsid w:val="00290A9C"/>
    <w:rsid w:val="00290C0D"/>
    <w:rsid w:val="00291355"/>
    <w:rsid w:val="00294862"/>
    <w:rsid w:val="002954F3"/>
    <w:rsid w:val="0029736A"/>
    <w:rsid w:val="002A425D"/>
    <w:rsid w:val="002A4577"/>
    <w:rsid w:val="002B6518"/>
    <w:rsid w:val="002C0266"/>
    <w:rsid w:val="002C072D"/>
    <w:rsid w:val="002C3D08"/>
    <w:rsid w:val="002D3D8E"/>
    <w:rsid w:val="002D4BF3"/>
    <w:rsid w:val="002D4C68"/>
    <w:rsid w:val="002D637B"/>
    <w:rsid w:val="002E1BF7"/>
    <w:rsid w:val="002E3B14"/>
    <w:rsid w:val="002E45ED"/>
    <w:rsid w:val="002E6D18"/>
    <w:rsid w:val="002E72BF"/>
    <w:rsid w:val="002F0901"/>
    <w:rsid w:val="002F1112"/>
    <w:rsid w:val="002F186F"/>
    <w:rsid w:val="002F2695"/>
    <w:rsid w:val="002F3137"/>
    <w:rsid w:val="00302B61"/>
    <w:rsid w:val="00303387"/>
    <w:rsid w:val="00316B01"/>
    <w:rsid w:val="003205BC"/>
    <w:rsid w:val="00324A9F"/>
    <w:rsid w:val="00327800"/>
    <w:rsid w:val="0033119F"/>
    <w:rsid w:val="00337C19"/>
    <w:rsid w:val="00341DE2"/>
    <w:rsid w:val="00346481"/>
    <w:rsid w:val="00346D8F"/>
    <w:rsid w:val="00347F90"/>
    <w:rsid w:val="00355F94"/>
    <w:rsid w:val="003565D4"/>
    <w:rsid w:val="00356BDC"/>
    <w:rsid w:val="003572DE"/>
    <w:rsid w:val="00360112"/>
    <w:rsid w:val="00363097"/>
    <w:rsid w:val="00365831"/>
    <w:rsid w:val="0036767C"/>
    <w:rsid w:val="0037061E"/>
    <w:rsid w:val="00371CD0"/>
    <w:rsid w:val="00374194"/>
    <w:rsid w:val="00374B92"/>
    <w:rsid w:val="00374D41"/>
    <w:rsid w:val="00380838"/>
    <w:rsid w:val="00381D41"/>
    <w:rsid w:val="00386C27"/>
    <w:rsid w:val="00391438"/>
    <w:rsid w:val="00394F77"/>
    <w:rsid w:val="00395AA6"/>
    <w:rsid w:val="003A4186"/>
    <w:rsid w:val="003A6584"/>
    <w:rsid w:val="003B3604"/>
    <w:rsid w:val="003B756C"/>
    <w:rsid w:val="003C0165"/>
    <w:rsid w:val="003C0DF3"/>
    <w:rsid w:val="003C4127"/>
    <w:rsid w:val="003C47C6"/>
    <w:rsid w:val="003C52AB"/>
    <w:rsid w:val="003C758D"/>
    <w:rsid w:val="003D2E22"/>
    <w:rsid w:val="003D3E79"/>
    <w:rsid w:val="003D5199"/>
    <w:rsid w:val="003E0012"/>
    <w:rsid w:val="003E0753"/>
    <w:rsid w:val="003E362D"/>
    <w:rsid w:val="003E5D44"/>
    <w:rsid w:val="003F0E49"/>
    <w:rsid w:val="003F3A43"/>
    <w:rsid w:val="003F5FB8"/>
    <w:rsid w:val="003F62DE"/>
    <w:rsid w:val="003F66F9"/>
    <w:rsid w:val="003F773C"/>
    <w:rsid w:val="004037A0"/>
    <w:rsid w:val="004056C1"/>
    <w:rsid w:val="004057E0"/>
    <w:rsid w:val="00414109"/>
    <w:rsid w:val="0041572A"/>
    <w:rsid w:val="00415D28"/>
    <w:rsid w:val="00415E1B"/>
    <w:rsid w:val="00417276"/>
    <w:rsid w:val="00417995"/>
    <w:rsid w:val="004207BA"/>
    <w:rsid w:val="00424522"/>
    <w:rsid w:val="00426A9B"/>
    <w:rsid w:val="00426C22"/>
    <w:rsid w:val="00433835"/>
    <w:rsid w:val="00440746"/>
    <w:rsid w:val="00442559"/>
    <w:rsid w:val="004473C8"/>
    <w:rsid w:val="00462EAC"/>
    <w:rsid w:val="00465D75"/>
    <w:rsid w:val="00467286"/>
    <w:rsid w:val="004720DF"/>
    <w:rsid w:val="0047633F"/>
    <w:rsid w:val="0047698A"/>
    <w:rsid w:val="004771BE"/>
    <w:rsid w:val="004817BB"/>
    <w:rsid w:val="004823A1"/>
    <w:rsid w:val="0049056C"/>
    <w:rsid w:val="00497919"/>
    <w:rsid w:val="004A1B09"/>
    <w:rsid w:val="004B0D2A"/>
    <w:rsid w:val="004B2D7A"/>
    <w:rsid w:val="004B3311"/>
    <w:rsid w:val="004B3349"/>
    <w:rsid w:val="004B3FC7"/>
    <w:rsid w:val="004C2D7E"/>
    <w:rsid w:val="004C356E"/>
    <w:rsid w:val="004C3BBC"/>
    <w:rsid w:val="004C5348"/>
    <w:rsid w:val="004C5C01"/>
    <w:rsid w:val="004C7A13"/>
    <w:rsid w:val="004D0741"/>
    <w:rsid w:val="004D0F6F"/>
    <w:rsid w:val="004D25F2"/>
    <w:rsid w:val="004D2AE7"/>
    <w:rsid w:val="004D2F59"/>
    <w:rsid w:val="004D3972"/>
    <w:rsid w:val="004D67BC"/>
    <w:rsid w:val="004E0031"/>
    <w:rsid w:val="004E255A"/>
    <w:rsid w:val="004E47EA"/>
    <w:rsid w:val="004E509B"/>
    <w:rsid w:val="004E7DC8"/>
    <w:rsid w:val="004F45C8"/>
    <w:rsid w:val="004F61AD"/>
    <w:rsid w:val="004F7F63"/>
    <w:rsid w:val="00501F5E"/>
    <w:rsid w:val="00502EAE"/>
    <w:rsid w:val="00503ACA"/>
    <w:rsid w:val="00506D49"/>
    <w:rsid w:val="005075B8"/>
    <w:rsid w:val="00512859"/>
    <w:rsid w:val="00515DB1"/>
    <w:rsid w:val="005316CF"/>
    <w:rsid w:val="00535A5B"/>
    <w:rsid w:val="0054533E"/>
    <w:rsid w:val="00550995"/>
    <w:rsid w:val="00550B08"/>
    <w:rsid w:val="005511C6"/>
    <w:rsid w:val="00551936"/>
    <w:rsid w:val="005533F6"/>
    <w:rsid w:val="00553B0E"/>
    <w:rsid w:val="0055642A"/>
    <w:rsid w:val="0056067C"/>
    <w:rsid w:val="00562331"/>
    <w:rsid w:val="00562B30"/>
    <w:rsid w:val="005652A9"/>
    <w:rsid w:val="005661CE"/>
    <w:rsid w:val="00570AC7"/>
    <w:rsid w:val="005725DF"/>
    <w:rsid w:val="005738AE"/>
    <w:rsid w:val="00587460"/>
    <w:rsid w:val="00590B47"/>
    <w:rsid w:val="00592DEF"/>
    <w:rsid w:val="00592FA0"/>
    <w:rsid w:val="0059376D"/>
    <w:rsid w:val="0059407D"/>
    <w:rsid w:val="00594C9D"/>
    <w:rsid w:val="005A10CF"/>
    <w:rsid w:val="005A2E5D"/>
    <w:rsid w:val="005B2D7F"/>
    <w:rsid w:val="005B4B09"/>
    <w:rsid w:val="005B5D97"/>
    <w:rsid w:val="005B7F96"/>
    <w:rsid w:val="005C0027"/>
    <w:rsid w:val="005C276D"/>
    <w:rsid w:val="005C68D4"/>
    <w:rsid w:val="005D0156"/>
    <w:rsid w:val="005D2766"/>
    <w:rsid w:val="005D2B87"/>
    <w:rsid w:val="005D3716"/>
    <w:rsid w:val="005D4428"/>
    <w:rsid w:val="005E0D47"/>
    <w:rsid w:val="005E2C20"/>
    <w:rsid w:val="005E44D6"/>
    <w:rsid w:val="005E4D90"/>
    <w:rsid w:val="005E515B"/>
    <w:rsid w:val="005E6729"/>
    <w:rsid w:val="005E6FE6"/>
    <w:rsid w:val="005F061B"/>
    <w:rsid w:val="005F262F"/>
    <w:rsid w:val="006001C7"/>
    <w:rsid w:val="00603253"/>
    <w:rsid w:val="006039B3"/>
    <w:rsid w:val="00605E2A"/>
    <w:rsid w:val="00606166"/>
    <w:rsid w:val="00606BBD"/>
    <w:rsid w:val="006079BB"/>
    <w:rsid w:val="00617631"/>
    <w:rsid w:val="00621660"/>
    <w:rsid w:val="00622D49"/>
    <w:rsid w:val="00624C94"/>
    <w:rsid w:val="006268DC"/>
    <w:rsid w:val="00636B19"/>
    <w:rsid w:val="00641A5F"/>
    <w:rsid w:val="00643E0D"/>
    <w:rsid w:val="006442AA"/>
    <w:rsid w:val="006456C2"/>
    <w:rsid w:val="00652F6D"/>
    <w:rsid w:val="00653459"/>
    <w:rsid w:val="00653E44"/>
    <w:rsid w:val="00663166"/>
    <w:rsid w:val="006659ED"/>
    <w:rsid w:val="0067302D"/>
    <w:rsid w:val="00684B5F"/>
    <w:rsid w:val="006863D6"/>
    <w:rsid w:val="00687830"/>
    <w:rsid w:val="00690726"/>
    <w:rsid w:val="006959F9"/>
    <w:rsid w:val="006A27A3"/>
    <w:rsid w:val="006A2D3F"/>
    <w:rsid w:val="006A383F"/>
    <w:rsid w:val="006A3C6A"/>
    <w:rsid w:val="006A75C1"/>
    <w:rsid w:val="006A7CCB"/>
    <w:rsid w:val="006B114D"/>
    <w:rsid w:val="006B1E96"/>
    <w:rsid w:val="006B79D5"/>
    <w:rsid w:val="006C04B9"/>
    <w:rsid w:val="006C775D"/>
    <w:rsid w:val="006D0B8C"/>
    <w:rsid w:val="006D248C"/>
    <w:rsid w:val="006D27F8"/>
    <w:rsid w:val="006E09A0"/>
    <w:rsid w:val="006F1EEE"/>
    <w:rsid w:val="006F295A"/>
    <w:rsid w:val="006F2DC4"/>
    <w:rsid w:val="006F3286"/>
    <w:rsid w:val="006F7968"/>
    <w:rsid w:val="006F79A2"/>
    <w:rsid w:val="00704D1B"/>
    <w:rsid w:val="007079D8"/>
    <w:rsid w:val="00710989"/>
    <w:rsid w:val="007157D8"/>
    <w:rsid w:val="00720DF7"/>
    <w:rsid w:val="00722C66"/>
    <w:rsid w:val="007253B7"/>
    <w:rsid w:val="00727BA3"/>
    <w:rsid w:val="00737F28"/>
    <w:rsid w:val="00743F64"/>
    <w:rsid w:val="00750D66"/>
    <w:rsid w:val="0075129A"/>
    <w:rsid w:val="00753CA2"/>
    <w:rsid w:val="007605A9"/>
    <w:rsid w:val="00762EA2"/>
    <w:rsid w:val="00770EFD"/>
    <w:rsid w:val="00771D7E"/>
    <w:rsid w:val="00772301"/>
    <w:rsid w:val="0077409D"/>
    <w:rsid w:val="00776864"/>
    <w:rsid w:val="00777658"/>
    <w:rsid w:val="007810AC"/>
    <w:rsid w:val="00783733"/>
    <w:rsid w:val="007841BF"/>
    <w:rsid w:val="007845CB"/>
    <w:rsid w:val="00784EC7"/>
    <w:rsid w:val="0078681E"/>
    <w:rsid w:val="00786AAC"/>
    <w:rsid w:val="007870FB"/>
    <w:rsid w:val="007900CC"/>
    <w:rsid w:val="00797095"/>
    <w:rsid w:val="007975DE"/>
    <w:rsid w:val="007A6AB6"/>
    <w:rsid w:val="007B0F1E"/>
    <w:rsid w:val="007B399A"/>
    <w:rsid w:val="007B5BD2"/>
    <w:rsid w:val="007C18A1"/>
    <w:rsid w:val="007C50D1"/>
    <w:rsid w:val="007C594B"/>
    <w:rsid w:val="007D29C0"/>
    <w:rsid w:val="007D37D4"/>
    <w:rsid w:val="007D3E3A"/>
    <w:rsid w:val="007D570B"/>
    <w:rsid w:val="007E22C1"/>
    <w:rsid w:val="007E2CBA"/>
    <w:rsid w:val="007E35AD"/>
    <w:rsid w:val="007E458A"/>
    <w:rsid w:val="007E7EF0"/>
    <w:rsid w:val="007E7F5B"/>
    <w:rsid w:val="007F0AC1"/>
    <w:rsid w:val="007F1FED"/>
    <w:rsid w:val="007F76B4"/>
    <w:rsid w:val="008019C0"/>
    <w:rsid w:val="00803D37"/>
    <w:rsid w:val="00806044"/>
    <w:rsid w:val="0080607A"/>
    <w:rsid w:val="00806221"/>
    <w:rsid w:val="0080657F"/>
    <w:rsid w:val="00807034"/>
    <w:rsid w:val="00811711"/>
    <w:rsid w:val="008123E8"/>
    <w:rsid w:val="00813978"/>
    <w:rsid w:val="008178BF"/>
    <w:rsid w:val="00817C64"/>
    <w:rsid w:val="00820ACD"/>
    <w:rsid w:val="0082328E"/>
    <w:rsid w:val="00825022"/>
    <w:rsid w:val="00830089"/>
    <w:rsid w:val="008328E3"/>
    <w:rsid w:val="00833766"/>
    <w:rsid w:val="00833D36"/>
    <w:rsid w:val="00835DD1"/>
    <w:rsid w:val="00837D38"/>
    <w:rsid w:val="00837FB6"/>
    <w:rsid w:val="00846D21"/>
    <w:rsid w:val="00851F5D"/>
    <w:rsid w:val="00854F19"/>
    <w:rsid w:val="00857059"/>
    <w:rsid w:val="00870BB4"/>
    <w:rsid w:val="0087134F"/>
    <w:rsid w:val="00876576"/>
    <w:rsid w:val="008779EE"/>
    <w:rsid w:val="00881374"/>
    <w:rsid w:val="00881788"/>
    <w:rsid w:val="008830E8"/>
    <w:rsid w:val="008877EB"/>
    <w:rsid w:val="00887E4D"/>
    <w:rsid w:val="00890B76"/>
    <w:rsid w:val="00891530"/>
    <w:rsid w:val="008936F7"/>
    <w:rsid w:val="00893B56"/>
    <w:rsid w:val="0089415D"/>
    <w:rsid w:val="008966B5"/>
    <w:rsid w:val="00896730"/>
    <w:rsid w:val="008A22FA"/>
    <w:rsid w:val="008A2674"/>
    <w:rsid w:val="008A26ED"/>
    <w:rsid w:val="008A4030"/>
    <w:rsid w:val="008A5288"/>
    <w:rsid w:val="008B0864"/>
    <w:rsid w:val="008B1232"/>
    <w:rsid w:val="008B1564"/>
    <w:rsid w:val="008B1B6A"/>
    <w:rsid w:val="008B22A0"/>
    <w:rsid w:val="008B2D03"/>
    <w:rsid w:val="008B5675"/>
    <w:rsid w:val="008C06B8"/>
    <w:rsid w:val="008C1BB3"/>
    <w:rsid w:val="008C1F65"/>
    <w:rsid w:val="008C5F16"/>
    <w:rsid w:val="008D1B01"/>
    <w:rsid w:val="008D5CAE"/>
    <w:rsid w:val="008D6201"/>
    <w:rsid w:val="008D796A"/>
    <w:rsid w:val="008E0C21"/>
    <w:rsid w:val="008E4AAE"/>
    <w:rsid w:val="008E7533"/>
    <w:rsid w:val="008F24A8"/>
    <w:rsid w:val="008F362A"/>
    <w:rsid w:val="008F4E5A"/>
    <w:rsid w:val="00900389"/>
    <w:rsid w:val="00901161"/>
    <w:rsid w:val="00905D13"/>
    <w:rsid w:val="00907A74"/>
    <w:rsid w:val="00910749"/>
    <w:rsid w:val="0091222C"/>
    <w:rsid w:val="00913232"/>
    <w:rsid w:val="009135A8"/>
    <w:rsid w:val="0091738B"/>
    <w:rsid w:val="009220A3"/>
    <w:rsid w:val="009243B9"/>
    <w:rsid w:val="00924505"/>
    <w:rsid w:val="00925789"/>
    <w:rsid w:val="00926786"/>
    <w:rsid w:val="00927A79"/>
    <w:rsid w:val="00932D9B"/>
    <w:rsid w:val="009413DA"/>
    <w:rsid w:val="00942AD9"/>
    <w:rsid w:val="009460EB"/>
    <w:rsid w:val="00946F7D"/>
    <w:rsid w:val="00950E26"/>
    <w:rsid w:val="00957964"/>
    <w:rsid w:val="00962DB3"/>
    <w:rsid w:val="00962E3B"/>
    <w:rsid w:val="009663B5"/>
    <w:rsid w:val="00971FF2"/>
    <w:rsid w:val="00975D39"/>
    <w:rsid w:val="00980C4E"/>
    <w:rsid w:val="00982BF1"/>
    <w:rsid w:val="00983A94"/>
    <w:rsid w:val="009856CC"/>
    <w:rsid w:val="0099768C"/>
    <w:rsid w:val="009A31A2"/>
    <w:rsid w:val="009A4BD6"/>
    <w:rsid w:val="009A4E4D"/>
    <w:rsid w:val="009A621C"/>
    <w:rsid w:val="009B3E80"/>
    <w:rsid w:val="009B49C5"/>
    <w:rsid w:val="009B4D15"/>
    <w:rsid w:val="009B783D"/>
    <w:rsid w:val="009C0828"/>
    <w:rsid w:val="009C5555"/>
    <w:rsid w:val="009D4238"/>
    <w:rsid w:val="009D5C01"/>
    <w:rsid w:val="009D7326"/>
    <w:rsid w:val="009E0246"/>
    <w:rsid w:val="009E15A5"/>
    <w:rsid w:val="009E3568"/>
    <w:rsid w:val="009E6D64"/>
    <w:rsid w:val="009E74AE"/>
    <w:rsid w:val="009F2666"/>
    <w:rsid w:val="009F3AD6"/>
    <w:rsid w:val="009F719B"/>
    <w:rsid w:val="00A05F8D"/>
    <w:rsid w:val="00A10432"/>
    <w:rsid w:val="00A12B64"/>
    <w:rsid w:val="00A17793"/>
    <w:rsid w:val="00A208EF"/>
    <w:rsid w:val="00A20D50"/>
    <w:rsid w:val="00A312DB"/>
    <w:rsid w:val="00A3504F"/>
    <w:rsid w:val="00A37059"/>
    <w:rsid w:val="00A40931"/>
    <w:rsid w:val="00A423DB"/>
    <w:rsid w:val="00A43F7A"/>
    <w:rsid w:val="00A4484D"/>
    <w:rsid w:val="00A44962"/>
    <w:rsid w:val="00A55C03"/>
    <w:rsid w:val="00A607CE"/>
    <w:rsid w:val="00A64C06"/>
    <w:rsid w:val="00A65755"/>
    <w:rsid w:val="00A65C6D"/>
    <w:rsid w:val="00A7318B"/>
    <w:rsid w:val="00A73F40"/>
    <w:rsid w:val="00A7674C"/>
    <w:rsid w:val="00A84A19"/>
    <w:rsid w:val="00A84A30"/>
    <w:rsid w:val="00A85D73"/>
    <w:rsid w:val="00A85E63"/>
    <w:rsid w:val="00A867F1"/>
    <w:rsid w:val="00A8713F"/>
    <w:rsid w:val="00A87CE8"/>
    <w:rsid w:val="00A91198"/>
    <w:rsid w:val="00A919C9"/>
    <w:rsid w:val="00A93E57"/>
    <w:rsid w:val="00A947E4"/>
    <w:rsid w:val="00A97C8C"/>
    <w:rsid w:val="00A97D5E"/>
    <w:rsid w:val="00A97E75"/>
    <w:rsid w:val="00AA0DD6"/>
    <w:rsid w:val="00AA3068"/>
    <w:rsid w:val="00AA6188"/>
    <w:rsid w:val="00AA7BF5"/>
    <w:rsid w:val="00AB1A8C"/>
    <w:rsid w:val="00AB2497"/>
    <w:rsid w:val="00AB42D3"/>
    <w:rsid w:val="00AB7E53"/>
    <w:rsid w:val="00AC0E01"/>
    <w:rsid w:val="00AC1C72"/>
    <w:rsid w:val="00AC26B7"/>
    <w:rsid w:val="00AC3BB2"/>
    <w:rsid w:val="00AC5957"/>
    <w:rsid w:val="00AD0FEB"/>
    <w:rsid w:val="00AD2590"/>
    <w:rsid w:val="00AD4435"/>
    <w:rsid w:val="00AD5541"/>
    <w:rsid w:val="00AD6E13"/>
    <w:rsid w:val="00AD705F"/>
    <w:rsid w:val="00AE1CA9"/>
    <w:rsid w:val="00AE3593"/>
    <w:rsid w:val="00AE4525"/>
    <w:rsid w:val="00AE4DFB"/>
    <w:rsid w:val="00AF4BD3"/>
    <w:rsid w:val="00AF5F8E"/>
    <w:rsid w:val="00B02E5B"/>
    <w:rsid w:val="00B036B1"/>
    <w:rsid w:val="00B0403C"/>
    <w:rsid w:val="00B05CD6"/>
    <w:rsid w:val="00B116C3"/>
    <w:rsid w:val="00B12FB7"/>
    <w:rsid w:val="00B15C0C"/>
    <w:rsid w:val="00B16474"/>
    <w:rsid w:val="00B174D6"/>
    <w:rsid w:val="00B21326"/>
    <w:rsid w:val="00B22A35"/>
    <w:rsid w:val="00B22C24"/>
    <w:rsid w:val="00B247F3"/>
    <w:rsid w:val="00B2739A"/>
    <w:rsid w:val="00B27E02"/>
    <w:rsid w:val="00B4183D"/>
    <w:rsid w:val="00B418C4"/>
    <w:rsid w:val="00B478EF"/>
    <w:rsid w:val="00B5163A"/>
    <w:rsid w:val="00B527C9"/>
    <w:rsid w:val="00B5593B"/>
    <w:rsid w:val="00B56245"/>
    <w:rsid w:val="00B60A5C"/>
    <w:rsid w:val="00B636DE"/>
    <w:rsid w:val="00B64C56"/>
    <w:rsid w:val="00B64DF3"/>
    <w:rsid w:val="00B65F02"/>
    <w:rsid w:val="00B66234"/>
    <w:rsid w:val="00B6640A"/>
    <w:rsid w:val="00B712CE"/>
    <w:rsid w:val="00B74104"/>
    <w:rsid w:val="00B75B09"/>
    <w:rsid w:val="00B7743E"/>
    <w:rsid w:val="00B807F9"/>
    <w:rsid w:val="00B839EA"/>
    <w:rsid w:val="00B83DDB"/>
    <w:rsid w:val="00B875B3"/>
    <w:rsid w:val="00B87AC0"/>
    <w:rsid w:val="00B90E31"/>
    <w:rsid w:val="00B91002"/>
    <w:rsid w:val="00B92F52"/>
    <w:rsid w:val="00BA18AB"/>
    <w:rsid w:val="00BA2355"/>
    <w:rsid w:val="00BA29E8"/>
    <w:rsid w:val="00BA7567"/>
    <w:rsid w:val="00BA7D79"/>
    <w:rsid w:val="00BB38CD"/>
    <w:rsid w:val="00BB3C89"/>
    <w:rsid w:val="00BB63B4"/>
    <w:rsid w:val="00BB661A"/>
    <w:rsid w:val="00BB6EA9"/>
    <w:rsid w:val="00BC5B29"/>
    <w:rsid w:val="00BD417C"/>
    <w:rsid w:val="00BD5D5E"/>
    <w:rsid w:val="00BD6750"/>
    <w:rsid w:val="00BD6D7E"/>
    <w:rsid w:val="00BE15F0"/>
    <w:rsid w:val="00BE3650"/>
    <w:rsid w:val="00BE7532"/>
    <w:rsid w:val="00BF2B39"/>
    <w:rsid w:val="00BF2B55"/>
    <w:rsid w:val="00BF3643"/>
    <w:rsid w:val="00BF5461"/>
    <w:rsid w:val="00C00A5E"/>
    <w:rsid w:val="00C010A2"/>
    <w:rsid w:val="00C037EB"/>
    <w:rsid w:val="00C06427"/>
    <w:rsid w:val="00C1457B"/>
    <w:rsid w:val="00C145B4"/>
    <w:rsid w:val="00C150CE"/>
    <w:rsid w:val="00C15F19"/>
    <w:rsid w:val="00C22EFD"/>
    <w:rsid w:val="00C2626B"/>
    <w:rsid w:val="00C27444"/>
    <w:rsid w:val="00C27855"/>
    <w:rsid w:val="00C3156A"/>
    <w:rsid w:val="00C36148"/>
    <w:rsid w:val="00C36898"/>
    <w:rsid w:val="00C378CB"/>
    <w:rsid w:val="00C439A6"/>
    <w:rsid w:val="00C44689"/>
    <w:rsid w:val="00C44EF1"/>
    <w:rsid w:val="00C471B8"/>
    <w:rsid w:val="00C4768B"/>
    <w:rsid w:val="00C47F6C"/>
    <w:rsid w:val="00C5026F"/>
    <w:rsid w:val="00C51514"/>
    <w:rsid w:val="00C52EFC"/>
    <w:rsid w:val="00C54448"/>
    <w:rsid w:val="00C55FB8"/>
    <w:rsid w:val="00C5734B"/>
    <w:rsid w:val="00C5771D"/>
    <w:rsid w:val="00C619C0"/>
    <w:rsid w:val="00C63940"/>
    <w:rsid w:val="00C67E67"/>
    <w:rsid w:val="00C72C40"/>
    <w:rsid w:val="00C73E8F"/>
    <w:rsid w:val="00C746C6"/>
    <w:rsid w:val="00C76A02"/>
    <w:rsid w:val="00C76BB3"/>
    <w:rsid w:val="00C84D32"/>
    <w:rsid w:val="00C85BCF"/>
    <w:rsid w:val="00C85FAE"/>
    <w:rsid w:val="00C97FBB"/>
    <w:rsid w:val="00CA4AC4"/>
    <w:rsid w:val="00CB0313"/>
    <w:rsid w:val="00CB7435"/>
    <w:rsid w:val="00CC5A0B"/>
    <w:rsid w:val="00CD1BB9"/>
    <w:rsid w:val="00CD333F"/>
    <w:rsid w:val="00CD5FDD"/>
    <w:rsid w:val="00CD674C"/>
    <w:rsid w:val="00CF07C7"/>
    <w:rsid w:val="00CF0A86"/>
    <w:rsid w:val="00CF4AA7"/>
    <w:rsid w:val="00CF6478"/>
    <w:rsid w:val="00CF6E6E"/>
    <w:rsid w:val="00D0286D"/>
    <w:rsid w:val="00D03724"/>
    <w:rsid w:val="00D05D85"/>
    <w:rsid w:val="00D060D4"/>
    <w:rsid w:val="00D07DE0"/>
    <w:rsid w:val="00D1132E"/>
    <w:rsid w:val="00D124EF"/>
    <w:rsid w:val="00D137C1"/>
    <w:rsid w:val="00D14589"/>
    <w:rsid w:val="00D15C87"/>
    <w:rsid w:val="00D15F92"/>
    <w:rsid w:val="00D21B36"/>
    <w:rsid w:val="00D245D4"/>
    <w:rsid w:val="00D2601D"/>
    <w:rsid w:val="00D2691D"/>
    <w:rsid w:val="00D37BED"/>
    <w:rsid w:val="00D37C8D"/>
    <w:rsid w:val="00D40ADF"/>
    <w:rsid w:val="00D43CA0"/>
    <w:rsid w:val="00D47BF1"/>
    <w:rsid w:val="00D501C7"/>
    <w:rsid w:val="00D52544"/>
    <w:rsid w:val="00D54361"/>
    <w:rsid w:val="00D609C3"/>
    <w:rsid w:val="00D60BFA"/>
    <w:rsid w:val="00D64000"/>
    <w:rsid w:val="00D67EB6"/>
    <w:rsid w:val="00D710AC"/>
    <w:rsid w:val="00D714FD"/>
    <w:rsid w:val="00D716B4"/>
    <w:rsid w:val="00D73710"/>
    <w:rsid w:val="00D7414C"/>
    <w:rsid w:val="00D7487C"/>
    <w:rsid w:val="00D77903"/>
    <w:rsid w:val="00D810BA"/>
    <w:rsid w:val="00D8236A"/>
    <w:rsid w:val="00D82A29"/>
    <w:rsid w:val="00D8372E"/>
    <w:rsid w:val="00D83CF5"/>
    <w:rsid w:val="00D87753"/>
    <w:rsid w:val="00D90DB9"/>
    <w:rsid w:val="00D91895"/>
    <w:rsid w:val="00D91A30"/>
    <w:rsid w:val="00D93C7C"/>
    <w:rsid w:val="00D94A3F"/>
    <w:rsid w:val="00DA0AFA"/>
    <w:rsid w:val="00DA39A0"/>
    <w:rsid w:val="00DA74EE"/>
    <w:rsid w:val="00DA771B"/>
    <w:rsid w:val="00DB0C94"/>
    <w:rsid w:val="00DB2847"/>
    <w:rsid w:val="00DB42CF"/>
    <w:rsid w:val="00DC0EBD"/>
    <w:rsid w:val="00DC211B"/>
    <w:rsid w:val="00DC3131"/>
    <w:rsid w:val="00DC3525"/>
    <w:rsid w:val="00DC636D"/>
    <w:rsid w:val="00DC66E6"/>
    <w:rsid w:val="00DD48F5"/>
    <w:rsid w:val="00DD4C51"/>
    <w:rsid w:val="00DE0990"/>
    <w:rsid w:val="00DE2C67"/>
    <w:rsid w:val="00DE70AE"/>
    <w:rsid w:val="00DF35C2"/>
    <w:rsid w:val="00E020A4"/>
    <w:rsid w:val="00E06634"/>
    <w:rsid w:val="00E102F5"/>
    <w:rsid w:val="00E127AF"/>
    <w:rsid w:val="00E12D7C"/>
    <w:rsid w:val="00E16782"/>
    <w:rsid w:val="00E16A81"/>
    <w:rsid w:val="00E2171D"/>
    <w:rsid w:val="00E2301F"/>
    <w:rsid w:val="00E26C7A"/>
    <w:rsid w:val="00E424F9"/>
    <w:rsid w:val="00E43648"/>
    <w:rsid w:val="00E45543"/>
    <w:rsid w:val="00E46018"/>
    <w:rsid w:val="00E47358"/>
    <w:rsid w:val="00E52A57"/>
    <w:rsid w:val="00E54A5A"/>
    <w:rsid w:val="00E659AD"/>
    <w:rsid w:val="00E70EFE"/>
    <w:rsid w:val="00E717DE"/>
    <w:rsid w:val="00E72B94"/>
    <w:rsid w:val="00E7608D"/>
    <w:rsid w:val="00E861E2"/>
    <w:rsid w:val="00E870D3"/>
    <w:rsid w:val="00E90C11"/>
    <w:rsid w:val="00E92BA2"/>
    <w:rsid w:val="00E92E3F"/>
    <w:rsid w:val="00E956F9"/>
    <w:rsid w:val="00E9705C"/>
    <w:rsid w:val="00E971A1"/>
    <w:rsid w:val="00E97748"/>
    <w:rsid w:val="00EA04D6"/>
    <w:rsid w:val="00EA30BE"/>
    <w:rsid w:val="00EA76CA"/>
    <w:rsid w:val="00EB230A"/>
    <w:rsid w:val="00EB37E0"/>
    <w:rsid w:val="00EB4C9F"/>
    <w:rsid w:val="00EB587B"/>
    <w:rsid w:val="00EB7933"/>
    <w:rsid w:val="00EC09BE"/>
    <w:rsid w:val="00EC21FF"/>
    <w:rsid w:val="00EC28D7"/>
    <w:rsid w:val="00EC3995"/>
    <w:rsid w:val="00EC4F1D"/>
    <w:rsid w:val="00ED30CC"/>
    <w:rsid w:val="00ED3C02"/>
    <w:rsid w:val="00ED3FE8"/>
    <w:rsid w:val="00EE4247"/>
    <w:rsid w:val="00EE5221"/>
    <w:rsid w:val="00EF23F0"/>
    <w:rsid w:val="00EF6475"/>
    <w:rsid w:val="00EF6BA1"/>
    <w:rsid w:val="00F00DF7"/>
    <w:rsid w:val="00F0308B"/>
    <w:rsid w:val="00F077D5"/>
    <w:rsid w:val="00F1363C"/>
    <w:rsid w:val="00F146F2"/>
    <w:rsid w:val="00F24CAB"/>
    <w:rsid w:val="00F27FCB"/>
    <w:rsid w:val="00F330B7"/>
    <w:rsid w:val="00F35BEC"/>
    <w:rsid w:val="00F3759F"/>
    <w:rsid w:val="00F37703"/>
    <w:rsid w:val="00F40CB7"/>
    <w:rsid w:val="00F4390A"/>
    <w:rsid w:val="00F43948"/>
    <w:rsid w:val="00F44287"/>
    <w:rsid w:val="00F46DB9"/>
    <w:rsid w:val="00F46F97"/>
    <w:rsid w:val="00F4706C"/>
    <w:rsid w:val="00F52731"/>
    <w:rsid w:val="00F55C8E"/>
    <w:rsid w:val="00F571FE"/>
    <w:rsid w:val="00F6108B"/>
    <w:rsid w:val="00F6785F"/>
    <w:rsid w:val="00F70D32"/>
    <w:rsid w:val="00F733CA"/>
    <w:rsid w:val="00F74AF0"/>
    <w:rsid w:val="00F83AE4"/>
    <w:rsid w:val="00F84944"/>
    <w:rsid w:val="00F850E9"/>
    <w:rsid w:val="00F86385"/>
    <w:rsid w:val="00F86BAB"/>
    <w:rsid w:val="00F92DC3"/>
    <w:rsid w:val="00F96E7A"/>
    <w:rsid w:val="00F97F01"/>
    <w:rsid w:val="00FA0C2D"/>
    <w:rsid w:val="00FA3A21"/>
    <w:rsid w:val="00FA46A3"/>
    <w:rsid w:val="00FA46E6"/>
    <w:rsid w:val="00FA6134"/>
    <w:rsid w:val="00FA6ABC"/>
    <w:rsid w:val="00FA73C4"/>
    <w:rsid w:val="00FB2397"/>
    <w:rsid w:val="00FB3D01"/>
    <w:rsid w:val="00FB55D0"/>
    <w:rsid w:val="00FB5B6D"/>
    <w:rsid w:val="00FB6ED5"/>
    <w:rsid w:val="00FC1568"/>
    <w:rsid w:val="00FC36C4"/>
    <w:rsid w:val="00FC36D8"/>
    <w:rsid w:val="00FD29F9"/>
    <w:rsid w:val="00FD2B39"/>
    <w:rsid w:val="00FD59C0"/>
    <w:rsid w:val="00FD60C3"/>
    <w:rsid w:val="00FD7809"/>
    <w:rsid w:val="00FE240C"/>
    <w:rsid w:val="00FE75EE"/>
    <w:rsid w:val="00FF095F"/>
    <w:rsid w:val="00FF24C8"/>
    <w:rsid w:val="00FF27EF"/>
    <w:rsid w:val="00FF33BE"/>
    <w:rsid w:val="00FF46B0"/>
    <w:rsid w:val="00FF5ACC"/>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F784E"/>
  <w15:docId w15:val="{4337D3A0-D4B1-4189-ACE0-51AFC88B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6EA9"/>
    <w:pPr>
      <w:spacing w:after="0" w:line="240" w:lineRule="auto"/>
    </w:pPr>
  </w:style>
  <w:style w:type="paragraph" w:styleId="BalloonText">
    <w:name w:val="Balloon Text"/>
    <w:basedOn w:val="Normal"/>
    <w:link w:val="BalloonTextChar"/>
    <w:uiPriority w:val="99"/>
    <w:semiHidden/>
    <w:unhideWhenUsed/>
    <w:rsid w:val="00BB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A9"/>
    <w:rPr>
      <w:rFonts w:ascii="Tahoma" w:hAnsi="Tahoma" w:cs="Tahoma"/>
      <w:sz w:val="16"/>
      <w:szCs w:val="16"/>
    </w:rPr>
  </w:style>
  <w:style w:type="paragraph" w:styleId="CommentText">
    <w:name w:val="annotation text"/>
    <w:basedOn w:val="Normal"/>
    <w:link w:val="CommentTextChar"/>
    <w:uiPriority w:val="99"/>
    <w:semiHidden/>
    <w:unhideWhenUsed/>
    <w:rsid w:val="00BB6EA9"/>
    <w:pPr>
      <w:spacing w:line="240" w:lineRule="auto"/>
    </w:pPr>
    <w:rPr>
      <w:sz w:val="20"/>
      <w:szCs w:val="20"/>
    </w:rPr>
  </w:style>
  <w:style w:type="character" w:customStyle="1" w:styleId="CommentTextChar">
    <w:name w:val="Comment Text Char"/>
    <w:basedOn w:val="DefaultParagraphFont"/>
    <w:link w:val="CommentText"/>
    <w:uiPriority w:val="99"/>
    <w:semiHidden/>
    <w:rsid w:val="00BB6EA9"/>
    <w:rPr>
      <w:sz w:val="20"/>
      <w:szCs w:val="20"/>
    </w:rPr>
  </w:style>
  <w:style w:type="character" w:styleId="CommentReference">
    <w:name w:val="annotation reference"/>
    <w:basedOn w:val="DefaultParagraphFont"/>
    <w:uiPriority w:val="99"/>
    <w:semiHidden/>
    <w:unhideWhenUsed/>
    <w:rsid w:val="00BB6EA9"/>
    <w:rPr>
      <w:sz w:val="18"/>
      <w:szCs w:val="18"/>
    </w:rPr>
  </w:style>
  <w:style w:type="paragraph" w:styleId="NormalWeb">
    <w:name w:val="Normal (Web)"/>
    <w:basedOn w:val="Normal"/>
    <w:uiPriority w:val="99"/>
    <w:unhideWhenUsed/>
    <w:rsid w:val="007B0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E98"/>
    <w:pPr>
      <w:ind w:left="720"/>
      <w:contextualSpacing/>
    </w:pPr>
  </w:style>
  <w:style w:type="paragraph" w:styleId="CommentSubject">
    <w:name w:val="annotation subject"/>
    <w:basedOn w:val="CommentText"/>
    <w:next w:val="CommentText"/>
    <w:link w:val="CommentSubjectChar"/>
    <w:uiPriority w:val="99"/>
    <w:semiHidden/>
    <w:unhideWhenUsed/>
    <w:rsid w:val="004D0F6F"/>
    <w:rPr>
      <w:b/>
      <w:bCs/>
    </w:rPr>
  </w:style>
  <w:style w:type="character" w:customStyle="1" w:styleId="CommentSubjectChar">
    <w:name w:val="Comment Subject Char"/>
    <w:basedOn w:val="CommentTextChar"/>
    <w:link w:val="CommentSubject"/>
    <w:uiPriority w:val="99"/>
    <w:semiHidden/>
    <w:rsid w:val="004D0F6F"/>
    <w:rPr>
      <w:b/>
      <w:bCs/>
      <w:sz w:val="20"/>
      <w:szCs w:val="20"/>
    </w:rPr>
  </w:style>
  <w:style w:type="character" w:customStyle="1" w:styleId="apple-converted-space">
    <w:name w:val="apple-converted-space"/>
    <w:basedOn w:val="DefaultParagraphFont"/>
    <w:rsid w:val="009F3AD6"/>
  </w:style>
  <w:style w:type="character" w:styleId="Hyperlink">
    <w:name w:val="Hyperlink"/>
    <w:basedOn w:val="DefaultParagraphFont"/>
    <w:uiPriority w:val="99"/>
    <w:unhideWhenUsed/>
    <w:rsid w:val="0082328E"/>
    <w:rPr>
      <w:color w:val="0000FF" w:themeColor="hyperlink"/>
      <w:u w:val="single"/>
    </w:rPr>
  </w:style>
  <w:style w:type="paragraph" w:styleId="Header">
    <w:name w:val="header"/>
    <w:basedOn w:val="Normal"/>
    <w:link w:val="HeaderChar"/>
    <w:uiPriority w:val="99"/>
    <w:unhideWhenUsed/>
    <w:rsid w:val="0077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7E"/>
  </w:style>
  <w:style w:type="paragraph" w:styleId="Footer">
    <w:name w:val="footer"/>
    <w:basedOn w:val="Normal"/>
    <w:link w:val="FooterChar"/>
    <w:uiPriority w:val="99"/>
    <w:unhideWhenUsed/>
    <w:rsid w:val="0077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7E"/>
  </w:style>
  <w:style w:type="character" w:styleId="FollowedHyperlink">
    <w:name w:val="FollowedHyperlink"/>
    <w:basedOn w:val="DefaultParagraphFont"/>
    <w:uiPriority w:val="99"/>
    <w:semiHidden/>
    <w:unhideWhenUsed/>
    <w:rsid w:val="003C52AB"/>
    <w:rPr>
      <w:color w:val="800080" w:themeColor="followedHyperlink"/>
      <w:u w:val="single"/>
    </w:rPr>
  </w:style>
  <w:style w:type="paragraph" w:customStyle="1" w:styleId="EndNoteBibliographyTitle">
    <w:name w:val="EndNote Bibliography Title"/>
    <w:basedOn w:val="Normal"/>
    <w:link w:val="EndNoteBibliographyTitleChar"/>
    <w:rsid w:val="00FA6A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6ABC"/>
    <w:rPr>
      <w:rFonts w:ascii="Calibri" w:hAnsi="Calibri"/>
      <w:noProof/>
    </w:rPr>
  </w:style>
  <w:style w:type="paragraph" w:customStyle="1" w:styleId="EndNoteBibliography">
    <w:name w:val="EndNote Bibliography"/>
    <w:basedOn w:val="Normal"/>
    <w:link w:val="EndNoteBibliographyChar"/>
    <w:rsid w:val="00FA6AB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A6ABC"/>
    <w:rPr>
      <w:rFonts w:ascii="Calibri" w:hAnsi="Calibri"/>
      <w:noProof/>
    </w:rPr>
  </w:style>
  <w:style w:type="character" w:customStyle="1" w:styleId="UnresolvedMention1">
    <w:name w:val="Unresolved Mention1"/>
    <w:basedOn w:val="DefaultParagraphFont"/>
    <w:uiPriority w:val="99"/>
    <w:semiHidden/>
    <w:unhideWhenUsed/>
    <w:rsid w:val="00C63940"/>
    <w:rPr>
      <w:color w:val="808080"/>
      <w:shd w:val="clear" w:color="auto" w:fill="E6E6E6"/>
    </w:rPr>
  </w:style>
  <w:style w:type="character" w:styleId="LineNumber">
    <w:name w:val="line number"/>
    <w:basedOn w:val="DefaultParagraphFont"/>
    <w:uiPriority w:val="99"/>
    <w:semiHidden/>
    <w:unhideWhenUsed/>
    <w:rsid w:val="00146777"/>
  </w:style>
  <w:style w:type="character" w:styleId="UnresolvedMention">
    <w:name w:val="Unresolved Mention"/>
    <w:basedOn w:val="DefaultParagraphFont"/>
    <w:uiPriority w:val="99"/>
    <w:semiHidden/>
    <w:unhideWhenUsed/>
    <w:rsid w:val="00C3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3040">
      <w:bodyDiv w:val="1"/>
      <w:marLeft w:val="0"/>
      <w:marRight w:val="0"/>
      <w:marTop w:val="0"/>
      <w:marBottom w:val="0"/>
      <w:divBdr>
        <w:top w:val="none" w:sz="0" w:space="0" w:color="auto"/>
        <w:left w:val="none" w:sz="0" w:space="0" w:color="auto"/>
        <w:bottom w:val="none" w:sz="0" w:space="0" w:color="auto"/>
        <w:right w:val="none" w:sz="0" w:space="0" w:color="auto"/>
      </w:divBdr>
    </w:div>
    <w:div w:id="611860808">
      <w:bodyDiv w:val="1"/>
      <w:marLeft w:val="0"/>
      <w:marRight w:val="0"/>
      <w:marTop w:val="0"/>
      <w:marBottom w:val="0"/>
      <w:divBdr>
        <w:top w:val="none" w:sz="0" w:space="0" w:color="auto"/>
        <w:left w:val="none" w:sz="0" w:space="0" w:color="auto"/>
        <w:bottom w:val="none" w:sz="0" w:space="0" w:color="auto"/>
        <w:right w:val="none" w:sz="0" w:space="0" w:color="auto"/>
      </w:divBdr>
    </w:div>
    <w:div w:id="633022062">
      <w:bodyDiv w:val="1"/>
      <w:marLeft w:val="0"/>
      <w:marRight w:val="0"/>
      <w:marTop w:val="0"/>
      <w:marBottom w:val="0"/>
      <w:divBdr>
        <w:top w:val="none" w:sz="0" w:space="0" w:color="auto"/>
        <w:left w:val="none" w:sz="0" w:space="0" w:color="auto"/>
        <w:bottom w:val="none" w:sz="0" w:space="0" w:color="auto"/>
        <w:right w:val="none" w:sz="0" w:space="0" w:color="auto"/>
      </w:divBdr>
      <w:divsChild>
        <w:div w:id="781925488">
          <w:marLeft w:val="0"/>
          <w:marRight w:val="1"/>
          <w:marTop w:val="0"/>
          <w:marBottom w:val="0"/>
          <w:divBdr>
            <w:top w:val="none" w:sz="0" w:space="0" w:color="auto"/>
            <w:left w:val="none" w:sz="0" w:space="0" w:color="auto"/>
            <w:bottom w:val="none" w:sz="0" w:space="0" w:color="auto"/>
            <w:right w:val="none" w:sz="0" w:space="0" w:color="auto"/>
          </w:divBdr>
          <w:divsChild>
            <w:div w:id="339814911">
              <w:marLeft w:val="0"/>
              <w:marRight w:val="0"/>
              <w:marTop w:val="0"/>
              <w:marBottom w:val="0"/>
              <w:divBdr>
                <w:top w:val="none" w:sz="0" w:space="0" w:color="auto"/>
                <w:left w:val="none" w:sz="0" w:space="0" w:color="auto"/>
                <w:bottom w:val="none" w:sz="0" w:space="0" w:color="auto"/>
                <w:right w:val="none" w:sz="0" w:space="0" w:color="auto"/>
              </w:divBdr>
              <w:divsChild>
                <w:div w:id="430858471">
                  <w:marLeft w:val="0"/>
                  <w:marRight w:val="1"/>
                  <w:marTop w:val="0"/>
                  <w:marBottom w:val="0"/>
                  <w:divBdr>
                    <w:top w:val="none" w:sz="0" w:space="0" w:color="auto"/>
                    <w:left w:val="none" w:sz="0" w:space="0" w:color="auto"/>
                    <w:bottom w:val="none" w:sz="0" w:space="0" w:color="auto"/>
                    <w:right w:val="none" w:sz="0" w:space="0" w:color="auto"/>
                  </w:divBdr>
                  <w:divsChild>
                    <w:div w:id="595211458">
                      <w:marLeft w:val="0"/>
                      <w:marRight w:val="0"/>
                      <w:marTop w:val="0"/>
                      <w:marBottom w:val="0"/>
                      <w:divBdr>
                        <w:top w:val="none" w:sz="0" w:space="0" w:color="auto"/>
                        <w:left w:val="none" w:sz="0" w:space="0" w:color="auto"/>
                        <w:bottom w:val="none" w:sz="0" w:space="0" w:color="auto"/>
                        <w:right w:val="none" w:sz="0" w:space="0" w:color="auto"/>
                      </w:divBdr>
                      <w:divsChild>
                        <w:div w:id="2076006033">
                          <w:marLeft w:val="0"/>
                          <w:marRight w:val="0"/>
                          <w:marTop w:val="0"/>
                          <w:marBottom w:val="0"/>
                          <w:divBdr>
                            <w:top w:val="none" w:sz="0" w:space="0" w:color="auto"/>
                            <w:left w:val="none" w:sz="0" w:space="0" w:color="auto"/>
                            <w:bottom w:val="none" w:sz="0" w:space="0" w:color="auto"/>
                            <w:right w:val="none" w:sz="0" w:space="0" w:color="auto"/>
                          </w:divBdr>
                          <w:divsChild>
                            <w:div w:id="1591111547">
                              <w:marLeft w:val="0"/>
                              <w:marRight w:val="0"/>
                              <w:marTop w:val="120"/>
                              <w:marBottom w:val="360"/>
                              <w:divBdr>
                                <w:top w:val="none" w:sz="0" w:space="0" w:color="auto"/>
                                <w:left w:val="none" w:sz="0" w:space="0" w:color="auto"/>
                                <w:bottom w:val="none" w:sz="0" w:space="0" w:color="auto"/>
                                <w:right w:val="none" w:sz="0" w:space="0" w:color="auto"/>
                              </w:divBdr>
                              <w:divsChild>
                                <w:div w:id="68386000">
                                  <w:marLeft w:val="0"/>
                                  <w:marRight w:val="0"/>
                                  <w:marTop w:val="0"/>
                                  <w:marBottom w:val="0"/>
                                  <w:divBdr>
                                    <w:top w:val="none" w:sz="0" w:space="0" w:color="auto"/>
                                    <w:left w:val="none" w:sz="0" w:space="0" w:color="auto"/>
                                    <w:bottom w:val="none" w:sz="0" w:space="0" w:color="auto"/>
                                    <w:right w:val="none" w:sz="0" w:space="0" w:color="auto"/>
                                  </w:divBdr>
                                  <w:divsChild>
                                    <w:div w:id="55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61098">
      <w:bodyDiv w:val="1"/>
      <w:marLeft w:val="0"/>
      <w:marRight w:val="0"/>
      <w:marTop w:val="0"/>
      <w:marBottom w:val="0"/>
      <w:divBdr>
        <w:top w:val="none" w:sz="0" w:space="0" w:color="auto"/>
        <w:left w:val="none" w:sz="0" w:space="0" w:color="auto"/>
        <w:bottom w:val="none" w:sz="0" w:space="0" w:color="auto"/>
        <w:right w:val="none" w:sz="0" w:space="0" w:color="auto"/>
      </w:divBdr>
      <w:divsChild>
        <w:div w:id="256254780">
          <w:marLeft w:val="0"/>
          <w:marRight w:val="0"/>
          <w:marTop w:val="0"/>
          <w:marBottom w:val="0"/>
          <w:divBdr>
            <w:top w:val="none" w:sz="0" w:space="0" w:color="auto"/>
            <w:left w:val="none" w:sz="0" w:space="0" w:color="auto"/>
            <w:bottom w:val="none" w:sz="0" w:space="0" w:color="auto"/>
            <w:right w:val="none" w:sz="0" w:space="0" w:color="auto"/>
          </w:divBdr>
        </w:div>
        <w:div w:id="1140072266">
          <w:marLeft w:val="0"/>
          <w:marRight w:val="0"/>
          <w:marTop w:val="0"/>
          <w:marBottom w:val="0"/>
          <w:divBdr>
            <w:top w:val="none" w:sz="0" w:space="0" w:color="auto"/>
            <w:left w:val="none" w:sz="0" w:space="0" w:color="auto"/>
            <w:bottom w:val="none" w:sz="0" w:space="0" w:color="auto"/>
            <w:right w:val="none" w:sz="0" w:space="0" w:color="auto"/>
          </w:divBdr>
        </w:div>
        <w:div w:id="1628394919">
          <w:marLeft w:val="0"/>
          <w:marRight w:val="0"/>
          <w:marTop w:val="0"/>
          <w:marBottom w:val="0"/>
          <w:divBdr>
            <w:top w:val="none" w:sz="0" w:space="0" w:color="auto"/>
            <w:left w:val="none" w:sz="0" w:space="0" w:color="auto"/>
            <w:bottom w:val="none" w:sz="0" w:space="0" w:color="auto"/>
            <w:right w:val="none" w:sz="0" w:space="0" w:color="auto"/>
          </w:divBdr>
        </w:div>
        <w:div w:id="1051703">
          <w:marLeft w:val="0"/>
          <w:marRight w:val="0"/>
          <w:marTop w:val="0"/>
          <w:marBottom w:val="0"/>
          <w:divBdr>
            <w:top w:val="none" w:sz="0" w:space="0" w:color="auto"/>
            <w:left w:val="none" w:sz="0" w:space="0" w:color="auto"/>
            <w:bottom w:val="none" w:sz="0" w:space="0" w:color="auto"/>
            <w:right w:val="none" w:sz="0" w:space="0" w:color="auto"/>
          </w:divBdr>
        </w:div>
      </w:divsChild>
    </w:div>
    <w:div w:id="1384713962">
      <w:bodyDiv w:val="1"/>
      <w:marLeft w:val="0"/>
      <w:marRight w:val="0"/>
      <w:marTop w:val="0"/>
      <w:marBottom w:val="0"/>
      <w:divBdr>
        <w:top w:val="none" w:sz="0" w:space="0" w:color="auto"/>
        <w:left w:val="none" w:sz="0" w:space="0" w:color="auto"/>
        <w:bottom w:val="none" w:sz="0" w:space="0" w:color="auto"/>
        <w:right w:val="none" w:sz="0" w:space="0" w:color="auto"/>
      </w:divBdr>
      <w:divsChild>
        <w:div w:id="196433323">
          <w:marLeft w:val="0"/>
          <w:marRight w:val="0"/>
          <w:marTop w:val="0"/>
          <w:marBottom w:val="0"/>
          <w:divBdr>
            <w:top w:val="none" w:sz="0" w:space="0" w:color="auto"/>
            <w:left w:val="none" w:sz="0" w:space="0" w:color="auto"/>
            <w:bottom w:val="none" w:sz="0" w:space="0" w:color="auto"/>
            <w:right w:val="none" w:sz="0" w:space="0" w:color="auto"/>
          </w:divBdr>
        </w:div>
        <w:div w:id="777069892">
          <w:marLeft w:val="0"/>
          <w:marRight w:val="0"/>
          <w:marTop w:val="0"/>
          <w:marBottom w:val="0"/>
          <w:divBdr>
            <w:top w:val="none" w:sz="0" w:space="0" w:color="auto"/>
            <w:left w:val="none" w:sz="0" w:space="0" w:color="auto"/>
            <w:bottom w:val="none" w:sz="0" w:space="0" w:color="auto"/>
            <w:right w:val="none" w:sz="0" w:space="0" w:color="auto"/>
          </w:divBdr>
        </w:div>
        <w:div w:id="887034318">
          <w:marLeft w:val="0"/>
          <w:marRight w:val="0"/>
          <w:marTop w:val="0"/>
          <w:marBottom w:val="0"/>
          <w:divBdr>
            <w:top w:val="none" w:sz="0" w:space="0" w:color="auto"/>
            <w:left w:val="none" w:sz="0" w:space="0" w:color="auto"/>
            <w:bottom w:val="none" w:sz="0" w:space="0" w:color="auto"/>
            <w:right w:val="none" w:sz="0" w:space="0" w:color="auto"/>
          </w:divBdr>
        </w:div>
        <w:div w:id="175190160">
          <w:marLeft w:val="0"/>
          <w:marRight w:val="0"/>
          <w:marTop w:val="0"/>
          <w:marBottom w:val="0"/>
          <w:divBdr>
            <w:top w:val="none" w:sz="0" w:space="0" w:color="auto"/>
            <w:left w:val="none" w:sz="0" w:space="0" w:color="auto"/>
            <w:bottom w:val="none" w:sz="0" w:space="0" w:color="auto"/>
            <w:right w:val="none" w:sz="0" w:space="0" w:color="auto"/>
          </w:divBdr>
        </w:div>
        <w:div w:id="677460609">
          <w:marLeft w:val="0"/>
          <w:marRight w:val="0"/>
          <w:marTop w:val="0"/>
          <w:marBottom w:val="0"/>
          <w:divBdr>
            <w:top w:val="none" w:sz="0" w:space="0" w:color="auto"/>
            <w:left w:val="none" w:sz="0" w:space="0" w:color="auto"/>
            <w:bottom w:val="none" w:sz="0" w:space="0" w:color="auto"/>
            <w:right w:val="none" w:sz="0" w:space="0" w:color="auto"/>
          </w:divBdr>
        </w:div>
        <w:div w:id="193732544">
          <w:marLeft w:val="0"/>
          <w:marRight w:val="0"/>
          <w:marTop w:val="0"/>
          <w:marBottom w:val="0"/>
          <w:divBdr>
            <w:top w:val="none" w:sz="0" w:space="0" w:color="auto"/>
            <w:left w:val="none" w:sz="0" w:space="0" w:color="auto"/>
            <w:bottom w:val="none" w:sz="0" w:space="0" w:color="auto"/>
            <w:right w:val="none" w:sz="0" w:space="0" w:color="auto"/>
          </w:divBdr>
        </w:div>
        <w:div w:id="243956060">
          <w:marLeft w:val="0"/>
          <w:marRight w:val="0"/>
          <w:marTop w:val="0"/>
          <w:marBottom w:val="0"/>
          <w:divBdr>
            <w:top w:val="none" w:sz="0" w:space="0" w:color="auto"/>
            <w:left w:val="none" w:sz="0" w:space="0" w:color="auto"/>
            <w:bottom w:val="none" w:sz="0" w:space="0" w:color="auto"/>
            <w:right w:val="none" w:sz="0" w:space="0" w:color="auto"/>
          </w:divBdr>
        </w:div>
        <w:div w:id="1760177791">
          <w:marLeft w:val="0"/>
          <w:marRight w:val="0"/>
          <w:marTop w:val="0"/>
          <w:marBottom w:val="0"/>
          <w:divBdr>
            <w:top w:val="none" w:sz="0" w:space="0" w:color="auto"/>
            <w:left w:val="none" w:sz="0" w:space="0" w:color="auto"/>
            <w:bottom w:val="none" w:sz="0" w:space="0" w:color="auto"/>
            <w:right w:val="none" w:sz="0" w:space="0" w:color="auto"/>
          </w:divBdr>
        </w:div>
        <w:div w:id="1657030096">
          <w:marLeft w:val="0"/>
          <w:marRight w:val="0"/>
          <w:marTop w:val="0"/>
          <w:marBottom w:val="0"/>
          <w:divBdr>
            <w:top w:val="none" w:sz="0" w:space="0" w:color="auto"/>
            <w:left w:val="none" w:sz="0" w:space="0" w:color="auto"/>
            <w:bottom w:val="none" w:sz="0" w:space="0" w:color="auto"/>
            <w:right w:val="none" w:sz="0" w:space="0" w:color="auto"/>
          </w:divBdr>
        </w:div>
      </w:divsChild>
    </w:div>
    <w:div w:id="1592200501">
      <w:bodyDiv w:val="1"/>
      <w:marLeft w:val="0"/>
      <w:marRight w:val="0"/>
      <w:marTop w:val="0"/>
      <w:marBottom w:val="0"/>
      <w:divBdr>
        <w:top w:val="none" w:sz="0" w:space="0" w:color="auto"/>
        <w:left w:val="none" w:sz="0" w:space="0" w:color="auto"/>
        <w:bottom w:val="none" w:sz="0" w:space="0" w:color="auto"/>
        <w:right w:val="none" w:sz="0" w:space="0" w:color="auto"/>
      </w:divBdr>
    </w:div>
    <w:div w:id="16101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13C4-215A-4813-96D7-B5D6AA5D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 Adam</dc:creator>
  <cp:lastModifiedBy>Bayley, Adam</cp:lastModifiedBy>
  <cp:revision>5</cp:revision>
  <cp:lastPrinted>2017-07-04T08:24:00Z</cp:lastPrinted>
  <dcterms:created xsi:type="dcterms:W3CDTF">2018-07-31T09:50:00Z</dcterms:created>
  <dcterms:modified xsi:type="dcterms:W3CDTF">2018-08-02T14:30:00Z</dcterms:modified>
</cp:coreProperties>
</file>