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0588" w14:textId="77777777" w:rsidR="00DA1112" w:rsidRDefault="00F878CB" w:rsidP="00F30BDA">
      <w:bookmarkStart w:id="0" w:name="_GoBack"/>
      <w:bookmarkEnd w:id="0"/>
      <w:r>
        <w:t>To the</w:t>
      </w:r>
      <w:r w:rsidR="00423533">
        <w:t xml:space="preserve"> E</w:t>
      </w:r>
      <w:r>
        <w:t>ditor</w:t>
      </w:r>
    </w:p>
    <w:p w14:paraId="05561E15" w14:textId="77777777" w:rsidR="00F878CB" w:rsidRDefault="00F878CB"/>
    <w:p w14:paraId="53CCBFDA" w14:textId="5BA150A3" w:rsidR="00F878CB" w:rsidRDefault="008B7BBF" w:rsidP="00995E44">
      <w:pPr>
        <w:jc w:val="both"/>
      </w:pPr>
      <w:r>
        <w:t>We agree with Danese et al</w:t>
      </w:r>
      <w:r w:rsidR="00F878CB">
        <w:t xml:space="preserve"> that prospective studies to evaluate the disease modifying </w:t>
      </w:r>
      <w:r w:rsidR="00424480">
        <w:t>action</w:t>
      </w:r>
      <w:r w:rsidR="00F878CB">
        <w:t xml:space="preserve"> of anti-TNF drug</w:t>
      </w:r>
      <w:r w:rsidR="00424480">
        <w:t>s</w:t>
      </w:r>
      <w:r w:rsidR="00F878CB">
        <w:t xml:space="preserve"> are overdue.</w:t>
      </w:r>
      <w:r w:rsidR="00423533">
        <w:rPr>
          <w:vertAlign w:val="superscript"/>
        </w:rPr>
        <w:t>1</w:t>
      </w:r>
      <w:r w:rsidR="00F878CB">
        <w:t xml:space="preserve"> As a counterpoint to this informative review</w:t>
      </w:r>
      <w:r w:rsidR="004A683F">
        <w:t>,</w:t>
      </w:r>
      <w:r w:rsidR="00F878CB">
        <w:t xml:space="preserve"> we would like to highlight some </w:t>
      </w:r>
      <w:r w:rsidR="00F13626">
        <w:t xml:space="preserve">additional </w:t>
      </w:r>
      <w:r w:rsidR="00F878CB">
        <w:t>evidence for the role of thiopurines as disease modifying agents in Crohn’s disease. A cohort study by Magro et al support</w:t>
      </w:r>
      <w:r w:rsidR="00424480">
        <w:t>s</w:t>
      </w:r>
      <w:r w:rsidR="00F878CB">
        <w:t xml:space="preserve"> a role for </w:t>
      </w:r>
      <w:r w:rsidR="00424480">
        <w:t xml:space="preserve">thiopurines in </w:t>
      </w:r>
      <w:r w:rsidR="00F878CB">
        <w:t xml:space="preserve">delaying </w:t>
      </w:r>
      <w:r w:rsidR="00424480">
        <w:t xml:space="preserve">phenotype </w:t>
      </w:r>
      <w:r w:rsidR="00F878CB">
        <w:t>progression from an inflammatory (B1) to a stricturing/penetrating (B2/B3) disease</w:t>
      </w:r>
      <w:r w:rsidR="0020698B">
        <w:t xml:space="preserve"> (Hazard Ratio 0.15, 95% CI 0.11-0.19)</w:t>
      </w:r>
      <w:r w:rsidR="00F878CB">
        <w:t>.</w:t>
      </w:r>
      <w:r w:rsidR="00423533">
        <w:rPr>
          <w:vertAlign w:val="superscript"/>
        </w:rPr>
        <w:t>2</w:t>
      </w:r>
      <w:r w:rsidR="00F878CB">
        <w:t xml:space="preserve"> A meta-analysis </w:t>
      </w:r>
      <w:r w:rsidR="00EB07E6">
        <w:t xml:space="preserve">of </w:t>
      </w:r>
      <w:r w:rsidR="00340E64">
        <w:t>10 population based, multicentre, and referral centre studies comprising 12,586</w:t>
      </w:r>
      <w:r w:rsidR="00F878CB">
        <w:t xml:space="preserve"> patients </w:t>
      </w:r>
      <w:r w:rsidR="00EB07E6">
        <w:t xml:space="preserve">found </w:t>
      </w:r>
      <w:r w:rsidR="00423533">
        <w:t xml:space="preserve">thiopurine use </w:t>
      </w:r>
      <w:r w:rsidR="00340E64">
        <w:t xml:space="preserve">was </w:t>
      </w:r>
      <w:r w:rsidR="00423533">
        <w:t xml:space="preserve">associated with a 40% reduction in risk of </w:t>
      </w:r>
      <w:r w:rsidR="00340E64">
        <w:t xml:space="preserve">first </w:t>
      </w:r>
      <w:r w:rsidR="00423533">
        <w:t>intestinal surgery</w:t>
      </w:r>
      <w:r w:rsidR="00340E64">
        <w:t xml:space="preserve"> (Hazard Ratio 0.59, </w:t>
      </w:r>
      <w:r w:rsidR="00340E64" w:rsidRPr="00340E64">
        <w:t>95 % CI 0.48 – 0.73)</w:t>
      </w:r>
      <w:r w:rsidR="00423533">
        <w:t>.</w:t>
      </w:r>
      <w:r w:rsidR="00423533">
        <w:rPr>
          <w:vertAlign w:val="superscript"/>
        </w:rPr>
        <w:t>3</w:t>
      </w:r>
      <w:r w:rsidR="00423533">
        <w:t xml:space="preserve"> Furthermore several studies also support a role for early thiopurine use particularly in young patients who are at greater risk of disease progression.</w:t>
      </w:r>
      <w:r w:rsidR="00423533">
        <w:rPr>
          <w:vertAlign w:val="superscript"/>
        </w:rPr>
        <w:t>4,5</w:t>
      </w:r>
      <w:r w:rsidR="00F13626">
        <w:rPr>
          <w:vertAlign w:val="superscript"/>
        </w:rPr>
        <w:t>,6</w:t>
      </w:r>
      <w:r w:rsidR="00423533">
        <w:t xml:space="preserve"> RAPID was not powered to evaluate surgical endpoints but despite this found early thiopurine use reduced the need for perianal surgery.</w:t>
      </w:r>
      <w:r w:rsidR="00F13626">
        <w:rPr>
          <w:vertAlign w:val="superscript"/>
        </w:rPr>
        <w:t>7</w:t>
      </w:r>
      <w:r w:rsidR="00423533">
        <w:t xml:space="preserve"> Whilst there was also a numerical reduction in the need for intestinal surgery </w:t>
      </w:r>
      <w:r w:rsidR="00F13626">
        <w:t xml:space="preserve">with early treatment </w:t>
      </w:r>
      <w:r w:rsidR="00423533">
        <w:t>this did not reach significance</w:t>
      </w:r>
      <w:r w:rsidR="00677075">
        <w:t>,</w:t>
      </w:r>
      <w:r w:rsidR="00423533">
        <w:t xml:space="preserve"> </w:t>
      </w:r>
      <w:r w:rsidR="00F13626">
        <w:t>likely due to</w:t>
      </w:r>
      <w:r w:rsidR="00423533">
        <w:t xml:space="preserve"> small number</w:t>
      </w:r>
      <w:r w:rsidR="00F13626">
        <w:t>s</w:t>
      </w:r>
      <w:r w:rsidR="00423533">
        <w:t xml:space="preserve"> </w:t>
      </w:r>
      <w:r w:rsidR="00104C24">
        <w:t>and the relatively short duration of the study</w:t>
      </w:r>
      <w:r w:rsidR="004A683F">
        <w:t>,</w:t>
      </w:r>
      <w:r w:rsidR="00104C24">
        <w:t xml:space="preserve"> underscoring the need for studies </w:t>
      </w:r>
      <w:r w:rsidR="00601797">
        <w:t xml:space="preserve">conducted </w:t>
      </w:r>
      <w:r w:rsidR="00104C24">
        <w:t xml:space="preserve">over several years. The evidence that anti-TNFs have a disease modifying action based on </w:t>
      </w:r>
      <w:r w:rsidR="00340E64">
        <w:t xml:space="preserve">requirement for surgery </w:t>
      </w:r>
      <w:r w:rsidR="00104C24">
        <w:t xml:space="preserve">or indices of bowel damage is actually quite limited. </w:t>
      </w:r>
      <w:r w:rsidR="00601797">
        <w:t>As yet</w:t>
      </w:r>
      <w:r w:rsidR="00424480">
        <w:t>,</w:t>
      </w:r>
      <w:r w:rsidR="00601797">
        <w:t xml:space="preserve"> </w:t>
      </w:r>
      <w:r w:rsidR="00104C24">
        <w:t xml:space="preserve">we </w:t>
      </w:r>
      <w:r w:rsidR="00677075">
        <w:t xml:space="preserve">do not </w:t>
      </w:r>
      <w:r w:rsidR="00104C24">
        <w:t xml:space="preserve">have a trial to confirm mucosal healing reduces the long term risk of surgery and bowel damage. The </w:t>
      </w:r>
      <w:r w:rsidR="00424480">
        <w:t xml:space="preserve">quoted </w:t>
      </w:r>
      <w:r w:rsidR="00104C24">
        <w:t>meta-analysis by Mao et</w:t>
      </w:r>
      <w:r w:rsidR="00601797">
        <w:t xml:space="preserve"> al</w:t>
      </w:r>
      <w:r>
        <w:t>.</w:t>
      </w:r>
      <w:r w:rsidR="00D23534">
        <w:t xml:space="preserve"> comprise</w:t>
      </w:r>
      <w:r>
        <w:t>d data on anti-TNFs from</w:t>
      </w:r>
      <w:r w:rsidR="00D23534">
        <w:t xml:space="preserve"> only the </w:t>
      </w:r>
      <w:r w:rsidR="00104C24">
        <w:t>ACCENT</w:t>
      </w:r>
      <w:r w:rsidR="00601797">
        <w:t xml:space="preserve"> and CHARM studies</w:t>
      </w:r>
      <w:r w:rsidR="00A038B3">
        <w:t>, which demonstrates the paucity of research in this area</w:t>
      </w:r>
      <w:r w:rsidR="00104C24">
        <w:t>.</w:t>
      </w:r>
      <w:r w:rsidR="00F13626">
        <w:rPr>
          <w:vertAlign w:val="superscript"/>
        </w:rPr>
        <w:t>8</w:t>
      </w:r>
      <w:r w:rsidR="00601797">
        <w:t xml:space="preserve"> </w:t>
      </w:r>
      <w:r w:rsidR="00D23534">
        <w:t xml:space="preserve"> </w:t>
      </w:r>
      <w:r w:rsidR="00A038B3">
        <w:t xml:space="preserve">A </w:t>
      </w:r>
      <w:r w:rsidR="00340E64">
        <w:t>recent</w:t>
      </w:r>
      <w:r w:rsidR="00B91827">
        <w:t xml:space="preserve"> paediatric</w:t>
      </w:r>
      <w:r w:rsidR="00340E64">
        <w:t xml:space="preserve"> mu</w:t>
      </w:r>
      <w:r w:rsidR="00F13626">
        <w:t>l</w:t>
      </w:r>
      <w:r w:rsidR="00340E64">
        <w:t>ticentre</w:t>
      </w:r>
      <w:r w:rsidR="00B91827">
        <w:t xml:space="preserve"> study </w:t>
      </w:r>
      <w:r w:rsidR="00A038B3">
        <w:t xml:space="preserve">showed a </w:t>
      </w:r>
      <w:r w:rsidR="00601797">
        <w:t xml:space="preserve">benefit of early anti-TNF use in reducing </w:t>
      </w:r>
      <w:r w:rsidR="00F13626">
        <w:t>progression</w:t>
      </w:r>
      <w:r w:rsidR="00A038B3">
        <w:t xml:space="preserve"> from inflammatory</w:t>
      </w:r>
      <w:r w:rsidR="00B91827">
        <w:t xml:space="preserve"> </w:t>
      </w:r>
      <w:r w:rsidR="00A038B3">
        <w:t xml:space="preserve">(B1) </w:t>
      </w:r>
      <w:r w:rsidR="00B91827">
        <w:t xml:space="preserve">to </w:t>
      </w:r>
      <w:r w:rsidR="00A038B3">
        <w:t>penetrating</w:t>
      </w:r>
      <w:r w:rsidR="009958C9">
        <w:t xml:space="preserve"> (B3)</w:t>
      </w:r>
      <w:r w:rsidR="00A038B3">
        <w:t xml:space="preserve"> </w:t>
      </w:r>
      <w:r w:rsidR="00340E64">
        <w:t>phenotype</w:t>
      </w:r>
      <w:r w:rsidR="00A038B3">
        <w:t xml:space="preserve"> but disappointingly failed to demonstrate any reduction in progression to </w:t>
      </w:r>
      <w:r w:rsidR="009958C9">
        <w:t>stri</w:t>
      </w:r>
      <w:r w:rsidR="00A038B3">
        <w:t>cturing disease (B2)</w:t>
      </w:r>
      <w:r w:rsidR="00601797">
        <w:t>.</w:t>
      </w:r>
      <w:r w:rsidR="00F13626">
        <w:rPr>
          <w:vertAlign w:val="superscript"/>
        </w:rPr>
        <w:t>9</w:t>
      </w:r>
      <w:r w:rsidR="00601797">
        <w:t xml:space="preserve"> </w:t>
      </w:r>
      <w:r w:rsidR="00D23534">
        <w:t>T</w:t>
      </w:r>
      <w:r w:rsidR="00601797">
        <w:t xml:space="preserve">here has been a concern that </w:t>
      </w:r>
      <w:r w:rsidR="00424480">
        <w:t>sustained thiopurine</w:t>
      </w:r>
      <w:r w:rsidR="00B91827">
        <w:t xml:space="preserve"> monotherapy</w:t>
      </w:r>
      <w:r w:rsidR="00424480">
        <w:t xml:space="preserve"> may</w:t>
      </w:r>
      <w:r w:rsidR="00601797">
        <w:t xml:space="preserve"> have an adverse </w:t>
      </w:r>
      <w:r w:rsidR="00D23534">
        <w:t xml:space="preserve">safety </w:t>
      </w:r>
      <w:r w:rsidR="003F784B">
        <w:t>profile compared to anti-TNFs</w:t>
      </w:r>
      <w:r w:rsidR="00601797">
        <w:t xml:space="preserve"> w</w:t>
      </w:r>
      <w:r w:rsidR="003F784B">
        <w:t xml:space="preserve">ith respect to risk of lymphoma, however recent evidence </w:t>
      </w:r>
      <w:r w:rsidR="00601797">
        <w:t>suggest</w:t>
      </w:r>
      <w:r w:rsidR="00EB07E6">
        <w:t>s</w:t>
      </w:r>
      <w:r w:rsidR="00601797">
        <w:t xml:space="preserve"> the risks are in fact comparable.</w:t>
      </w:r>
      <w:r w:rsidR="00F13626">
        <w:rPr>
          <w:vertAlign w:val="superscript"/>
        </w:rPr>
        <w:t>10</w:t>
      </w:r>
      <w:r w:rsidR="00601797">
        <w:t xml:space="preserve"> Th</w:t>
      </w:r>
      <w:r w:rsidR="00424480">
        <w:t xml:space="preserve">iopurines should not therefore be </w:t>
      </w:r>
      <w:r w:rsidR="00F13626">
        <w:t xml:space="preserve">ruled out </w:t>
      </w:r>
      <w:r w:rsidR="00601797">
        <w:t xml:space="preserve">as disease modifying agents and </w:t>
      </w:r>
      <w:r w:rsidR="00424480">
        <w:t>should</w:t>
      </w:r>
      <w:r w:rsidR="00B91827">
        <w:t xml:space="preserve"> be integral to </w:t>
      </w:r>
      <w:r w:rsidR="00601797">
        <w:t>the design o</w:t>
      </w:r>
      <w:r w:rsidR="00424480">
        <w:t>f future prospective studies</w:t>
      </w:r>
      <w:r w:rsidR="00601797">
        <w:t xml:space="preserve"> of disease modification in Crohn’s disease.</w:t>
      </w:r>
    </w:p>
    <w:p w14:paraId="70E8FF2F" w14:textId="77777777" w:rsidR="00690E6A" w:rsidRDefault="00690E6A"/>
    <w:p w14:paraId="3592AAFB" w14:textId="77777777" w:rsidR="00340E64" w:rsidRDefault="00F13626">
      <w:r>
        <w:t>1 Danese S, Fiorino G, Peyrin-Biroulet L</w:t>
      </w:r>
      <w:r w:rsidR="00A06566">
        <w:t>.</w:t>
      </w:r>
      <w:r>
        <w:t xml:space="preserve"> Early interventions in Crohn’s disease:</w:t>
      </w:r>
      <w:r w:rsidR="00A06566">
        <w:t xml:space="preserve"> </w:t>
      </w:r>
      <w:r>
        <w:t>toward disease modification</w:t>
      </w:r>
      <w:r w:rsidR="00A06566">
        <w:t xml:space="preserve"> </w:t>
      </w:r>
      <w:r w:rsidR="003744CE" w:rsidRPr="003744CE">
        <w:rPr>
          <w:i/>
        </w:rPr>
        <w:t>Gut</w:t>
      </w:r>
      <w:r w:rsidR="003744CE">
        <w:t xml:space="preserve"> </w:t>
      </w:r>
      <w:r w:rsidR="00A06566">
        <w:t>2017; 66:2179-87</w:t>
      </w:r>
    </w:p>
    <w:p w14:paraId="56B6313B" w14:textId="77777777" w:rsidR="00F13626" w:rsidRDefault="00F13626" w:rsidP="00F13626">
      <w:r>
        <w:t>2.</w:t>
      </w:r>
      <w:r w:rsidRPr="00F13626">
        <w:t xml:space="preserve"> Magro </w:t>
      </w:r>
      <w:r>
        <w:t>F</w:t>
      </w:r>
      <w:r w:rsidR="00A06566">
        <w:t xml:space="preserve">, </w:t>
      </w:r>
      <w:r w:rsidRPr="00F13626">
        <w:t xml:space="preserve">Rodrigues-Pinto </w:t>
      </w:r>
      <w:r w:rsidR="00A06566">
        <w:t>E</w:t>
      </w:r>
      <w:r w:rsidRPr="00F13626">
        <w:t xml:space="preserve">, </w:t>
      </w:r>
      <w:r w:rsidR="00A06566">
        <w:t xml:space="preserve">, </w:t>
      </w:r>
      <w:r>
        <w:t xml:space="preserve">Coelho </w:t>
      </w:r>
      <w:r w:rsidR="00A06566">
        <w:t>R</w:t>
      </w:r>
      <w:r>
        <w:t xml:space="preserve"> et al</w:t>
      </w:r>
      <w:r w:rsidR="00A06566">
        <w:t>.</w:t>
      </w:r>
      <w:r>
        <w:t xml:space="preserve"> Is it Possible to Change Phenotype Progression in</w:t>
      </w:r>
      <w:r w:rsidR="00A06566">
        <w:t xml:space="preserve"> Crohn’</w:t>
      </w:r>
      <w:r>
        <w:t xml:space="preserve">s Disease in the Era of Immunomodulators? Predictive Factors of Phenotype Progression </w:t>
      </w:r>
      <w:r w:rsidRPr="003744CE">
        <w:rPr>
          <w:i/>
        </w:rPr>
        <w:t>Am J Gastro</w:t>
      </w:r>
      <w:r w:rsidR="003744CE" w:rsidRPr="003744CE">
        <w:rPr>
          <w:i/>
        </w:rPr>
        <w:t>enterol</w:t>
      </w:r>
      <w:r w:rsidRPr="003744CE">
        <w:t xml:space="preserve"> </w:t>
      </w:r>
      <w:r>
        <w:t>2014; 109: 1026-36</w:t>
      </w:r>
    </w:p>
    <w:p w14:paraId="268B7A4E" w14:textId="77777777" w:rsidR="00F13626" w:rsidRDefault="00A06566" w:rsidP="00A06566">
      <w:r>
        <w:t>3. Chatu S, Subramanian V, Saxena S et al. The role of thiopurines inreducing the need for surgical resection</w:t>
      </w:r>
      <w:r w:rsidR="00995E44">
        <w:t xml:space="preserve"> </w:t>
      </w:r>
      <w:r>
        <w:t xml:space="preserve">in Crohn’s disease: a systematic review and meta-analysis. </w:t>
      </w:r>
      <w:r w:rsidRPr="003744CE">
        <w:rPr>
          <w:i/>
        </w:rPr>
        <w:t>Am J Gastroenterol</w:t>
      </w:r>
      <w:r>
        <w:t xml:space="preserve"> 2014; 109: 23–34.</w:t>
      </w:r>
    </w:p>
    <w:p w14:paraId="4FDFBBF5" w14:textId="77777777" w:rsidR="00F13626" w:rsidRDefault="00A06566" w:rsidP="00A06566">
      <w:r>
        <w:t>4 Ramadas A, Gunesh S, Thomas G et</w:t>
      </w:r>
      <w:r w:rsidR="003F784B">
        <w:t xml:space="preserve"> </w:t>
      </w:r>
      <w:r>
        <w:t xml:space="preserve">al . Natural history of Crohn’s disease in a population-based cohort from Cardiff (1986-2003): a study of changes in medical treatment and surgicalresection rates. </w:t>
      </w:r>
      <w:r w:rsidRPr="003744CE">
        <w:rPr>
          <w:i/>
        </w:rPr>
        <w:t xml:space="preserve">Gut </w:t>
      </w:r>
      <w:r>
        <w:t>2010; 59: 1200–6.</w:t>
      </w:r>
    </w:p>
    <w:p w14:paraId="553A73A1" w14:textId="77777777" w:rsidR="00F13626" w:rsidRDefault="00690E6A" w:rsidP="00690E6A">
      <w:r>
        <w:lastRenderedPageBreak/>
        <w:t xml:space="preserve">5. Lakatos PL , Golovics PA , David G et al. Has there been a change in the natural history of Crohn’s disease? Surgical rates and medical management in a population-based inception cohort from western Hungary between 1977-2009 . </w:t>
      </w:r>
      <w:r w:rsidRPr="003744CE">
        <w:rPr>
          <w:i/>
        </w:rPr>
        <w:t>Am J Gastroenterol</w:t>
      </w:r>
      <w:r>
        <w:t xml:space="preserve"> 2012 ; 107 : 579 – 88</w:t>
      </w:r>
    </w:p>
    <w:p w14:paraId="3E72C839" w14:textId="77777777" w:rsidR="00F13626" w:rsidRDefault="00F13626" w:rsidP="00A06566">
      <w:r>
        <w:t>6. Chhaya</w:t>
      </w:r>
      <w:r w:rsidR="00A06566">
        <w:t xml:space="preserve"> V, Pollok R</w:t>
      </w:r>
      <w:r w:rsidR="003F784B">
        <w:t>C</w:t>
      </w:r>
      <w:r w:rsidR="00A06566">
        <w:t>, Cecil E et al. Impact of early thiopurines on surgery in 2770 children andyoung people diagnosed with inflammatory bowel disease: a</w:t>
      </w:r>
      <w:r w:rsidR="003744CE">
        <w:t xml:space="preserve"> </w:t>
      </w:r>
      <w:r w:rsidR="00A06566">
        <w:t>national population-based study</w:t>
      </w:r>
      <w:r w:rsidR="00690E6A">
        <w:t>.</w:t>
      </w:r>
      <w:r w:rsidR="00690E6A" w:rsidRPr="003744CE">
        <w:rPr>
          <w:i/>
        </w:rPr>
        <w:t xml:space="preserve"> Alim</w:t>
      </w:r>
      <w:r w:rsidR="003744CE" w:rsidRPr="003744CE">
        <w:rPr>
          <w:i/>
        </w:rPr>
        <w:t>ent</w:t>
      </w:r>
      <w:r w:rsidR="00690E6A" w:rsidRPr="003744CE">
        <w:rPr>
          <w:i/>
        </w:rPr>
        <w:t xml:space="preserve"> Pharm Therap</w:t>
      </w:r>
      <w:r w:rsidR="00690E6A">
        <w:t xml:space="preserve"> 2015;</w:t>
      </w:r>
      <w:r w:rsidR="00690E6A" w:rsidRPr="00690E6A">
        <w:t xml:space="preserve"> 42(8):990-9</w:t>
      </w:r>
    </w:p>
    <w:p w14:paraId="5477F94A" w14:textId="77777777" w:rsidR="00F13626" w:rsidRDefault="00A06566" w:rsidP="00A06566">
      <w:r>
        <w:t>7. Cosnes J , Bourrier A , Laharie D et al. Early administration of azathioprine</w:t>
      </w:r>
      <w:r w:rsidR="00690E6A">
        <w:t xml:space="preserve"> </w:t>
      </w:r>
      <w:r>
        <w:t>vs. conventional management of Crohn’s disease: a randomized controlled</w:t>
      </w:r>
      <w:r w:rsidR="00690E6A">
        <w:t xml:space="preserve"> </w:t>
      </w:r>
      <w:r>
        <w:t xml:space="preserve">trial . </w:t>
      </w:r>
      <w:r w:rsidRPr="003744CE">
        <w:rPr>
          <w:i/>
        </w:rPr>
        <w:t>Gastroentero</w:t>
      </w:r>
      <w:r w:rsidR="00690E6A" w:rsidRPr="003744CE">
        <w:rPr>
          <w:i/>
        </w:rPr>
        <w:t>logy</w:t>
      </w:r>
      <w:r w:rsidR="00690E6A">
        <w:t xml:space="preserve"> 2013 ; 145 : 758 – 765.</w:t>
      </w:r>
    </w:p>
    <w:p w14:paraId="19A369C5" w14:textId="77777777" w:rsidR="00F13626" w:rsidRDefault="00690E6A" w:rsidP="00690E6A">
      <w:r>
        <w:t>8 Mao EJ, Hazlewood GS, Kaplan GG et al.</w:t>
      </w:r>
      <w:r w:rsidRPr="00690E6A">
        <w:t xml:space="preserve"> Systematic review with meta-analysis: comparative efficacy of immunosuppressants and biologics for reducing hospitalisation and surgery in Crohn's disease and ulcerative colitis.</w:t>
      </w:r>
      <w:r>
        <w:t xml:space="preserve"> </w:t>
      </w:r>
      <w:r w:rsidRPr="003744CE">
        <w:rPr>
          <w:i/>
        </w:rPr>
        <w:t>Aliment Pharmacol Ther</w:t>
      </w:r>
      <w:r>
        <w:t>. 2017 Jan;45(1):3-13.</w:t>
      </w:r>
    </w:p>
    <w:p w14:paraId="2D1D74E6" w14:textId="77777777" w:rsidR="00F13626" w:rsidRDefault="00690E6A" w:rsidP="00690E6A">
      <w:r>
        <w:t>9. Kugathasan S, Denson LA, Walters TD</w:t>
      </w:r>
      <w:r w:rsidR="003744CE">
        <w:t xml:space="preserve"> et al.</w:t>
      </w:r>
      <w:r>
        <w:t xml:space="preserve"> </w:t>
      </w:r>
      <w:r w:rsidR="003744CE" w:rsidRPr="003744CE">
        <w:t>Prediction of complicated disease course for children newly diagnosed with Crohn's disease: a multicentre inception cohort study.</w:t>
      </w:r>
      <w:r w:rsidR="003744CE">
        <w:t xml:space="preserve"> Lancet. 2017 </w:t>
      </w:r>
      <w:r>
        <w:t>29;389(10080):1710-1718.</w:t>
      </w:r>
    </w:p>
    <w:p w14:paraId="5E1A5639" w14:textId="77777777" w:rsidR="003744CE" w:rsidRDefault="00F13626" w:rsidP="003744CE">
      <w:r>
        <w:t>10</w:t>
      </w:r>
      <w:r w:rsidR="003744CE">
        <w:t xml:space="preserve">. </w:t>
      </w:r>
      <w:r w:rsidR="003744CE" w:rsidRPr="003744CE">
        <w:t>Lemaitre M, Kirchgesner J, Rudnichi A et al.</w:t>
      </w:r>
      <w:r w:rsidR="003744CE">
        <w:t xml:space="preserve"> Association Between Use of Thiopurines or Tumor Necrosis Factor Antagonists Alone or in Combination and Risk of Lymphoma in Patients With Inflammatory Bowel Disease.</w:t>
      </w:r>
      <w:r w:rsidR="003744CE" w:rsidRPr="003744CE">
        <w:t xml:space="preserve"> </w:t>
      </w:r>
      <w:r w:rsidR="003F784B">
        <w:t>JAMA. 2017</w:t>
      </w:r>
      <w:r w:rsidR="003744CE" w:rsidRPr="003744CE">
        <w:t>;318(17):1679-1686</w:t>
      </w:r>
    </w:p>
    <w:p w14:paraId="336AAB2A" w14:textId="77777777" w:rsidR="003744CE" w:rsidRDefault="003744CE" w:rsidP="003744CE"/>
    <w:p w14:paraId="1E3537A9" w14:textId="77777777" w:rsidR="00690E6A" w:rsidRDefault="00690E6A"/>
    <w:p w14:paraId="7AA51A38" w14:textId="77777777" w:rsidR="00340E64" w:rsidRDefault="00F13626">
      <w:r>
        <w:t>Jo</w:t>
      </w:r>
      <w:r w:rsidR="00995E44">
        <w:t>nathan</w:t>
      </w:r>
      <w:r>
        <w:t xml:space="preserve"> Blackwell</w:t>
      </w:r>
    </w:p>
    <w:p w14:paraId="2AEBCFA7" w14:textId="77777777" w:rsidR="00F13626" w:rsidRDefault="00F13626">
      <w:r>
        <w:t>Sonia Saxena</w:t>
      </w:r>
    </w:p>
    <w:p w14:paraId="338A1681" w14:textId="77777777" w:rsidR="00F13626" w:rsidRDefault="00F13626">
      <w:r>
        <w:t>Richard Pollok</w:t>
      </w:r>
    </w:p>
    <w:p w14:paraId="538E2EB9" w14:textId="77777777" w:rsidR="00F878CB" w:rsidRDefault="00F878CB"/>
    <w:sectPr w:rsidR="00F8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CB"/>
    <w:rsid w:val="000623D2"/>
    <w:rsid w:val="00104C24"/>
    <w:rsid w:val="001C7C59"/>
    <w:rsid w:val="0020698B"/>
    <w:rsid w:val="0033069A"/>
    <w:rsid w:val="00340E64"/>
    <w:rsid w:val="0035707A"/>
    <w:rsid w:val="003744CE"/>
    <w:rsid w:val="003F784B"/>
    <w:rsid w:val="00423533"/>
    <w:rsid w:val="00424480"/>
    <w:rsid w:val="004A683F"/>
    <w:rsid w:val="005B3127"/>
    <w:rsid w:val="00601797"/>
    <w:rsid w:val="00677075"/>
    <w:rsid w:val="00690E6A"/>
    <w:rsid w:val="006F330A"/>
    <w:rsid w:val="007E565C"/>
    <w:rsid w:val="008B7BBF"/>
    <w:rsid w:val="009958C9"/>
    <w:rsid w:val="00995E44"/>
    <w:rsid w:val="00A038B3"/>
    <w:rsid w:val="00A06566"/>
    <w:rsid w:val="00A342D3"/>
    <w:rsid w:val="00B91827"/>
    <w:rsid w:val="00D23534"/>
    <w:rsid w:val="00DC7043"/>
    <w:rsid w:val="00EB07E6"/>
    <w:rsid w:val="00EF4475"/>
    <w:rsid w:val="00F13626"/>
    <w:rsid w:val="00F227FA"/>
    <w:rsid w:val="00F30BDA"/>
    <w:rsid w:val="00F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FE3E"/>
  <w15:docId w15:val="{0CE9BA28-0C1C-41EB-867E-9A0D167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8A90-7B8E-4E96-B552-E19FE6EB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Pollok</dc:creator>
  <cp:lastModifiedBy>Jennifer Hughes</cp:lastModifiedBy>
  <cp:revision>2</cp:revision>
  <dcterms:created xsi:type="dcterms:W3CDTF">2018-07-31T10:58:00Z</dcterms:created>
  <dcterms:modified xsi:type="dcterms:W3CDTF">2018-07-31T10:58:00Z</dcterms:modified>
</cp:coreProperties>
</file>