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5B59B" w14:textId="431C5630" w:rsidR="001A4BC5" w:rsidRDefault="001A4BC5" w:rsidP="0080301C">
      <w:pPr>
        <w:jc w:val="center"/>
        <w:rPr>
          <w:b/>
        </w:rPr>
      </w:pPr>
      <w:bookmarkStart w:id="0" w:name="_GoBack"/>
      <w:bookmarkEnd w:id="0"/>
      <w:r>
        <w:rPr>
          <w:b/>
        </w:rPr>
        <w:t>The Surviving Sepsis Campaign Bundle</w:t>
      </w:r>
      <w:r w:rsidR="00E26DDB">
        <w:rPr>
          <w:b/>
        </w:rPr>
        <w:t xml:space="preserve">: </w:t>
      </w:r>
      <w:r>
        <w:rPr>
          <w:b/>
        </w:rPr>
        <w:t xml:space="preserve"> </w:t>
      </w:r>
      <w:r w:rsidR="0080301C">
        <w:rPr>
          <w:b/>
        </w:rPr>
        <w:t xml:space="preserve">2018 </w:t>
      </w:r>
      <w:r>
        <w:rPr>
          <w:b/>
        </w:rPr>
        <w:t>Update</w:t>
      </w:r>
    </w:p>
    <w:p w14:paraId="6404DFEF" w14:textId="77777777" w:rsidR="001A4BC5" w:rsidRDefault="001A4BC5" w:rsidP="001A4BC5">
      <w:pPr>
        <w:jc w:val="center"/>
        <w:rPr>
          <w:b/>
        </w:rPr>
      </w:pPr>
    </w:p>
    <w:p w14:paraId="2A0FD1DB" w14:textId="77777777" w:rsidR="001A4BC5" w:rsidRDefault="001A4BC5" w:rsidP="001A4BC5">
      <w:pPr>
        <w:rPr>
          <w:vertAlign w:val="superscript"/>
        </w:rPr>
      </w:pPr>
      <w:r>
        <w:t>Mitchell M Levy, MD, MCCM</w:t>
      </w:r>
      <w:r>
        <w:rPr>
          <w:vertAlign w:val="superscript"/>
        </w:rPr>
        <w:t>1</w:t>
      </w:r>
      <w:r>
        <w:t>; Laura E. Evans, MD, MSc , FCCM</w:t>
      </w:r>
      <w:r>
        <w:rPr>
          <w:vertAlign w:val="superscript"/>
        </w:rPr>
        <w:t>2</w:t>
      </w:r>
      <w:r>
        <w:t xml:space="preserve">; Andrew Rhodes, MB BS, </w:t>
      </w:r>
      <w:r w:rsidR="00817567">
        <w:t xml:space="preserve">FRCA, FRCP, FFICM, </w:t>
      </w:r>
      <w:r>
        <w:t xml:space="preserve">MD (res) </w:t>
      </w:r>
      <w:r>
        <w:rPr>
          <w:vertAlign w:val="superscript"/>
        </w:rPr>
        <w:t>3</w:t>
      </w:r>
    </w:p>
    <w:p w14:paraId="3BF285F7" w14:textId="77777777" w:rsidR="00B71D55" w:rsidRDefault="00B71D55" w:rsidP="001A4BC5">
      <w:pPr>
        <w:rPr>
          <w:vertAlign w:val="superscript"/>
        </w:rPr>
      </w:pPr>
    </w:p>
    <w:p w14:paraId="620A328A" w14:textId="503E3B99" w:rsidR="00B71D55" w:rsidRDefault="00B71D55" w:rsidP="0080301C">
      <w:r>
        <w:rPr>
          <w:vertAlign w:val="superscript"/>
        </w:rPr>
        <w:t>1</w:t>
      </w:r>
      <w:r w:rsidR="0080301C">
        <w:t>Department of Medicine, Division of Pulmonary/Critical Care Medicine, Alpert Medical School at Brown University</w:t>
      </w:r>
      <w:r w:rsidR="004A54E2">
        <w:t>, Providence, RI</w:t>
      </w:r>
    </w:p>
    <w:p w14:paraId="3C41C1DB" w14:textId="77777777" w:rsidR="004A54E2" w:rsidRDefault="004A54E2" w:rsidP="001A4BC5">
      <w:r>
        <w:rPr>
          <w:vertAlign w:val="superscript"/>
        </w:rPr>
        <w:t>2</w:t>
      </w:r>
      <w:r>
        <w:t>New York University School of Medicine, New York, NY</w:t>
      </w:r>
    </w:p>
    <w:p w14:paraId="41B6D3B6" w14:textId="77777777" w:rsidR="004A54E2" w:rsidRPr="004A54E2" w:rsidRDefault="004A54E2" w:rsidP="001A4BC5">
      <w:r>
        <w:rPr>
          <w:vertAlign w:val="superscript"/>
        </w:rPr>
        <w:t>3</w:t>
      </w:r>
      <w:r>
        <w:t xml:space="preserve">St. George’s </w:t>
      </w:r>
      <w:r w:rsidR="00827473">
        <w:t>University</w:t>
      </w:r>
      <w:r w:rsidR="000C5589">
        <w:t xml:space="preserve"> Hospitals</w:t>
      </w:r>
      <w:r w:rsidR="00827473">
        <w:t xml:space="preserve"> NHS Foundation Trust and St George’s University of London</w:t>
      </w:r>
      <w:r>
        <w:t xml:space="preserve">, </w:t>
      </w:r>
      <w:r w:rsidR="00827473">
        <w:t>UK</w:t>
      </w:r>
    </w:p>
    <w:p w14:paraId="1DE4CF33" w14:textId="77777777" w:rsidR="001A4BC5" w:rsidRDefault="001A4BC5" w:rsidP="001A4BC5"/>
    <w:p w14:paraId="65728106" w14:textId="46D3B528" w:rsidR="00A66BB2" w:rsidRDefault="001B07AC" w:rsidP="001015A3">
      <w:r>
        <w:t>The “sepsis bundle” ha</w:t>
      </w:r>
      <w:r w:rsidR="003E0DB9">
        <w:t xml:space="preserve">s </w:t>
      </w:r>
      <w:r>
        <w:t>been c</w:t>
      </w:r>
      <w:r w:rsidR="001A4BC5">
        <w:t>entral to the implementation of the Surviving Sepsis Campaign</w:t>
      </w:r>
      <w:r w:rsidR="000D470C">
        <w:t xml:space="preserve"> (SSC)</w:t>
      </w:r>
      <w:r w:rsidR="00E26DDB">
        <w:t xml:space="preserve"> since</w:t>
      </w:r>
      <w:r w:rsidR="0065303C">
        <w:t xml:space="preserve"> the</w:t>
      </w:r>
      <w:r w:rsidR="00E26DDB">
        <w:t xml:space="preserve"> </w:t>
      </w:r>
      <w:r w:rsidR="001B2C04">
        <w:t xml:space="preserve">first </w:t>
      </w:r>
      <w:r w:rsidR="00E26DDB">
        <w:t xml:space="preserve">publication of </w:t>
      </w:r>
      <w:r w:rsidR="001B2C04">
        <w:t xml:space="preserve">its </w:t>
      </w:r>
      <w:r w:rsidR="0065303C">
        <w:t>evidence</w:t>
      </w:r>
      <w:r w:rsidR="000D470C">
        <w:t>-</w:t>
      </w:r>
      <w:r w:rsidR="0065303C">
        <w:t xml:space="preserve">based </w:t>
      </w:r>
      <w:r w:rsidR="00163177">
        <w:t>guidelines</w:t>
      </w:r>
      <w:r w:rsidR="00E26DDB">
        <w:t xml:space="preserve"> in 2004</w:t>
      </w:r>
      <w:r w:rsidR="003E0A50">
        <w:t xml:space="preserve"> and</w:t>
      </w:r>
      <w:r w:rsidR="001B2C04">
        <w:t xml:space="preserve"> then</w:t>
      </w:r>
      <w:r w:rsidR="00D87A1E">
        <w:t xml:space="preserve"> in</w:t>
      </w:r>
      <w:r w:rsidR="003E0A50">
        <w:t xml:space="preserve"> subsequent editions</w:t>
      </w:r>
      <w:r w:rsidR="00E26DDB">
        <w:t xml:space="preserve"> (</w:t>
      </w:r>
      <w:r w:rsidR="00035496">
        <w:t>1-6</w:t>
      </w:r>
      <w:r w:rsidR="00E26DDB">
        <w:t xml:space="preserve">). </w:t>
      </w:r>
      <w:r w:rsidR="001A4BC5">
        <w:t xml:space="preserve">  Developed separately from the </w:t>
      </w:r>
      <w:r w:rsidR="00035496">
        <w:t>guidelines</w:t>
      </w:r>
      <w:r w:rsidR="00D87A1E">
        <w:t xml:space="preserve"> publication</w:t>
      </w:r>
      <w:r w:rsidR="00035496">
        <w:t xml:space="preserve"> by</w:t>
      </w:r>
      <w:r>
        <w:t xml:space="preserve"> </w:t>
      </w:r>
      <w:r w:rsidR="001A4BC5">
        <w:t>the Surviving Sepsis Campaign</w:t>
      </w:r>
      <w:r w:rsidR="007B5232">
        <w:t>,</w:t>
      </w:r>
      <w:r>
        <w:t xml:space="preserve"> the bundle</w:t>
      </w:r>
      <w:r w:rsidR="00A600C9">
        <w:t>s</w:t>
      </w:r>
      <w:r w:rsidR="002264F8">
        <w:t xml:space="preserve"> </w:t>
      </w:r>
      <w:r w:rsidR="00A600C9">
        <w:t xml:space="preserve">have </w:t>
      </w:r>
      <w:r>
        <w:t xml:space="preserve">been the cornerstone of sepsis quality improvement since </w:t>
      </w:r>
      <w:r w:rsidR="007B5232">
        <w:t>2005</w:t>
      </w:r>
      <w:r>
        <w:t xml:space="preserve"> (</w:t>
      </w:r>
      <w:r w:rsidR="000D470C">
        <w:t>7-11</w:t>
      </w:r>
      <w:r w:rsidR="001B2C04">
        <w:t>).</w:t>
      </w:r>
      <w:r>
        <w:t xml:space="preserve">  As noted</w:t>
      </w:r>
      <w:r w:rsidR="004A54E2">
        <w:t xml:space="preserve"> when they were introduced</w:t>
      </w:r>
      <w:r>
        <w:t>, the bundle</w:t>
      </w:r>
      <w:r w:rsidR="003E0DB9">
        <w:t xml:space="preserve"> elements</w:t>
      </w:r>
      <w:r>
        <w:t xml:space="preserve"> were designed to be updated as new evidence indicated</w:t>
      </w:r>
      <w:r w:rsidR="000D470C">
        <w:t xml:space="preserve"> and have evolved accordingly</w:t>
      </w:r>
      <w:r>
        <w:t xml:space="preserve">.  </w:t>
      </w:r>
      <w:r w:rsidR="005F1899">
        <w:t xml:space="preserve"> </w:t>
      </w:r>
      <w:r w:rsidR="00A66BB2">
        <w:t>In response to the publication of “Surviving Sepsis Campaign:  International Guidelines for Management of Sepsis and Septic Shock: 2016” (</w:t>
      </w:r>
      <w:r w:rsidR="003F414A">
        <w:t>12,13</w:t>
      </w:r>
      <w:r w:rsidR="00A66BB2">
        <w:t>), a revised “hour</w:t>
      </w:r>
      <w:r w:rsidR="00D333DE">
        <w:t>-</w:t>
      </w:r>
      <w:r w:rsidR="003E0A50">
        <w:t>1</w:t>
      </w:r>
      <w:r w:rsidR="00A66BB2">
        <w:t xml:space="preserve"> bundle” has been developed and is presented </w:t>
      </w:r>
      <w:r w:rsidR="00D333DE">
        <w:t>below.</w:t>
      </w:r>
    </w:p>
    <w:p w14:paraId="6DEDA873" w14:textId="26D32BB1" w:rsidR="001A4BC5" w:rsidRDefault="00DE3F0A" w:rsidP="001015A3">
      <w:r>
        <w:t>The compelling evidence in the literature</w:t>
      </w:r>
      <w:r w:rsidR="000D470C">
        <w:t>,</w:t>
      </w:r>
      <w:r>
        <w:t xml:space="preserve"> </w:t>
      </w:r>
      <w:r w:rsidR="000D470C">
        <w:t>which</w:t>
      </w:r>
      <w:r>
        <w:t xml:space="preserve"> </w:t>
      </w:r>
      <w:r w:rsidR="000D470C">
        <w:t xml:space="preserve">has </w:t>
      </w:r>
      <w:r>
        <w:t>demonstrated an association between compliance with bundles and improved survival in patients with sepsis and septic shock</w:t>
      </w:r>
      <w:r w:rsidR="000D470C">
        <w:t>,</w:t>
      </w:r>
      <w:r w:rsidR="008C3B0D">
        <w:t xml:space="preserve"> </w:t>
      </w:r>
      <w:r>
        <w:t>led to the ad</w:t>
      </w:r>
      <w:r w:rsidR="0080301C">
        <w:t>op</w:t>
      </w:r>
      <w:r w:rsidR="004D69C7">
        <w:t>t</w:t>
      </w:r>
      <w:r>
        <w:t>ion of the SSC measures by the National Quality Forum (NQF) and subsequently both by the New York State Department of Health (</w:t>
      </w:r>
      <w:r w:rsidR="00A66BB2">
        <w:t>1</w:t>
      </w:r>
      <w:r w:rsidR="003F414A">
        <w:t>4</w:t>
      </w:r>
      <w:r>
        <w:t>) and the Centers for Medicare and Medicaid Services (CMS)</w:t>
      </w:r>
      <w:r w:rsidR="00A66BB2">
        <w:t xml:space="preserve"> (1</w:t>
      </w:r>
      <w:r w:rsidR="003F414A">
        <w:t>5</w:t>
      </w:r>
      <w:r w:rsidR="00A66BB2">
        <w:t>)</w:t>
      </w:r>
      <w:r>
        <w:t xml:space="preserve"> in the United States for mandated public reporting.  The important relationship between the bundles and survival was </w:t>
      </w:r>
      <w:r w:rsidR="001B2C04">
        <w:t xml:space="preserve">confirmed </w:t>
      </w:r>
      <w:r>
        <w:t>in a publication from th</w:t>
      </w:r>
      <w:r w:rsidR="001B2C04">
        <w:t>is</w:t>
      </w:r>
      <w:r>
        <w:t xml:space="preserve"> NYS </w:t>
      </w:r>
      <w:r w:rsidR="007B5232">
        <w:t>initiative</w:t>
      </w:r>
      <w:r>
        <w:t xml:space="preserve"> (</w:t>
      </w:r>
      <w:r w:rsidR="000D470C">
        <w:t>1</w:t>
      </w:r>
      <w:r w:rsidR="003F414A">
        <w:t>6</w:t>
      </w:r>
      <w:r>
        <w:t>)</w:t>
      </w:r>
      <w:r w:rsidR="005F1899">
        <w:t xml:space="preserve">. </w:t>
      </w:r>
    </w:p>
    <w:p w14:paraId="51642436" w14:textId="44352767" w:rsidR="003F5C27" w:rsidRDefault="00AD2599" w:rsidP="006C0715">
      <w:r>
        <w:t xml:space="preserve">Paramount to the management of patients with sepsis is the concept that sepsis is a medical emergency.  </w:t>
      </w:r>
      <w:r w:rsidR="00AD4201">
        <w:t xml:space="preserve"> Similar to </w:t>
      </w:r>
      <w:proofErr w:type="spellStart"/>
      <w:r w:rsidR="00AD4201">
        <w:t>polytrauma</w:t>
      </w:r>
      <w:proofErr w:type="spellEnd"/>
      <w:r w:rsidR="00AD4201">
        <w:t>, acute myocardial infarction, and stroke, early identification and appropriate immediate management in the initial hours after sepsis develops improves outcomes (</w:t>
      </w:r>
      <w:r w:rsidR="006748E9">
        <w:t>7-11,14, 16</w:t>
      </w:r>
      <w:r w:rsidR="00023177">
        <w:t>-2</w:t>
      </w:r>
      <w:r w:rsidR="00C968AA">
        <w:t>1</w:t>
      </w:r>
      <w:r w:rsidR="00023177">
        <w:t>)</w:t>
      </w:r>
      <w:r w:rsidR="00AD4201">
        <w:t xml:space="preserve">. The guidelines state that these patients need urgent assessment and treatment including initial fluid </w:t>
      </w:r>
      <w:r w:rsidR="00AD4201" w:rsidRPr="00533189">
        <w:t xml:space="preserve">resuscitation while </w:t>
      </w:r>
      <w:r w:rsidR="00A05A39" w:rsidRPr="00533189">
        <w:t xml:space="preserve">pursuing source control, obtaining </w:t>
      </w:r>
      <w:r w:rsidR="00940966" w:rsidRPr="00533189">
        <w:t>further</w:t>
      </w:r>
      <w:r w:rsidR="00A05A39" w:rsidRPr="00533189">
        <w:t xml:space="preserve"> laboratory results</w:t>
      </w:r>
      <w:r w:rsidR="00D333DE" w:rsidRPr="00533189">
        <w:t>,</w:t>
      </w:r>
      <w:r w:rsidR="00AD4201" w:rsidRPr="00533189">
        <w:t xml:space="preserve"> and a</w:t>
      </w:r>
      <w:r w:rsidR="008C3B0D" w:rsidRPr="00533189">
        <w:t>ttaining</w:t>
      </w:r>
      <w:r w:rsidR="00AD4201" w:rsidRPr="00533189">
        <w:t xml:space="preserve"> more precise measurements of hemodynamic status</w:t>
      </w:r>
      <w:r w:rsidR="00F2022A" w:rsidRPr="00533189">
        <w:t>.</w:t>
      </w:r>
      <w:r w:rsidR="003F5C27" w:rsidRPr="00533189">
        <w:t xml:space="preserve"> </w:t>
      </w:r>
      <w:r w:rsidR="00AD4201" w:rsidRPr="00533189">
        <w:t xml:space="preserve"> A guiding principle is that these complex patients need a detailed initial assessment and </w:t>
      </w:r>
      <w:r w:rsidR="00457559" w:rsidRPr="00533189">
        <w:t xml:space="preserve">then </w:t>
      </w:r>
      <w:r w:rsidR="00AD4201" w:rsidRPr="00533189">
        <w:t>ongoing re</w:t>
      </w:r>
      <w:r w:rsidR="00D333DE" w:rsidRPr="00533189">
        <w:t>-</w:t>
      </w:r>
      <w:r w:rsidR="00AD4201" w:rsidRPr="00533189">
        <w:t>evaluation of the</w:t>
      </w:r>
      <w:r w:rsidR="00457559" w:rsidRPr="00533189">
        <w:t>ir</w:t>
      </w:r>
      <w:r w:rsidR="008C3B0D" w:rsidRPr="00533189">
        <w:t xml:space="preserve"> </w:t>
      </w:r>
      <w:r w:rsidR="00AD4201" w:rsidRPr="00533189">
        <w:t xml:space="preserve">response to treatment. </w:t>
      </w:r>
      <w:r w:rsidR="00940966" w:rsidRPr="00533189">
        <w:t xml:space="preserve">The elements </w:t>
      </w:r>
      <w:r w:rsidR="003F5C27" w:rsidRPr="00533189">
        <w:t xml:space="preserve">of the </w:t>
      </w:r>
      <w:r w:rsidR="0080301C" w:rsidRPr="00533189">
        <w:t xml:space="preserve">2018 </w:t>
      </w:r>
      <w:r w:rsidR="003F5C27" w:rsidRPr="00533189">
        <w:t>bundle</w:t>
      </w:r>
      <w:r w:rsidR="00EC5D00" w:rsidRPr="00533189">
        <w:t xml:space="preserve">, </w:t>
      </w:r>
      <w:r w:rsidR="007B5232" w:rsidRPr="00533189">
        <w:t>intended</w:t>
      </w:r>
      <w:r w:rsidR="00940966" w:rsidRPr="00533189">
        <w:t xml:space="preserve"> to be initiated</w:t>
      </w:r>
      <w:r w:rsidR="00EC5D00" w:rsidRPr="00533189">
        <w:t xml:space="preserve"> within the first hour, appear in Table 1</w:t>
      </w:r>
      <w:r w:rsidR="00AD4201" w:rsidRPr="00533189">
        <w:t xml:space="preserve">, and are </w:t>
      </w:r>
      <w:r w:rsidR="00451055" w:rsidRPr="00533189">
        <w:t>presented</w:t>
      </w:r>
      <w:r w:rsidR="00AD4201" w:rsidRPr="00533189">
        <w:t xml:space="preserve"> here</w:t>
      </w:r>
      <w:r w:rsidR="00EC5D00" w:rsidRPr="00533189">
        <w:t>.</w:t>
      </w:r>
      <w:r w:rsidR="00451055" w:rsidRPr="00533189">
        <w:t xml:space="preserve"> </w:t>
      </w:r>
      <w:r w:rsidR="0080301C" w:rsidRPr="00533189">
        <w:t xml:space="preserve">Consistent with previous iterations of the SSC sepsis bundles, “time zero” </w:t>
      </w:r>
      <w:r w:rsidR="003D1773" w:rsidRPr="00533189">
        <w:t xml:space="preserve">or “time of presentation” </w:t>
      </w:r>
      <w:r w:rsidR="0080301C" w:rsidRPr="00533189">
        <w:t xml:space="preserve">is defined </w:t>
      </w:r>
      <w:r w:rsidR="003D1773" w:rsidRPr="00533189">
        <w:t xml:space="preserve">as the time of triage in the </w:t>
      </w:r>
      <w:r w:rsidR="00FA24AB">
        <w:t>e</w:t>
      </w:r>
      <w:r w:rsidR="00FA24AB" w:rsidRPr="00533189">
        <w:t xml:space="preserve">mergency </w:t>
      </w:r>
      <w:r w:rsidR="00FA24AB">
        <w:t>d</w:t>
      </w:r>
      <w:r w:rsidR="00FA24AB" w:rsidRPr="00533189">
        <w:t xml:space="preserve">epartment </w:t>
      </w:r>
      <w:r w:rsidR="003D1773" w:rsidRPr="00533189">
        <w:t>or, if presenting from another care venue, from the earliest chart annotation consistent with all elements</w:t>
      </w:r>
      <w:r w:rsidR="006C0715" w:rsidRPr="00533189">
        <w:t xml:space="preserve"> of sepsis (formerly</w:t>
      </w:r>
      <w:r w:rsidR="003D1773" w:rsidRPr="00533189">
        <w:t xml:space="preserve"> </w:t>
      </w:r>
      <w:r w:rsidR="003D1773" w:rsidRPr="00533189">
        <w:lastRenderedPageBreak/>
        <w:t>severe sepsis</w:t>
      </w:r>
      <w:r w:rsidR="006C0715" w:rsidRPr="00533189">
        <w:t>)</w:t>
      </w:r>
      <w:r w:rsidR="003D1773" w:rsidRPr="00533189">
        <w:t xml:space="preserve"> or septic shock ascertained through chart review.</w:t>
      </w:r>
      <w:r w:rsidR="0080301C" w:rsidRPr="00533189">
        <w:t xml:space="preserve"> </w:t>
      </w:r>
      <w:r w:rsidR="00A05A39" w:rsidRPr="00533189">
        <w:t>Because this new bundle is based on the 2016 Guidelines publication, t</w:t>
      </w:r>
      <w:r w:rsidR="00451055" w:rsidRPr="00533189">
        <w:t>he guidelines themselves should be referred to for further discussion and evidence related to each element and to sepsis management as a whole.</w:t>
      </w:r>
      <w:r w:rsidR="00451055">
        <w:t xml:space="preserve"> </w:t>
      </w:r>
    </w:p>
    <w:p w14:paraId="09CDFCC5" w14:textId="1E423F25" w:rsidR="001015A3" w:rsidRDefault="001015A3" w:rsidP="00A05A39">
      <w:r>
        <w:t>Hour</w:t>
      </w:r>
      <w:r w:rsidR="00D333DE">
        <w:t>-</w:t>
      </w:r>
      <w:r w:rsidR="003E0A50">
        <w:t xml:space="preserve">1 </w:t>
      </w:r>
      <w:r>
        <w:t>Bundle</w:t>
      </w:r>
    </w:p>
    <w:p w14:paraId="3E66BA2E" w14:textId="1E0A1537" w:rsidR="001015A3" w:rsidRDefault="001015A3" w:rsidP="00A05A39">
      <w:r>
        <w:t xml:space="preserve">The most important change in the revision of the SSC bundles is that </w:t>
      </w:r>
      <w:r w:rsidR="003E0A50">
        <w:t xml:space="preserve">the 3-hour and 6-hour </w:t>
      </w:r>
      <w:r>
        <w:t>bundles have been combined into a single “hour</w:t>
      </w:r>
      <w:r w:rsidR="003E0A50">
        <w:t>-</w:t>
      </w:r>
      <w:r>
        <w:t xml:space="preserve"> 1 bundle</w:t>
      </w:r>
      <w:r w:rsidR="00092A34">
        <w:t>”</w:t>
      </w:r>
      <w:r>
        <w:t xml:space="preserve"> with the </w:t>
      </w:r>
      <w:r w:rsidR="008C3B0D">
        <w:t>explic</w:t>
      </w:r>
      <w:r w:rsidR="004D69C7">
        <w:t>i</w:t>
      </w:r>
      <w:r w:rsidR="008C3B0D">
        <w:t>t</w:t>
      </w:r>
      <w:r>
        <w:t xml:space="preserve"> intention of beginning resuscitation and management immediately, rather than being divided into a 3-hour and 6-hour time frame.   We believe this reflects the clinical reality that occurs at the bedside of these seriously ill patients with sepsis and septic shock—that clinicians begin treatment immediately, especially in patients with hypotension—rather than waiting</w:t>
      </w:r>
      <w:r w:rsidR="001E0981">
        <w:t xml:space="preserve"> or delaying resuscitation over a longer time period.   </w:t>
      </w:r>
      <w:r w:rsidR="003E0A50">
        <w:t xml:space="preserve">More </w:t>
      </w:r>
      <w:r w:rsidR="001E0981">
        <w:t xml:space="preserve">than one </w:t>
      </w:r>
      <w:r w:rsidR="00A600C9">
        <w:t>hour may</w:t>
      </w:r>
      <w:r w:rsidR="003E0A50">
        <w:t xml:space="preserve"> be required </w:t>
      </w:r>
      <w:r w:rsidR="001E0981">
        <w:t xml:space="preserve">for resuscitation to be completed, but initiation of resuscitation and treatment, such as obtaining blood for measuring lactate and blood cultures, administration of fluids and antibiotics, and in the case of life-threatening hypotension, initiation of vasopressor therapy, are all begun immediately.  </w:t>
      </w:r>
      <w:r w:rsidR="00C1436E" w:rsidRPr="00FA1E46">
        <w:rPr>
          <w:b/>
        </w:rPr>
        <w:t>It is also important to note, that there are no published studies that have evaluated the efficacy in important sub-groups, including burns and immunocompromised patients.  This knowledge gap needs to be addressed in future studies specifically targeting these important subgroups.</w:t>
      </w:r>
      <w:r w:rsidR="00C1436E">
        <w:t xml:space="preserve"> </w:t>
      </w:r>
      <w:r w:rsidR="00B63945" w:rsidRPr="00B63945">
        <w:rPr>
          <w:b/>
        </w:rPr>
        <w:t>The elements included in the revised bundle are taken from the Surviving Sepsis Campaign Guidelines and the</w:t>
      </w:r>
      <w:r w:rsidR="00B63945">
        <w:rPr>
          <w:b/>
        </w:rPr>
        <w:t xml:space="preserve"> level of</w:t>
      </w:r>
      <w:r w:rsidR="00B63945" w:rsidRPr="00B63945">
        <w:rPr>
          <w:b/>
        </w:rPr>
        <w:t xml:space="preserve"> evidence in support of</w:t>
      </w:r>
      <w:r w:rsidR="00B63945">
        <w:rPr>
          <w:b/>
        </w:rPr>
        <w:t xml:space="preserve"> each</w:t>
      </w:r>
      <w:r w:rsidR="00B63945" w:rsidRPr="00B63945">
        <w:rPr>
          <w:b/>
        </w:rPr>
        <w:t xml:space="preserve"> element can be seen in Table 1</w:t>
      </w:r>
      <w:r w:rsidR="00B63945">
        <w:rPr>
          <w:b/>
        </w:rPr>
        <w:t xml:space="preserve"> (12,13)</w:t>
      </w:r>
      <w:r w:rsidR="00B63945" w:rsidRPr="00B63945">
        <w:rPr>
          <w:b/>
        </w:rPr>
        <w:t>.</w:t>
      </w:r>
      <w:r w:rsidR="00C1436E">
        <w:t xml:space="preserve">  </w:t>
      </w:r>
      <w:r w:rsidR="001E0981">
        <w:t xml:space="preserve"> We believe the new bundle is an accurate reflection of </w:t>
      </w:r>
      <w:r w:rsidR="003E0A50">
        <w:t>actual clinical care</w:t>
      </w:r>
      <w:r w:rsidR="001E0981">
        <w:t>.</w:t>
      </w:r>
    </w:p>
    <w:p w14:paraId="06013B6D" w14:textId="77777777" w:rsidR="00F2022A" w:rsidRDefault="00F2022A" w:rsidP="001A4BC5">
      <w:pPr>
        <w:rPr>
          <w:b/>
        </w:rPr>
      </w:pPr>
      <w:r>
        <w:rPr>
          <w:b/>
        </w:rPr>
        <w:t>Measure Lactate Level</w:t>
      </w:r>
    </w:p>
    <w:p w14:paraId="7851675C" w14:textId="664EA182" w:rsidR="00AD4201" w:rsidRDefault="00C76625" w:rsidP="001A4BC5">
      <w:r>
        <w:t>While serum lactate is not a direct measure of tissue perfusion (</w:t>
      </w:r>
      <w:r w:rsidR="00023177">
        <w:t>2</w:t>
      </w:r>
      <w:r w:rsidR="00C968AA">
        <w:t>2</w:t>
      </w:r>
      <w:r>
        <w:t>),</w:t>
      </w:r>
      <w:r w:rsidR="001F6F77">
        <w:t xml:space="preserve"> it </w:t>
      </w:r>
      <w:r w:rsidR="005D53D6">
        <w:t>can</w:t>
      </w:r>
      <w:r w:rsidR="001F6F77">
        <w:t xml:space="preserve"> serve as a surrogate </w:t>
      </w:r>
      <w:r w:rsidR="005D53D6">
        <w:t>as</w:t>
      </w:r>
      <w:r w:rsidR="001F6F77">
        <w:t xml:space="preserve"> </w:t>
      </w:r>
      <w:r>
        <w:t xml:space="preserve">increases may represent tissue hypoxia, accelerated aerobic glycolysis driven by excess beta-adrenergic stimulation, or other causes </w:t>
      </w:r>
      <w:r w:rsidR="00733604">
        <w:t>that</w:t>
      </w:r>
      <w:r>
        <w:t xml:space="preserve"> are associated with worse outcomes (</w:t>
      </w:r>
      <w:r w:rsidR="00023177">
        <w:t>2</w:t>
      </w:r>
      <w:r w:rsidR="002F38A4">
        <w:t>3</w:t>
      </w:r>
      <w:r>
        <w:t xml:space="preserve">).    </w:t>
      </w:r>
      <w:r w:rsidR="00376A8A">
        <w:t>Ra</w:t>
      </w:r>
      <w:r>
        <w:t xml:space="preserve">ndomized controlled trials </w:t>
      </w:r>
      <w:r w:rsidR="00376A8A">
        <w:t xml:space="preserve">have </w:t>
      </w:r>
      <w:r>
        <w:t>demonstrated a significant reduction in mortality in lactate-guided resuscitation (</w:t>
      </w:r>
      <w:r w:rsidR="00023177">
        <w:t>2</w:t>
      </w:r>
      <w:r w:rsidR="002F38A4">
        <w:t>4</w:t>
      </w:r>
      <w:r w:rsidR="00023177">
        <w:t>-2</w:t>
      </w:r>
      <w:r w:rsidR="002F38A4">
        <w:t>8</w:t>
      </w:r>
      <w:r>
        <w:t xml:space="preserve">).  </w:t>
      </w:r>
    </w:p>
    <w:p w14:paraId="65F73F69" w14:textId="34145546" w:rsidR="00C76625" w:rsidRDefault="00C76625" w:rsidP="002F38A4">
      <w:pPr>
        <w:rPr>
          <w:rFonts w:cstheme="minorHAnsi"/>
        </w:rPr>
      </w:pPr>
      <w:r>
        <w:t>If initial lactate is elevated (</w:t>
      </w:r>
      <w:r>
        <w:rPr>
          <w:rFonts w:cstheme="minorHAnsi"/>
        </w:rPr>
        <w:t>&gt;2mmol/L)</w:t>
      </w:r>
      <w:r w:rsidR="001F6F77">
        <w:rPr>
          <w:rFonts w:cstheme="minorHAnsi"/>
        </w:rPr>
        <w:t>, it should be re</w:t>
      </w:r>
      <w:r w:rsidR="001B2C04">
        <w:rPr>
          <w:rFonts w:cstheme="minorHAnsi"/>
        </w:rPr>
        <w:t>-</w:t>
      </w:r>
      <w:r w:rsidR="001F6F77">
        <w:rPr>
          <w:rFonts w:cstheme="minorHAnsi"/>
        </w:rPr>
        <w:t>measured</w:t>
      </w:r>
      <w:r w:rsidR="005D15FE">
        <w:rPr>
          <w:rFonts w:cstheme="minorHAnsi"/>
        </w:rPr>
        <w:t xml:space="preserve"> </w:t>
      </w:r>
      <w:r w:rsidR="005D53D6">
        <w:rPr>
          <w:rFonts w:cstheme="minorHAnsi"/>
        </w:rPr>
        <w:t>within</w:t>
      </w:r>
      <w:r w:rsidR="005D15FE">
        <w:rPr>
          <w:rFonts w:cstheme="minorHAnsi"/>
        </w:rPr>
        <w:t xml:space="preserve"> 2-4 hours</w:t>
      </w:r>
      <w:r w:rsidR="001F6F77">
        <w:rPr>
          <w:rFonts w:cstheme="minorHAnsi"/>
        </w:rPr>
        <w:t xml:space="preserve"> to guide resuscitation to normalize lactate in patients with elevated lactate levels as a marker of tissue </w:t>
      </w:r>
      <w:proofErr w:type="spellStart"/>
      <w:r w:rsidR="001F6F77">
        <w:rPr>
          <w:rFonts w:cstheme="minorHAnsi"/>
        </w:rPr>
        <w:t>hypoperfusion</w:t>
      </w:r>
      <w:proofErr w:type="spellEnd"/>
      <w:r w:rsidR="001F6F77">
        <w:rPr>
          <w:rFonts w:cstheme="minorHAnsi"/>
        </w:rPr>
        <w:t xml:space="preserve"> (</w:t>
      </w:r>
      <w:r w:rsidR="002F38A4">
        <w:rPr>
          <w:rFonts w:cstheme="minorHAnsi"/>
        </w:rPr>
        <w:t>24</w:t>
      </w:r>
      <w:r w:rsidR="001F6F77">
        <w:rPr>
          <w:rFonts w:cstheme="minorHAnsi"/>
        </w:rPr>
        <w:t xml:space="preserve">). </w:t>
      </w:r>
    </w:p>
    <w:p w14:paraId="59489D3F" w14:textId="77777777" w:rsidR="001F6F77" w:rsidRDefault="001F6F77" w:rsidP="001A4BC5">
      <w:pPr>
        <w:rPr>
          <w:rFonts w:cstheme="minorHAnsi"/>
          <w:b/>
        </w:rPr>
      </w:pPr>
      <w:r>
        <w:rPr>
          <w:rFonts w:cstheme="minorHAnsi"/>
          <w:b/>
        </w:rPr>
        <w:t>Obtain Blood Cultures Prior to Antibiotics</w:t>
      </w:r>
    </w:p>
    <w:p w14:paraId="51C56EA0" w14:textId="19A5FE93" w:rsidR="00733604" w:rsidRPr="00733604" w:rsidRDefault="00733604" w:rsidP="001A4BC5">
      <w:pPr>
        <w:rPr>
          <w:rFonts w:cstheme="minorHAnsi"/>
        </w:rPr>
      </w:pPr>
      <w:r>
        <w:rPr>
          <w:rFonts w:cstheme="minorHAnsi"/>
        </w:rPr>
        <w:t>Sterilization of cultures can occur within minutes of the first dose of an appropriate antimicrobial (</w:t>
      </w:r>
      <w:r w:rsidR="004D2DEC">
        <w:rPr>
          <w:rFonts w:cstheme="minorHAnsi"/>
        </w:rPr>
        <w:t>29</w:t>
      </w:r>
      <w:r>
        <w:rPr>
          <w:rFonts w:cstheme="minorHAnsi"/>
        </w:rPr>
        <w:t>,</w:t>
      </w:r>
      <w:r w:rsidR="00E24C8D">
        <w:rPr>
          <w:rFonts w:cstheme="minorHAnsi"/>
        </w:rPr>
        <w:t xml:space="preserve"> </w:t>
      </w:r>
      <w:r w:rsidR="004D2DEC">
        <w:rPr>
          <w:rFonts w:cstheme="minorHAnsi"/>
        </w:rPr>
        <w:t>30</w:t>
      </w:r>
      <w:r>
        <w:rPr>
          <w:rFonts w:cstheme="minorHAnsi"/>
        </w:rPr>
        <w:t>), so it is essential to obtain cultures before antibiotic administration to optimize the identification of pathogens and improve outcomes (</w:t>
      </w:r>
      <w:r w:rsidR="004D2DEC">
        <w:rPr>
          <w:rFonts w:cstheme="minorHAnsi"/>
        </w:rPr>
        <w:t>31,32</w:t>
      </w:r>
      <w:r>
        <w:rPr>
          <w:rFonts w:cstheme="minorHAnsi"/>
        </w:rPr>
        <w:t xml:space="preserve">).  </w:t>
      </w:r>
      <w:r w:rsidR="001C36CA">
        <w:rPr>
          <w:rFonts w:cstheme="minorHAnsi"/>
        </w:rPr>
        <w:t>Appropriate cultures include at least two sets of blood cultures (aerobic and anaerobic).</w:t>
      </w:r>
      <w:r w:rsidR="005D15FE">
        <w:rPr>
          <w:rFonts w:cstheme="minorHAnsi"/>
        </w:rPr>
        <w:t xml:space="preserve">  Administration of appropriate antibiotic therapy should not be delayed in order to obtain blood cultures.  </w:t>
      </w:r>
    </w:p>
    <w:p w14:paraId="1E31C9D1" w14:textId="77777777" w:rsidR="009C6098" w:rsidRDefault="001F6F77" w:rsidP="001A4BC5">
      <w:pPr>
        <w:rPr>
          <w:rFonts w:cstheme="minorHAnsi"/>
        </w:rPr>
      </w:pPr>
      <w:r>
        <w:rPr>
          <w:b/>
        </w:rPr>
        <w:t>Administer Broad</w:t>
      </w:r>
      <w:r w:rsidR="00733604">
        <w:rPr>
          <w:b/>
        </w:rPr>
        <w:t>-s</w:t>
      </w:r>
      <w:r>
        <w:rPr>
          <w:b/>
        </w:rPr>
        <w:t>pectrum Antibiotics</w:t>
      </w:r>
      <w:r w:rsidR="009C6098" w:rsidRPr="009C6098">
        <w:rPr>
          <w:rFonts w:cstheme="minorHAnsi"/>
        </w:rPr>
        <w:t xml:space="preserve"> </w:t>
      </w:r>
    </w:p>
    <w:p w14:paraId="77181AA8" w14:textId="34F21DD5" w:rsidR="001C36CA" w:rsidRDefault="001C36CA" w:rsidP="001A4BC5">
      <w:pPr>
        <w:rPr>
          <w:rFonts w:cstheme="minorHAnsi"/>
        </w:rPr>
      </w:pPr>
      <w:r>
        <w:rPr>
          <w:rFonts w:cstheme="minorHAnsi"/>
        </w:rPr>
        <w:t xml:space="preserve">Empiric broad-spectrum therapy with one or more </w:t>
      </w:r>
      <w:r w:rsidR="001B2C04">
        <w:rPr>
          <w:rFonts w:cstheme="minorHAnsi"/>
        </w:rPr>
        <w:t xml:space="preserve">intravenous </w:t>
      </w:r>
      <w:r>
        <w:rPr>
          <w:rFonts w:cstheme="minorHAnsi"/>
        </w:rPr>
        <w:t>antimicrobials</w:t>
      </w:r>
      <w:r w:rsidR="00534FCF" w:rsidRPr="00534FCF">
        <w:rPr>
          <w:rFonts w:cstheme="minorHAnsi"/>
        </w:rPr>
        <w:t xml:space="preserve"> </w:t>
      </w:r>
      <w:r w:rsidR="00534FCF">
        <w:rPr>
          <w:rFonts w:cstheme="minorHAnsi"/>
        </w:rPr>
        <w:t>to cover all likely pathogens should be started immediately</w:t>
      </w:r>
      <w:r w:rsidR="00A01F77">
        <w:rPr>
          <w:rFonts w:cstheme="minorHAnsi"/>
        </w:rPr>
        <w:t xml:space="preserve"> (21)</w:t>
      </w:r>
      <w:r>
        <w:rPr>
          <w:rFonts w:cstheme="minorHAnsi"/>
        </w:rPr>
        <w:t xml:space="preserve"> for patients presenting with sepsis or septic shock.</w:t>
      </w:r>
      <w:r w:rsidR="008C65CA">
        <w:rPr>
          <w:rFonts w:cstheme="minorHAnsi"/>
        </w:rPr>
        <w:t xml:space="preserve">  Empiric antimicrobial therapy should be narrowed once pathogen identification and sensitivities are </w:t>
      </w:r>
      <w:r w:rsidR="008C65CA">
        <w:rPr>
          <w:rFonts w:cstheme="minorHAnsi"/>
        </w:rPr>
        <w:lastRenderedPageBreak/>
        <w:t>established</w:t>
      </w:r>
      <w:r w:rsidR="005D15FE">
        <w:rPr>
          <w:rFonts w:cstheme="minorHAnsi"/>
        </w:rPr>
        <w:t>, or discontinued if a decision is made that the patient does not have infection</w:t>
      </w:r>
      <w:r w:rsidR="008C65CA">
        <w:rPr>
          <w:rFonts w:cstheme="minorHAnsi"/>
        </w:rPr>
        <w:t xml:space="preserve">. </w:t>
      </w:r>
      <w:r w:rsidR="005D15FE">
        <w:rPr>
          <w:rFonts w:cstheme="minorHAnsi"/>
        </w:rPr>
        <w:t xml:space="preserve">The </w:t>
      </w:r>
      <w:r w:rsidR="002264F8">
        <w:rPr>
          <w:rFonts w:cstheme="minorHAnsi"/>
        </w:rPr>
        <w:t>link</w:t>
      </w:r>
      <w:r w:rsidR="005D15FE">
        <w:rPr>
          <w:rFonts w:cstheme="minorHAnsi"/>
        </w:rPr>
        <w:t xml:space="preserve"> between early administration of antibiotics for suspected infection and antibiotic stewardship remains an essential aspect of high quality sepsis management.  </w:t>
      </w:r>
      <w:r w:rsidR="00940966">
        <w:rPr>
          <w:rFonts w:cstheme="minorHAnsi"/>
        </w:rPr>
        <w:t xml:space="preserve">If infection is subsequently proven not to exist, then antimicrobials </w:t>
      </w:r>
      <w:r w:rsidR="009043DB">
        <w:rPr>
          <w:rFonts w:cstheme="minorHAnsi"/>
        </w:rPr>
        <w:t>should</w:t>
      </w:r>
      <w:r w:rsidR="00940966">
        <w:rPr>
          <w:rFonts w:cstheme="minorHAnsi"/>
        </w:rPr>
        <w:t xml:space="preserve"> be discontinued.</w:t>
      </w:r>
    </w:p>
    <w:p w14:paraId="72C3A706" w14:textId="77777777" w:rsidR="001F6F77" w:rsidRDefault="001F6F77" w:rsidP="001A4BC5">
      <w:pPr>
        <w:rPr>
          <w:b/>
        </w:rPr>
      </w:pPr>
      <w:r>
        <w:rPr>
          <w:b/>
        </w:rPr>
        <w:t xml:space="preserve">Administer </w:t>
      </w:r>
      <w:r w:rsidR="00B31DB4">
        <w:rPr>
          <w:b/>
        </w:rPr>
        <w:t>Intravenous</w:t>
      </w:r>
      <w:r w:rsidR="00F320CC">
        <w:rPr>
          <w:b/>
        </w:rPr>
        <w:t xml:space="preserve"> Fluid</w:t>
      </w:r>
    </w:p>
    <w:p w14:paraId="56EB8518" w14:textId="77F9B6F6" w:rsidR="008C65CA" w:rsidRPr="008C65CA" w:rsidRDefault="00F320CC" w:rsidP="008521F7">
      <w:r>
        <w:t>Early effective fluid resuscitation is crucial for</w:t>
      </w:r>
      <w:r w:rsidR="00B31DB4">
        <w:t xml:space="preserve"> the</w:t>
      </w:r>
      <w:r>
        <w:t xml:space="preserve"> stabilization of sepsis-induced tissue </w:t>
      </w:r>
      <w:proofErr w:type="spellStart"/>
      <w:r>
        <w:t>hypoperfusion</w:t>
      </w:r>
      <w:proofErr w:type="spellEnd"/>
      <w:r>
        <w:t xml:space="preserve"> or septic shock. </w:t>
      </w:r>
      <w:r w:rsidR="00534FCF">
        <w:t>Given the urgent nature of this medical emergency, initial fluid resuscitation should begin</w:t>
      </w:r>
      <w:r w:rsidR="00184A15">
        <w:t xml:space="preserve"> immediately upon recognizing a patient with sepsis and/or hypotension and elevated lactate,</w:t>
      </w:r>
      <w:r w:rsidR="00534FCF">
        <w:t xml:space="preserve"> </w:t>
      </w:r>
      <w:r w:rsidR="00184A15">
        <w:t>and com</w:t>
      </w:r>
      <w:r w:rsidR="000F00E3">
        <w:t>p</w:t>
      </w:r>
      <w:r w:rsidR="00184A15">
        <w:t xml:space="preserve">leted </w:t>
      </w:r>
      <w:r w:rsidR="00F840A2">
        <w:t>within the first 3 hours of recognition.</w:t>
      </w:r>
      <w:r w:rsidR="006C7F64">
        <w:t xml:space="preserve"> The guidelines recommend this should be of a minimum of 30 mL/kg of IV crystalloid fluid</w:t>
      </w:r>
      <w:r w:rsidR="00A600C9">
        <w:t>.</w:t>
      </w:r>
      <w:r w:rsidR="006C7F64">
        <w:t xml:space="preserve"> </w:t>
      </w:r>
      <w:r w:rsidR="00F840A2">
        <w:t xml:space="preserve">  </w:t>
      </w:r>
      <w:r w:rsidR="00534FCF">
        <w:t>Although little literature includes controlled data to support this volume, recent interventional studies have described this as usual practice in the early stages of resuscitation, and observational evidence</w:t>
      </w:r>
      <w:r w:rsidR="004A3F91">
        <w:t xml:space="preserve"> is</w:t>
      </w:r>
      <w:r w:rsidR="00534FCF">
        <w:t xml:space="preserve"> </w:t>
      </w:r>
      <w:r w:rsidR="00940966">
        <w:t>supportive</w:t>
      </w:r>
      <w:r w:rsidR="00534FCF">
        <w:t xml:space="preserve"> (</w:t>
      </w:r>
      <w:r w:rsidR="005678D6">
        <w:t>7,8</w:t>
      </w:r>
      <w:r w:rsidR="00534FCF">
        <w:t>).</w:t>
      </w:r>
      <w:r w:rsidR="00277CD0">
        <w:t xml:space="preserve"> The absence of any clear benefit following the administration of colloid compared to crystalloid solutions in the combined subgroups of sepsis, in conjunction with the expense of albumin, supports a strong recommendation for the use of crystalloid solutions in the initial resuscitation of patients with sepsis and septic shock. Because some evidence indicates that a sustained positive fluid balance during ICU stay is harmful (</w:t>
      </w:r>
      <w:r w:rsidR="004D2DEC">
        <w:t>3</w:t>
      </w:r>
      <w:r w:rsidR="005678D6">
        <w:t>3</w:t>
      </w:r>
      <w:r w:rsidR="004D2DEC">
        <w:t>-3</w:t>
      </w:r>
      <w:r w:rsidR="002936C6">
        <w:t>7</w:t>
      </w:r>
      <w:r w:rsidR="00277CD0">
        <w:t xml:space="preserve">), fluid beyond initial resuscitation requires </w:t>
      </w:r>
      <w:r w:rsidR="00635367">
        <w:t>careful</w:t>
      </w:r>
      <w:r w:rsidR="00277CD0">
        <w:t xml:space="preserve"> </w:t>
      </w:r>
      <w:r w:rsidR="008521F7">
        <w:t>assessment</w:t>
      </w:r>
      <w:r w:rsidR="00277CD0">
        <w:t xml:space="preserve"> of the likelihood that the patient </w:t>
      </w:r>
      <w:r w:rsidR="008521F7">
        <w:t>remains fluid responsive</w:t>
      </w:r>
      <w:r w:rsidR="00277CD0">
        <w:t xml:space="preserve">. </w:t>
      </w:r>
    </w:p>
    <w:p w14:paraId="245DC38F" w14:textId="77777777" w:rsidR="001F6F77" w:rsidRDefault="001F6F77" w:rsidP="001A4BC5">
      <w:pPr>
        <w:rPr>
          <w:b/>
        </w:rPr>
      </w:pPr>
      <w:r>
        <w:rPr>
          <w:b/>
        </w:rPr>
        <w:t>Apply Vasopressors</w:t>
      </w:r>
    </w:p>
    <w:p w14:paraId="3C24169F" w14:textId="1A4EC582" w:rsidR="004700ED" w:rsidRDefault="00635367" w:rsidP="001A4BC5">
      <w:r>
        <w:t>The urgent restoration of an adequate perfusion pressure</w:t>
      </w:r>
      <w:r w:rsidR="00754319">
        <w:t xml:space="preserve"> to</w:t>
      </w:r>
      <w:r>
        <w:t xml:space="preserve"> the vital organs</w:t>
      </w:r>
      <w:r w:rsidR="00754319">
        <w:t xml:space="preserve"> is a key part of the resuscitation. This should not be delayed.</w:t>
      </w:r>
      <w:r>
        <w:t xml:space="preserve"> </w:t>
      </w:r>
      <w:r w:rsidR="00C8174C">
        <w:t>If blood pressure is not restored after initial fluid resuscitation</w:t>
      </w:r>
      <w:r w:rsidR="004D69C7">
        <w:t>,</w:t>
      </w:r>
      <w:r w:rsidR="00C8174C">
        <w:t xml:space="preserve"> then </w:t>
      </w:r>
      <w:r w:rsidR="004700ED">
        <w:t>vasopressors</w:t>
      </w:r>
      <w:r w:rsidR="00C8174C">
        <w:t xml:space="preserve"> should be commenced</w:t>
      </w:r>
      <w:r w:rsidR="008521F7">
        <w:t xml:space="preserve"> </w:t>
      </w:r>
      <w:r w:rsidR="00C8174C">
        <w:t>within the first hour</w:t>
      </w:r>
      <w:r w:rsidR="00D87A1E">
        <w:t xml:space="preserve"> to</w:t>
      </w:r>
      <w:r w:rsidR="004700ED">
        <w:t xml:space="preserve"> </w:t>
      </w:r>
      <w:r w:rsidR="00FA24AB">
        <w:t>achieve mean</w:t>
      </w:r>
      <w:r w:rsidR="004700ED">
        <w:t xml:space="preserve"> arterial pressure (MAP) of </w:t>
      </w:r>
      <w:r w:rsidR="004700ED">
        <w:rPr>
          <w:rFonts w:cstheme="minorHAnsi"/>
        </w:rPr>
        <w:t>≥</w:t>
      </w:r>
      <w:r w:rsidR="004700ED">
        <w:t xml:space="preserve"> 65mm Hg.  The physiologic effects of vasopressors and combined inotrope/vasopressor selection in septic shock are outlined in an extensive number of literature reviews (</w:t>
      </w:r>
      <w:r w:rsidR="004D2DEC">
        <w:t>3</w:t>
      </w:r>
      <w:r w:rsidR="002936C6">
        <w:t>8</w:t>
      </w:r>
      <w:r w:rsidR="004D2DEC">
        <w:t>-4</w:t>
      </w:r>
      <w:r w:rsidR="002936C6">
        <w:t>7</w:t>
      </w:r>
      <w:r w:rsidR="004700ED">
        <w:t xml:space="preserve">). </w:t>
      </w:r>
    </w:p>
    <w:p w14:paraId="4F84AB27" w14:textId="77777777" w:rsidR="00B87B85" w:rsidRDefault="00B87B85" w:rsidP="001A4BC5">
      <w:pPr>
        <w:rPr>
          <w:b/>
        </w:rPr>
      </w:pPr>
      <w:r>
        <w:rPr>
          <w:b/>
        </w:rPr>
        <w:t>Summary</w:t>
      </w:r>
    </w:p>
    <w:p w14:paraId="2FA6C565" w14:textId="1FA46170" w:rsidR="00B87B85" w:rsidRDefault="00B87B85" w:rsidP="008521F7">
      <w:r>
        <w:t xml:space="preserve">Previous iterations of the sepsis bundle were introduced as a means of providing education and improvement related to sepsis management.  </w:t>
      </w:r>
      <w:r w:rsidR="008521F7">
        <w:t xml:space="preserve">The literature supports the use of sepsis bundles for improving outcomes in patients with sepsis and septic shock.  </w:t>
      </w:r>
      <w:r>
        <w:t>This new</w:t>
      </w:r>
      <w:r w:rsidR="00092A34">
        <w:t xml:space="preserve"> sepsis</w:t>
      </w:r>
      <w:r>
        <w:t xml:space="preserve"> </w:t>
      </w:r>
      <w:r w:rsidR="008521F7">
        <w:t>“</w:t>
      </w:r>
      <w:r w:rsidR="00092A34">
        <w:t>hour</w:t>
      </w:r>
      <w:r w:rsidR="00D87A1E">
        <w:t>-</w:t>
      </w:r>
      <w:r w:rsidR="008521F7">
        <w:t>1</w:t>
      </w:r>
      <w:r w:rsidR="00092A34">
        <w:t xml:space="preserve"> bundle</w:t>
      </w:r>
      <w:r w:rsidR="008521F7">
        <w:t xml:space="preserve"> </w:t>
      </w:r>
      <w:proofErr w:type="spellStart"/>
      <w:r w:rsidR="008521F7">
        <w:t>bundle</w:t>
      </w:r>
      <w:proofErr w:type="spellEnd"/>
      <w:r w:rsidR="008521F7">
        <w:t>, based on the 2016 guidelines</w:t>
      </w:r>
      <w:r w:rsidR="00D87A1E">
        <w:t>,</w:t>
      </w:r>
      <w:r>
        <w:t xml:space="preserve"> </w:t>
      </w:r>
      <w:r w:rsidR="008521F7">
        <w:t xml:space="preserve">should </w:t>
      </w:r>
      <w:r>
        <w:t xml:space="preserve">be introduced </w:t>
      </w:r>
      <w:r w:rsidR="00451055">
        <w:t>to emergency</w:t>
      </w:r>
      <w:r>
        <w:t xml:space="preserve"> department, floor, and ICU staff as the next iteration of ever-improving tools in the care of sepsis and septic shock patients as we all work to lessen the global burden of sepsis.  </w:t>
      </w:r>
    </w:p>
    <w:p w14:paraId="3CC4B02E" w14:textId="68AD489E" w:rsidR="004E0271" w:rsidRPr="004E0271" w:rsidRDefault="004E0271" w:rsidP="004E0271">
      <w:pPr>
        <w:contextualSpacing/>
        <w:rPr>
          <w:b/>
          <w:bCs/>
        </w:rPr>
      </w:pPr>
      <w:r>
        <w:rPr>
          <w:b/>
          <w:bCs/>
        </w:rPr>
        <w:t>Acknowledgments</w:t>
      </w:r>
    </w:p>
    <w:p w14:paraId="2BEF7F72" w14:textId="5AC7B8FA" w:rsidR="004700ED" w:rsidRPr="004700ED" w:rsidRDefault="004E0271" w:rsidP="001A4BC5">
      <w:r>
        <w:t>The authors gratefully acknowledge Deb McBride and Lori Harmon for their invaluable assistance with manuscript preparation and editing (DM) and overall support for this work (DM and LH).</w:t>
      </w:r>
    </w:p>
    <w:p w14:paraId="1DF90465" w14:textId="595C634A" w:rsidR="004E0271" w:rsidRDefault="004E0271">
      <w:r>
        <w:br w:type="page"/>
      </w:r>
    </w:p>
    <w:p w14:paraId="4859EB9F" w14:textId="77777777" w:rsidR="00F2022A" w:rsidRPr="00F2022A" w:rsidRDefault="00F2022A" w:rsidP="001A4BC5"/>
    <w:p w14:paraId="37DB57C7" w14:textId="77777777" w:rsidR="004E0271" w:rsidRDefault="004E0271" w:rsidP="004E0271">
      <w:pPr>
        <w:jc w:val="center"/>
      </w:pPr>
      <w:r>
        <w:t>References</w:t>
      </w:r>
    </w:p>
    <w:p w14:paraId="74C33E96" w14:textId="77777777" w:rsidR="004E0271" w:rsidRPr="004E0271" w:rsidRDefault="004E0271" w:rsidP="004E0271">
      <w:pPr>
        <w:pStyle w:val="ListParagraph"/>
        <w:numPr>
          <w:ilvl w:val="0"/>
          <w:numId w:val="1"/>
        </w:numPr>
        <w:rPr>
          <w:rFonts w:ascii="Arial" w:hAnsi="Arial" w:cs="Arial"/>
          <w:sz w:val="20"/>
          <w:szCs w:val="20"/>
        </w:rPr>
      </w:pPr>
      <w:r w:rsidRPr="004E0271">
        <w:rPr>
          <w:rFonts w:ascii="Arial" w:hAnsi="Arial" w:cs="Arial"/>
          <w:color w:val="333333"/>
          <w:sz w:val="20"/>
          <w:szCs w:val="20"/>
          <w:shd w:val="clear" w:color="auto" w:fill="FFFFFF"/>
        </w:rPr>
        <w:t xml:space="preserve">Dellinger RP, </w:t>
      </w:r>
      <w:proofErr w:type="spellStart"/>
      <w:r w:rsidRPr="004E0271">
        <w:rPr>
          <w:rFonts w:ascii="Arial" w:hAnsi="Arial" w:cs="Arial"/>
          <w:color w:val="333333"/>
          <w:sz w:val="20"/>
          <w:szCs w:val="20"/>
          <w:shd w:val="clear" w:color="auto" w:fill="FFFFFF"/>
        </w:rPr>
        <w:t>Carlet</w:t>
      </w:r>
      <w:proofErr w:type="spellEnd"/>
      <w:r w:rsidRPr="004E0271">
        <w:rPr>
          <w:rFonts w:ascii="Arial" w:hAnsi="Arial" w:cs="Arial"/>
          <w:color w:val="333333"/>
          <w:sz w:val="20"/>
          <w:szCs w:val="20"/>
          <w:shd w:val="clear" w:color="auto" w:fill="FFFFFF"/>
        </w:rPr>
        <w:t xml:space="preserve"> JM, </w:t>
      </w:r>
      <w:proofErr w:type="spellStart"/>
      <w:r w:rsidRPr="004E0271">
        <w:rPr>
          <w:rFonts w:ascii="Arial" w:hAnsi="Arial" w:cs="Arial"/>
          <w:color w:val="333333"/>
          <w:sz w:val="20"/>
          <w:szCs w:val="20"/>
          <w:shd w:val="clear" w:color="auto" w:fill="FFFFFF"/>
        </w:rPr>
        <w:t>Masur</w:t>
      </w:r>
      <w:proofErr w:type="spellEnd"/>
      <w:r w:rsidRPr="004E0271">
        <w:rPr>
          <w:rFonts w:ascii="Arial" w:hAnsi="Arial" w:cs="Arial"/>
          <w:color w:val="333333"/>
          <w:sz w:val="20"/>
          <w:szCs w:val="20"/>
          <w:shd w:val="clear" w:color="auto" w:fill="FFFFFF"/>
        </w:rPr>
        <w:t xml:space="preserve"> H, et al; Surviving Sepsis Campaign Management Guidelines Committee. Surviving Sepsis Campaign guidelines for management of severe sepsis and septic shock. </w:t>
      </w:r>
      <w:proofErr w:type="spellStart"/>
      <w:r w:rsidRPr="004E0271">
        <w:rPr>
          <w:rFonts w:ascii="Arial" w:hAnsi="Arial" w:cs="Arial"/>
          <w:color w:val="333333"/>
          <w:sz w:val="20"/>
          <w:szCs w:val="20"/>
          <w:shd w:val="clear" w:color="auto" w:fill="FFFFFF"/>
        </w:rPr>
        <w:t>Crit</w:t>
      </w:r>
      <w:proofErr w:type="spellEnd"/>
      <w:r w:rsidRPr="004E0271">
        <w:rPr>
          <w:rFonts w:ascii="Arial" w:hAnsi="Arial" w:cs="Arial"/>
          <w:color w:val="333333"/>
          <w:sz w:val="20"/>
          <w:szCs w:val="20"/>
          <w:shd w:val="clear" w:color="auto" w:fill="FFFFFF"/>
        </w:rPr>
        <w:t xml:space="preserve"> Care Med. 2004; 32:858–873</w:t>
      </w:r>
    </w:p>
    <w:p w14:paraId="014503C5" w14:textId="77777777" w:rsidR="004E0271" w:rsidRPr="004E0271" w:rsidRDefault="004E0271" w:rsidP="004E0271">
      <w:pPr>
        <w:pStyle w:val="ListParagraph"/>
        <w:numPr>
          <w:ilvl w:val="0"/>
          <w:numId w:val="1"/>
        </w:numPr>
        <w:rPr>
          <w:rFonts w:ascii="Arial" w:hAnsi="Arial" w:cs="Arial"/>
          <w:sz w:val="20"/>
          <w:szCs w:val="20"/>
        </w:rPr>
      </w:pPr>
      <w:r w:rsidRPr="004E0271">
        <w:rPr>
          <w:rFonts w:ascii="Arial" w:hAnsi="Arial" w:cs="Arial"/>
          <w:color w:val="333333"/>
          <w:sz w:val="20"/>
          <w:szCs w:val="20"/>
          <w:shd w:val="clear" w:color="auto" w:fill="FFFFFF"/>
        </w:rPr>
        <w:t xml:space="preserve">Dellinger RP, </w:t>
      </w:r>
      <w:proofErr w:type="spellStart"/>
      <w:r w:rsidRPr="004E0271">
        <w:rPr>
          <w:rFonts w:ascii="Arial" w:hAnsi="Arial" w:cs="Arial"/>
          <w:color w:val="333333"/>
          <w:sz w:val="20"/>
          <w:szCs w:val="20"/>
          <w:shd w:val="clear" w:color="auto" w:fill="FFFFFF"/>
        </w:rPr>
        <w:t>Carlet</w:t>
      </w:r>
      <w:proofErr w:type="spellEnd"/>
      <w:r w:rsidRPr="004E0271">
        <w:rPr>
          <w:rFonts w:ascii="Arial" w:hAnsi="Arial" w:cs="Arial"/>
          <w:color w:val="333333"/>
          <w:sz w:val="20"/>
          <w:szCs w:val="20"/>
          <w:shd w:val="clear" w:color="auto" w:fill="FFFFFF"/>
        </w:rPr>
        <w:t xml:space="preserve"> JM, </w:t>
      </w:r>
      <w:proofErr w:type="spellStart"/>
      <w:r w:rsidRPr="004E0271">
        <w:rPr>
          <w:rFonts w:ascii="Arial" w:hAnsi="Arial" w:cs="Arial"/>
          <w:color w:val="333333"/>
          <w:sz w:val="20"/>
          <w:szCs w:val="20"/>
          <w:shd w:val="clear" w:color="auto" w:fill="FFFFFF"/>
        </w:rPr>
        <w:t>Masur</w:t>
      </w:r>
      <w:proofErr w:type="spellEnd"/>
      <w:r w:rsidRPr="004E0271">
        <w:rPr>
          <w:rFonts w:ascii="Arial" w:hAnsi="Arial" w:cs="Arial"/>
          <w:color w:val="333333"/>
          <w:sz w:val="20"/>
          <w:szCs w:val="20"/>
          <w:shd w:val="clear" w:color="auto" w:fill="FFFFFF"/>
        </w:rPr>
        <w:t xml:space="preserve"> H, et al; Surviving Sepsis Campaign Management Guidelines Committee. Surviving Sepsis Campaign guidelines for management of severe sepsis and septic shock. Intensive Care Med. 2004; 30:536-555</w:t>
      </w:r>
      <w:r w:rsidRPr="004E0271">
        <w:rPr>
          <w:rFonts w:ascii="Arial" w:hAnsi="Arial" w:cs="Arial"/>
          <w:color w:val="545454"/>
          <w:sz w:val="20"/>
          <w:szCs w:val="20"/>
          <w:shd w:val="clear" w:color="auto" w:fill="FFFFFF"/>
        </w:rPr>
        <w:t xml:space="preserve">  </w:t>
      </w:r>
    </w:p>
    <w:p w14:paraId="4FAE5908" w14:textId="77777777" w:rsidR="004E0271" w:rsidRPr="004E0271" w:rsidRDefault="004E0271" w:rsidP="004E0271">
      <w:pPr>
        <w:pStyle w:val="ListParagraph"/>
        <w:numPr>
          <w:ilvl w:val="0"/>
          <w:numId w:val="1"/>
        </w:numPr>
        <w:rPr>
          <w:rFonts w:ascii="Arial" w:hAnsi="Arial" w:cs="Arial"/>
          <w:sz w:val="20"/>
          <w:szCs w:val="20"/>
        </w:rPr>
      </w:pPr>
      <w:r w:rsidRPr="004E0271">
        <w:rPr>
          <w:rFonts w:ascii="Arial" w:hAnsi="Arial" w:cs="Arial"/>
          <w:color w:val="333333"/>
          <w:sz w:val="20"/>
          <w:szCs w:val="20"/>
          <w:shd w:val="clear" w:color="auto" w:fill="FFFFFF"/>
        </w:rPr>
        <w:t xml:space="preserve">Dellinger RP, Levy MM, </w:t>
      </w:r>
      <w:proofErr w:type="spellStart"/>
      <w:r w:rsidRPr="004E0271">
        <w:rPr>
          <w:rFonts w:ascii="Arial" w:hAnsi="Arial" w:cs="Arial"/>
          <w:color w:val="333333"/>
          <w:sz w:val="20"/>
          <w:szCs w:val="20"/>
          <w:shd w:val="clear" w:color="auto" w:fill="FFFFFF"/>
        </w:rPr>
        <w:t>Carlet</w:t>
      </w:r>
      <w:proofErr w:type="spellEnd"/>
      <w:r w:rsidRPr="004E0271">
        <w:rPr>
          <w:rFonts w:ascii="Arial" w:hAnsi="Arial" w:cs="Arial"/>
          <w:color w:val="333333"/>
          <w:sz w:val="20"/>
          <w:szCs w:val="20"/>
          <w:shd w:val="clear" w:color="auto" w:fill="FFFFFF"/>
        </w:rPr>
        <w:t xml:space="preserve"> JM, et al; Surviving Sepsis Campaign: international guidelines for management of severe sepsis and septic shock: 2008. </w:t>
      </w:r>
      <w:proofErr w:type="spellStart"/>
      <w:r w:rsidRPr="004E0271">
        <w:rPr>
          <w:rFonts w:ascii="Arial" w:hAnsi="Arial" w:cs="Arial"/>
          <w:color w:val="333333"/>
          <w:sz w:val="20"/>
          <w:szCs w:val="20"/>
          <w:shd w:val="clear" w:color="auto" w:fill="FFFFFF"/>
        </w:rPr>
        <w:t>Crit</w:t>
      </w:r>
      <w:proofErr w:type="spellEnd"/>
      <w:r w:rsidRPr="004E0271">
        <w:rPr>
          <w:rFonts w:ascii="Arial" w:hAnsi="Arial" w:cs="Arial"/>
          <w:color w:val="333333"/>
          <w:sz w:val="20"/>
          <w:szCs w:val="20"/>
          <w:shd w:val="clear" w:color="auto" w:fill="FFFFFF"/>
        </w:rPr>
        <w:t xml:space="preserve"> Care Med. 2008;36:296–327</w:t>
      </w:r>
    </w:p>
    <w:p w14:paraId="6E9A7826" w14:textId="77777777" w:rsidR="004E0271" w:rsidRPr="004E0271" w:rsidRDefault="004E0271" w:rsidP="004E0271">
      <w:pPr>
        <w:pStyle w:val="ListParagraph"/>
        <w:numPr>
          <w:ilvl w:val="0"/>
          <w:numId w:val="1"/>
        </w:numPr>
        <w:rPr>
          <w:rFonts w:ascii="Arial" w:hAnsi="Arial" w:cs="Arial"/>
          <w:sz w:val="20"/>
          <w:szCs w:val="20"/>
        </w:rPr>
      </w:pPr>
      <w:r w:rsidRPr="004E0271">
        <w:rPr>
          <w:rFonts w:ascii="Arial" w:hAnsi="Arial" w:cs="Arial"/>
          <w:color w:val="333333"/>
          <w:sz w:val="20"/>
          <w:szCs w:val="20"/>
          <w:shd w:val="clear" w:color="auto" w:fill="FFFFFF"/>
        </w:rPr>
        <w:t xml:space="preserve">Dellinger RP, Levy MM, </w:t>
      </w:r>
      <w:proofErr w:type="spellStart"/>
      <w:r w:rsidRPr="004E0271">
        <w:rPr>
          <w:rFonts w:ascii="Arial" w:hAnsi="Arial" w:cs="Arial"/>
          <w:color w:val="333333"/>
          <w:sz w:val="20"/>
          <w:szCs w:val="20"/>
          <w:shd w:val="clear" w:color="auto" w:fill="FFFFFF"/>
        </w:rPr>
        <w:t>Carlet</w:t>
      </w:r>
      <w:proofErr w:type="spellEnd"/>
      <w:r w:rsidRPr="004E0271">
        <w:rPr>
          <w:rFonts w:ascii="Arial" w:hAnsi="Arial" w:cs="Arial"/>
          <w:color w:val="333333"/>
          <w:sz w:val="20"/>
          <w:szCs w:val="20"/>
          <w:shd w:val="clear" w:color="auto" w:fill="FFFFFF"/>
        </w:rPr>
        <w:t xml:space="preserve"> JM, et al; Surviving Sepsis Campaign: international guidelines for management of severe sepsis and septic shock: 2008. Intensive Care Med. 2008; </w:t>
      </w:r>
      <w:r w:rsidRPr="004E0271">
        <w:rPr>
          <w:rFonts w:ascii="Arial" w:hAnsi="Arial" w:cs="Arial"/>
          <w:color w:val="545454"/>
          <w:sz w:val="20"/>
          <w:szCs w:val="20"/>
          <w:shd w:val="clear" w:color="auto" w:fill="FFFFFF"/>
        </w:rPr>
        <w:t> 34:17–60</w:t>
      </w:r>
    </w:p>
    <w:p w14:paraId="370032DB" w14:textId="77777777" w:rsidR="004E0271" w:rsidRPr="004E0271" w:rsidRDefault="004E0271" w:rsidP="004E0271">
      <w:pPr>
        <w:pStyle w:val="ListParagraph"/>
        <w:numPr>
          <w:ilvl w:val="0"/>
          <w:numId w:val="1"/>
        </w:numPr>
        <w:rPr>
          <w:rFonts w:ascii="Arial" w:hAnsi="Arial" w:cs="Arial"/>
          <w:sz w:val="20"/>
          <w:szCs w:val="20"/>
        </w:rPr>
      </w:pPr>
      <w:r w:rsidRPr="004E0271">
        <w:rPr>
          <w:rFonts w:ascii="Arial" w:hAnsi="Arial" w:cs="Arial"/>
          <w:color w:val="333333"/>
          <w:sz w:val="20"/>
          <w:szCs w:val="20"/>
          <w:shd w:val="clear" w:color="auto" w:fill="FFFFFF"/>
        </w:rPr>
        <w:t>Dellinger RP, Levy MM, Rhodes A, et al; Surviving Sepsis Campaign: international guidelines for management of severe sepsis and septic shock, 2012. Intensive Care Med. 2013; 39:165–228</w:t>
      </w:r>
    </w:p>
    <w:p w14:paraId="1DABC883" w14:textId="77777777" w:rsidR="004E0271" w:rsidRPr="004E0271" w:rsidRDefault="004E0271" w:rsidP="004E0271">
      <w:pPr>
        <w:pStyle w:val="ListParagraph"/>
        <w:numPr>
          <w:ilvl w:val="0"/>
          <w:numId w:val="1"/>
        </w:numPr>
        <w:rPr>
          <w:rFonts w:ascii="Arial" w:hAnsi="Arial" w:cs="Arial"/>
          <w:sz w:val="20"/>
          <w:szCs w:val="20"/>
        </w:rPr>
      </w:pPr>
      <w:r w:rsidRPr="004E0271">
        <w:rPr>
          <w:rFonts w:ascii="Arial" w:hAnsi="Arial" w:cs="Arial"/>
          <w:color w:val="333333"/>
          <w:sz w:val="20"/>
          <w:szCs w:val="20"/>
          <w:shd w:val="clear" w:color="auto" w:fill="FFFFFF"/>
        </w:rPr>
        <w:t xml:space="preserve"> Dellinger RP, Levy MM, Rhodes A, et al; Surviving sepsis campaign: international guidelines for management of severe sepsis and septic shock: 2012. </w:t>
      </w:r>
      <w:proofErr w:type="spellStart"/>
      <w:r w:rsidRPr="004E0271">
        <w:rPr>
          <w:rFonts w:ascii="Arial" w:hAnsi="Arial" w:cs="Arial"/>
          <w:color w:val="333333"/>
          <w:sz w:val="20"/>
          <w:szCs w:val="20"/>
          <w:shd w:val="clear" w:color="auto" w:fill="FFFFFF"/>
        </w:rPr>
        <w:t>Crit</w:t>
      </w:r>
      <w:proofErr w:type="spellEnd"/>
      <w:r w:rsidRPr="004E0271">
        <w:rPr>
          <w:rFonts w:ascii="Arial" w:hAnsi="Arial" w:cs="Arial"/>
          <w:color w:val="333333"/>
          <w:sz w:val="20"/>
          <w:szCs w:val="20"/>
          <w:shd w:val="clear" w:color="auto" w:fill="FFFFFF"/>
        </w:rPr>
        <w:t xml:space="preserve"> Care Med. 2013; 41:580–637</w:t>
      </w:r>
    </w:p>
    <w:p w14:paraId="623811F8" w14:textId="77777777" w:rsidR="004E0271" w:rsidRPr="004E0271" w:rsidRDefault="004E0271" w:rsidP="004E0271">
      <w:pPr>
        <w:pStyle w:val="ListParagraph"/>
        <w:numPr>
          <w:ilvl w:val="0"/>
          <w:numId w:val="1"/>
        </w:numPr>
        <w:rPr>
          <w:rFonts w:ascii="Arial" w:hAnsi="Arial" w:cs="Arial"/>
          <w:sz w:val="20"/>
          <w:szCs w:val="20"/>
        </w:rPr>
      </w:pPr>
      <w:r w:rsidRPr="004E0271">
        <w:rPr>
          <w:rFonts w:ascii="Arial" w:hAnsi="Arial" w:cs="Arial"/>
          <w:color w:val="333333"/>
          <w:sz w:val="20"/>
          <w:szCs w:val="20"/>
          <w:shd w:val="clear" w:color="auto" w:fill="FFFFFF"/>
        </w:rPr>
        <w:t xml:space="preserve">Levy MM, Dellinger RP, Townsend SR, et al; Surviving Sepsis Campaign. The Surviving Sepsis Campaign: results of an international guideline-based performance improvement program targeting severe sepsis. </w:t>
      </w:r>
      <w:proofErr w:type="spellStart"/>
      <w:r w:rsidRPr="004E0271">
        <w:rPr>
          <w:rFonts w:ascii="Arial" w:hAnsi="Arial" w:cs="Arial"/>
          <w:color w:val="333333"/>
          <w:sz w:val="20"/>
          <w:szCs w:val="20"/>
          <w:shd w:val="clear" w:color="auto" w:fill="FFFFFF"/>
        </w:rPr>
        <w:t>Crit</w:t>
      </w:r>
      <w:proofErr w:type="spellEnd"/>
      <w:r w:rsidRPr="004E0271">
        <w:rPr>
          <w:rFonts w:ascii="Arial" w:hAnsi="Arial" w:cs="Arial"/>
          <w:color w:val="333333"/>
          <w:sz w:val="20"/>
          <w:szCs w:val="20"/>
          <w:shd w:val="clear" w:color="auto" w:fill="FFFFFF"/>
        </w:rPr>
        <w:t xml:space="preserve"> Care Med. 2010;38:367–374</w:t>
      </w:r>
    </w:p>
    <w:p w14:paraId="1C1642C5" w14:textId="77777777" w:rsidR="004E0271" w:rsidRPr="004E0271" w:rsidRDefault="004E0271" w:rsidP="004E0271">
      <w:pPr>
        <w:pStyle w:val="ListParagraph"/>
        <w:numPr>
          <w:ilvl w:val="0"/>
          <w:numId w:val="1"/>
        </w:numPr>
        <w:rPr>
          <w:rFonts w:ascii="Arial" w:hAnsi="Arial" w:cs="Arial"/>
          <w:sz w:val="20"/>
          <w:szCs w:val="20"/>
        </w:rPr>
      </w:pPr>
      <w:r w:rsidRPr="004E0271">
        <w:rPr>
          <w:rFonts w:ascii="Arial" w:hAnsi="Arial" w:cs="Arial"/>
          <w:color w:val="333333"/>
          <w:sz w:val="20"/>
          <w:szCs w:val="20"/>
          <w:shd w:val="clear" w:color="auto" w:fill="FFFFFF"/>
          <w:lang w:val="fr-FR"/>
        </w:rPr>
        <w:t xml:space="preserve">Levy MM, Rhodes A, Phillips GS, et al. </w:t>
      </w:r>
      <w:r w:rsidRPr="004E0271">
        <w:rPr>
          <w:rFonts w:ascii="Arial" w:hAnsi="Arial" w:cs="Arial"/>
          <w:color w:val="333333"/>
          <w:sz w:val="20"/>
          <w:szCs w:val="20"/>
          <w:shd w:val="clear" w:color="auto" w:fill="FFFFFF"/>
        </w:rPr>
        <w:t xml:space="preserve">Surviving Sepsis Campaign: association between performance metrics and outcomes in a 7.5-year study. </w:t>
      </w:r>
      <w:proofErr w:type="spellStart"/>
      <w:r w:rsidRPr="004E0271">
        <w:rPr>
          <w:rFonts w:ascii="Arial" w:hAnsi="Arial" w:cs="Arial"/>
          <w:color w:val="333333"/>
          <w:sz w:val="20"/>
          <w:szCs w:val="20"/>
          <w:shd w:val="clear" w:color="auto" w:fill="FFFFFF"/>
        </w:rPr>
        <w:t>Crit</w:t>
      </w:r>
      <w:proofErr w:type="spellEnd"/>
      <w:r w:rsidRPr="004E0271">
        <w:rPr>
          <w:rFonts w:ascii="Arial" w:hAnsi="Arial" w:cs="Arial"/>
          <w:color w:val="333333"/>
          <w:sz w:val="20"/>
          <w:szCs w:val="20"/>
          <w:shd w:val="clear" w:color="auto" w:fill="FFFFFF"/>
        </w:rPr>
        <w:t xml:space="preserve"> Care Med. 2015;43:3–12</w:t>
      </w:r>
    </w:p>
    <w:p w14:paraId="1D0C33B8" w14:textId="77777777" w:rsidR="004E0271" w:rsidRPr="004E0271" w:rsidRDefault="004E0271" w:rsidP="004E0271">
      <w:pPr>
        <w:pStyle w:val="ListParagraph"/>
        <w:numPr>
          <w:ilvl w:val="0"/>
          <w:numId w:val="1"/>
        </w:numPr>
        <w:rPr>
          <w:rFonts w:ascii="Arial" w:hAnsi="Arial" w:cs="Arial"/>
          <w:sz w:val="20"/>
          <w:szCs w:val="20"/>
        </w:rPr>
      </w:pPr>
      <w:r w:rsidRPr="004E0271">
        <w:rPr>
          <w:rFonts w:ascii="Arial" w:hAnsi="Arial" w:cs="Arial"/>
          <w:color w:val="333333"/>
          <w:sz w:val="20"/>
          <w:szCs w:val="20"/>
          <w:shd w:val="clear" w:color="auto" w:fill="FFFFFF"/>
          <w:lang w:val="da-DK"/>
        </w:rPr>
        <w:t xml:space="preserve"> Levy MM, Pronovost PJ, Dellinger RP, et al. </w:t>
      </w:r>
      <w:r w:rsidRPr="004E0271">
        <w:rPr>
          <w:rFonts w:ascii="Arial" w:hAnsi="Arial" w:cs="Arial"/>
          <w:color w:val="333333"/>
          <w:sz w:val="20"/>
          <w:szCs w:val="20"/>
          <w:shd w:val="clear" w:color="auto" w:fill="FFFFFF"/>
        </w:rPr>
        <w:t xml:space="preserve">Sepsis change bundles: converting guidelines into meaningful change in behavior and clinical outcome. </w:t>
      </w:r>
      <w:proofErr w:type="spellStart"/>
      <w:r w:rsidRPr="004E0271">
        <w:rPr>
          <w:rFonts w:ascii="Arial" w:hAnsi="Arial" w:cs="Arial"/>
          <w:color w:val="333333"/>
          <w:sz w:val="20"/>
          <w:szCs w:val="20"/>
          <w:shd w:val="clear" w:color="auto" w:fill="FFFFFF"/>
        </w:rPr>
        <w:t>Crit</w:t>
      </w:r>
      <w:proofErr w:type="spellEnd"/>
      <w:r w:rsidRPr="004E0271">
        <w:rPr>
          <w:rFonts w:ascii="Arial" w:hAnsi="Arial" w:cs="Arial"/>
          <w:color w:val="333333"/>
          <w:sz w:val="20"/>
          <w:szCs w:val="20"/>
          <w:shd w:val="clear" w:color="auto" w:fill="FFFFFF"/>
        </w:rPr>
        <w:t xml:space="preserve"> Care Med. 2004;32:S595–S597</w:t>
      </w:r>
    </w:p>
    <w:p w14:paraId="7828DD80" w14:textId="77777777" w:rsidR="004E0271" w:rsidRPr="004E0271" w:rsidRDefault="004E0271" w:rsidP="004E0271">
      <w:pPr>
        <w:pStyle w:val="ListParagraph"/>
        <w:numPr>
          <w:ilvl w:val="0"/>
          <w:numId w:val="1"/>
        </w:numPr>
        <w:rPr>
          <w:rFonts w:ascii="Arial" w:hAnsi="Arial" w:cs="Arial"/>
          <w:sz w:val="20"/>
          <w:szCs w:val="20"/>
        </w:rPr>
      </w:pPr>
      <w:r w:rsidRPr="004E0271">
        <w:rPr>
          <w:rFonts w:ascii="Arial" w:hAnsi="Arial" w:cs="Arial"/>
          <w:color w:val="333333"/>
          <w:sz w:val="20"/>
          <w:szCs w:val="20"/>
          <w:shd w:val="clear" w:color="auto" w:fill="FFFFFF"/>
          <w:lang w:val="it-IT"/>
        </w:rPr>
        <w:t xml:space="preserve">Damiani E, Donati A, Serafini G, et al. </w:t>
      </w:r>
      <w:r w:rsidRPr="004E0271">
        <w:rPr>
          <w:rFonts w:ascii="Arial" w:hAnsi="Arial" w:cs="Arial"/>
          <w:color w:val="333333"/>
          <w:sz w:val="20"/>
          <w:szCs w:val="20"/>
          <w:shd w:val="clear" w:color="auto" w:fill="FFFFFF"/>
        </w:rPr>
        <w:t xml:space="preserve">Effect of performance improvement programs on compliance with sepsis bundles and mortality: a systematic review and meta-analysis of observational studies. </w:t>
      </w:r>
      <w:proofErr w:type="spellStart"/>
      <w:r w:rsidRPr="004E0271">
        <w:rPr>
          <w:rFonts w:ascii="Arial" w:hAnsi="Arial" w:cs="Arial"/>
          <w:color w:val="333333"/>
          <w:sz w:val="20"/>
          <w:szCs w:val="20"/>
          <w:shd w:val="clear" w:color="auto" w:fill="FFFFFF"/>
        </w:rPr>
        <w:t>PLoS</w:t>
      </w:r>
      <w:proofErr w:type="spellEnd"/>
      <w:r w:rsidRPr="004E0271">
        <w:rPr>
          <w:rFonts w:ascii="Arial" w:hAnsi="Arial" w:cs="Arial"/>
          <w:color w:val="333333"/>
          <w:sz w:val="20"/>
          <w:szCs w:val="20"/>
          <w:shd w:val="clear" w:color="auto" w:fill="FFFFFF"/>
        </w:rPr>
        <w:t xml:space="preserve"> One. 2015;10:e0125827</w:t>
      </w:r>
    </w:p>
    <w:p w14:paraId="52C67887" w14:textId="77777777" w:rsidR="004E0271" w:rsidRPr="004E0271" w:rsidRDefault="004E0271" w:rsidP="004E0271">
      <w:pPr>
        <w:pStyle w:val="ListParagraph"/>
        <w:numPr>
          <w:ilvl w:val="0"/>
          <w:numId w:val="1"/>
        </w:numPr>
        <w:rPr>
          <w:rFonts w:ascii="Arial" w:hAnsi="Arial" w:cs="Arial"/>
          <w:sz w:val="20"/>
          <w:szCs w:val="20"/>
        </w:rPr>
      </w:pPr>
      <w:r w:rsidRPr="004E0271">
        <w:rPr>
          <w:rFonts w:ascii="Arial" w:hAnsi="Arial" w:cs="Arial"/>
          <w:color w:val="333333"/>
          <w:sz w:val="20"/>
          <w:szCs w:val="20"/>
          <w:shd w:val="clear" w:color="auto" w:fill="FFFFFF"/>
          <w:lang w:val="fr-FR"/>
        </w:rPr>
        <w:t xml:space="preserve">Rhodes A, Phillips G, Beale R, et al. </w:t>
      </w:r>
      <w:r w:rsidRPr="004E0271">
        <w:rPr>
          <w:rFonts w:ascii="Arial" w:hAnsi="Arial" w:cs="Arial"/>
          <w:color w:val="333333"/>
          <w:sz w:val="20"/>
          <w:szCs w:val="20"/>
          <w:shd w:val="clear" w:color="auto" w:fill="FFFFFF"/>
        </w:rPr>
        <w:t xml:space="preserve">The Surviving Sepsis Campaign bundles and outcome: results from the International </w:t>
      </w:r>
      <w:proofErr w:type="spellStart"/>
      <w:r w:rsidRPr="004E0271">
        <w:rPr>
          <w:rFonts w:ascii="Arial" w:hAnsi="Arial" w:cs="Arial"/>
          <w:color w:val="333333"/>
          <w:sz w:val="20"/>
          <w:szCs w:val="20"/>
          <w:shd w:val="clear" w:color="auto" w:fill="FFFFFF"/>
        </w:rPr>
        <w:t>Multicentre</w:t>
      </w:r>
      <w:proofErr w:type="spellEnd"/>
      <w:r w:rsidRPr="004E0271">
        <w:rPr>
          <w:rFonts w:ascii="Arial" w:hAnsi="Arial" w:cs="Arial"/>
          <w:color w:val="333333"/>
          <w:sz w:val="20"/>
          <w:szCs w:val="20"/>
          <w:shd w:val="clear" w:color="auto" w:fill="FFFFFF"/>
        </w:rPr>
        <w:t xml:space="preserve"> Prevalence Study on Sepsis (the </w:t>
      </w:r>
      <w:proofErr w:type="spellStart"/>
      <w:r w:rsidRPr="004E0271">
        <w:rPr>
          <w:rFonts w:ascii="Arial" w:hAnsi="Arial" w:cs="Arial"/>
          <w:color w:val="333333"/>
          <w:sz w:val="20"/>
          <w:szCs w:val="20"/>
          <w:shd w:val="clear" w:color="auto" w:fill="FFFFFF"/>
        </w:rPr>
        <w:t>IMPreSS</w:t>
      </w:r>
      <w:proofErr w:type="spellEnd"/>
      <w:r w:rsidRPr="004E0271">
        <w:rPr>
          <w:rFonts w:ascii="Arial" w:hAnsi="Arial" w:cs="Arial"/>
          <w:color w:val="333333"/>
          <w:sz w:val="20"/>
          <w:szCs w:val="20"/>
          <w:shd w:val="clear" w:color="auto" w:fill="FFFFFF"/>
        </w:rPr>
        <w:t xml:space="preserve"> study). Intensive Care Med. 2015;41:1620–1628</w:t>
      </w:r>
    </w:p>
    <w:p w14:paraId="230AA4CB" w14:textId="77777777" w:rsidR="004E0271" w:rsidRPr="004E0271" w:rsidRDefault="004E0271" w:rsidP="004E0271">
      <w:pPr>
        <w:pStyle w:val="ListParagraph"/>
        <w:numPr>
          <w:ilvl w:val="0"/>
          <w:numId w:val="1"/>
        </w:numPr>
        <w:rPr>
          <w:rFonts w:ascii="Arial" w:hAnsi="Arial" w:cs="Arial"/>
          <w:sz w:val="20"/>
          <w:szCs w:val="20"/>
        </w:rPr>
      </w:pPr>
      <w:r w:rsidRPr="004E0271">
        <w:rPr>
          <w:rFonts w:ascii="Arial" w:hAnsi="Arial" w:cs="Arial"/>
          <w:color w:val="333333"/>
          <w:sz w:val="20"/>
          <w:szCs w:val="20"/>
          <w:shd w:val="clear" w:color="auto" w:fill="FFFFFF"/>
          <w:lang w:val="fr-FR"/>
        </w:rPr>
        <w:t xml:space="preserve">Rhodes A, Evans L, </w:t>
      </w:r>
      <w:proofErr w:type="spellStart"/>
      <w:r w:rsidRPr="004E0271">
        <w:rPr>
          <w:rFonts w:ascii="Arial" w:hAnsi="Arial" w:cs="Arial"/>
          <w:color w:val="333333"/>
          <w:sz w:val="20"/>
          <w:szCs w:val="20"/>
          <w:shd w:val="clear" w:color="auto" w:fill="FFFFFF"/>
          <w:lang w:val="fr-FR"/>
        </w:rPr>
        <w:t>Alhazzani</w:t>
      </w:r>
      <w:proofErr w:type="spellEnd"/>
      <w:r w:rsidRPr="004E0271">
        <w:rPr>
          <w:rFonts w:ascii="Arial" w:hAnsi="Arial" w:cs="Arial"/>
          <w:color w:val="333333"/>
          <w:sz w:val="20"/>
          <w:szCs w:val="20"/>
          <w:shd w:val="clear" w:color="auto" w:fill="FFFFFF"/>
          <w:lang w:val="fr-FR"/>
        </w:rPr>
        <w:t xml:space="preserve"> W, et al. </w:t>
      </w:r>
      <w:r w:rsidRPr="004E0271">
        <w:rPr>
          <w:rFonts w:ascii="Arial" w:hAnsi="Arial" w:cs="Arial"/>
          <w:color w:val="333333"/>
          <w:sz w:val="20"/>
          <w:szCs w:val="20"/>
          <w:shd w:val="clear" w:color="auto" w:fill="FFFFFF"/>
        </w:rPr>
        <w:t xml:space="preserve">Surviving sepsis campaign: International guidelines for management of sepsis and septic shock: 2016. </w:t>
      </w:r>
      <w:proofErr w:type="spellStart"/>
      <w:r w:rsidRPr="004E0271">
        <w:rPr>
          <w:rFonts w:ascii="Arial" w:hAnsi="Arial" w:cs="Arial"/>
          <w:color w:val="333333"/>
          <w:sz w:val="20"/>
          <w:szCs w:val="20"/>
          <w:shd w:val="clear" w:color="auto" w:fill="FFFFFF"/>
        </w:rPr>
        <w:t>Crit</w:t>
      </w:r>
      <w:proofErr w:type="spellEnd"/>
      <w:r w:rsidRPr="004E0271">
        <w:rPr>
          <w:rFonts w:ascii="Arial" w:hAnsi="Arial" w:cs="Arial"/>
          <w:color w:val="333333"/>
          <w:sz w:val="20"/>
          <w:szCs w:val="20"/>
          <w:shd w:val="clear" w:color="auto" w:fill="FFFFFF"/>
        </w:rPr>
        <w:t xml:space="preserve"> Care Med. 2017; 45:486-552</w:t>
      </w:r>
    </w:p>
    <w:p w14:paraId="6A60B9BD" w14:textId="77777777" w:rsidR="004E0271" w:rsidRPr="004E0271" w:rsidRDefault="004E0271" w:rsidP="004E0271">
      <w:pPr>
        <w:pStyle w:val="ListParagraph"/>
        <w:numPr>
          <w:ilvl w:val="0"/>
          <w:numId w:val="1"/>
        </w:numPr>
        <w:rPr>
          <w:rFonts w:ascii="Arial" w:hAnsi="Arial" w:cs="Arial"/>
          <w:sz w:val="20"/>
          <w:szCs w:val="20"/>
        </w:rPr>
      </w:pPr>
      <w:r w:rsidRPr="004E0271">
        <w:rPr>
          <w:rFonts w:ascii="Arial" w:hAnsi="Arial" w:cs="Arial"/>
          <w:color w:val="333333"/>
          <w:sz w:val="20"/>
          <w:szCs w:val="20"/>
          <w:shd w:val="clear" w:color="auto" w:fill="FFFFFF"/>
          <w:lang w:val="fr-FR"/>
        </w:rPr>
        <w:t xml:space="preserve">Rhodes A, Evans L, </w:t>
      </w:r>
      <w:proofErr w:type="spellStart"/>
      <w:r w:rsidRPr="004E0271">
        <w:rPr>
          <w:rFonts w:ascii="Arial" w:hAnsi="Arial" w:cs="Arial"/>
          <w:color w:val="333333"/>
          <w:sz w:val="20"/>
          <w:szCs w:val="20"/>
          <w:shd w:val="clear" w:color="auto" w:fill="FFFFFF"/>
          <w:lang w:val="fr-FR"/>
        </w:rPr>
        <w:t>Alhazzani</w:t>
      </w:r>
      <w:proofErr w:type="spellEnd"/>
      <w:r w:rsidRPr="004E0271">
        <w:rPr>
          <w:rFonts w:ascii="Arial" w:hAnsi="Arial" w:cs="Arial"/>
          <w:color w:val="333333"/>
          <w:sz w:val="20"/>
          <w:szCs w:val="20"/>
          <w:shd w:val="clear" w:color="auto" w:fill="FFFFFF"/>
          <w:lang w:val="fr-FR"/>
        </w:rPr>
        <w:t xml:space="preserve"> W, et al. </w:t>
      </w:r>
      <w:r w:rsidRPr="004E0271">
        <w:rPr>
          <w:rFonts w:ascii="Arial" w:hAnsi="Arial" w:cs="Arial"/>
          <w:color w:val="333333"/>
          <w:sz w:val="20"/>
          <w:szCs w:val="20"/>
          <w:shd w:val="clear" w:color="auto" w:fill="FFFFFF"/>
        </w:rPr>
        <w:t xml:space="preserve">Surviving sepsis campaign: International guidelines for management of sepsis and septic shock: 2016. Intensive Care Med. 2017; </w:t>
      </w:r>
      <w:r w:rsidRPr="004E0271">
        <w:rPr>
          <w:rFonts w:ascii="Arial" w:hAnsi="Arial" w:cs="Arial"/>
          <w:color w:val="545454"/>
          <w:sz w:val="20"/>
          <w:szCs w:val="20"/>
          <w:shd w:val="clear" w:color="auto" w:fill="FFFFFF"/>
        </w:rPr>
        <w:t>43:304-377</w:t>
      </w:r>
    </w:p>
    <w:p w14:paraId="1BC27821" w14:textId="77777777" w:rsidR="004E0271" w:rsidRPr="004E0271" w:rsidRDefault="00F154F0" w:rsidP="004E0271">
      <w:pPr>
        <w:pStyle w:val="ListParagraph"/>
        <w:numPr>
          <w:ilvl w:val="0"/>
          <w:numId w:val="1"/>
        </w:numPr>
        <w:spacing w:after="0" w:line="240" w:lineRule="auto"/>
        <w:rPr>
          <w:rFonts w:ascii="Arial" w:hAnsi="Arial" w:cs="Arial"/>
          <w:sz w:val="20"/>
          <w:szCs w:val="20"/>
        </w:rPr>
      </w:pPr>
      <w:hyperlink r:id="rId6" w:history="1">
        <w:r w:rsidR="004E0271" w:rsidRPr="004E0271">
          <w:rPr>
            <w:rStyle w:val="Hyperlink"/>
            <w:rFonts w:ascii="Arial" w:hAnsi="Arial" w:cs="Arial"/>
            <w:sz w:val="20"/>
            <w:szCs w:val="20"/>
          </w:rPr>
          <w:t>http://www.nytimes.com/2012/12/21/nyregion/one-boys-death-moves-state-to-action-to-prevent-others.html</w:t>
        </w:r>
      </w:hyperlink>
      <w:r w:rsidR="004E0271" w:rsidRPr="004E0271">
        <w:rPr>
          <w:rFonts w:ascii="Arial" w:hAnsi="Arial" w:cs="Arial"/>
          <w:sz w:val="20"/>
          <w:szCs w:val="20"/>
        </w:rPr>
        <w:t xml:space="preserve"> (last accessed 27 December 2017)</w:t>
      </w:r>
    </w:p>
    <w:p w14:paraId="0E87561E" w14:textId="77777777" w:rsidR="004E0271" w:rsidRPr="004E0271" w:rsidRDefault="00F154F0" w:rsidP="004E0271">
      <w:pPr>
        <w:pStyle w:val="ListParagraph"/>
        <w:numPr>
          <w:ilvl w:val="0"/>
          <w:numId w:val="1"/>
        </w:numPr>
        <w:spacing w:after="0" w:line="240" w:lineRule="auto"/>
        <w:rPr>
          <w:rFonts w:ascii="Arial" w:hAnsi="Arial" w:cs="Arial"/>
          <w:sz w:val="20"/>
          <w:szCs w:val="20"/>
        </w:rPr>
      </w:pPr>
      <w:hyperlink r:id="rId7" w:history="1">
        <w:r w:rsidR="004E0271" w:rsidRPr="004E0271">
          <w:rPr>
            <w:rStyle w:val="Hyperlink"/>
            <w:rFonts w:ascii="Arial" w:hAnsi="Arial" w:cs="Arial"/>
            <w:sz w:val="20"/>
            <w:szCs w:val="20"/>
          </w:rPr>
          <w:t>https://www.cms.gov/Newsroom/MediaReleaseDatabase/Fact-sheets/2014-Fact-sheets-items/2014-08-04-2.html</w:t>
        </w:r>
      </w:hyperlink>
      <w:r w:rsidR="004E0271" w:rsidRPr="004E0271">
        <w:rPr>
          <w:rFonts w:ascii="Arial" w:hAnsi="Arial" w:cs="Arial"/>
          <w:sz w:val="20"/>
          <w:szCs w:val="20"/>
        </w:rPr>
        <w:t xml:space="preserve"> (last accessed 28 December 2017).</w:t>
      </w:r>
    </w:p>
    <w:p w14:paraId="78FF855A" w14:textId="77777777" w:rsidR="004E0271" w:rsidRPr="004E0271" w:rsidRDefault="004E0271" w:rsidP="004E0271">
      <w:pPr>
        <w:pStyle w:val="ListParagraph"/>
        <w:numPr>
          <w:ilvl w:val="0"/>
          <w:numId w:val="1"/>
        </w:numPr>
        <w:rPr>
          <w:rFonts w:ascii="Arial" w:hAnsi="Arial" w:cs="Arial"/>
          <w:sz w:val="20"/>
          <w:szCs w:val="20"/>
        </w:rPr>
      </w:pPr>
      <w:r w:rsidRPr="004E0271">
        <w:rPr>
          <w:rFonts w:ascii="Arial" w:hAnsi="Arial" w:cs="Arial"/>
          <w:sz w:val="20"/>
          <w:szCs w:val="20"/>
        </w:rPr>
        <w:t xml:space="preserve">Seymour CW, </w:t>
      </w:r>
      <w:proofErr w:type="spellStart"/>
      <w:r w:rsidRPr="004E0271">
        <w:rPr>
          <w:rFonts w:ascii="Arial" w:hAnsi="Arial" w:cs="Arial"/>
          <w:sz w:val="20"/>
          <w:szCs w:val="20"/>
        </w:rPr>
        <w:t>Gesten</w:t>
      </w:r>
      <w:proofErr w:type="spellEnd"/>
      <w:r w:rsidRPr="004E0271">
        <w:rPr>
          <w:rFonts w:ascii="Arial" w:hAnsi="Arial" w:cs="Arial"/>
          <w:sz w:val="20"/>
          <w:szCs w:val="20"/>
        </w:rPr>
        <w:t xml:space="preserve"> F, Prescott H, et al. Time to treatment and mortality during mandated emergency care for sepsis. N </w:t>
      </w:r>
      <w:proofErr w:type="spellStart"/>
      <w:r w:rsidRPr="004E0271">
        <w:rPr>
          <w:rFonts w:ascii="Arial" w:hAnsi="Arial" w:cs="Arial"/>
          <w:sz w:val="20"/>
          <w:szCs w:val="20"/>
        </w:rPr>
        <w:t>Engl</w:t>
      </w:r>
      <w:proofErr w:type="spellEnd"/>
      <w:r w:rsidRPr="004E0271">
        <w:rPr>
          <w:rFonts w:ascii="Arial" w:hAnsi="Arial" w:cs="Arial"/>
          <w:sz w:val="20"/>
          <w:szCs w:val="20"/>
        </w:rPr>
        <w:t xml:space="preserve"> J Med. 2017; 376: 2235-2244</w:t>
      </w:r>
    </w:p>
    <w:p w14:paraId="7DABC055" w14:textId="77777777" w:rsidR="004E0271" w:rsidRPr="004E0271" w:rsidRDefault="004E0271" w:rsidP="004E0271">
      <w:pPr>
        <w:pStyle w:val="ListParagraph"/>
        <w:numPr>
          <w:ilvl w:val="0"/>
          <w:numId w:val="1"/>
        </w:numPr>
        <w:rPr>
          <w:rFonts w:ascii="Arial" w:hAnsi="Arial" w:cs="Arial"/>
          <w:color w:val="000000" w:themeColor="text1"/>
          <w:sz w:val="20"/>
          <w:szCs w:val="20"/>
        </w:rPr>
      </w:pPr>
      <w:r w:rsidRPr="004E0271">
        <w:rPr>
          <w:rStyle w:val="Emphasis"/>
          <w:rFonts w:ascii="Arial" w:hAnsi="Arial" w:cs="Arial"/>
          <w:i w:val="0"/>
          <w:iCs w:val="0"/>
          <w:color w:val="000000" w:themeColor="text1"/>
          <w:sz w:val="20"/>
          <w:szCs w:val="20"/>
          <w:shd w:val="clear" w:color="auto" w:fill="FFFFFF"/>
        </w:rPr>
        <w:t xml:space="preserve">Liu VX, Morehouse JW, </w:t>
      </w:r>
      <w:proofErr w:type="spellStart"/>
      <w:r w:rsidRPr="004E0271">
        <w:rPr>
          <w:rStyle w:val="Emphasis"/>
          <w:rFonts w:ascii="Arial" w:hAnsi="Arial" w:cs="Arial"/>
          <w:i w:val="0"/>
          <w:iCs w:val="0"/>
          <w:color w:val="000000" w:themeColor="text1"/>
          <w:sz w:val="20"/>
          <w:szCs w:val="20"/>
          <w:shd w:val="clear" w:color="auto" w:fill="FFFFFF"/>
        </w:rPr>
        <w:t>Marelich</w:t>
      </w:r>
      <w:proofErr w:type="spellEnd"/>
      <w:r w:rsidRPr="004E0271">
        <w:rPr>
          <w:rStyle w:val="Emphasis"/>
          <w:rFonts w:ascii="Arial" w:hAnsi="Arial" w:cs="Arial"/>
          <w:i w:val="0"/>
          <w:iCs w:val="0"/>
          <w:color w:val="000000" w:themeColor="text1"/>
          <w:sz w:val="20"/>
          <w:szCs w:val="20"/>
          <w:shd w:val="clear" w:color="auto" w:fill="FFFFFF"/>
        </w:rPr>
        <w:t xml:space="preserve"> GP, et </w:t>
      </w:r>
      <w:proofErr w:type="spellStart"/>
      <w:r w:rsidRPr="004E0271">
        <w:rPr>
          <w:rStyle w:val="Emphasis"/>
          <w:rFonts w:ascii="Arial" w:hAnsi="Arial" w:cs="Arial"/>
          <w:i w:val="0"/>
          <w:iCs w:val="0"/>
          <w:color w:val="000000" w:themeColor="text1"/>
          <w:sz w:val="20"/>
          <w:szCs w:val="20"/>
          <w:shd w:val="clear" w:color="auto" w:fill="FFFFFF"/>
        </w:rPr>
        <w:t>al.Multicenter</w:t>
      </w:r>
      <w:proofErr w:type="spellEnd"/>
      <w:r w:rsidRPr="004E0271">
        <w:rPr>
          <w:rStyle w:val="Emphasis"/>
          <w:rFonts w:ascii="Arial" w:hAnsi="Arial" w:cs="Arial"/>
          <w:i w:val="0"/>
          <w:iCs w:val="0"/>
          <w:color w:val="000000" w:themeColor="text1"/>
          <w:sz w:val="20"/>
          <w:szCs w:val="20"/>
          <w:shd w:val="clear" w:color="auto" w:fill="FFFFFF"/>
        </w:rPr>
        <w:t xml:space="preserve"> Implementation of a Treatment Bundle for Patients with Sepsis and Intermediate Lactate Values. Am J </w:t>
      </w:r>
      <w:proofErr w:type="spellStart"/>
      <w:r w:rsidRPr="004E0271">
        <w:rPr>
          <w:rStyle w:val="Emphasis"/>
          <w:rFonts w:ascii="Arial" w:hAnsi="Arial" w:cs="Arial"/>
          <w:i w:val="0"/>
          <w:iCs w:val="0"/>
          <w:color w:val="000000" w:themeColor="text1"/>
          <w:sz w:val="20"/>
          <w:szCs w:val="20"/>
          <w:shd w:val="clear" w:color="auto" w:fill="FFFFFF"/>
        </w:rPr>
        <w:t>Respir</w:t>
      </w:r>
      <w:proofErr w:type="spellEnd"/>
      <w:r w:rsidRPr="004E0271">
        <w:rPr>
          <w:rStyle w:val="Emphasis"/>
          <w:rFonts w:ascii="Arial" w:hAnsi="Arial" w:cs="Arial"/>
          <w:i w:val="0"/>
          <w:iCs w:val="0"/>
          <w:color w:val="000000" w:themeColor="text1"/>
          <w:sz w:val="20"/>
          <w:szCs w:val="20"/>
          <w:shd w:val="clear" w:color="auto" w:fill="FFFFFF"/>
        </w:rPr>
        <w:t xml:space="preserve"> </w:t>
      </w:r>
      <w:proofErr w:type="spellStart"/>
      <w:r w:rsidRPr="004E0271">
        <w:rPr>
          <w:rStyle w:val="Emphasis"/>
          <w:rFonts w:ascii="Arial" w:hAnsi="Arial" w:cs="Arial"/>
          <w:i w:val="0"/>
          <w:iCs w:val="0"/>
          <w:color w:val="000000" w:themeColor="text1"/>
          <w:sz w:val="20"/>
          <w:szCs w:val="20"/>
          <w:shd w:val="clear" w:color="auto" w:fill="FFFFFF"/>
        </w:rPr>
        <w:t>Crit</w:t>
      </w:r>
      <w:proofErr w:type="spellEnd"/>
      <w:r w:rsidRPr="004E0271">
        <w:rPr>
          <w:rStyle w:val="Emphasis"/>
          <w:rFonts w:ascii="Arial" w:hAnsi="Arial" w:cs="Arial"/>
          <w:i w:val="0"/>
          <w:iCs w:val="0"/>
          <w:color w:val="000000" w:themeColor="text1"/>
          <w:sz w:val="20"/>
          <w:szCs w:val="20"/>
          <w:shd w:val="clear" w:color="auto" w:fill="FFFFFF"/>
        </w:rPr>
        <w:t xml:space="preserve"> Care Med</w:t>
      </w:r>
      <w:r w:rsidRPr="004E0271">
        <w:rPr>
          <w:rFonts w:ascii="Arial" w:hAnsi="Arial" w:cs="Arial"/>
          <w:color w:val="000000" w:themeColor="text1"/>
          <w:sz w:val="20"/>
          <w:szCs w:val="20"/>
          <w:shd w:val="clear" w:color="auto" w:fill="FFFFFF"/>
        </w:rPr>
        <w:t>. 2016;193(11):1264-1270.</w:t>
      </w:r>
    </w:p>
    <w:p w14:paraId="40FE79C9" w14:textId="77777777" w:rsidR="004E0271" w:rsidRPr="004E0271" w:rsidRDefault="004E0271" w:rsidP="004E0271">
      <w:pPr>
        <w:pStyle w:val="ListParagraph"/>
        <w:numPr>
          <w:ilvl w:val="0"/>
          <w:numId w:val="1"/>
        </w:numPr>
        <w:rPr>
          <w:rFonts w:ascii="Arial" w:hAnsi="Arial" w:cs="Arial"/>
          <w:color w:val="000000" w:themeColor="text1"/>
          <w:sz w:val="20"/>
          <w:szCs w:val="20"/>
        </w:rPr>
      </w:pPr>
      <w:r w:rsidRPr="004E0271">
        <w:rPr>
          <w:rStyle w:val="Emphasis"/>
          <w:rFonts w:ascii="Arial" w:hAnsi="Arial" w:cs="Arial"/>
          <w:i w:val="0"/>
          <w:iCs w:val="0"/>
          <w:color w:val="000000" w:themeColor="text1"/>
          <w:sz w:val="20"/>
          <w:szCs w:val="20"/>
          <w:shd w:val="clear" w:color="auto" w:fill="FFFFFF"/>
          <w:lang w:val="nl-NL"/>
        </w:rPr>
        <w:t>Leisman DE, Doerfler ME, Ward MF, et al.</w:t>
      </w:r>
      <w:r w:rsidRPr="004E0271">
        <w:rPr>
          <w:rFonts w:ascii="Arial" w:hAnsi="Arial" w:cs="Arial"/>
          <w:color w:val="000000" w:themeColor="text1"/>
          <w:sz w:val="20"/>
          <w:szCs w:val="20"/>
          <w:lang w:val="nl-NL"/>
        </w:rPr>
        <w:t xml:space="preserve">  </w:t>
      </w:r>
      <w:r w:rsidRPr="004E0271">
        <w:rPr>
          <w:rFonts w:ascii="Arial" w:hAnsi="Arial" w:cs="Arial"/>
          <w:color w:val="000000" w:themeColor="text1"/>
          <w:sz w:val="20"/>
          <w:szCs w:val="20"/>
        </w:rPr>
        <w:t xml:space="preserve">Survival Benefit and Cost Savings from Compliance with a Simplified 3-hour Sepsis Bundle in a Series of Prospective, Multisite, Observational Cohorts.  </w:t>
      </w:r>
      <w:proofErr w:type="spellStart"/>
      <w:r w:rsidRPr="004E0271">
        <w:rPr>
          <w:rFonts w:ascii="Arial" w:hAnsi="Arial" w:cs="Arial"/>
          <w:color w:val="000000" w:themeColor="text1"/>
          <w:sz w:val="20"/>
          <w:szCs w:val="20"/>
        </w:rPr>
        <w:t>Crit</w:t>
      </w:r>
      <w:proofErr w:type="spellEnd"/>
      <w:r w:rsidRPr="004E0271">
        <w:rPr>
          <w:rFonts w:ascii="Arial" w:hAnsi="Arial" w:cs="Arial"/>
          <w:color w:val="000000" w:themeColor="text1"/>
          <w:sz w:val="20"/>
          <w:szCs w:val="20"/>
        </w:rPr>
        <w:t xml:space="preserve"> Care Med. 2017</w:t>
      </w:r>
      <w:proofErr w:type="gramStart"/>
      <w:r w:rsidRPr="004E0271">
        <w:rPr>
          <w:rFonts w:ascii="Arial" w:hAnsi="Arial" w:cs="Arial"/>
          <w:color w:val="000000" w:themeColor="text1"/>
          <w:sz w:val="20"/>
          <w:szCs w:val="20"/>
        </w:rPr>
        <w:t>;45:395</w:t>
      </w:r>
      <w:proofErr w:type="gramEnd"/>
      <w:r w:rsidRPr="004E0271">
        <w:rPr>
          <w:rFonts w:ascii="Arial" w:hAnsi="Arial" w:cs="Arial"/>
          <w:color w:val="000000" w:themeColor="text1"/>
          <w:sz w:val="20"/>
          <w:szCs w:val="20"/>
        </w:rPr>
        <w:t>-406.</w:t>
      </w:r>
    </w:p>
    <w:p w14:paraId="7D92E610" w14:textId="77777777" w:rsidR="004E0271" w:rsidRPr="004E0271" w:rsidRDefault="004E0271" w:rsidP="004E0271">
      <w:pPr>
        <w:pStyle w:val="ListParagraph"/>
        <w:numPr>
          <w:ilvl w:val="0"/>
          <w:numId w:val="1"/>
        </w:numPr>
        <w:rPr>
          <w:rFonts w:ascii="Arial" w:hAnsi="Arial" w:cs="Arial"/>
          <w:sz w:val="20"/>
          <w:szCs w:val="20"/>
        </w:rPr>
      </w:pPr>
      <w:r w:rsidRPr="004E0271">
        <w:rPr>
          <w:rFonts w:ascii="Arial" w:hAnsi="Arial" w:cs="Arial"/>
          <w:color w:val="333333"/>
          <w:sz w:val="20"/>
          <w:szCs w:val="20"/>
          <w:shd w:val="clear" w:color="auto" w:fill="FFFFFF"/>
        </w:rPr>
        <w:lastRenderedPageBreak/>
        <w:t> Ferrer R, Martin-</w:t>
      </w:r>
      <w:proofErr w:type="spellStart"/>
      <w:r w:rsidRPr="004E0271">
        <w:rPr>
          <w:rFonts w:ascii="Arial" w:hAnsi="Arial" w:cs="Arial"/>
          <w:color w:val="333333"/>
          <w:sz w:val="20"/>
          <w:szCs w:val="20"/>
          <w:shd w:val="clear" w:color="auto" w:fill="FFFFFF"/>
        </w:rPr>
        <w:t>Loeches</w:t>
      </w:r>
      <w:proofErr w:type="spellEnd"/>
      <w:r w:rsidRPr="004E0271">
        <w:rPr>
          <w:rFonts w:ascii="Arial" w:hAnsi="Arial" w:cs="Arial"/>
          <w:color w:val="333333"/>
          <w:sz w:val="20"/>
          <w:szCs w:val="20"/>
          <w:shd w:val="clear" w:color="auto" w:fill="FFFFFF"/>
        </w:rPr>
        <w:t xml:space="preserve"> I, Phillips G, et al. Empiric antibiotic treatment reduces mortality in severe sepsis and septic shock from the first hour: results from a guideline-based performance improvement program. </w:t>
      </w:r>
      <w:proofErr w:type="spellStart"/>
      <w:r w:rsidRPr="004E0271">
        <w:rPr>
          <w:rFonts w:ascii="Arial" w:hAnsi="Arial" w:cs="Arial"/>
          <w:color w:val="333333"/>
          <w:sz w:val="20"/>
          <w:szCs w:val="20"/>
          <w:shd w:val="clear" w:color="auto" w:fill="FFFFFF"/>
        </w:rPr>
        <w:t>Crit</w:t>
      </w:r>
      <w:proofErr w:type="spellEnd"/>
      <w:r w:rsidRPr="004E0271">
        <w:rPr>
          <w:rFonts w:ascii="Arial" w:hAnsi="Arial" w:cs="Arial"/>
          <w:color w:val="333333"/>
          <w:sz w:val="20"/>
          <w:szCs w:val="20"/>
          <w:shd w:val="clear" w:color="auto" w:fill="FFFFFF"/>
        </w:rPr>
        <w:t xml:space="preserve"> Care Med. 2014;42:1749–1755</w:t>
      </w:r>
    </w:p>
    <w:p w14:paraId="0790F00C" w14:textId="77777777" w:rsidR="004E0271" w:rsidRPr="004E0271" w:rsidRDefault="004E0271" w:rsidP="004E0271">
      <w:pPr>
        <w:pStyle w:val="ListParagraph"/>
        <w:numPr>
          <w:ilvl w:val="0"/>
          <w:numId w:val="1"/>
        </w:numPr>
        <w:rPr>
          <w:rFonts w:ascii="Arial" w:hAnsi="Arial" w:cs="Arial"/>
          <w:sz w:val="20"/>
          <w:szCs w:val="20"/>
        </w:rPr>
      </w:pPr>
      <w:r w:rsidRPr="004E0271">
        <w:rPr>
          <w:rFonts w:ascii="Arial" w:hAnsi="Arial" w:cs="Arial"/>
          <w:color w:val="333333"/>
          <w:sz w:val="20"/>
          <w:szCs w:val="20"/>
          <w:shd w:val="clear" w:color="auto" w:fill="FFFFFF"/>
        </w:rPr>
        <w:t xml:space="preserve">Kumar A, Roberts D, Wood KE, et al. Duration of hypotension before initiation of effective antimicrobial therapy is the critical determinant of survival in human septic shock. </w:t>
      </w:r>
      <w:proofErr w:type="spellStart"/>
      <w:r w:rsidRPr="004E0271">
        <w:rPr>
          <w:rFonts w:ascii="Arial" w:hAnsi="Arial" w:cs="Arial"/>
          <w:color w:val="333333"/>
          <w:sz w:val="20"/>
          <w:szCs w:val="20"/>
          <w:shd w:val="clear" w:color="auto" w:fill="FFFFFF"/>
        </w:rPr>
        <w:t>Crit</w:t>
      </w:r>
      <w:proofErr w:type="spellEnd"/>
      <w:r w:rsidRPr="004E0271">
        <w:rPr>
          <w:rFonts w:ascii="Arial" w:hAnsi="Arial" w:cs="Arial"/>
          <w:color w:val="333333"/>
          <w:sz w:val="20"/>
          <w:szCs w:val="20"/>
          <w:shd w:val="clear" w:color="auto" w:fill="FFFFFF"/>
        </w:rPr>
        <w:t xml:space="preserve"> Care Med. 2006;34:1589–1596</w:t>
      </w:r>
    </w:p>
    <w:p w14:paraId="5E55B621" w14:textId="77777777" w:rsidR="004E0271" w:rsidRPr="004E0271" w:rsidRDefault="004E0271" w:rsidP="004E0271">
      <w:pPr>
        <w:pStyle w:val="ListParagraph"/>
        <w:numPr>
          <w:ilvl w:val="0"/>
          <w:numId w:val="1"/>
        </w:numPr>
        <w:rPr>
          <w:rFonts w:ascii="Arial" w:hAnsi="Arial" w:cs="Arial"/>
          <w:sz w:val="20"/>
          <w:szCs w:val="20"/>
        </w:rPr>
      </w:pPr>
      <w:r w:rsidRPr="004E0271">
        <w:rPr>
          <w:rFonts w:ascii="Arial" w:hAnsi="Arial" w:cs="Arial"/>
          <w:color w:val="333333"/>
          <w:sz w:val="20"/>
          <w:szCs w:val="20"/>
          <w:shd w:val="clear" w:color="auto" w:fill="FFFFFF"/>
        </w:rPr>
        <w:t xml:space="preserve">Kumar A. Systematic bias in meta-analyses of time to antimicrobial in sepsis studies. </w:t>
      </w:r>
      <w:proofErr w:type="spellStart"/>
      <w:r w:rsidRPr="004E0271">
        <w:rPr>
          <w:rFonts w:ascii="Arial" w:hAnsi="Arial" w:cs="Arial"/>
          <w:color w:val="333333"/>
          <w:sz w:val="20"/>
          <w:szCs w:val="20"/>
          <w:shd w:val="clear" w:color="auto" w:fill="FFFFFF"/>
        </w:rPr>
        <w:t>Crit</w:t>
      </w:r>
      <w:proofErr w:type="spellEnd"/>
      <w:r w:rsidRPr="004E0271">
        <w:rPr>
          <w:rFonts w:ascii="Arial" w:hAnsi="Arial" w:cs="Arial"/>
          <w:color w:val="333333"/>
          <w:sz w:val="20"/>
          <w:szCs w:val="20"/>
          <w:shd w:val="clear" w:color="auto" w:fill="FFFFFF"/>
        </w:rPr>
        <w:t xml:space="preserve"> Care Med. 2016;44:e234–e235</w:t>
      </w:r>
    </w:p>
    <w:p w14:paraId="1938EB8E" w14:textId="77777777" w:rsidR="004E0271" w:rsidRPr="004E0271" w:rsidRDefault="004E0271" w:rsidP="004E0271">
      <w:pPr>
        <w:pStyle w:val="ListParagraph"/>
        <w:numPr>
          <w:ilvl w:val="0"/>
          <w:numId w:val="1"/>
        </w:numPr>
        <w:rPr>
          <w:rFonts w:ascii="Arial" w:hAnsi="Arial" w:cs="Arial"/>
          <w:sz w:val="20"/>
          <w:szCs w:val="20"/>
        </w:rPr>
      </w:pPr>
      <w:r w:rsidRPr="004E0271">
        <w:rPr>
          <w:rFonts w:ascii="Arial" w:hAnsi="Arial" w:cs="Arial"/>
          <w:color w:val="333333"/>
          <w:sz w:val="20"/>
          <w:szCs w:val="20"/>
          <w:shd w:val="clear" w:color="auto" w:fill="FFFFFF"/>
        </w:rPr>
        <w:t xml:space="preserve">Levy B. Lactate and shock state: the metabolic view. </w:t>
      </w:r>
      <w:proofErr w:type="spellStart"/>
      <w:r w:rsidRPr="004E0271">
        <w:rPr>
          <w:rFonts w:ascii="Arial" w:hAnsi="Arial" w:cs="Arial"/>
          <w:color w:val="333333"/>
          <w:sz w:val="20"/>
          <w:szCs w:val="20"/>
          <w:shd w:val="clear" w:color="auto" w:fill="FFFFFF"/>
        </w:rPr>
        <w:t>Curr</w:t>
      </w:r>
      <w:proofErr w:type="spellEnd"/>
      <w:r w:rsidRPr="004E0271">
        <w:rPr>
          <w:rFonts w:ascii="Arial" w:hAnsi="Arial" w:cs="Arial"/>
          <w:color w:val="333333"/>
          <w:sz w:val="20"/>
          <w:szCs w:val="20"/>
          <w:shd w:val="clear" w:color="auto" w:fill="FFFFFF"/>
        </w:rPr>
        <w:t xml:space="preserve"> </w:t>
      </w:r>
      <w:proofErr w:type="spellStart"/>
      <w:r w:rsidRPr="004E0271">
        <w:rPr>
          <w:rFonts w:ascii="Arial" w:hAnsi="Arial" w:cs="Arial"/>
          <w:color w:val="333333"/>
          <w:sz w:val="20"/>
          <w:szCs w:val="20"/>
          <w:shd w:val="clear" w:color="auto" w:fill="FFFFFF"/>
        </w:rPr>
        <w:t>Opin</w:t>
      </w:r>
      <w:proofErr w:type="spellEnd"/>
      <w:r w:rsidRPr="004E0271">
        <w:rPr>
          <w:rFonts w:ascii="Arial" w:hAnsi="Arial" w:cs="Arial"/>
          <w:color w:val="333333"/>
          <w:sz w:val="20"/>
          <w:szCs w:val="20"/>
          <w:shd w:val="clear" w:color="auto" w:fill="FFFFFF"/>
        </w:rPr>
        <w:t xml:space="preserve"> </w:t>
      </w:r>
      <w:proofErr w:type="spellStart"/>
      <w:r w:rsidRPr="004E0271">
        <w:rPr>
          <w:rFonts w:ascii="Arial" w:hAnsi="Arial" w:cs="Arial"/>
          <w:color w:val="333333"/>
          <w:sz w:val="20"/>
          <w:szCs w:val="20"/>
          <w:shd w:val="clear" w:color="auto" w:fill="FFFFFF"/>
        </w:rPr>
        <w:t>Crit</w:t>
      </w:r>
      <w:proofErr w:type="spellEnd"/>
      <w:r w:rsidRPr="004E0271">
        <w:rPr>
          <w:rFonts w:ascii="Arial" w:hAnsi="Arial" w:cs="Arial"/>
          <w:color w:val="333333"/>
          <w:sz w:val="20"/>
          <w:szCs w:val="20"/>
          <w:shd w:val="clear" w:color="auto" w:fill="FFFFFF"/>
        </w:rPr>
        <w:t xml:space="preserve"> Care. 2006;12:315–321</w:t>
      </w:r>
    </w:p>
    <w:p w14:paraId="37B158B7" w14:textId="77777777" w:rsidR="004E0271" w:rsidRPr="004E0271" w:rsidRDefault="004E0271" w:rsidP="004E0271">
      <w:pPr>
        <w:pStyle w:val="ListParagraph"/>
        <w:numPr>
          <w:ilvl w:val="0"/>
          <w:numId w:val="1"/>
        </w:numPr>
        <w:rPr>
          <w:rFonts w:ascii="Arial" w:hAnsi="Arial" w:cs="Arial"/>
          <w:sz w:val="20"/>
          <w:szCs w:val="20"/>
        </w:rPr>
      </w:pPr>
      <w:proofErr w:type="spellStart"/>
      <w:r w:rsidRPr="004E0271">
        <w:rPr>
          <w:rFonts w:ascii="Arial" w:hAnsi="Arial" w:cs="Arial"/>
          <w:color w:val="333333"/>
          <w:sz w:val="20"/>
          <w:szCs w:val="20"/>
          <w:shd w:val="clear" w:color="auto" w:fill="FFFFFF"/>
        </w:rPr>
        <w:t>Casserly</w:t>
      </w:r>
      <w:proofErr w:type="spellEnd"/>
      <w:r w:rsidRPr="004E0271">
        <w:rPr>
          <w:rFonts w:ascii="Arial" w:hAnsi="Arial" w:cs="Arial"/>
          <w:color w:val="333333"/>
          <w:sz w:val="20"/>
          <w:szCs w:val="20"/>
          <w:shd w:val="clear" w:color="auto" w:fill="FFFFFF"/>
        </w:rPr>
        <w:t xml:space="preserve"> B, Phillips GS, Schorr C, et al. Lactate measurements in sepsis-induced tissue </w:t>
      </w:r>
      <w:proofErr w:type="spellStart"/>
      <w:r w:rsidRPr="004E0271">
        <w:rPr>
          <w:rFonts w:ascii="Arial" w:hAnsi="Arial" w:cs="Arial"/>
          <w:color w:val="333333"/>
          <w:sz w:val="20"/>
          <w:szCs w:val="20"/>
          <w:shd w:val="clear" w:color="auto" w:fill="FFFFFF"/>
        </w:rPr>
        <w:t>hypoperfusion</w:t>
      </w:r>
      <w:proofErr w:type="spellEnd"/>
      <w:r w:rsidRPr="004E0271">
        <w:rPr>
          <w:rFonts w:ascii="Arial" w:hAnsi="Arial" w:cs="Arial"/>
          <w:color w:val="333333"/>
          <w:sz w:val="20"/>
          <w:szCs w:val="20"/>
          <w:shd w:val="clear" w:color="auto" w:fill="FFFFFF"/>
        </w:rPr>
        <w:t xml:space="preserve">: results from the Surviving Sepsis Campaign database. </w:t>
      </w:r>
      <w:proofErr w:type="spellStart"/>
      <w:r w:rsidRPr="004E0271">
        <w:rPr>
          <w:rFonts w:ascii="Arial" w:hAnsi="Arial" w:cs="Arial"/>
          <w:color w:val="333333"/>
          <w:sz w:val="20"/>
          <w:szCs w:val="20"/>
          <w:shd w:val="clear" w:color="auto" w:fill="FFFFFF"/>
        </w:rPr>
        <w:t>Crit</w:t>
      </w:r>
      <w:proofErr w:type="spellEnd"/>
      <w:r w:rsidRPr="004E0271">
        <w:rPr>
          <w:rFonts w:ascii="Arial" w:hAnsi="Arial" w:cs="Arial"/>
          <w:color w:val="333333"/>
          <w:sz w:val="20"/>
          <w:szCs w:val="20"/>
          <w:shd w:val="clear" w:color="auto" w:fill="FFFFFF"/>
        </w:rPr>
        <w:t xml:space="preserve"> Care Med. 2015;43:567–573</w:t>
      </w:r>
    </w:p>
    <w:p w14:paraId="29A52BD0" w14:textId="77777777" w:rsidR="004E0271" w:rsidRPr="004E0271" w:rsidRDefault="004E0271" w:rsidP="004E0271">
      <w:pPr>
        <w:pStyle w:val="ListParagraph"/>
        <w:numPr>
          <w:ilvl w:val="0"/>
          <w:numId w:val="1"/>
        </w:numPr>
        <w:rPr>
          <w:rFonts w:ascii="Arial" w:hAnsi="Arial" w:cs="Arial"/>
          <w:sz w:val="20"/>
          <w:szCs w:val="20"/>
        </w:rPr>
      </w:pPr>
      <w:r w:rsidRPr="004E0271">
        <w:rPr>
          <w:rFonts w:ascii="Arial" w:hAnsi="Arial" w:cs="Arial"/>
          <w:color w:val="333333"/>
          <w:sz w:val="20"/>
          <w:szCs w:val="20"/>
          <w:shd w:val="clear" w:color="auto" w:fill="FFFFFF"/>
        </w:rPr>
        <w:t xml:space="preserve"> Jansen TC, van </w:t>
      </w:r>
      <w:proofErr w:type="spellStart"/>
      <w:r w:rsidRPr="004E0271">
        <w:rPr>
          <w:rFonts w:ascii="Arial" w:hAnsi="Arial" w:cs="Arial"/>
          <w:color w:val="333333"/>
          <w:sz w:val="20"/>
          <w:szCs w:val="20"/>
          <w:shd w:val="clear" w:color="auto" w:fill="FFFFFF"/>
        </w:rPr>
        <w:t>Bommel</w:t>
      </w:r>
      <w:proofErr w:type="spellEnd"/>
      <w:r w:rsidRPr="004E0271">
        <w:rPr>
          <w:rFonts w:ascii="Arial" w:hAnsi="Arial" w:cs="Arial"/>
          <w:color w:val="333333"/>
          <w:sz w:val="20"/>
          <w:szCs w:val="20"/>
          <w:shd w:val="clear" w:color="auto" w:fill="FFFFFF"/>
        </w:rPr>
        <w:t xml:space="preserve"> J, </w:t>
      </w:r>
      <w:proofErr w:type="spellStart"/>
      <w:r w:rsidRPr="004E0271">
        <w:rPr>
          <w:rFonts w:ascii="Arial" w:hAnsi="Arial" w:cs="Arial"/>
          <w:color w:val="333333"/>
          <w:sz w:val="20"/>
          <w:szCs w:val="20"/>
          <w:shd w:val="clear" w:color="auto" w:fill="FFFFFF"/>
        </w:rPr>
        <w:t>Schoonderbeek</w:t>
      </w:r>
      <w:proofErr w:type="spellEnd"/>
      <w:r w:rsidRPr="004E0271">
        <w:rPr>
          <w:rFonts w:ascii="Arial" w:hAnsi="Arial" w:cs="Arial"/>
          <w:color w:val="333333"/>
          <w:sz w:val="20"/>
          <w:szCs w:val="20"/>
          <w:shd w:val="clear" w:color="auto" w:fill="FFFFFF"/>
        </w:rPr>
        <w:t xml:space="preserve"> FJ, et al; LACTATE study group. Early lactate-guided therapy in intensive care unit patients: a multicenter, open-label, randomized controlled trial. Am J </w:t>
      </w:r>
      <w:proofErr w:type="spellStart"/>
      <w:r w:rsidRPr="004E0271">
        <w:rPr>
          <w:rFonts w:ascii="Arial" w:hAnsi="Arial" w:cs="Arial"/>
          <w:color w:val="333333"/>
          <w:sz w:val="20"/>
          <w:szCs w:val="20"/>
          <w:shd w:val="clear" w:color="auto" w:fill="FFFFFF"/>
        </w:rPr>
        <w:t>Respir</w:t>
      </w:r>
      <w:proofErr w:type="spellEnd"/>
      <w:r w:rsidRPr="004E0271">
        <w:rPr>
          <w:rFonts w:ascii="Arial" w:hAnsi="Arial" w:cs="Arial"/>
          <w:color w:val="333333"/>
          <w:sz w:val="20"/>
          <w:szCs w:val="20"/>
          <w:shd w:val="clear" w:color="auto" w:fill="FFFFFF"/>
        </w:rPr>
        <w:t xml:space="preserve"> </w:t>
      </w:r>
      <w:proofErr w:type="spellStart"/>
      <w:r w:rsidRPr="004E0271">
        <w:rPr>
          <w:rFonts w:ascii="Arial" w:hAnsi="Arial" w:cs="Arial"/>
          <w:color w:val="333333"/>
          <w:sz w:val="20"/>
          <w:szCs w:val="20"/>
          <w:shd w:val="clear" w:color="auto" w:fill="FFFFFF"/>
        </w:rPr>
        <w:t>Crit</w:t>
      </w:r>
      <w:proofErr w:type="spellEnd"/>
      <w:r w:rsidRPr="004E0271">
        <w:rPr>
          <w:rFonts w:ascii="Arial" w:hAnsi="Arial" w:cs="Arial"/>
          <w:color w:val="333333"/>
          <w:sz w:val="20"/>
          <w:szCs w:val="20"/>
          <w:shd w:val="clear" w:color="auto" w:fill="FFFFFF"/>
        </w:rPr>
        <w:t xml:space="preserve"> Care Med. 2010;182:752–761</w:t>
      </w:r>
    </w:p>
    <w:p w14:paraId="408EA168" w14:textId="77777777" w:rsidR="004E0271" w:rsidRPr="004E0271" w:rsidRDefault="004E0271" w:rsidP="004E0271">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4E0271">
        <w:rPr>
          <w:rFonts w:ascii="Arial" w:eastAsia="Times New Roman" w:hAnsi="Arial" w:cs="Arial"/>
          <w:color w:val="333333"/>
          <w:sz w:val="20"/>
          <w:szCs w:val="20"/>
        </w:rPr>
        <w:t xml:space="preserve">Jones AE, Shapiro NI, </w:t>
      </w:r>
      <w:proofErr w:type="spellStart"/>
      <w:r w:rsidRPr="004E0271">
        <w:rPr>
          <w:rFonts w:ascii="Arial" w:eastAsia="Times New Roman" w:hAnsi="Arial" w:cs="Arial"/>
          <w:color w:val="333333"/>
          <w:sz w:val="20"/>
          <w:szCs w:val="20"/>
        </w:rPr>
        <w:t>Trzeciak</w:t>
      </w:r>
      <w:proofErr w:type="spellEnd"/>
      <w:r w:rsidRPr="004E0271">
        <w:rPr>
          <w:rFonts w:ascii="Arial" w:eastAsia="Times New Roman" w:hAnsi="Arial" w:cs="Arial"/>
          <w:color w:val="333333"/>
          <w:sz w:val="20"/>
          <w:szCs w:val="20"/>
        </w:rPr>
        <w:t xml:space="preserve"> S, et al; Emergency Medicine Shock Research Network (</w:t>
      </w:r>
      <w:proofErr w:type="spellStart"/>
      <w:r w:rsidRPr="004E0271">
        <w:rPr>
          <w:rFonts w:ascii="Arial" w:eastAsia="Times New Roman" w:hAnsi="Arial" w:cs="Arial"/>
          <w:color w:val="333333"/>
          <w:sz w:val="20"/>
          <w:szCs w:val="20"/>
        </w:rPr>
        <w:t>EMShockNet</w:t>
      </w:r>
      <w:proofErr w:type="spellEnd"/>
      <w:r w:rsidRPr="004E0271">
        <w:rPr>
          <w:rFonts w:ascii="Arial" w:eastAsia="Times New Roman" w:hAnsi="Arial" w:cs="Arial"/>
          <w:color w:val="333333"/>
          <w:sz w:val="20"/>
          <w:szCs w:val="20"/>
        </w:rPr>
        <w:t>) Investigators. Lactate clearance vs central venous oxygen saturation as goals of early sepsis therapy: a randomized clinical trial. JAMA. 2010</w:t>
      </w:r>
      <w:proofErr w:type="gramStart"/>
      <w:r w:rsidRPr="004E0271">
        <w:rPr>
          <w:rFonts w:ascii="Arial" w:eastAsia="Times New Roman" w:hAnsi="Arial" w:cs="Arial"/>
          <w:color w:val="333333"/>
          <w:sz w:val="20"/>
          <w:szCs w:val="20"/>
        </w:rPr>
        <w:t>;303:739</w:t>
      </w:r>
      <w:proofErr w:type="gramEnd"/>
      <w:r w:rsidRPr="004E0271">
        <w:rPr>
          <w:rFonts w:ascii="Arial" w:eastAsia="Times New Roman" w:hAnsi="Arial" w:cs="Arial"/>
          <w:color w:val="333333"/>
          <w:sz w:val="20"/>
          <w:szCs w:val="20"/>
        </w:rPr>
        <w:t>–746.</w:t>
      </w:r>
    </w:p>
    <w:p w14:paraId="3AD2DA43" w14:textId="77777777" w:rsidR="004E0271" w:rsidRPr="004E0271" w:rsidRDefault="004E0271" w:rsidP="004E0271">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4E0271">
        <w:rPr>
          <w:rFonts w:ascii="Arial" w:eastAsia="Times New Roman" w:hAnsi="Arial" w:cs="Arial"/>
          <w:color w:val="333333"/>
          <w:sz w:val="20"/>
          <w:szCs w:val="20"/>
          <w:lang w:val="fr-FR"/>
        </w:rPr>
        <w:t xml:space="preserve"> </w:t>
      </w:r>
      <w:proofErr w:type="spellStart"/>
      <w:r w:rsidRPr="004E0271">
        <w:rPr>
          <w:rFonts w:ascii="Arial" w:eastAsia="Times New Roman" w:hAnsi="Arial" w:cs="Arial"/>
          <w:color w:val="333333"/>
          <w:sz w:val="20"/>
          <w:szCs w:val="20"/>
          <w:lang w:val="fr-FR"/>
        </w:rPr>
        <w:t>Lyu</w:t>
      </w:r>
      <w:proofErr w:type="spellEnd"/>
      <w:r w:rsidRPr="004E0271">
        <w:rPr>
          <w:rFonts w:ascii="Arial" w:eastAsia="Times New Roman" w:hAnsi="Arial" w:cs="Arial"/>
          <w:color w:val="333333"/>
          <w:sz w:val="20"/>
          <w:szCs w:val="20"/>
          <w:lang w:val="fr-FR"/>
        </w:rPr>
        <w:t xml:space="preserve"> X, Xu Q, Cai G, et al. </w:t>
      </w:r>
      <w:r w:rsidRPr="004E0271">
        <w:rPr>
          <w:rFonts w:ascii="Arial" w:eastAsia="Times New Roman" w:hAnsi="Arial" w:cs="Arial"/>
          <w:color w:val="333333"/>
          <w:sz w:val="20"/>
          <w:szCs w:val="20"/>
        </w:rPr>
        <w:t xml:space="preserve">[Efficacies of fluid resuscitation as guided by lactate clearance rate and central venous oxygen saturation in patients with septic shock]. </w:t>
      </w:r>
      <w:proofErr w:type="spellStart"/>
      <w:r w:rsidRPr="004E0271">
        <w:rPr>
          <w:rFonts w:ascii="Arial" w:eastAsia="Times New Roman" w:hAnsi="Arial" w:cs="Arial"/>
          <w:color w:val="333333"/>
          <w:sz w:val="20"/>
          <w:szCs w:val="20"/>
        </w:rPr>
        <w:t>Zhonghua</w:t>
      </w:r>
      <w:proofErr w:type="spellEnd"/>
      <w:r w:rsidRPr="004E0271">
        <w:rPr>
          <w:rFonts w:ascii="Arial" w:eastAsia="Times New Roman" w:hAnsi="Arial" w:cs="Arial"/>
          <w:color w:val="333333"/>
          <w:sz w:val="20"/>
          <w:szCs w:val="20"/>
        </w:rPr>
        <w:t xml:space="preserve"> Yi </w:t>
      </w:r>
      <w:proofErr w:type="spellStart"/>
      <w:r w:rsidRPr="004E0271">
        <w:rPr>
          <w:rFonts w:ascii="Arial" w:eastAsia="Times New Roman" w:hAnsi="Arial" w:cs="Arial"/>
          <w:color w:val="333333"/>
          <w:sz w:val="20"/>
          <w:szCs w:val="20"/>
        </w:rPr>
        <w:t>Xue</w:t>
      </w:r>
      <w:proofErr w:type="spellEnd"/>
      <w:r w:rsidRPr="004E0271">
        <w:rPr>
          <w:rFonts w:ascii="Arial" w:eastAsia="Times New Roman" w:hAnsi="Arial" w:cs="Arial"/>
          <w:color w:val="333333"/>
          <w:sz w:val="20"/>
          <w:szCs w:val="20"/>
        </w:rPr>
        <w:t xml:space="preserve"> </w:t>
      </w:r>
      <w:proofErr w:type="spellStart"/>
      <w:r w:rsidRPr="004E0271">
        <w:rPr>
          <w:rFonts w:ascii="Arial" w:eastAsia="Times New Roman" w:hAnsi="Arial" w:cs="Arial"/>
          <w:color w:val="333333"/>
          <w:sz w:val="20"/>
          <w:szCs w:val="20"/>
        </w:rPr>
        <w:t>Za</w:t>
      </w:r>
      <w:proofErr w:type="spellEnd"/>
      <w:r w:rsidRPr="004E0271">
        <w:rPr>
          <w:rFonts w:ascii="Arial" w:eastAsia="Times New Roman" w:hAnsi="Arial" w:cs="Arial"/>
          <w:color w:val="333333"/>
          <w:sz w:val="20"/>
          <w:szCs w:val="20"/>
        </w:rPr>
        <w:t xml:space="preserve"> </w:t>
      </w:r>
      <w:proofErr w:type="spellStart"/>
      <w:r w:rsidRPr="004E0271">
        <w:rPr>
          <w:rFonts w:ascii="Arial" w:eastAsia="Times New Roman" w:hAnsi="Arial" w:cs="Arial"/>
          <w:color w:val="333333"/>
          <w:sz w:val="20"/>
          <w:szCs w:val="20"/>
        </w:rPr>
        <w:t>Zhi</w:t>
      </w:r>
      <w:proofErr w:type="spellEnd"/>
      <w:r w:rsidRPr="004E0271">
        <w:rPr>
          <w:rFonts w:ascii="Arial" w:eastAsia="Times New Roman" w:hAnsi="Arial" w:cs="Arial"/>
          <w:color w:val="333333"/>
          <w:sz w:val="20"/>
          <w:szCs w:val="20"/>
        </w:rPr>
        <w:t>. 2015; 95:496–500.</w:t>
      </w:r>
    </w:p>
    <w:p w14:paraId="460C211E" w14:textId="77777777" w:rsidR="004E0271" w:rsidRPr="004E0271" w:rsidRDefault="004E0271" w:rsidP="004E0271">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4E0271">
        <w:rPr>
          <w:rFonts w:ascii="Arial" w:eastAsia="Times New Roman" w:hAnsi="Arial" w:cs="Arial"/>
          <w:color w:val="333333"/>
          <w:sz w:val="20"/>
          <w:szCs w:val="20"/>
          <w:lang w:val="da-DK"/>
        </w:rPr>
        <w:t xml:space="preserve"> Tian HH, Han SS, Lv CJ, et al. </w:t>
      </w:r>
      <w:r w:rsidRPr="004E0271">
        <w:rPr>
          <w:rFonts w:ascii="Arial" w:eastAsia="Times New Roman" w:hAnsi="Arial" w:cs="Arial"/>
          <w:color w:val="333333"/>
          <w:sz w:val="20"/>
          <w:szCs w:val="20"/>
        </w:rPr>
        <w:t xml:space="preserve">[The effect of early goal lactate clearance rate on the outcome of septic shock patients with severe pneumonia]. </w:t>
      </w:r>
      <w:proofErr w:type="spellStart"/>
      <w:r w:rsidRPr="004E0271">
        <w:rPr>
          <w:rFonts w:ascii="Arial" w:eastAsia="Times New Roman" w:hAnsi="Arial" w:cs="Arial"/>
          <w:color w:val="333333"/>
          <w:sz w:val="20"/>
          <w:szCs w:val="20"/>
        </w:rPr>
        <w:t>Zhongguo</w:t>
      </w:r>
      <w:proofErr w:type="spellEnd"/>
      <w:r w:rsidRPr="004E0271">
        <w:rPr>
          <w:rFonts w:ascii="Arial" w:eastAsia="Times New Roman" w:hAnsi="Arial" w:cs="Arial"/>
          <w:color w:val="333333"/>
          <w:sz w:val="20"/>
          <w:szCs w:val="20"/>
        </w:rPr>
        <w:t xml:space="preserve"> Wei </w:t>
      </w:r>
      <w:proofErr w:type="spellStart"/>
      <w:r w:rsidRPr="004E0271">
        <w:rPr>
          <w:rFonts w:ascii="Arial" w:eastAsia="Times New Roman" w:hAnsi="Arial" w:cs="Arial"/>
          <w:color w:val="333333"/>
          <w:sz w:val="20"/>
          <w:szCs w:val="20"/>
        </w:rPr>
        <w:t>Zhong</w:t>
      </w:r>
      <w:proofErr w:type="spellEnd"/>
      <w:r w:rsidRPr="004E0271">
        <w:rPr>
          <w:rFonts w:ascii="Arial" w:eastAsia="Times New Roman" w:hAnsi="Arial" w:cs="Arial"/>
          <w:color w:val="333333"/>
          <w:sz w:val="20"/>
          <w:szCs w:val="20"/>
        </w:rPr>
        <w:t xml:space="preserve"> Bing Ji Jiu Yi </w:t>
      </w:r>
      <w:proofErr w:type="spellStart"/>
      <w:r w:rsidRPr="004E0271">
        <w:rPr>
          <w:rFonts w:ascii="Arial" w:eastAsia="Times New Roman" w:hAnsi="Arial" w:cs="Arial"/>
          <w:color w:val="333333"/>
          <w:sz w:val="20"/>
          <w:szCs w:val="20"/>
        </w:rPr>
        <w:t>Xue</w:t>
      </w:r>
      <w:proofErr w:type="spellEnd"/>
      <w:r w:rsidRPr="004E0271">
        <w:rPr>
          <w:rFonts w:ascii="Arial" w:eastAsia="Times New Roman" w:hAnsi="Arial" w:cs="Arial"/>
          <w:color w:val="333333"/>
          <w:sz w:val="20"/>
          <w:szCs w:val="20"/>
        </w:rPr>
        <w:t>. 2012; 24:42–45.</w:t>
      </w:r>
    </w:p>
    <w:p w14:paraId="5A5F6180" w14:textId="77777777" w:rsidR="004E0271" w:rsidRPr="004E0271" w:rsidRDefault="004E0271" w:rsidP="004E0271">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4E0271">
        <w:rPr>
          <w:rFonts w:ascii="Arial" w:eastAsia="Times New Roman" w:hAnsi="Arial" w:cs="Arial"/>
          <w:color w:val="333333"/>
          <w:sz w:val="20"/>
          <w:szCs w:val="20"/>
          <w:lang w:val="da-DK"/>
        </w:rPr>
        <w:t xml:space="preserve">Yu B, Tian HY, Hu ZJ, et al. </w:t>
      </w:r>
      <w:r w:rsidRPr="004E0271">
        <w:rPr>
          <w:rFonts w:ascii="Arial" w:eastAsia="Times New Roman" w:hAnsi="Arial" w:cs="Arial"/>
          <w:color w:val="333333"/>
          <w:sz w:val="20"/>
          <w:szCs w:val="20"/>
        </w:rPr>
        <w:t xml:space="preserve">[Comparison of the effect of fluid resuscitation as guided either by lactate clearance rate or by central venous oxygen saturation in patients with sepsis]. </w:t>
      </w:r>
      <w:proofErr w:type="spellStart"/>
      <w:r w:rsidRPr="004E0271">
        <w:rPr>
          <w:rFonts w:ascii="Arial" w:eastAsia="Times New Roman" w:hAnsi="Arial" w:cs="Arial"/>
          <w:color w:val="333333"/>
          <w:sz w:val="20"/>
          <w:szCs w:val="20"/>
        </w:rPr>
        <w:t>Zhonghua</w:t>
      </w:r>
      <w:proofErr w:type="spellEnd"/>
      <w:r w:rsidRPr="004E0271">
        <w:rPr>
          <w:rFonts w:ascii="Arial" w:eastAsia="Times New Roman" w:hAnsi="Arial" w:cs="Arial"/>
          <w:color w:val="333333"/>
          <w:sz w:val="20"/>
          <w:szCs w:val="20"/>
        </w:rPr>
        <w:t xml:space="preserve"> Wei </w:t>
      </w:r>
      <w:proofErr w:type="spellStart"/>
      <w:r w:rsidRPr="004E0271">
        <w:rPr>
          <w:rFonts w:ascii="Arial" w:eastAsia="Times New Roman" w:hAnsi="Arial" w:cs="Arial"/>
          <w:color w:val="333333"/>
          <w:sz w:val="20"/>
          <w:szCs w:val="20"/>
        </w:rPr>
        <w:t>Zhong</w:t>
      </w:r>
      <w:proofErr w:type="spellEnd"/>
      <w:r w:rsidRPr="004E0271">
        <w:rPr>
          <w:rFonts w:ascii="Arial" w:eastAsia="Times New Roman" w:hAnsi="Arial" w:cs="Arial"/>
          <w:color w:val="333333"/>
          <w:sz w:val="20"/>
          <w:szCs w:val="20"/>
        </w:rPr>
        <w:t xml:space="preserve"> Bing Ji Jiu Yi </w:t>
      </w:r>
      <w:proofErr w:type="spellStart"/>
      <w:r w:rsidRPr="004E0271">
        <w:rPr>
          <w:rFonts w:ascii="Arial" w:eastAsia="Times New Roman" w:hAnsi="Arial" w:cs="Arial"/>
          <w:color w:val="333333"/>
          <w:sz w:val="20"/>
          <w:szCs w:val="20"/>
        </w:rPr>
        <w:t>Xue</w:t>
      </w:r>
      <w:proofErr w:type="spellEnd"/>
      <w:r w:rsidRPr="004E0271">
        <w:rPr>
          <w:rFonts w:ascii="Arial" w:eastAsia="Times New Roman" w:hAnsi="Arial" w:cs="Arial"/>
          <w:color w:val="333333"/>
          <w:sz w:val="20"/>
          <w:szCs w:val="20"/>
        </w:rPr>
        <w:t>. 2013; 25:578–583.</w:t>
      </w:r>
    </w:p>
    <w:p w14:paraId="182C5108" w14:textId="77777777" w:rsidR="004E0271" w:rsidRPr="004E0271" w:rsidRDefault="004E0271" w:rsidP="004E0271">
      <w:pPr>
        <w:pStyle w:val="ListParagraph"/>
        <w:numPr>
          <w:ilvl w:val="0"/>
          <w:numId w:val="1"/>
        </w:numPr>
        <w:shd w:val="clear" w:color="auto" w:fill="FFFFFF"/>
        <w:spacing w:after="0" w:line="240" w:lineRule="auto"/>
        <w:rPr>
          <w:rFonts w:ascii="Arial" w:eastAsia="Times New Roman" w:hAnsi="Arial" w:cs="Arial"/>
          <w:color w:val="333333"/>
          <w:sz w:val="20"/>
          <w:szCs w:val="20"/>
        </w:rPr>
      </w:pPr>
      <w:proofErr w:type="spellStart"/>
      <w:r w:rsidRPr="004E0271">
        <w:rPr>
          <w:rFonts w:ascii="Arial" w:eastAsia="Times New Roman" w:hAnsi="Arial" w:cs="Arial"/>
          <w:color w:val="333333"/>
          <w:sz w:val="20"/>
          <w:szCs w:val="20"/>
        </w:rPr>
        <w:t>Zadroga</w:t>
      </w:r>
      <w:proofErr w:type="spellEnd"/>
      <w:r w:rsidRPr="004E0271">
        <w:rPr>
          <w:rFonts w:ascii="Arial" w:eastAsia="Times New Roman" w:hAnsi="Arial" w:cs="Arial"/>
          <w:color w:val="333333"/>
          <w:sz w:val="20"/>
          <w:szCs w:val="20"/>
        </w:rPr>
        <w:t xml:space="preserve"> R, Williams DN, </w:t>
      </w:r>
      <w:proofErr w:type="spellStart"/>
      <w:r w:rsidRPr="004E0271">
        <w:rPr>
          <w:rFonts w:ascii="Arial" w:eastAsia="Times New Roman" w:hAnsi="Arial" w:cs="Arial"/>
          <w:color w:val="333333"/>
          <w:sz w:val="20"/>
          <w:szCs w:val="20"/>
        </w:rPr>
        <w:t>Gottschall</w:t>
      </w:r>
      <w:proofErr w:type="spellEnd"/>
      <w:r w:rsidRPr="004E0271">
        <w:rPr>
          <w:rFonts w:ascii="Arial" w:eastAsia="Times New Roman" w:hAnsi="Arial" w:cs="Arial"/>
          <w:color w:val="333333"/>
          <w:sz w:val="20"/>
          <w:szCs w:val="20"/>
        </w:rPr>
        <w:t xml:space="preserve"> R, et al. Comparison of 2 blood culture media shows significant differences in bacterial recovery for patients on antimicrobial therapy. </w:t>
      </w:r>
      <w:proofErr w:type="spellStart"/>
      <w:r w:rsidRPr="004E0271">
        <w:rPr>
          <w:rFonts w:ascii="Arial" w:eastAsia="Times New Roman" w:hAnsi="Arial" w:cs="Arial"/>
          <w:color w:val="333333"/>
          <w:sz w:val="20"/>
          <w:szCs w:val="20"/>
        </w:rPr>
        <w:t>Clin</w:t>
      </w:r>
      <w:proofErr w:type="spellEnd"/>
      <w:r w:rsidRPr="004E0271">
        <w:rPr>
          <w:rFonts w:ascii="Arial" w:eastAsia="Times New Roman" w:hAnsi="Arial" w:cs="Arial"/>
          <w:color w:val="333333"/>
          <w:sz w:val="20"/>
          <w:szCs w:val="20"/>
        </w:rPr>
        <w:t xml:space="preserve"> Infect Dis. 2013;56:790–797</w:t>
      </w:r>
    </w:p>
    <w:p w14:paraId="772D5819" w14:textId="77777777" w:rsidR="004E0271" w:rsidRPr="004E0271" w:rsidRDefault="004E0271" w:rsidP="004E0271">
      <w:pPr>
        <w:pStyle w:val="ListParagraph"/>
        <w:numPr>
          <w:ilvl w:val="0"/>
          <w:numId w:val="1"/>
        </w:numPr>
        <w:shd w:val="clear" w:color="auto" w:fill="FFFFFF"/>
        <w:spacing w:after="0" w:line="240" w:lineRule="auto"/>
        <w:rPr>
          <w:rFonts w:ascii="Arial" w:eastAsia="Times New Roman" w:hAnsi="Arial" w:cs="Arial"/>
          <w:color w:val="333333"/>
          <w:sz w:val="20"/>
          <w:szCs w:val="20"/>
        </w:rPr>
      </w:pPr>
      <w:proofErr w:type="spellStart"/>
      <w:r w:rsidRPr="004E0271">
        <w:rPr>
          <w:rFonts w:ascii="Arial" w:eastAsia="Times New Roman" w:hAnsi="Arial" w:cs="Arial"/>
          <w:color w:val="333333"/>
          <w:sz w:val="20"/>
          <w:szCs w:val="20"/>
        </w:rPr>
        <w:t>Kanegaye</w:t>
      </w:r>
      <w:proofErr w:type="spellEnd"/>
      <w:r w:rsidRPr="004E0271">
        <w:rPr>
          <w:rFonts w:ascii="Arial" w:eastAsia="Times New Roman" w:hAnsi="Arial" w:cs="Arial"/>
          <w:color w:val="333333"/>
          <w:sz w:val="20"/>
          <w:szCs w:val="20"/>
        </w:rPr>
        <w:t xml:space="preserve"> JT, </w:t>
      </w:r>
      <w:proofErr w:type="spellStart"/>
      <w:r w:rsidRPr="004E0271">
        <w:rPr>
          <w:rFonts w:ascii="Arial" w:eastAsia="Times New Roman" w:hAnsi="Arial" w:cs="Arial"/>
          <w:color w:val="333333"/>
          <w:sz w:val="20"/>
          <w:szCs w:val="20"/>
        </w:rPr>
        <w:t>Soliemanzadeh</w:t>
      </w:r>
      <w:proofErr w:type="spellEnd"/>
      <w:r w:rsidRPr="004E0271">
        <w:rPr>
          <w:rFonts w:ascii="Arial" w:eastAsia="Times New Roman" w:hAnsi="Arial" w:cs="Arial"/>
          <w:color w:val="333333"/>
          <w:sz w:val="20"/>
          <w:szCs w:val="20"/>
        </w:rPr>
        <w:t xml:space="preserve"> P, Bradley JS. Lumbar puncture in pediatric bacterial meningitis: defining the time interval for recovery of cerebrospinal fluid pathogens after parenteral antibiotic pretreatment. Pediatrics. 2001;108:1169–1174</w:t>
      </w:r>
    </w:p>
    <w:p w14:paraId="2199C021" w14:textId="77777777" w:rsidR="004E0271" w:rsidRPr="004E0271" w:rsidRDefault="004E0271" w:rsidP="004E0271">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4E0271">
        <w:rPr>
          <w:rFonts w:ascii="Arial" w:eastAsia="Times New Roman" w:hAnsi="Arial" w:cs="Arial"/>
          <w:color w:val="333333"/>
          <w:sz w:val="20"/>
          <w:szCs w:val="20"/>
          <w:lang w:val="pt-BR"/>
        </w:rPr>
        <w:t xml:space="preserve">Cardoso T, Carneiro AH, Ribeiro O, et al. </w:t>
      </w:r>
      <w:r w:rsidRPr="004E0271">
        <w:rPr>
          <w:rFonts w:ascii="Arial" w:eastAsia="Times New Roman" w:hAnsi="Arial" w:cs="Arial"/>
          <w:color w:val="333333"/>
          <w:sz w:val="20"/>
          <w:szCs w:val="20"/>
        </w:rPr>
        <w:t>Reducing mortality in severe sepsis with the implementation of a core 6-hour bundle: results from the Portuguese community-acquired sepsis study (</w:t>
      </w:r>
      <w:proofErr w:type="spellStart"/>
      <w:r w:rsidRPr="004E0271">
        <w:rPr>
          <w:rFonts w:ascii="Arial" w:eastAsia="Times New Roman" w:hAnsi="Arial" w:cs="Arial"/>
          <w:color w:val="333333"/>
          <w:sz w:val="20"/>
          <w:szCs w:val="20"/>
        </w:rPr>
        <w:t>SACiUCI</w:t>
      </w:r>
      <w:proofErr w:type="spellEnd"/>
      <w:r w:rsidRPr="004E0271">
        <w:rPr>
          <w:rFonts w:ascii="Arial" w:eastAsia="Times New Roman" w:hAnsi="Arial" w:cs="Arial"/>
          <w:color w:val="333333"/>
          <w:sz w:val="20"/>
          <w:szCs w:val="20"/>
        </w:rPr>
        <w:t xml:space="preserve"> study). </w:t>
      </w:r>
      <w:proofErr w:type="spellStart"/>
      <w:r w:rsidRPr="004E0271">
        <w:rPr>
          <w:rFonts w:ascii="Arial" w:eastAsia="Times New Roman" w:hAnsi="Arial" w:cs="Arial"/>
          <w:color w:val="333333"/>
          <w:sz w:val="20"/>
          <w:szCs w:val="20"/>
        </w:rPr>
        <w:t>Crit</w:t>
      </w:r>
      <w:proofErr w:type="spellEnd"/>
      <w:r w:rsidRPr="004E0271">
        <w:rPr>
          <w:rFonts w:ascii="Arial" w:eastAsia="Times New Roman" w:hAnsi="Arial" w:cs="Arial"/>
          <w:color w:val="333333"/>
          <w:sz w:val="20"/>
          <w:szCs w:val="20"/>
        </w:rPr>
        <w:t xml:space="preserve"> Care. 2010;14:R83</w:t>
      </w:r>
    </w:p>
    <w:p w14:paraId="226C6E02" w14:textId="77777777" w:rsidR="004E0271" w:rsidRPr="004E0271" w:rsidRDefault="004E0271" w:rsidP="004E0271">
      <w:pPr>
        <w:pStyle w:val="ListParagraph"/>
        <w:numPr>
          <w:ilvl w:val="0"/>
          <w:numId w:val="1"/>
        </w:numPr>
        <w:shd w:val="clear" w:color="auto" w:fill="FFFFFF"/>
        <w:spacing w:before="100" w:beforeAutospacing="1" w:after="0" w:afterAutospacing="1" w:line="240" w:lineRule="auto"/>
        <w:rPr>
          <w:rFonts w:ascii="Arial" w:eastAsia="Times New Roman" w:hAnsi="Arial" w:cs="Arial"/>
          <w:color w:val="333333"/>
          <w:sz w:val="20"/>
          <w:szCs w:val="20"/>
        </w:rPr>
      </w:pPr>
      <w:r w:rsidRPr="004E0271">
        <w:rPr>
          <w:rFonts w:ascii="Arial" w:eastAsia="Times New Roman" w:hAnsi="Arial" w:cs="Arial"/>
          <w:color w:val="333333"/>
          <w:sz w:val="20"/>
          <w:szCs w:val="20"/>
          <w:lang w:val="pt-BR"/>
        </w:rPr>
        <w:t xml:space="preserve">De Sousa AG, Fernandes Junior CJ, Santos GPD, et al. </w:t>
      </w:r>
      <w:r w:rsidRPr="004E0271">
        <w:rPr>
          <w:rFonts w:ascii="Arial" w:eastAsia="Times New Roman" w:hAnsi="Arial" w:cs="Arial"/>
          <w:color w:val="333333"/>
          <w:sz w:val="20"/>
          <w:szCs w:val="20"/>
        </w:rPr>
        <w:t>The impact of each action in the Surviving Sepsis Campaign measures on hospital mortality of patients with severe sepsis/septic shock. Einstein. 2008;63323–327</w:t>
      </w:r>
    </w:p>
    <w:p w14:paraId="34C50929" w14:textId="77777777" w:rsidR="004E0271" w:rsidRPr="004E0271" w:rsidRDefault="004E0271" w:rsidP="004E0271">
      <w:pPr>
        <w:pStyle w:val="ListParagraph"/>
        <w:numPr>
          <w:ilvl w:val="0"/>
          <w:numId w:val="1"/>
        </w:numPr>
        <w:shd w:val="clear" w:color="auto" w:fill="FFFFFF"/>
        <w:spacing w:before="100" w:beforeAutospacing="1" w:after="0" w:afterAutospacing="1" w:line="240" w:lineRule="auto"/>
        <w:rPr>
          <w:rFonts w:ascii="Arial" w:eastAsia="Times New Roman" w:hAnsi="Arial" w:cs="Arial"/>
          <w:color w:val="333333"/>
          <w:sz w:val="20"/>
          <w:szCs w:val="20"/>
        </w:rPr>
      </w:pPr>
      <w:proofErr w:type="spellStart"/>
      <w:r w:rsidRPr="004E0271">
        <w:rPr>
          <w:rFonts w:ascii="Arial" w:eastAsia="Times New Roman" w:hAnsi="Arial" w:cs="Arial"/>
          <w:color w:val="333333"/>
          <w:sz w:val="20"/>
          <w:szCs w:val="20"/>
        </w:rPr>
        <w:t>Acheampong</w:t>
      </w:r>
      <w:proofErr w:type="spellEnd"/>
      <w:r w:rsidRPr="004E0271">
        <w:rPr>
          <w:rFonts w:ascii="Arial" w:eastAsia="Times New Roman" w:hAnsi="Arial" w:cs="Arial"/>
          <w:color w:val="333333"/>
          <w:sz w:val="20"/>
          <w:szCs w:val="20"/>
        </w:rPr>
        <w:t xml:space="preserve"> A, Vincent JL. A positive fluid balance is an independent prognostic factor in patients with sepsis. </w:t>
      </w:r>
      <w:proofErr w:type="spellStart"/>
      <w:r w:rsidRPr="004E0271">
        <w:rPr>
          <w:rFonts w:ascii="Arial" w:eastAsia="Times New Roman" w:hAnsi="Arial" w:cs="Arial"/>
          <w:color w:val="333333"/>
          <w:sz w:val="20"/>
          <w:szCs w:val="20"/>
        </w:rPr>
        <w:t>Crit</w:t>
      </w:r>
      <w:proofErr w:type="spellEnd"/>
      <w:r w:rsidRPr="004E0271">
        <w:rPr>
          <w:rFonts w:ascii="Arial" w:eastAsia="Times New Roman" w:hAnsi="Arial" w:cs="Arial"/>
          <w:color w:val="333333"/>
          <w:sz w:val="20"/>
          <w:szCs w:val="20"/>
        </w:rPr>
        <w:t xml:space="preserve"> Care. 2015;19:251</w:t>
      </w:r>
    </w:p>
    <w:p w14:paraId="05FD39D9" w14:textId="77777777" w:rsidR="004E0271" w:rsidRPr="004E0271" w:rsidRDefault="004E0271" w:rsidP="004E0271">
      <w:pPr>
        <w:pStyle w:val="ListParagraph"/>
        <w:numPr>
          <w:ilvl w:val="0"/>
          <w:numId w:val="1"/>
        </w:numPr>
        <w:shd w:val="clear" w:color="auto" w:fill="FFFFFF"/>
        <w:spacing w:before="100" w:beforeAutospacing="1" w:after="0" w:afterAutospacing="1" w:line="240" w:lineRule="auto"/>
        <w:rPr>
          <w:rFonts w:ascii="Arial" w:eastAsia="Times New Roman" w:hAnsi="Arial" w:cs="Arial"/>
          <w:color w:val="333333"/>
          <w:sz w:val="20"/>
          <w:szCs w:val="20"/>
        </w:rPr>
      </w:pPr>
      <w:r w:rsidRPr="004E0271">
        <w:rPr>
          <w:rFonts w:ascii="Arial" w:eastAsia="Times New Roman" w:hAnsi="Arial" w:cs="Arial"/>
          <w:color w:val="333333"/>
          <w:sz w:val="20"/>
          <w:szCs w:val="20"/>
          <w:lang w:val="da-DK"/>
        </w:rPr>
        <w:t xml:space="preserve">Brotfain E, Koyfman L, Toledano R, et al. </w:t>
      </w:r>
      <w:r w:rsidRPr="004E0271">
        <w:rPr>
          <w:rFonts w:ascii="Arial" w:eastAsia="Times New Roman" w:hAnsi="Arial" w:cs="Arial"/>
          <w:color w:val="333333"/>
          <w:sz w:val="20"/>
          <w:szCs w:val="20"/>
        </w:rPr>
        <w:t xml:space="preserve">Positive fluid balance as a major predictor of clinical outcome of patients with sepsis/septic shock after ICU discharge. Am J </w:t>
      </w:r>
      <w:proofErr w:type="spellStart"/>
      <w:r w:rsidRPr="004E0271">
        <w:rPr>
          <w:rFonts w:ascii="Arial" w:eastAsia="Times New Roman" w:hAnsi="Arial" w:cs="Arial"/>
          <w:color w:val="333333"/>
          <w:sz w:val="20"/>
          <w:szCs w:val="20"/>
        </w:rPr>
        <w:t>Emerg</w:t>
      </w:r>
      <w:proofErr w:type="spellEnd"/>
      <w:r w:rsidRPr="004E0271">
        <w:rPr>
          <w:rFonts w:ascii="Arial" w:eastAsia="Times New Roman" w:hAnsi="Arial" w:cs="Arial"/>
          <w:color w:val="333333"/>
          <w:sz w:val="20"/>
          <w:szCs w:val="20"/>
        </w:rPr>
        <w:t xml:space="preserve"> Med. 2016;34:2122–2126</w:t>
      </w:r>
    </w:p>
    <w:p w14:paraId="5EA0E60A" w14:textId="77777777" w:rsidR="004E0271" w:rsidRPr="004E0271" w:rsidRDefault="004E0271" w:rsidP="004E0271">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4E0271">
        <w:rPr>
          <w:rFonts w:ascii="Arial" w:eastAsia="Times New Roman" w:hAnsi="Arial" w:cs="Arial"/>
          <w:color w:val="333333"/>
          <w:sz w:val="20"/>
          <w:szCs w:val="20"/>
        </w:rPr>
        <w:t xml:space="preserve">Mitchell KH, Carlbom D, Caldwell E, et al. Volume overload: Prevalence, risk factors, and functional outcome in survivors of septic shock. Ann Am </w:t>
      </w:r>
      <w:proofErr w:type="spellStart"/>
      <w:r w:rsidRPr="004E0271">
        <w:rPr>
          <w:rFonts w:ascii="Arial" w:eastAsia="Times New Roman" w:hAnsi="Arial" w:cs="Arial"/>
          <w:color w:val="333333"/>
          <w:sz w:val="20"/>
          <w:szCs w:val="20"/>
        </w:rPr>
        <w:t>Thorac</w:t>
      </w:r>
      <w:proofErr w:type="spellEnd"/>
      <w:r w:rsidRPr="004E0271">
        <w:rPr>
          <w:rFonts w:ascii="Arial" w:eastAsia="Times New Roman" w:hAnsi="Arial" w:cs="Arial"/>
          <w:color w:val="333333"/>
          <w:sz w:val="20"/>
          <w:szCs w:val="20"/>
        </w:rPr>
        <w:t xml:space="preserve"> Soc. 2015; 12:1837–1844.</w:t>
      </w:r>
    </w:p>
    <w:p w14:paraId="5DA5EDEA" w14:textId="77777777" w:rsidR="004E0271" w:rsidRPr="004E0271" w:rsidRDefault="004E0271" w:rsidP="004E0271">
      <w:pPr>
        <w:pStyle w:val="ListParagraph"/>
        <w:numPr>
          <w:ilvl w:val="0"/>
          <w:numId w:val="1"/>
        </w:numPr>
        <w:shd w:val="clear" w:color="auto" w:fill="FFFFFF"/>
        <w:spacing w:before="100" w:beforeAutospacing="1" w:after="0" w:afterAutospacing="1" w:line="240" w:lineRule="auto"/>
        <w:rPr>
          <w:rFonts w:ascii="Arial" w:eastAsia="Times New Roman" w:hAnsi="Arial" w:cs="Arial"/>
          <w:color w:val="333333"/>
          <w:sz w:val="20"/>
          <w:szCs w:val="20"/>
        </w:rPr>
      </w:pPr>
      <w:r w:rsidRPr="004E0271">
        <w:rPr>
          <w:rFonts w:ascii="Arial" w:eastAsia="Times New Roman" w:hAnsi="Arial" w:cs="Arial"/>
          <w:color w:val="333333"/>
          <w:sz w:val="20"/>
          <w:szCs w:val="20"/>
          <w:lang w:val="pt-BR"/>
        </w:rPr>
        <w:t xml:space="preserve">de Oliveira FS, Freitas FG, Ferreira EM, et al. </w:t>
      </w:r>
      <w:r w:rsidRPr="004E0271">
        <w:rPr>
          <w:rFonts w:ascii="Arial" w:eastAsia="Times New Roman" w:hAnsi="Arial" w:cs="Arial"/>
          <w:color w:val="333333"/>
          <w:sz w:val="20"/>
          <w:szCs w:val="20"/>
        </w:rPr>
        <w:t xml:space="preserve">Positive fluid balance as a prognostic factor for mortality and acute kidney injury in severe sepsis and septic shock. J </w:t>
      </w:r>
      <w:proofErr w:type="spellStart"/>
      <w:r w:rsidRPr="004E0271">
        <w:rPr>
          <w:rFonts w:ascii="Arial" w:eastAsia="Times New Roman" w:hAnsi="Arial" w:cs="Arial"/>
          <w:color w:val="333333"/>
          <w:sz w:val="20"/>
          <w:szCs w:val="20"/>
        </w:rPr>
        <w:t>Crit</w:t>
      </w:r>
      <w:proofErr w:type="spellEnd"/>
      <w:r w:rsidRPr="004E0271">
        <w:rPr>
          <w:rFonts w:ascii="Arial" w:eastAsia="Times New Roman" w:hAnsi="Arial" w:cs="Arial"/>
          <w:color w:val="333333"/>
          <w:sz w:val="20"/>
          <w:szCs w:val="20"/>
        </w:rPr>
        <w:t xml:space="preserve"> Care. 2015; 30:97–101</w:t>
      </w:r>
    </w:p>
    <w:p w14:paraId="41A51382" w14:textId="77777777" w:rsidR="004E0271" w:rsidRDefault="004E0271" w:rsidP="004E0271">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proofErr w:type="spellStart"/>
      <w:r w:rsidRPr="00270C59">
        <w:rPr>
          <w:rFonts w:ascii="Arial" w:eastAsia="Times New Roman" w:hAnsi="Arial" w:cs="Arial"/>
          <w:color w:val="333333"/>
          <w:sz w:val="20"/>
          <w:szCs w:val="20"/>
        </w:rPr>
        <w:t>Malbrain</w:t>
      </w:r>
      <w:proofErr w:type="spellEnd"/>
      <w:r w:rsidRPr="00270C59">
        <w:rPr>
          <w:rFonts w:ascii="Arial" w:eastAsia="Times New Roman" w:hAnsi="Arial" w:cs="Arial"/>
          <w:color w:val="333333"/>
          <w:sz w:val="20"/>
          <w:szCs w:val="20"/>
        </w:rPr>
        <w:t xml:space="preserve"> ML, </w:t>
      </w:r>
      <w:proofErr w:type="spellStart"/>
      <w:r w:rsidRPr="00270C59">
        <w:rPr>
          <w:rFonts w:ascii="Arial" w:eastAsia="Times New Roman" w:hAnsi="Arial" w:cs="Arial"/>
          <w:color w:val="333333"/>
          <w:sz w:val="20"/>
          <w:szCs w:val="20"/>
        </w:rPr>
        <w:t>Marik</w:t>
      </w:r>
      <w:proofErr w:type="spellEnd"/>
      <w:r w:rsidRPr="00270C59">
        <w:rPr>
          <w:rFonts w:ascii="Arial" w:eastAsia="Times New Roman" w:hAnsi="Arial" w:cs="Arial"/>
          <w:color w:val="333333"/>
          <w:sz w:val="20"/>
          <w:szCs w:val="20"/>
        </w:rPr>
        <w:t xml:space="preserve"> PE, </w:t>
      </w:r>
      <w:proofErr w:type="spellStart"/>
      <w:r w:rsidRPr="00270C59">
        <w:rPr>
          <w:rFonts w:ascii="Arial" w:eastAsia="Times New Roman" w:hAnsi="Arial" w:cs="Arial"/>
          <w:color w:val="333333"/>
          <w:sz w:val="20"/>
          <w:szCs w:val="20"/>
        </w:rPr>
        <w:t>Witters</w:t>
      </w:r>
      <w:proofErr w:type="spellEnd"/>
      <w:r w:rsidRPr="00270C59">
        <w:rPr>
          <w:rFonts w:ascii="Arial" w:eastAsia="Times New Roman" w:hAnsi="Arial" w:cs="Arial"/>
          <w:color w:val="333333"/>
          <w:sz w:val="20"/>
          <w:szCs w:val="20"/>
        </w:rPr>
        <w:t xml:space="preserve"> I, et al. Fluid overload, de-resuscitation, and outcomes in critically ill or injured patients: a systematic review with suggestions for clinical practice. </w:t>
      </w:r>
      <w:proofErr w:type="spellStart"/>
      <w:r w:rsidRPr="00270C59">
        <w:rPr>
          <w:rFonts w:ascii="Arial" w:eastAsia="Times New Roman" w:hAnsi="Arial" w:cs="Arial"/>
          <w:color w:val="333333"/>
          <w:sz w:val="20"/>
          <w:szCs w:val="20"/>
        </w:rPr>
        <w:t>Anaesthesiol</w:t>
      </w:r>
      <w:proofErr w:type="spellEnd"/>
      <w:r w:rsidRPr="00270C59">
        <w:rPr>
          <w:rFonts w:ascii="Arial" w:eastAsia="Times New Roman" w:hAnsi="Arial" w:cs="Arial"/>
          <w:color w:val="333333"/>
          <w:sz w:val="20"/>
          <w:szCs w:val="20"/>
        </w:rPr>
        <w:t xml:space="preserve"> Intensive </w:t>
      </w:r>
      <w:proofErr w:type="spellStart"/>
      <w:r w:rsidRPr="00270C59">
        <w:rPr>
          <w:rFonts w:ascii="Arial" w:eastAsia="Times New Roman" w:hAnsi="Arial" w:cs="Arial"/>
          <w:color w:val="333333"/>
          <w:sz w:val="20"/>
          <w:szCs w:val="20"/>
        </w:rPr>
        <w:t>Ther</w:t>
      </w:r>
      <w:proofErr w:type="spellEnd"/>
      <w:r w:rsidRPr="00270C59">
        <w:rPr>
          <w:rFonts w:ascii="Arial" w:eastAsia="Times New Roman" w:hAnsi="Arial" w:cs="Arial"/>
          <w:color w:val="333333"/>
          <w:sz w:val="20"/>
          <w:szCs w:val="20"/>
        </w:rPr>
        <w:t>. 2014;46:361–380</w:t>
      </w:r>
      <w:hyperlink r:id="rId8" w:anchor="O19-15-3" w:history="1">
        <w:r w:rsidRPr="00270C59">
          <w:rPr>
            <w:rFonts w:ascii="Arial" w:eastAsia="Times New Roman" w:hAnsi="Arial" w:cs="Arial"/>
            <w:color w:val="113273"/>
            <w:sz w:val="20"/>
            <w:szCs w:val="20"/>
          </w:rPr>
          <w:t>.</w:t>
        </w:r>
      </w:hyperlink>
    </w:p>
    <w:p w14:paraId="74EA3279" w14:textId="77777777" w:rsidR="004E0271" w:rsidRDefault="004E0271" w:rsidP="004E0271">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945773">
        <w:rPr>
          <w:rFonts w:ascii="Arial" w:eastAsia="Times New Roman" w:hAnsi="Arial" w:cs="Arial"/>
          <w:color w:val="333333"/>
          <w:sz w:val="20"/>
          <w:szCs w:val="20"/>
        </w:rPr>
        <w:t xml:space="preserve">Day NP, </w:t>
      </w:r>
      <w:proofErr w:type="spellStart"/>
      <w:r w:rsidRPr="00945773">
        <w:rPr>
          <w:rFonts w:ascii="Arial" w:eastAsia="Times New Roman" w:hAnsi="Arial" w:cs="Arial"/>
          <w:color w:val="333333"/>
          <w:sz w:val="20"/>
          <w:szCs w:val="20"/>
        </w:rPr>
        <w:t>Phu</w:t>
      </w:r>
      <w:proofErr w:type="spellEnd"/>
      <w:r w:rsidRPr="00945773">
        <w:rPr>
          <w:rFonts w:ascii="Arial" w:eastAsia="Times New Roman" w:hAnsi="Arial" w:cs="Arial"/>
          <w:color w:val="333333"/>
          <w:sz w:val="20"/>
          <w:szCs w:val="20"/>
        </w:rPr>
        <w:t xml:space="preserve"> NH, </w:t>
      </w:r>
      <w:proofErr w:type="spellStart"/>
      <w:r w:rsidRPr="00945773">
        <w:rPr>
          <w:rFonts w:ascii="Arial" w:eastAsia="Times New Roman" w:hAnsi="Arial" w:cs="Arial"/>
          <w:color w:val="333333"/>
          <w:sz w:val="20"/>
          <w:szCs w:val="20"/>
        </w:rPr>
        <w:t>Bethell</w:t>
      </w:r>
      <w:proofErr w:type="spellEnd"/>
      <w:r w:rsidRPr="00945773">
        <w:rPr>
          <w:rFonts w:ascii="Arial" w:eastAsia="Times New Roman" w:hAnsi="Arial" w:cs="Arial"/>
          <w:color w:val="333333"/>
          <w:sz w:val="20"/>
          <w:szCs w:val="20"/>
        </w:rPr>
        <w:t xml:space="preserve"> DP, et al. The effects of dopamine and adrenaline infusions on acid-base balance and systemic </w:t>
      </w:r>
      <w:proofErr w:type="spellStart"/>
      <w:r w:rsidRPr="00945773">
        <w:rPr>
          <w:rFonts w:ascii="Arial" w:eastAsia="Times New Roman" w:hAnsi="Arial" w:cs="Arial"/>
          <w:color w:val="333333"/>
          <w:sz w:val="20"/>
          <w:szCs w:val="20"/>
        </w:rPr>
        <w:t>haemodynamics</w:t>
      </w:r>
      <w:proofErr w:type="spellEnd"/>
      <w:r w:rsidRPr="00945773">
        <w:rPr>
          <w:rFonts w:ascii="Arial" w:eastAsia="Times New Roman" w:hAnsi="Arial" w:cs="Arial"/>
          <w:color w:val="333333"/>
          <w:sz w:val="20"/>
          <w:szCs w:val="20"/>
        </w:rPr>
        <w:t xml:space="preserve"> in severe infection. Lancet. 1996;348:219–223</w:t>
      </w:r>
    </w:p>
    <w:p w14:paraId="579F3A66" w14:textId="77777777" w:rsidR="004E0271" w:rsidRPr="001F3EB6" w:rsidRDefault="004E0271" w:rsidP="004E0271">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E0271">
        <w:rPr>
          <w:rFonts w:ascii="Arial" w:eastAsia="Times New Roman" w:hAnsi="Arial" w:cs="Arial"/>
          <w:color w:val="333333"/>
          <w:sz w:val="20"/>
          <w:szCs w:val="20"/>
          <w:lang w:val="pt-BR"/>
        </w:rPr>
        <w:lastRenderedPageBreak/>
        <w:t xml:space="preserve">De Backer D, Creteur J, Silva E, et al. </w:t>
      </w:r>
      <w:r w:rsidRPr="00945773">
        <w:rPr>
          <w:rFonts w:ascii="Arial" w:eastAsia="Times New Roman" w:hAnsi="Arial" w:cs="Arial"/>
          <w:color w:val="333333"/>
          <w:sz w:val="20"/>
          <w:szCs w:val="20"/>
        </w:rPr>
        <w:t xml:space="preserve">Effects of dopamine, norepinephrine, and epinephrine on the splanchnic circulation in septic shock: which is best? </w:t>
      </w:r>
      <w:proofErr w:type="spellStart"/>
      <w:r w:rsidRPr="00945773">
        <w:rPr>
          <w:rFonts w:ascii="Arial" w:eastAsia="Times New Roman" w:hAnsi="Arial" w:cs="Arial"/>
          <w:color w:val="333333"/>
          <w:sz w:val="20"/>
          <w:szCs w:val="20"/>
        </w:rPr>
        <w:t>Cr</w:t>
      </w:r>
      <w:r>
        <w:rPr>
          <w:rFonts w:ascii="Arial" w:eastAsia="Times New Roman" w:hAnsi="Arial" w:cs="Arial"/>
          <w:color w:val="333333"/>
          <w:sz w:val="20"/>
          <w:szCs w:val="20"/>
        </w:rPr>
        <w:t>it</w:t>
      </w:r>
      <w:proofErr w:type="spellEnd"/>
      <w:r>
        <w:rPr>
          <w:rFonts w:ascii="Arial" w:eastAsia="Times New Roman" w:hAnsi="Arial" w:cs="Arial"/>
          <w:color w:val="333333"/>
          <w:sz w:val="20"/>
          <w:szCs w:val="20"/>
        </w:rPr>
        <w:t xml:space="preserve"> Care Med. 2003</w:t>
      </w:r>
      <w:proofErr w:type="gramStart"/>
      <w:r>
        <w:rPr>
          <w:rFonts w:ascii="Arial" w:eastAsia="Times New Roman" w:hAnsi="Arial" w:cs="Arial"/>
          <w:color w:val="333333"/>
          <w:sz w:val="20"/>
          <w:szCs w:val="20"/>
        </w:rPr>
        <w:t>;31:1659</w:t>
      </w:r>
      <w:proofErr w:type="gramEnd"/>
      <w:r>
        <w:rPr>
          <w:rFonts w:ascii="Arial" w:eastAsia="Times New Roman" w:hAnsi="Arial" w:cs="Arial"/>
          <w:color w:val="333333"/>
          <w:sz w:val="20"/>
          <w:szCs w:val="20"/>
        </w:rPr>
        <w:t>–1667.</w:t>
      </w:r>
    </w:p>
    <w:p w14:paraId="1290515F" w14:textId="77777777" w:rsidR="004E0271" w:rsidRPr="00DF7C37" w:rsidRDefault="004E0271" w:rsidP="004E0271">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4E0271">
        <w:rPr>
          <w:rFonts w:ascii="Arial" w:eastAsia="Times New Roman" w:hAnsi="Arial" w:cs="Arial"/>
          <w:color w:val="333333"/>
          <w:sz w:val="20"/>
          <w:szCs w:val="20"/>
          <w:lang w:val="it-IT"/>
        </w:rPr>
        <w:t xml:space="preserve"> Martin C, Papazian L, Perrin G, et al. </w:t>
      </w:r>
      <w:r w:rsidRPr="00DF7C37">
        <w:rPr>
          <w:rFonts w:ascii="Arial" w:eastAsia="Times New Roman" w:hAnsi="Arial" w:cs="Arial"/>
          <w:color w:val="333333"/>
          <w:sz w:val="20"/>
          <w:szCs w:val="20"/>
        </w:rPr>
        <w:t xml:space="preserve">Norepinephrine or dopamine for the treatment of </w:t>
      </w:r>
      <w:proofErr w:type="spellStart"/>
      <w:r w:rsidRPr="00DF7C37">
        <w:rPr>
          <w:rFonts w:ascii="Arial" w:eastAsia="Times New Roman" w:hAnsi="Arial" w:cs="Arial"/>
          <w:color w:val="333333"/>
          <w:sz w:val="20"/>
          <w:szCs w:val="20"/>
        </w:rPr>
        <w:t>hyperdynamic</w:t>
      </w:r>
      <w:proofErr w:type="spellEnd"/>
      <w:r w:rsidRPr="00DF7C37">
        <w:rPr>
          <w:rFonts w:ascii="Arial" w:eastAsia="Times New Roman" w:hAnsi="Arial" w:cs="Arial"/>
          <w:color w:val="333333"/>
          <w:sz w:val="20"/>
          <w:szCs w:val="20"/>
        </w:rPr>
        <w:t xml:space="preserve"> septic shock? Chest. 1993</w:t>
      </w:r>
      <w:proofErr w:type="gramStart"/>
      <w:r w:rsidRPr="00DF7C37">
        <w:rPr>
          <w:rFonts w:ascii="Arial" w:eastAsia="Times New Roman" w:hAnsi="Arial" w:cs="Arial"/>
          <w:color w:val="333333"/>
          <w:sz w:val="20"/>
          <w:szCs w:val="20"/>
        </w:rPr>
        <w:t>;103:1826</w:t>
      </w:r>
      <w:proofErr w:type="gramEnd"/>
      <w:r w:rsidRPr="00DF7C37">
        <w:rPr>
          <w:rFonts w:ascii="Arial" w:eastAsia="Times New Roman" w:hAnsi="Arial" w:cs="Arial"/>
          <w:color w:val="333333"/>
          <w:sz w:val="20"/>
          <w:szCs w:val="20"/>
        </w:rPr>
        <w:t>–1831.</w:t>
      </w:r>
    </w:p>
    <w:p w14:paraId="458E55B8" w14:textId="77777777" w:rsidR="004E0271" w:rsidRPr="00DF7C37" w:rsidRDefault="004E0271" w:rsidP="004E0271">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DF7C37">
        <w:rPr>
          <w:rFonts w:ascii="Arial" w:eastAsia="Times New Roman" w:hAnsi="Arial" w:cs="Arial"/>
          <w:color w:val="333333"/>
          <w:sz w:val="20"/>
          <w:szCs w:val="20"/>
        </w:rPr>
        <w:t xml:space="preserve"> Martin C, </w:t>
      </w:r>
      <w:proofErr w:type="spellStart"/>
      <w:r w:rsidRPr="00DF7C37">
        <w:rPr>
          <w:rFonts w:ascii="Arial" w:eastAsia="Times New Roman" w:hAnsi="Arial" w:cs="Arial"/>
          <w:color w:val="333333"/>
          <w:sz w:val="20"/>
          <w:szCs w:val="20"/>
        </w:rPr>
        <w:t>Viviand</w:t>
      </w:r>
      <w:proofErr w:type="spellEnd"/>
      <w:r w:rsidRPr="00DF7C37">
        <w:rPr>
          <w:rFonts w:ascii="Arial" w:eastAsia="Times New Roman" w:hAnsi="Arial" w:cs="Arial"/>
          <w:color w:val="333333"/>
          <w:sz w:val="20"/>
          <w:szCs w:val="20"/>
        </w:rPr>
        <w:t xml:space="preserve"> X, Leone M, et al. Effect of norepinephrine on the outcome of septic shock. </w:t>
      </w:r>
      <w:proofErr w:type="spellStart"/>
      <w:r w:rsidRPr="00DF7C37">
        <w:rPr>
          <w:rFonts w:ascii="Arial" w:eastAsia="Times New Roman" w:hAnsi="Arial" w:cs="Arial"/>
          <w:color w:val="333333"/>
          <w:sz w:val="20"/>
          <w:szCs w:val="20"/>
        </w:rPr>
        <w:t>Crit</w:t>
      </w:r>
      <w:proofErr w:type="spellEnd"/>
      <w:r w:rsidRPr="00DF7C37">
        <w:rPr>
          <w:rFonts w:ascii="Arial" w:eastAsia="Times New Roman" w:hAnsi="Arial" w:cs="Arial"/>
          <w:color w:val="333333"/>
          <w:sz w:val="20"/>
          <w:szCs w:val="20"/>
        </w:rPr>
        <w:t xml:space="preserve"> Care Med. 2000</w:t>
      </w:r>
      <w:proofErr w:type="gramStart"/>
      <w:r w:rsidRPr="00DF7C37">
        <w:rPr>
          <w:rFonts w:ascii="Arial" w:eastAsia="Times New Roman" w:hAnsi="Arial" w:cs="Arial"/>
          <w:color w:val="333333"/>
          <w:sz w:val="20"/>
          <w:szCs w:val="20"/>
        </w:rPr>
        <w:t>;28:2758</w:t>
      </w:r>
      <w:proofErr w:type="gramEnd"/>
      <w:r w:rsidRPr="00DF7C37">
        <w:rPr>
          <w:rFonts w:ascii="Arial" w:eastAsia="Times New Roman" w:hAnsi="Arial" w:cs="Arial"/>
          <w:color w:val="333333"/>
          <w:sz w:val="20"/>
          <w:szCs w:val="20"/>
        </w:rPr>
        <w:t>–2765.</w:t>
      </w:r>
    </w:p>
    <w:p w14:paraId="007B5421" w14:textId="77777777" w:rsidR="004E0271" w:rsidRPr="00945773" w:rsidRDefault="004E0271" w:rsidP="004E0271">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DF7C37">
        <w:rPr>
          <w:rFonts w:ascii="Arial" w:eastAsia="Times New Roman" w:hAnsi="Arial" w:cs="Arial"/>
          <w:color w:val="333333"/>
          <w:sz w:val="20"/>
          <w:szCs w:val="20"/>
        </w:rPr>
        <w:t xml:space="preserve"> Bollaert PE, Bauer P, </w:t>
      </w:r>
      <w:proofErr w:type="spellStart"/>
      <w:r w:rsidRPr="00DF7C37">
        <w:rPr>
          <w:rFonts w:ascii="Arial" w:eastAsia="Times New Roman" w:hAnsi="Arial" w:cs="Arial"/>
          <w:color w:val="333333"/>
          <w:sz w:val="20"/>
          <w:szCs w:val="20"/>
        </w:rPr>
        <w:t>Audibert</w:t>
      </w:r>
      <w:proofErr w:type="spellEnd"/>
      <w:r w:rsidRPr="00DF7C37">
        <w:rPr>
          <w:rFonts w:ascii="Arial" w:eastAsia="Times New Roman" w:hAnsi="Arial" w:cs="Arial"/>
          <w:color w:val="333333"/>
          <w:sz w:val="20"/>
          <w:szCs w:val="20"/>
        </w:rPr>
        <w:t xml:space="preserve"> G, et al. Effects of epinephrine on hemodynamics and oxygen metabolism in dopamine-resistant septic shock. Chest. 1990;98:949–953</w:t>
      </w:r>
    </w:p>
    <w:p w14:paraId="16573920" w14:textId="77777777" w:rsidR="004E0271" w:rsidRPr="00945773" w:rsidRDefault="004E0271" w:rsidP="004E0271">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E0271">
        <w:rPr>
          <w:rFonts w:ascii="Arial" w:eastAsia="Times New Roman" w:hAnsi="Arial" w:cs="Arial"/>
          <w:color w:val="333333"/>
          <w:sz w:val="20"/>
          <w:szCs w:val="20"/>
          <w:lang w:val="da-DK"/>
        </w:rPr>
        <w:t xml:space="preserve"> Levy B, Bollaert PE, Charpentier C, et al. Comparison of norepinephrine and dobutamine to epinephrine for hemodynamics, lactate metabolism, and gastric tonometric variables in septic shock: a prospective, randomized study. </w:t>
      </w:r>
      <w:r w:rsidRPr="00DF7C37">
        <w:rPr>
          <w:rFonts w:ascii="Arial" w:eastAsia="Times New Roman" w:hAnsi="Arial" w:cs="Arial"/>
          <w:color w:val="333333"/>
          <w:sz w:val="20"/>
          <w:szCs w:val="20"/>
        </w:rPr>
        <w:t>Intensive Care Med. 1997;23:282–287</w:t>
      </w:r>
    </w:p>
    <w:p w14:paraId="2B3750E0" w14:textId="77777777" w:rsidR="004E0271" w:rsidRDefault="004E0271" w:rsidP="004E0271">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DF7C37">
        <w:rPr>
          <w:rFonts w:ascii="Arial" w:eastAsia="Times New Roman" w:hAnsi="Arial" w:cs="Arial"/>
          <w:color w:val="333333"/>
          <w:sz w:val="20"/>
          <w:szCs w:val="20"/>
        </w:rPr>
        <w:t xml:space="preserve"> Zhou SX, </w:t>
      </w:r>
      <w:proofErr w:type="spellStart"/>
      <w:r w:rsidRPr="00DF7C37">
        <w:rPr>
          <w:rFonts w:ascii="Arial" w:eastAsia="Times New Roman" w:hAnsi="Arial" w:cs="Arial"/>
          <w:color w:val="333333"/>
          <w:sz w:val="20"/>
          <w:szCs w:val="20"/>
        </w:rPr>
        <w:t>Qiu</w:t>
      </w:r>
      <w:proofErr w:type="spellEnd"/>
      <w:r w:rsidRPr="00DF7C37">
        <w:rPr>
          <w:rFonts w:ascii="Arial" w:eastAsia="Times New Roman" w:hAnsi="Arial" w:cs="Arial"/>
          <w:color w:val="333333"/>
          <w:sz w:val="20"/>
          <w:szCs w:val="20"/>
        </w:rPr>
        <w:t xml:space="preserve"> HB, Huang YZ, et al. Effects of norepinephrine, epinephrine, and norepinephrine-</w:t>
      </w:r>
      <w:proofErr w:type="spellStart"/>
      <w:r w:rsidRPr="00DF7C37">
        <w:rPr>
          <w:rFonts w:ascii="Arial" w:eastAsia="Times New Roman" w:hAnsi="Arial" w:cs="Arial"/>
          <w:color w:val="333333"/>
          <w:sz w:val="20"/>
          <w:szCs w:val="20"/>
        </w:rPr>
        <w:t>dobutamine</w:t>
      </w:r>
      <w:proofErr w:type="spellEnd"/>
      <w:r w:rsidRPr="00DF7C37">
        <w:rPr>
          <w:rFonts w:ascii="Arial" w:eastAsia="Times New Roman" w:hAnsi="Arial" w:cs="Arial"/>
          <w:color w:val="333333"/>
          <w:sz w:val="20"/>
          <w:szCs w:val="20"/>
        </w:rPr>
        <w:t xml:space="preserve"> on systemic and gastric mucosal oxygenation in septic shock. </w:t>
      </w:r>
      <w:proofErr w:type="spellStart"/>
      <w:r w:rsidRPr="00DF7C37">
        <w:rPr>
          <w:rFonts w:ascii="Arial" w:eastAsia="Times New Roman" w:hAnsi="Arial" w:cs="Arial"/>
          <w:color w:val="333333"/>
          <w:sz w:val="20"/>
          <w:szCs w:val="20"/>
        </w:rPr>
        <w:t>Acta</w:t>
      </w:r>
      <w:proofErr w:type="spellEnd"/>
      <w:r>
        <w:rPr>
          <w:rFonts w:ascii="Arial" w:eastAsia="Times New Roman" w:hAnsi="Arial" w:cs="Arial"/>
          <w:color w:val="333333"/>
          <w:sz w:val="20"/>
          <w:szCs w:val="20"/>
        </w:rPr>
        <w:t xml:space="preserve"> </w:t>
      </w:r>
      <w:proofErr w:type="spellStart"/>
      <w:r>
        <w:rPr>
          <w:rFonts w:ascii="Arial" w:eastAsia="Times New Roman" w:hAnsi="Arial" w:cs="Arial"/>
          <w:color w:val="333333"/>
          <w:sz w:val="20"/>
          <w:szCs w:val="20"/>
        </w:rPr>
        <w:t>Pharmacol</w:t>
      </w:r>
      <w:proofErr w:type="spellEnd"/>
      <w:r>
        <w:rPr>
          <w:rFonts w:ascii="Arial" w:eastAsia="Times New Roman" w:hAnsi="Arial" w:cs="Arial"/>
          <w:color w:val="333333"/>
          <w:sz w:val="20"/>
          <w:szCs w:val="20"/>
        </w:rPr>
        <w:t xml:space="preserve"> Sin. 2002;23:654–658</w:t>
      </w:r>
    </w:p>
    <w:p w14:paraId="042674F6" w14:textId="77777777" w:rsidR="004E0271" w:rsidRDefault="004E0271" w:rsidP="004E0271">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71083C">
        <w:rPr>
          <w:rFonts w:ascii="Arial" w:eastAsia="Times New Roman" w:hAnsi="Arial" w:cs="Arial"/>
          <w:color w:val="333333"/>
          <w:sz w:val="20"/>
          <w:szCs w:val="20"/>
        </w:rPr>
        <w:t xml:space="preserve">Mackenzie SJ, Kapadia F, </w:t>
      </w:r>
      <w:proofErr w:type="spellStart"/>
      <w:r w:rsidRPr="0071083C">
        <w:rPr>
          <w:rFonts w:ascii="Arial" w:eastAsia="Times New Roman" w:hAnsi="Arial" w:cs="Arial"/>
          <w:color w:val="333333"/>
          <w:sz w:val="20"/>
          <w:szCs w:val="20"/>
        </w:rPr>
        <w:t>Nimmo</w:t>
      </w:r>
      <w:proofErr w:type="spellEnd"/>
      <w:r w:rsidRPr="0071083C">
        <w:rPr>
          <w:rFonts w:ascii="Arial" w:eastAsia="Times New Roman" w:hAnsi="Arial" w:cs="Arial"/>
          <w:color w:val="333333"/>
          <w:sz w:val="20"/>
          <w:szCs w:val="20"/>
        </w:rPr>
        <w:t xml:space="preserve"> GR, et al. Adrenaline in treatment of septic shock: effects on </w:t>
      </w:r>
      <w:proofErr w:type="spellStart"/>
      <w:r w:rsidRPr="0071083C">
        <w:rPr>
          <w:rFonts w:ascii="Arial" w:eastAsia="Times New Roman" w:hAnsi="Arial" w:cs="Arial"/>
          <w:color w:val="333333"/>
          <w:sz w:val="20"/>
          <w:szCs w:val="20"/>
        </w:rPr>
        <w:t>haemodynamics</w:t>
      </w:r>
      <w:proofErr w:type="spellEnd"/>
      <w:r w:rsidRPr="0071083C">
        <w:rPr>
          <w:rFonts w:ascii="Arial" w:eastAsia="Times New Roman" w:hAnsi="Arial" w:cs="Arial"/>
          <w:color w:val="333333"/>
          <w:sz w:val="20"/>
          <w:szCs w:val="20"/>
        </w:rPr>
        <w:t xml:space="preserve"> and oxygen transport. Intensive Care Med. 1991;17:36–39 </w:t>
      </w:r>
    </w:p>
    <w:p w14:paraId="5261B973" w14:textId="77777777" w:rsidR="004E0271" w:rsidRDefault="004E0271" w:rsidP="004E0271">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71083C">
        <w:rPr>
          <w:rFonts w:ascii="Arial" w:eastAsia="Times New Roman" w:hAnsi="Arial" w:cs="Arial"/>
          <w:color w:val="333333"/>
          <w:sz w:val="20"/>
          <w:szCs w:val="20"/>
        </w:rPr>
        <w:t xml:space="preserve">Moran JL, </w:t>
      </w:r>
      <w:proofErr w:type="spellStart"/>
      <w:r w:rsidRPr="0071083C">
        <w:rPr>
          <w:rFonts w:ascii="Arial" w:eastAsia="Times New Roman" w:hAnsi="Arial" w:cs="Arial"/>
          <w:color w:val="333333"/>
          <w:sz w:val="20"/>
          <w:szCs w:val="20"/>
        </w:rPr>
        <w:t>O’Fathartaigh</w:t>
      </w:r>
      <w:proofErr w:type="spellEnd"/>
      <w:r w:rsidRPr="0071083C">
        <w:rPr>
          <w:rFonts w:ascii="Arial" w:eastAsia="Times New Roman" w:hAnsi="Arial" w:cs="Arial"/>
          <w:color w:val="333333"/>
          <w:sz w:val="20"/>
          <w:szCs w:val="20"/>
        </w:rPr>
        <w:t xml:space="preserve"> MS, </w:t>
      </w:r>
      <w:proofErr w:type="spellStart"/>
      <w:r w:rsidRPr="0071083C">
        <w:rPr>
          <w:rFonts w:ascii="Arial" w:eastAsia="Times New Roman" w:hAnsi="Arial" w:cs="Arial"/>
          <w:color w:val="333333"/>
          <w:sz w:val="20"/>
          <w:szCs w:val="20"/>
        </w:rPr>
        <w:t>Peisach</w:t>
      </w:r>
      <w:proofErr w:type="spellEnd"/>
      <w:r w:rsidRPr="0071083C">
        <w:rPr>
          <w:rFonts w:ascii="Arial" w:eastAsia="Times New Roman" w:hAnsi="Arial" w:cs="Arial"/>
          <w:color w:val="333333"/>
          <w:sz w:val="20"/>
          <w:szCs w:val="20"/>
        </w:rPr>
        <w:t xml:space="preserve"> AR, et al. Epinephrine as an inotropic agent in septic shock: a dose-profile analysis. </w:t>
      </w:r>
      <w:proofErr w:type="spellStart"/>
      <w:r w:rsidRPr="0071083C">
        <w:rPr>
          <w:rFonts w:ascii="Arial" w:eastAsia="Times New Roman" w:hAnsi="Arial" w:cs="Arial"/>
          <w:color w:val="333333"/>
          <w:sz w:val="20"/>
          <w:szCs w:val="20"/>
        </w:rPr>
        <w:t>Crit</w:t>
      </w:r>
      <w:proofErr w:type="spellEnd"/>
      <w:r w:rsidRPr="0071083C">
        <w:rPr>
          <w:rFonts w:ascii="Arial" w:eastAsia="Times New Roman" w:hAnsi="Arial" w:cs="Arial"/>
          <w:color w:val="333333"/>
          <w:sz w:val="20"/>
          <w:szCs w:val="20"/>
        </w:rPr>
        <w:t xml:space="preserve"> Care Med. 1993;21:70–77</w:t>
      </w:r>
    </w:p>
    <w:p w14:paraId="0A145C31" w14:textId="39B8F5E8" w:rsidR="00786D7D" w:rsidRDefault="004E0271" w:rsidP="004E0271">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71083C">
        <w:rPr>
          <w:rFonts w:ascii="Arial" w:eastAsia="Times New Roman" w:hAnsi="Arial" w:cs="Arial"/>
          <w:color w:val="333333"/>
          <w:sz w:val="20"/>
          <w:szCs w:val="20"/>
        </w:rPr>
        <w:t xml:space="preserve">Yamazaki T, Shimada Y, </w:t>
      </w:r>
      <w:proofErr w:type="spellStart"/>
      <w:r w:rsidRPr="0071083C">
        <w:rPr>
          <w:rFonts w:ascii="Arial" w:eastAsia="Times New Roman" w:hAnsi="Arial" w:cs="Arial"/>
          <w:color w:val="333333"/>
          <w:sz w:val="20"/>
          <w:szCs w:val="20"/>
        </w:rPr>
        <w:t>Taenaka</w:t>
      </w:r>
      <w:proofErr w:type="spellEnd"/>
      <w:r w:rsidRPr="0071083C">
        <w:rPr>
          <w:rFonts w:ascii="Arial" w:eastAsia="Times New Roman" w:hAnsi="Arial" w:cs="Arial"/>
          <w:color w:val="333333"/>
          <w:sz w:val="20"/>
          <w:szCs w:val="20"/>
        </w:rPr>
        <w:t xml:space="preserve"> N, et al. Circulatory responses to </w:t>
      </w:r>
      <w:proofErr w:type="spellStart"/>
      <w:r w:rsidRPr="0071083C">
        <w:rPr>
          <w:rFonts w:ascii="Arial" w:eastAsia="Times New Roman" w:hAnsi="Arial" w:cs="Arial"/>
          <w:color w:val="333333"/>
          <w:sz w:val="20"/>
          <w:szCs w:val="20"/>
        </w:rPr>
        <w:t>afterloading</w:t>
      </w:r>
      <w:proofErr w:type="spellEnd"/>
      <w:r w:rsidRPr="0071083C">
        <w:rPr>
          <w:rFonts w:ascii="Arial" w:eastAsia="Times New Roman" w:hAnsi="Arial" w:cs="Arial"/>
          <w:color w:val="333333"/>
          <w:sz w:val="20"/>
          <w:szCs w:val="20"/>
        </w:rPr>
        <w:t xml:space="preserve"> with phenylephrine in </w:t>
      </w:r>
      <w:proofErr w:type="spellStart"/>
      <w:r w:rsidRPr="0071083C">
        <w:rPr>
          <w:rFonts w:ascii="Arial" w:eastAsia="Times New Roman" w:hAnsi="Arial" w:cs="Arial"/>
          <w:color w:val="333333"/>
          <w:sz w:val="20"/>
          <w:szCs w:val="20"/>
        </w:rPr>
        <w:t>hyperdynamic</w:t>
      </w:r>
      <w:proofErr w:type="spellEnd"/>
      <w:r w:rsidRPr="0071083C">
        <w:rPr>
          <w:rFonts w:ascii="Arial" w:eastAsia="Times New Roman" w:hAnsi="Arial" w:cs="Arial"/>
          <w:color w:val="333333"/>
          <w:sz w:val="20"/>
          <w:szCs w:val="20"/>
        </w:rPr>
        <w:t xml:space="preserve"> sepsis. </w:t>
      </w:r>
      <w:proofErr w:type="spellStart"/>
      <w:r w:rsidRPr="0071083C">
        <w:rPr>
          <w:rFonts w:ascii="Arial" w:eastAsia="Times New Roman" w:hAnsi="Arial" w:cs="Arial"/>
          <w:color w:val="333333"/>
          <w:sz w:val="20"/>
          <w:szCs w:val="20"/>
        </w:rPr>
        <w:t>Crit</w:t>
      </w:r>
      <w:proofErr w:type="spellEnd"/>
      <w:r w:rsidRPr="0071083C">
        <w:rPr>
          <w:rFonts w:ascii="Arial" w:eastAsia="Times New Roman" w:hAnsi="Arial" w:cs="Arial"/>
          <w:color w:val="333333"/>
          <w:sz w:val="20"/>
          <w:szCs w:val="20"/>
        </w:rPr>
        <w:t xml:space="preserve"> Care Med. 1982</w:t>
      </w:r>
      <w:proofErr w:type="gramStart"/>
      <w:r w:rsidRPr="0071083C">
        <w:rPr>
          <w:rFonts w:ascii="Arial" w:eastAsia="Times New Roman" w:hAnsi="Arial" w:cs="Arial"/>
          <w:color w:val="333333"/>
          <w:sz w:val="20"/>
          <w:szCs w:val="20"/>
        </w:rPr>
        <w:t>;10:432</w:t>
      </w:r>
      <w:proofErr w:type="gramEnd"/>
      <w:r w:rsidRPr="0071083C">
        <w:rPr>
          <w:rFonts w:ascii="Arial" w:eastAsia="Times New Roman" w:hAnsi="Arial" w:cs="Arial"/>
          <w:color w:val="333333"/>
          <w:sz w:val="20"/>
          <w:szCs w:val="20"/>
        </w:rPr>
        <w:t>–435.</w:t>
      </w:r>
    </w:p>
    <w:p w14:paraId="07BEA737" w14:textId="77777777" w:rsidR="00786D7D" w:rsidRDefault="00786D7D">
      <w:pPr>
        <w:rPr>
          <w:rFonts w:ascii="Arial" w:eastAsia="Times New Roman" w:hAnsi="Arial" w:cs="Arial"/>
          <w:color w:val="333333"/>
          <w:sz w:val="20"/>
          <w:szCs w:val="20"/>
        </w:rPr>
      </w:pPr>
      <w:r>
        <w:rPr>
          <w:rFonts w:ascii="Arial" w:eastAsia="Times New Roman" w:hAnsi="Arial" w:cs="Arial"/>
          <w:color w:val="333333"/>
          <w:sz w:val="20"/>
          <w:szCs w:val="20"/>
        </w:rPr>
        <w:br w:type="page"/>
      </w:r>
    </w:p>
    <w:p w14:paraId="3821ABF8" w14:textId="77777777" w:rsidR="00786D7D" w:rsidRDefault="00786D7D" w:rsidP="00786D7D">
      <w:pPr>
        <w:ind w:left="1440" w:right="1456"/>
        <w:rPr>
          <w:rFonts w:ascii="Calibri" w:hAnsi="Calibri"/>
          <w:i/>
        </w:rPr>
      </w:pPr>
      <w:r>
        <w:rPr>
          <w:rFonts w:ascii="Calibri" w:hAnsi="Calibri"/>
          <w:i/>
        </w:rPr>
        <w:lastRenderedPageBreak/>
        <w:t>Table 1. Table describing bundle elements and strength of recommendations and under-pinning quality of evidence (12,13).</w:t>
      </w:r>
    </w:p>
    <w:p w14:paraId="7ECF0B67" w14:textId="77777777" w:rsidR="00786D7D" w:rsidRDefault="00786D7D" w:rsidP="00786D7D">
      <w:pPr>
        <w:ind w:left="1440" w:right="1456"/>
        <w:rPr>
          <w:rFonts w:ascii="Calibri" w:hAnsi="Calibri"/>
          <w:i/>
        </w:rPr>
      </w:pPr>
    </w:p>
    <w:p w14:paraId="67F5651A" w14:textId="77777777" w:rsidR="00786D7D" w:rsidRDefault="00786D7D" w:rsidP="00786D7D">
      <w:pPr>
        <w:ind w:left="1440" w:right="1456"/>
        <w:rPr>
          <w:rFonts w:ascii="Calibri" w:hAnsi="Calibri"/>
          <w:i/>
        </w:rPr>
      </w:pPr>
    </w:p>
    <w:tbl>
      <w:tblPr>
        <w:tblStyle w:val="TableGrid"/>
        <w:tblW w:w="0" w:type="auto"/>
        <w:tblInd w:w="1440" w:type="dxa"/>
        <w:tblLook w:val="04A0" w:firstRow="1" w:lastRow="0" w:firstColumn="1" w:lastColumn="0" w:noHBand="0" w:noVBand="1"/>
      </w:tblPr>
      <w:tblGrid>
        <w:gridCol w:w="3803"/>
        <w:gridCol w:w="4333"/>
      </w:tblGrid>
      <w:tr w:rsidR="00786D7D" w:rsidRPr="0014764D" w14:paraId="1A95D2F5" w14:textId="77777777" w:rsidTr="00AD0D1D">
        <w:tc>
          <w:tcPr>
            <w:tcW w:w="4812" w:type="dxa"/>
            <w:shd w:val="clear" w:color="auto" w:fill="000000" w:themeFill="text1"/>
          </w:tcPr>
          <w:p w14:paraId="4C348BDC" w14:textId="77777777" w:rsidR="00786D7D" w:rsidRPr="0014764D" w:rsidRDefault="00786D7D" w:rsidP="00AD0D1D">
            <w:pPr>
              <w:tabs>
                <w:tab w:val="left" w:pos="2160"/>
                <w:tab w:val="left" w:pos="2161"/>
              </w:tabs>
              <w:rPr>
                <w:b/>
                <w:color w:val="FFFFFF" w:themeColor="background1"/>
                <w:highlight w:val="black"/>
              </w:rPr>
            </w:pPr>
            <w:r w:rsidRPr="0014764D">
              <w:rPr>
                <w:b/>
                <w:color w:val="FFFFFF" w:themeColor="background1"/>
                <w:highlight w:val="black"/>
              </w:rPr>
              <w:t>Bundle Element</w:t>
            </w:r>
          </w:p>
        </w:tc>
        <w:tc>
          <w:tcPr>
            <w:tcW w:w="4813" w:type="dxa"/>
            <w:shd w:val="clear" w:color="auto" w:fill="000000" w:themeFill="text1"/>
          </w:tcPr>
          <w:p w14:paraId="16E6429A" w14:textId="77777777" w:rsidR="00786D7D" w:rsidRPr="0014764D" w:rsidRDefault="00786D7D" w:rsidP="00AD0D1D">
            <w:pPr>
              <w:spacing w:line="276" w:lineRule="auto"/>
              <w:ind w:right="1456"/>
              <w:rPr>
                <w:b/>
                <w:color w:val="FFFFFF" w:themeColor="background1"/>
                <w:highlight w:val="black"/>
              </w:rPr>
            </w:pPr>
            <w:r w:rsidRPr="0014764D">
              <w:rPr>
                <w:b/>
                <w:color w:val="FFFFFF" w:themeColor="background1"/>
                <w:highlight w:val="black"/>
              </w:rPr>
              <w:t>Grade of recommendation and level of evidence</w:t>
            </w:r>
          </w:p>
        </w:tc>
      </w:tr>
      <w:tr w:rsidR="00786D7D" w:rsidRPr="0014764D" w14:paraId="06A72A2F" w14:textId="77777777" w:rsidTr="00AD0D1D">
        <w:tc>
          <w:tcPr>
            <w:tcW w:w="4812" w:type="dxa"/>
          </w:tcPr>
          <w:p w14:paraId="00CABFA6" w14:textId="77777777" w:rsidR="00786D7D" w:rsidRPr="0014764D" w:rsidRDefault="00786D7D" w:rsidP="00AD0D1D">
            <w:pPr>
              <w:tabs>
                <w:tab w:val="left" w:pos="2160"/>
                <w:tab w:val="left" w:pos="2161"/>
              </w:tabs>
            </w:pPr>
            <w:r w:rsidRPr="0014764D">
              <w:t>Measure lactate level.  Re</w:t>
            </w:r>
            <w:r>
              <w:t>-</w:t>
            </w:r>
            <w:r w:rsidRPr="0014764D">
              <w:t>measure if initial lactate is &gt;2</w:t>
            </w:r>
            <w:r w:rsidRPr="0014764D">
              <w:rPr>
                <w:spacing w:val="-14"/>
              </w:rPr>
              <w:t xml:space="preserve"> </w:t>
            </w:r>
            <w:proofErr w:type="spellStart"/>
            <w:r w:rsidRPr="0014764D">
              <w:t>mmol</w:t>
            </w:r>
            <w:proofErr w:type="spellEnd"/>
            <w:r w:rsidRPr="0014764D">
              <w:t>/L.</w:t>
            </w:r>
          </w:p>
          <w:p w14:paraId="7D26F115" w14:textId="77777777" w:rsidR="00786D7D" w:rsidRPr="0014764D" w:rsidRDefault="00786D7D" w:rsidP="00AD0D1D">
            <w:pPr>
              <w:pStyle w:val="ListParagraph"/>
              <w:tabs>
                <w:tab w:val="left" w:pos="2160"/>
                <w:tab w:val="left" w:pos="2161"/>
              </w:tabs>
              <w:spacing w:before="41"/>
              <w:ind w:left="2160"/>
              <w:rPr>
                <w:i/>
              </w:rPr>
            </w:pPr>
          </w:p>
        </w:tc>
        <w:tc>
          <w:tcPr>
            <w:tcW w:w="4813" w:type="dxa"/>
          </w:tcPr>
          <w:p w14:paraId="59FBB228" w14:textId="77777777" w:rsidR="00786D7D" w:rsidRPr="0014764D" w:rsidRDefault="00786D7D" w:rsidP="00AD0D1D">
            <w:pPr>
              <w:adjustRightInd w:val="0"/>
              <w:spacing w:after="240" w:line="300" w:lineRule="atLeast"/>
              <w:rPr>
                <w:rFonts w:cs="Times"/>
                <w:color w:val="000000"/>
                <w:lang w:val="en-GB"/>
              </w:rPr>
            </w:pPr>
            <w:r>
              <w:rPr>
                <w:rFonts w:cs="Times"/>
                <w:bCs/>
                <w:color w:val="000000"/>
                <w:lang w:val="en-GB"/>
              </w:rPr>
              <w:t>W</w:t>
            </w:r>
            <w:r w:rsidRPr="0014764D">
              <w:rPr>
                <w:rFonts w:cs="Times"/>
                <w:bCs/>
                <w:color w:val="000000"/>
                <w:lang w:val="en-GB"/>
              </w:rPr>
              <w:t xml:space="preserve">eak recommendation, low quality of evidence </w:t>
            </w:r>
          </w:p>
          <w:p w14:paraId="27EE93C1" w14:textId="77777777" w:rsidR="00786D7D" w:rsidRPr="0014764D" w:rsidRDefault="00786D7D" w:rsidP="00AD0D1D">
            <w:pPr>
              <w:spacing w:line="276" w:lineRule="auto"/>
              <w:ind w:left="360" w:right="1456"/>
              <w:rPr>
                <w:i/>
              </w:rPr>
            </w:pPr>
          </w:p>
        </w:tc>
      </w:tr>
      <w:tr w:rsidR="00786D7D" w:rsidRPr="0014764D" w14:paraId="55270D3F" w14:textId="77777777" w:rsidTr="00AD0D1D">
        <w:trPr>
          <w:trHeight w:val="881"/>
        </w:trPr>
        <w:tc>
          <w:tcPr>
            <w:tcW w:w="4812" w:type="dxa"/>
          </w:tcPr>
          <w:p w14:paraId="560A0319" w14:textId="77777777" w:rsidR="00786D7D" w:rsidRPr="0014764D" w:rsidRDefault="00786D7D" w:rsidP="00AD0D1D">
            <w:pPr>
              <w:tabs>
                <w:tab w:val="left" w:pos="2160"/>
                <w:tab w:val="left" w:pos="2161"/>
              </w:tabs>
              <w:spacing w:before="41"/>
            </w:pPr>
            <w:r w:rsidRPr="0014764D">
              <w:t>Obtain blood cultures prior to administration of</w:t>
            </w:r>
            <w:r w:rsidRPr="0014764D">
              <w:rPr>
                <w:spacing w:val="-16"/>
              </w:rPr>
              <w:t xml:space="preserve"> </w:t>
            </w:r>
            <w:r w:rsidRPr="0014764D">
              <w:t>antibiotics.</w:t>
            </w:r>
          </w:p>
          <w:p w14:paraId="5925AE7F" w14:textId="77777777" w:rsidR="00786D7D" w:rsidRPr="0014764D" w:rsidRDefault="00786D7D" w:rsidP="00AD0D1D">
            <w:pPr>
              <w:tabs>
                <w:tab w:val="left" w:pos="2160"/>
                <w:tab w:val="left" w:pos="2161"/>
              </w:tabs>
              <w:ind w:left="1080"/>
            </w:pPr>
          </w:p>
        </w:tc>
        <w:tc>
          <w:tcPr>
            <w:tcW w:w="4813" w:type="dxa"/>
          </w:tcPr>
          <w:p w14:paraId="15A424DE" w14:textId="77777777" w:rsidR="00786D7D" w:rsidRPr="0014764D" w:rsidRDefault="00786D7D" w:rsidP="00AD0D1D">
            <w:pPr>
              <w:spacing w:line="276" w:lineRule="auto"/>
              <w:ind w:right="1456"/>
            </w:pPr>
            <w:r w:rsidRPr="0014764D">
              <w:t>Best Practice Statement</w:t>
            </w:r>
          </w:p>
        </w:tc>
      </w:tr>
      <w:tr w:rsidR="00786D7D" w:rsidRPr="0014764D" w14:paraId="5282B35B" w14:textId="77777777" w:rsidTr="00AD0D1D">
        <w:tc>
          <w:tcPr>
            <w:tcW w:w="4812" w:type="dxa"/>
          </w:tcPr>
          <w:p w14:paraId="5634175B" w14:textId="77777777" w:rsidR="00786D7D" w:rsidRPr="0014764D" w:rsidRDefault="00786D7D" w:rsidP="00AD0D1D">
            <w:pPr>
              <w:tabs>
                <w:tab w:val="left" w:pos="2160"/>
                <w:tab w:val="left" w:pos="2161"/>
              </w:tabs>
              <w:spacing w:before="38"/>
            </w:pPr>
            <w:r w:rsidRPr="0014764D">
              <w:t>Administer broad-spectrum</w:t>
            </w:r>
            <w:r w:rsidRPr="0014764D">
              <w:rPr>
                <w:spacing w:val="-8"/>
              </w:rPr>
              <w:t xml:space="preserve"> </w:t>
            </w:r>
            <w:r w:rsidRPr="0014764D">
              <w:t>antibiotics.</w:t>
            </w:r>
          </w:p>
          <w:p w14:paraId="2770E65C" w14:textId="77777777" w:rsidR="00786D7D" w:rsidRPr="0014764D" w:rsidRDefault="00786D7D" w:rsidP="00AD0D1D">
            <w:pPr>
              <w:spacing w:line="276" w:lineRule="auto"/>
              <w:ind w:right="1456"/>
              <w:rPr>
                <w:i/>
              </w:rPr>
            </w:pPr>
          </w:p>
        </w:tc>
        <w:tc>
          <w:tcPr>
            <w:tcW w:w="4813" w:type="dxa"/>
          </w:tcPr>
          <w:p w14:paraId="31422B45" w14:textId="77777777" w:rsidR="00786D7D" w:rsidRPr="0014764D" w:rsidRDefault="00786D7D" w:rsidP="00AD0D1D">
            <w:pPr>
              <w:adjustRightInd w:val="0"/>
              <w:spacing w:after="240" w:line="300" w:lineRule="atLeast"/>
              <w:rPr>
                <w:rFonts w:cs="Times"/>
                <w:color w:val="000000"/>
                <w:lang w:val="en-GB"/>
              </w:rPr>
            </w:pPr>
            <w:r>
              <w:rPr>
                <w:rFonts w:cs="Times"/>
                <w:bCs/>
                <w:color w:val="000000"/>
                <w:lang w:val="en-GB"/>
              </w:rPr>
              <w:t>S</w:t>
            </w:r>
            <w:r w:rsidRPr="0014764D">
              <w:rPr>
                <w:rFonts w:cs="Times"/>
                <w:bCs/>
                <w:color w:val="000000"/>
                <w:lang w:val="en-GB"/>
              </w:rPr>
              <w:t xml:space="preserve">trong recommendation, moderate quality of evidence </w:t>
            </w:r>
          </w:p>
        </w:tc>
      </w:tr>
      <w:tr w:rsidR="00786D7D" w:rsidRPr="0014764D" w14:paraId="48A33B95" w14:textId="77777777" w:rsidTr="00AD0D1D">
        <w:tc>
          <w:tcPr>
            <w:tcW w:w="4812" w:type="dxa"/>
          </w:tcPr>
          <w:p w14:paraId="7B279A39" w14:textId="77777777" w:rsidR="00786D7D" w:rsidRPr="0014764D" w:rsidRDefault="00786D7D" w:rsidP="00AD0D1D">
            <w:pPr>
              <w:tabs>
                <w:tab w:val="left" w:pos="2160"/>
                <w:tab w:val="left" w:pos="2161"/>
              </w:tabs>
              <w:spacing w:before="40"/>
            </w:pPr>
            <w:r w:rsidRPr="0014764D">
              <w:t>Rapidly administer 30ml/kg crystalloid for hypotension or lactate ≥4</w:t>
            </w:r>
            <w:r w:rsidRPr="0014764D">
              <w:rPr>
                <w:spacing w:val="-16"/>
              </w:rPr>
              <w:t xml:space="preserve"> </w:t>
            </w:r>
            <w:proofErr w:type="spellStart"/>
            <w:r w:rsidRPr="0014764D">
              <w:t>mmol</w:t>
            </w:r>
            <w:proofErr w:type="spellEnd"/>
            <w:r w:rsidRPr="0014764D">
              <w:t>/L.</w:t>
            </w:r>
          </w:p>
          <w:p w14:paraId="395479B0" w14:textId="77777777" w:rsidR="00786D7D" w:rsidRPr="0014764D" w:rsidRDefault="00786D7D" w:rsidP="00AD0D1D">
            <w:pPr>
              <w:spacing w:line="276" w:lineRule="auto"/>
              <w:ind w:right="1456"/>
              <w:rPr>
                <w:i/>
              </w:rPr>
            </w:pPr>
          </w:p>
        </w:tc>
        <w:tc>
          <w:tcPr>
            <w:tcW w:w="4813" w:type="dxa"/>
          </w:tcPr>
          <w:p w14:paraId="78CD2DE0" w14:textId="77777777" w:rsidR="00786D7D" w:rsidRPr="0014764D" w:rsidRDefault="00786D7D" w:rsidP="00AD0D1D">
            <w:pPr>
              <w:tabs>
                <w:tab w:val="left" w:pos="220"/>
                <w:tab w:val="left" w:pos="720"/>
              </w:tabs>
              <w:adjustRightInd w:val="0"/>
              <w:spacing w:after="266" w:line="300" w:lineRule="atLeast"/>
              <w:rPr>
                <w:rFonts w:cs="Times"/>
                <w:bCs/>
                <w:color w:val="000000"/>
                <w:lang w:val="en-GB"/>
              </w:rPr>
            </w:pPr>
            <w:r>
              <w:rPr>
                <w:rFonts w:cs="Times"/>
                <w:bCs/>
                <w:color w:val="000000"/>
                <w:lang w:val="en-GB"/>
              </w:rPr>
              <w:t>S</w:t>
            </w:r>
            <w:r w:rsidRPr="0014764D">
              <w:rPr>
                <w:rFonts w:cs="Times"/>
                <w:bCs/>
                <w:color w:val="000000"/>
                <w:lang w:val="en-GB"/>
              </w:rPr>
              <w:t xml:space="preserve">trong recommendation, low quality of evidence </w:t>
            </w:r>
            <w:r w:rsidRPr="0014764D">
              <w:rPr>
                <w:rFonts w:ascii="MS Mincho" w:eastAsia="MS Mincho" w:hAnsi="MS Mincho" w:cs="MS Mincho"/>
                <w:bCs/>
                <w:color w:val="000000"/>
                <w:lang w:val="en-GB"/>
              </w:rPr>
              <w:t> </w:t>
            </w:r>
          </w:p>
          <w:p w14:paraId="7265DB84" w14:textId="77777777" w:rsidR="00786D7D" w:rsidRPr="0014764D" w:rsidRDefault="00786D7D" w:rsidP="00AD0D1D">
            <w:pPr>
              <w:spacing w:line="276" w:lineRule="auto"/>
              <w:ind w:left="360" w:right="1456"/>
              <w:rPr>
                <w:i/>
              </w:rPr>
            </w:pPr>
          </w:p>
        </w:tc>
      </w:tr>
      <w:tr w:rsidR="00786D7D" w:rsidRPr="0014764D" w14:paraId="7CF11537" w14:textId="77777777" w:rsidTr="00AD0D1D">
        <w:tc>
          <w:tcPr>
            <w:tcW w:w="4812" w:type="dxa"/>
          </w:tcPr>
          <w:p w14:paraId="39319ADF" w14:textId="77777777" w:rsidR="00786D7D" w:rsidRPr="0014764D" w:rsidRDefault="00786D7D" w:rsidP="00AD0D1D">
            <w:pPr>
              <w:tabs>
                <w:tab w:val="left" w:pos="2160"/>
                <w:tab w:val="left" w:pos="2161"/>
              </w:tabs>
              <w:spacing w:before="38"/>
            </w:pPr>
            <w:r w:rsidRPr="0014764D">
              <w:t>Apply vasopressors if patient is hypotensive during or after fluid resuscitation to maintain</w:t>
            </w:r>
            <w:r w:rsidRPr="0014764D">
              <w:rPr>
                <w:spacing w:val="-28"/>
              </w:rPr>
              <w:t xml:space="preserve"> </w:t>
            </w:r>
            <w:r w:rsidRPr="0014764D">
              <w:t>MAP</w:t>
            </w:r>
          </w:p>
          <w:p w14:paraId="3F0F2B63" w14:textId="77777777" w:rsidR="00786D7D" w:rsidRPr="0014764D" w:rsidRDefault="00786D7D" w:rsidP="00AD0D1D">
            <w:pPr>
              <w:spacing w:before="43"/>
            </w:pPr>
            <w:r w:rsidRPr="0014764D">
              <w:t>≥65 mm Hg.</w:t>
            </w:r>
          </w:p>
          <w:p w14:paraId="44004EA7" w14:textId="77777777" w:rsidR="00786D7D" w:rsidRPr="0014764D" w:rsidRDefault="00786D7D" w:rsidP="00AD0D1D">
            <w:pPr>
              <w:spacing w:line="276" w:lineRule="auto"/>
              <w:ind w:right="1456"/>
              <w:rPr>
                <w:i/>
              </w:rPr>
            </w:pPr>
          </w:p>
        </w:tc>
        <w:tc>
          <w:tcPr>
            <w:tcW w:w="4813" w:type="dxa"/>
          </w:tcPr>
          <w:p w14:paraId="5AD646C4" w14:textId="77777777" w:rsidR="00786D7D" w:rsidRPr="0014764D" w:rsidRDefault="00786D7D" w:rsidP="00AD0D1D">
            <w:pPr>
              <w:adjustRightInd w:val="0"/>
              <w:spacing w:after="240" w:line="300" w:lineRule="atLeast"/>
              <w:rPr>
                <w:rFonts w:cs="Times"/>
                <w:color w:val="000000"/>
                <w:lang w:val="en-GB"/>
              </w:rPr>
            </w:pPr>
            <w:r>
              <w:rPr>
                <w:rFonts w:cs="Times"/>
                <w:bCs/>
                <w:color w:val="000000"/>
                <w:lang w:val="en-GB"/>
              </w:rPr>
              <w:t>S</w:t>
            </w:r>
            <w:r w:rsidRPr="0014764D">
              <w:rPr>
                <w:rFonts w:cs="Times"/>
                <w:bCs/>
                <w:color w:val="000000"/>
                <w:lang w:val="en-GB"/>
              </w:rPr>
              <w:t>trong recommendation, moderate quality of evidence</w:t>
            </w:r>
            <w:r w:rsidRPr="0014764D">
              <w:rPr>
                <w:rFonts w:ascii="MS Mincho" w:eastAsia="MS Mincho" w:hAnsi="MS Mincho" w:cs="MS Mincho"/>
                <w:bCs/>
                <w:color w:val="000000"/>
                <w:lang w:val="en-GB"/>
              </w:rPr>
              <w:t> </w:t>
            </w:r>
          </w:p>
          <w:p w14:paraId="6965AED5" w14:textId="77777777" w:rsidR="00786D7D" w:rsidRPr="0014764D" w:rsidRDefault="00786D7D" w:rsidP="00AD0D1D">
            <w:pPr>
              <w:spacing w:line="276" w:lineRule="auto"/>
              <w:ind w:left="360" w:right="1456"/>
              <w:rPr>
                <w:i/>
              </w:rPr>
            </w:pPr>
          </w:p>
        </w:tc>
      </w:tr>
    </w:tbl>
    <w:p w14:paraId="6B6FC3D7" w14:textId="77777777" w:rsidR="004E0271" w:rsidRPr="0071083C" w:rsidRDefault="004E0271" w:rsidP="00C92E71">
      <w:pPr>
        <w:pStyle w:val="ListParagraph"/>
        <w:shd w:val="clear" w:color="auto" w:fill="FFFFFF"/>
        <w:spacing w:after="0" w:line="240" w:lineRule="auto"/>
        <w:ind w:left="990"/>
        <w:rPr>
          <w:rFonts w:ascii="Arial" w:eastAsia="Times New Roman" w:hAnsi="Arial" w:cs="Arial"/>
          <w:color w:val="333333"/>
          <w:sz w:val="20"/>
          <w:szCs w:val="20"/>
        </w:rPr>
      </w:pPr>
    </w:p>
    <w:p w14:paraId="4A2172B5" w14:textId="77777777" w:rsidR="004E0271" w:rsidRPr="00DF7C37" w:rsidRDefault="004E0271" w:rsidP="004E0271">
      <w:pPr>
        <w:pStyle w:val="ListParagraph"/>
        <w:shd w:val="clear" w:color="auto" w:fill="FFFFFF"/>
        <w:spacing w:before="100" w:beforeAutospacing="1" w:after="0" w:afterAutospacing="1" w:line="240" w:lineRule="auto"/>
        <w:ind w:left="900"/>
        <w:rPr>
          <w:rFonts w:ascii="Arial" w:eastAsia="Times New Roman" w:hAnsi="Arial" w:cs="Arial"/>
          <w:color w:val="333333"/>
          <w:sz w:val="20"/>
          <w:szCs w:val="20"/>
        </w:rPr>
      </w:pPr>
    </w:p>
    <w:p w14:paraId="003A585C" w14:textId="77777777" w:rsidR="004E0271" w:rsidRPr="00FF6D97" w:rsidRDefault="004E0271" w:rsidP="004E0271">
      <w:pPr>
        <w:pStyle w:val="ListParagraph"/>
        <w:shd w:val="clear" w:color="auto" w:fill="FFFFFF"/>
        <w:spacing w:before="100" w:beforeAutospacing="1" w:after="100" w:afterAutospacing="1" w:line="240" w:lineRule="auto"/>
        <w:ind w:left="0"/>
        <w:rPr>
          <w:sz w:val="20"/>
          <w:szCs w:val="20"/>
        </w:rPr>
      </w:pPr>
      <w:r>
        <w:rPr>
          <w:rFonts w:ascii="Arial" w:eastAsia="Times New Roman" w:hAnsi="Arial" w:cs="Arial"/>
          <w:color w:val="333333"/>
          <w:sz w:val="20"/>
          <w:szCs w:val="20"/>
        </w:rPr>
        <w:tab/>
      </w:r>
    </w:p>
    <w:p w14:paraId="752A5135" w14:textId="77777777" w:rsidR="00F2022A" w:rsidRPr="00F2022A" w:rsidRDefault="00F2022A" w:rsidP="001A4BC5"/>
    <w:p w14:paraId="737A5922" w14:textId="77777777" w:rsidR="001A4BC5" w:rsidRDefault="001A4BC5">
      <w:pPr>
        <w:rPr>
          <w:b/>
        </w:rPr>
      </w:pPr>
    </w:p>
    <w:p w14:paraId="37BA695C" w14:textId="77777777" w:rsidR="001A4BC5" w:rsidRPr="001A4BC5" w:rsidRDefault="001A4BC5">
      <w:pPr>
        <w:rPr>
          <w:b/>
        </w:rPr>
      </w:pPr>
    </w:p>
    <w:sectPr w:rsidR="001A4BC5" w:rsidRPr="001A4BC5" w:rsidSect="00F35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137CB"/>
    <w:multiLevelType w:val="hybridMultilevel"/>
    <w:tmpl w:val="901026A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C5"/>
    <w:rsid w:val="00023177"/>
    <w:rsid w:val="00035496"/>
    <w:rsid w:val="000838DE"/>
    <w:rsid w:val="000865C8"/>
    <w:rsid w:val="00092A34"/>
    <w:rsid w:val="00094F79"/>
    <w:rsid w:val="000C5589"/>
    <w:rsid w:val="000D470C"/>
    <w:rsid w:val="000F00E3"/>
    <w:rsid w:val="001015A3"/>
    <w:rsid w:val="00130478"/>
    <w:rsid w:val="00163177"/>
    <w:rsid w:val="00184A15"/>
    <w:rsid w:val="001A4BC5"/>
    <w:rsid w:val="001B07AC"/>
    <w:rsid w:val="001B2C04"/>
    <w:rsid w:val="001C36CA"/>
    <w:rsid w:val="001E0981"/>
    <w:rsid w:val="001F6F77"/>
    <w:rsid w:val="00210273"/>
    <w:rsid w:val="002264F8"/>
    <w:rsid w:val="00234F9D"/>
    <w:rsid w:val="00251440"/>
    <w:rsid w:val="00277CD0"/>
    <w:rsid w:val="002936C6"/>
    <w:rsid w:val="002F38A4"/>
    <w:rsid w:val="00376A8A"/>
    <w:rsid w:val="003B0995"/>
    <w:rsid w:val="003D1773"/>
    <w:rsid w:val="003E0A50"/>
    <w:rsid w:val="003E0DB9"/>
    <w:rsid w:val="003F414A"/>
    <w:rsid w:val="003F5C27"/>
    <w:rsid w:val="00451055"/>
    <w:rsid w:val="00457559"/>
    <w:rsid w:val="004700ED"/>
    <w:rsid w:val="004876AE"/>
    <w:rsid w:val="004A3F91"/>
    <w:rsid w:val="004A54E2"/>
    <w:rsid w:val="004D2DEC"/>
    <w:rsid w:val="004D47EA"/>
    <w:rsid w:val="004D69C7"/>
    <w:rsid w:val="004E0271"/>
    <w:rsid w:val="00520989"/>
    <w:rsid w:val="00533189"/>
    <w:rsid w:val="005333A9"/>
    <w:rsid w:val="00534FCF"/>
    <w:rsid w:val="005678D6"/>
    <w:rsid w:val="005A04F2"/>
    <w:rsid w:val="005D15FE"/>
    <w:rsid w:val="005D53D6"/>
    <w:rsid w:val="005F1899"/>
    <w:rsid w:val="0062628D"/>
    <w:rsid w:val="00635367"/>
    <w:rsid w:val="0065303C"/>
    <w:rsid w:val="006748E9"/>
    <w:rsid w:val="006C0715"/>
    <w:rsid w:val="006C3926"/>
    <w:rsid w:val="006C7F64"/>
    <w:rsid w:val="006F3EBD"/>
    <w:rsid w:val="00723F1C"/>
    <w:rsid w:val="00733604"/>
    <w:rsid w:val="00754319"/>
    <w:rsid w:val="007753E3"/>
    <w:rsid w:val="0077774F"/>
    <w:rsid w:val="00777E24"/>
    <w:rsid w:val="00786D7D"/>
    <w:rsid w:val="007B5232"/>
    <w:rsid w:val="0080301C"/>
    <w:rsid w:val="00817567"/>
    <w:rsid w:val="00827473"/>
    <w:rsid w:val="008521F7"/>
    <w:rsid w:val="008C3B0D"/>
    <w:rsid w:val="008C65CA"/>
    <w:rsid w:val="009043DB"/>
    <w:rsid w:val="00940966"/>
    <w:rsid w:val="009826ED"/>
    <w:rsid w:val="009845EF"/>
    <w:rsid w:val="009C6098"/>
    <w:rsid w:val="009F4069"/>
    <w:rsid w:val="00A01F77"/>
    <w:rsid w:val="00A05A39"/>
    <w:rsid w:val="00A600C9"/>
    <w:rsid w:val="00A66BB2"/>
    <w:rsid w:val="00AD2599"/>
    <w:rsid w:val="00AD4201"/>
    <w:rsid w:val="00B0025E"/>
    <w:rsid w:val="00B16248"/>
    <w:rsid w:val="00B31DB4"/>
    <w:rsid w:val="00B63945"/>
    <w:rsid w:val="00B71D55"/>
    <w:rsid w:val="00B87B85"/>
    <w:rsid w:val="00C109F5"/>
    <w:rsid w:val="00C1436E"/>
    <w:rsid w:val="00C1555F"/>
    <w:rsid w:val="00C5526C"/>
    <w:rsid w:val="00C76625"/>
    <w:rsid w:val="00C8174C"/>
    <w:rsid w:val="00C92E71"/>
    <w:rsid w:val="00C968AA"/>
    <w:rsid w:val="00CE59B5"/>
    <w:rsid w:val="00D333DE"/>
    <w:rsid w:val="00D52C4E"/>
    <w:rsid w:val="00D57387"/>
    <w:rsid w:val="00D87A1E"/>
    <w:rsid w:val="00DE2F54"/>
    <w:rsid w:val="00DE3F0A"/>
    <w:rsid w:val="00DF699E"/>
    <w:rsid w:val="00E24C8D"/>
    <w:rsid w:val="00E26DDB"/>
    <w:rsid w:val="00E96EEA"/>
    <w:rsid w:val="00EC5D00"/>
    <w:rsid w:val="00F154F0"/>
    <w:rsid w:val="00F2022A"/>
    <w:rsid w:val="00F320CC"/>
    <w:rsid w:val="00F3503F"/>
    <w:rsid w:val="00F840A2"/>
    <w:rsid w:val="00FA1E46"/>
    <w:rsid w:val="00FA24A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3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07AC"/>
    <w:rPr>
      <w:sz w:val="16"/>
      <w:szCs w:val="16"/>
    </w:rPr>
  </w:style>
  <w:style w:type="paragraph" w:styleId="CommentText">
    <w:name w:val="annotation text"/>
    <w:basedOn w:val="Normal"/>
    <w:link w:val="CommentTextChar"/>
    <w:uiPriority w:val="99"/>
    <w:semiHidden/>
    <w:unhideWhenUsed/>
    <w:rsid w:val="001B07AC"/>
    <w:pPr>
      <w:spacing w:line="240" w:lineRule="auto"/>
    </w:pPr>
    <w:rPr>
      <w:sz w:val="20"/>
      <w:szCs w:val="20"/>
    </w:rPr>
  </w:style>
  <w:style w:type="character" w:customStyle="1" w:styleId="CommentTextChar">
    <w:name w:val="Comment Text Char"/>
    <w:basedOn w:val="DefaultParagraphFont"/>
    <w:link w:val="CommentText"/>
    <w:uiPriority w:val="99"/>
    <w:semiHidden/>
    <w:rsid w:val="001B07AC"/>
    <w:rPr>
      <w:sz w:val="20"/>
      <w:szCs w:val="20"/>
    </w:rPr>
  </w:style>
  <w:style w:type="paragraph" w:styleId="CommentSubject">
    <w:name w:val="annotation subject"/>
    <w:basedOn w:val="CommentText"/>
    <w:next w:val="CommentText"/>
    <w:link w:val="CommentSubjectChar"/>
    <w:uiPriority w:val="99"/>
    <w:semiHidden/>
    <w:unhideWhenUsed/>
    <w:rsid w:val="001B07AC"/>
    <w:rPr>
      <w:b/>
      <w:bCs/>
    </w:rPr>
  </w:style>
  <w:style w:type="character" w:customStyle="1" w:styleId="CommentSubjectChar">
    <w:name w:val="Comment Subject Char"/>
    <w:basedOn w:val="CommentTextChar"/>
    <w:link w:val="CommentSubject"/>
    <w:uiPriority w:val="99"/>
    <w:semiHidden/>
    <w:rsid w:val="001B07AC"/>
    <w:rPr>
      <w:b/>
      <w:bCs/>
      <w:sz w:val="20"/>
      <w:szCs w:val="20"/>
    </w:rPr>
  </w:style>
  <w:style w:type="paragraph" w:styleId="BalloonText">
    <w:name w:val="Balloon Text"/>
    <w:basedOn w:val="Normal"/>
    <w:link w:val="BalloonTextChar"/>
    <w:uiPriority w:val="99"/>
    <w:semiHidden/>
    <w:unhideWhenUsed/>
    <w:rsid w:val="001B0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7AC"/>
    <w:rPr>
      <w:rFonts w:ascii="Tahoma" w:hAnsi="Tahoma" w:cs="Tahoma"/>
      <w:sz w:val="16"/>
      <w:szCs w:val="16"/>
    </w:rPr>
  </w:style>
  <w:style w:type="character" w:styleId="Emphasis">
    <w:name w:val="Emphasis"/>
    <w:basedOn w:val="DefaultParagraphFont"/>
    <w:uiPriority w:val="20"/>
    <w:qFormat/>
    <w:rsid w:val="00E26DDB"/>
    <w:rPr>
      <w:i/>
      <w:iCs/>
    </w:rPr>
  </w:style>
  <w:style w:type="paragraph" w:styleId="Revision">
    <w:name w:val="Revision"/>
    <w:hidden/>
    <w:uiPriority w:val="99"/>
    <w:semiHidden/>
    <w:rsid w:val="00940966"/>
    <w:pPr>
      <w:spacing w:after="0" w:line="240" w:lineRule="auto"/>
    </w:pPr>
  </w:style>
  <w:style w:type="paragraph" w:styleId="ListParagraph">
    <w:name w:val="List Paragraph"/>
    <w:basedOn w:val="Normal"/>
    <w:uiPriority w:val="1"/>
    <w:qFormat/>
    <w:rsid w:val="004E0271"/>
    <w:pPr>
      <w:ind w:left="720"/>
      <w:contextualSpacing/>
    </w:pPr>
  </w:style>
  <w:style w:type="character" w:styleId="Hyperlink">
    <w:name w:val="Hyperlink"/>
    <w:basedOn w:val="DefaultParagraphFont"/>
    <w:uiPriority w:val="99"/>
    <w:semiHidden/>
    <w:unhideWhenUsed/>
    <w:rsid w:val="004E0271"/>
    <w:rPr>
      <w:color w:val="0000FF"/>
      <w:u w:val="single"/>
    </w:rPr>
  </w:style>
  <w:style w:type="table" w:styleId="TableGrid">
    <w:name w:val="Table Grid"/>
    <w:basedOn w:val="TableNormal"/>
    <w:uiPriority w:val="39"/>
    <w:rsid w:val="00786D7D"/>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07AC"/>
    <w:rPr>
      <w:sz w:val="16"/>
      <w:szCs w:val="16"/>
    </w:rPr>
  </w:style>
  <w:style w:type="paragraph" w:styleId="CommentText">
    <w:name w:val="annotation text"/>
    <w:basedOn w:val="Normal"/>
    <w:link w:val="CommentTextChar"/>
    <w:uiPriority w:val="99"/>
    <w:semiHidden/>
    <w:unhideWhenUsed/>
    <w:rsid w:val="001B07AC"/>
    <w:pPr>
      <w:spacing w:line="240" w:lineRule="auto"/>
    </w:pPr>
    <w:rPr>
      <w:sz w:val="20"/>
      <w:szCs w:val="20"/>
    </w:rPr>
  </w:style>
  <w:style w:type="character" w:customStyle="1" w:styleId="CommentTextChar">
    <w:name w:val="Comment Text Char"/>
    <w:basedOn w:val="DefaultParagraphFont"/>
    <w:link w:val="CommentText"/>
    <w:uiPriority w:val="99"/>
    <w:semiHidden/>
    <w:rsid w:val="001B07AC"/>
    <w:rPr>
      <w:sz w:val="20"/>
      <w:szCs w:val="20"/>
    </w:rPr>
  </w:style>
  <w:style w:type="paragraph" w:styleId="CommentSubject">
    <w:name w:val="annotation subject"/>
    <w:basedOn w:val="CommentText"/>
    <w:next w:val="CommentText"/>
    <w:link w:val="CommentSubjectChar"/>
    <w:uiPriority w:val="99"/>
    <w:semiHidden/>
    <w:unhideWhenUsed/>
    <w:rsid w:val="001B07AC"/>
    <w:rPr>
      <w:b/>
      <w:bCs/>
    </w:rPr>
  </w:style>
  <w:style w:type="character" w:customStyle="1" w:styleId="CommentSubjectChar">
    <w:name w:val="Comment Subject Char"/>
    <w:basedOn w:val="CommentTextChar"/>
    <w:link w:val="CommentSubject"/>
    <w:uiPriority w:val="99"/>
    <w:semiHidden/>
    <w:rsid w:val="001B07AC"/>
    <w:rPr>
      <w:b/>
      <w:bCs/>
      <w:sz w:val="20"/>
      <w:szCs w:val="20"/>
    </w:rPr>
  </w:style>
  <w:style w:type="paragraph" w:styleId="BalloonText">
    <w:name w:val="Balloon Text"/>
    <w:basedOn w:val="Normal"/>
    <w:link w:val="BalloonTextChar"/>
    <w:uiPriority w:val="99"/>
    <w:semiHidden/>
    <w:unhideWhenUsed/>
    <w:rsid w:val="001B0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7AC"/>
    <w:rPr>
      <w:rFonts w:ascii="Tahoma" w:hAnsi="Tahoma" w:cs="Tahoma"/>
      <w:sz w:val="16"/>
      <w:szCs w:val="16"/>
    </w:rPr>
  </w:style>
  <w:style w:type="character" w:styleId="Emphasis">
    <w:name w:val="Emphasis"/>
    <w:basedOn w:val="DefaultParagraphFont"/>
    <w:uiPriority w:val="20"/>
    <w:qFormat/>
    <w:rsid w:val="00E26DDB"/>
    <w:rPr>
      <w:i/>
      <w:iCs/>
    </w:rPr>
  </w:style>
  <w:style w:type="paragraph" w:styleId="Revision">
    <w:name w:val="Revision"/>
    <w:hidden/>
    <w:uiPriority w:val="99"/>
    <w:semiHidden/>
    <w:rsid w:val="00940966"/>
    <w:pPr>
      <w:spacing w:after="0" w:line="240" w:lineRule="auto"/>
    </w:pPr>
  </w:style>
  <w:style w:type="paragraph" w:styleId="ListParagraph">
    <w:name w:val="List Paragraph"/>
    <w:basedOn w:val="Normal"/>
    <w:uiPriority w:val="1"/>
    <w:qFormat/>
    <w:rsid w:val="004E0271"/>
    <w:pPr>
      <w:ind w:left="720"/>
      <w:contextualSpacing/>
    </w:pPr>
  </w:style>
  <w:style w:type="character" w:styleId="Hyperlink">
    <w:name w:val="Hyperlink"/>
    <w:basedOn w:val="DefaultParagraphFont"/>
    <w:uiPriority w:val="99"/>
    <w:semiHidden/>
    <w:unhideWhenUsed/>
    <w:rsid w:val="004E0271"/>
    <w:rPr>
      <w:color w:val="0000FF"/>
      <w:u w:val="single"/>
    </w:rPr>
  </w:style>
  <w:style w:type="table" w:styleId="TableGrid">
    <w:name w:val="Table Grid"/>
    <w:basedOn w:val="TableNormal"/>
    <w:uiPriority w:val="39"/>
    <w:rsid w:val="00786D7D"/>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2012/12/21/nyregion/one-boys-death-moves-state-to-action-to-prevent-others.html" TargetMode="External"/><Relationship Id="rId7" Type="http://schemas.openxmlformats.org/officeDocument/2006/relationships/hyperlink" Target="https://www.cms.gov/Newsroom/MediaReleaseDatabase/Fact-sheets/2014-Fact-sheets-items/2014-08-04-2.html" TargetMode="External"/><Relationship Id="rId8" Type="http://schemas.openxmlformats.org/officeDocument/2006/relationships/hyperlink" Target="http://journals.lww.com/ccmjournal/Fulltext/2017/03000/Surviving_Sepsis_Campaign___International.15.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2854</Words>
  <Characters>16268</Characters>
  <Application>Microsoft Macintosh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DLM</dc:creator>
  <cp:lastModifiedBy>Mitchell</cp:lastModifiedBy>
  <cp:revision>2</cp:revision>
  <cp:lastPrinted>2017-12-23T19:37:00Z</cp:lastPrinted>
  <dcterms:created xsi:type="dcterms:W3CDTF">2018-01-31T15:22:00Z</dcterms:created>
  <dcterms:modified xsi:type="dcterms:W3CDTF">2018-01-31T15:22:00Z</dcterms:modified>
</cp:coreProperties>
</file>