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E9" w:rsidRDefault="003F49E9" w:rsidP="003F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97746" w:rsidRDefault="00097746" w:rsidP="0009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746" w:rsidRDefault="00097746" w:rsidP="0009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NOVEL IGLUSNFR VARIANTS OPTIMISED FOR RAPID GLUTAMATE IMAGING</w:t>
      </w:r>
    </w:p>
    <w:p w:rsidR="00097746" w:rsidRDefault="00097746" w:rsidP="00097746"/>
    <w:p w:rsidR="00097746" w:rsidRPr="00F5298B" w:rsidRDefault="00097746" w:rsidP="0009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98B">
        <w:rPr>
          <w:rFonts w:ascii="Times New Roman" w:hAnsi="Times New Roman" w:cs="Times New Roman"/>
          <w:bCs/>
          <w:sz w:val="24"/>
          <w:szCs w:val="24"/>
        </w:rPr>
        <w:t>Nordine Helassa, Celine Durst, Catherine Coates, Urwa Arif, Christian Schulze, Simon Wiegert, Michael Geeves, Thomas Oertne</w:t>
      </w:r>
      <w:r>
        <w:rPr>
          <w:rFonts w:ascii="Times New Roman" w:hAnsi="Times New Roman" w:cs="Times New Roman"/>
          <w:bCs/>
          <w:sz w:val="24"/>
          <w:szCs w:val="24"/>
        </w:rPr>
        <w:t xml:space="preserve">r and Katalin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Török</w:t>
      </w:r>
      <w:proofErr w:type="spellEnd"/>
    </w:p>
    <w:p w:rsidR="00F5298B" w:rsidRDefault="00F5298B" w:rsidP="00F5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1B8" w:rsidRDefault="00BC7725" w:rsidP="00AA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Intensity-based </w:t>
      </w:r>
      <w:r w:rsidR="00CC240C">
        <w:rPr>
          <w:rFonts w:ascii="Times New Roman" w:hAnsi="Times New Roman" w:cs="Times New Roman"/>
          <w:bCs/>
          <w:sz w:val="24"/>
          <w:szCs w:val="24"/>
        </w:rPr>
        <w:t>glutamate</w:t>
      </w:r>
      <w:r>
        <w:rPr>
          <w:rFonts w:ascii="Times New Roman" w:hAnsi="Times New Roman" w:cs="Times New Roman"/>
          <w:bCs/>
          <w:sz w:val="24"/>
          <w:szCs w:val="24"/>
        </w:rPr>
        <w:t>-sensing fluorescent reporter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49E9" w:rsidRPr="003F49E9">
        <w:rPr>
          <w:rFonts w:ascii="Times New Roman" w:hAnsi="Times New Roman" w:cs="Times New Roman"/>
          <w:bCs/>
          <w:sz w:val="24"/>
          <w:szCs w:val="24"/>
        </w:rPr>
        <w:t>iGlu</w:t>
      </w:r>
      <w:proofErr w:type="spellEnd"/>
      <w:r w:rsidR="003F49E9" w:rsidRPr="003F49E9">
        <w:rPr>
          <w:rFonts w:ascii="Times New Roman" w:hAnsi="Times New Roman" w:cs="Times New Roman"/>
          <w:bCs/>
          <w:sz w:val="24"/>
          <w:szCs w:val="24"/>
        </w:rPr>
        <w:t>-‘sniffer’ (</w:t>
      </w:r>
      <w:proofErr w:type="spellStart"/>
      <w:r w:rsidR="003F49E9" w:rsidRPr="003F49E9">
        <w:rPr>
          <w:rFonts w:ascii="Times New Roman" w:hAnsi="Times New Roman" w:cs="Times New Roman"/>
          <w:bCs/>
          <w:sz w:val="24"/>
          <w:szCs w:val="24"/>
        </w:rPr>
        <w:t>iGluSnFR</w:t>
      </w:r>
      <w:proofErr w:type="spellEnd"/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is a useful tool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neuroscience 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has enabled detection of glutamate release from single presynaptic terminals. However the probe’s fluorescence rise and decay </w:t>
      </w:r>
      <w:r w:rsidR="003F49E9">
        <w:rPr>
          <w:rFonts w:ascii="Times New Roman" w:hAnsi="Times New Roman" w:cs="Times New Roman"/>
          <w:bCs/>
          <w:sz w:val="24"/>
          <w:szCs w:val="24"/>
        </w:rPr>
        <w:t>kinetics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 appeared too slow to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give an accurate readout of glutamate </w:t>
      </w:r>
      <w:r>
        <w:rPr>
          <w:rFonts w:ascii="Times New Roman" w:hAnsi="Times New Roman" w:cs="Times New Roman"/>
          <w:bCs/>
          <w:sz w:val="24"/>
          <w:szCs w:val="24"/>
        </w:rPr>
        <w:t>dynamics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 at the synapse during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>high</w:t>
      </w:r>
      <w:r w:rsidR="00ED7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frequency bursts. We thus generated novel variants 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with faster glutamate binding kinetics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>by mutation of amino acid residues coordinating glutamate at the binding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site. Fast variants </w:t>
      </w:r>
      <w:proofErr w:type="spellStart"/>
      <w:r w:rsidR="003F49E9" w:rsidRPr="003F49E9">
        <w:rPr>
          <w:rFonts w:ascii="Times New Roman" w:hAnsi="Times New Roman" w:cs="Times New Roman"/>
          <w:bCs/>
          <w:sz w:val="24"/>
          <w:szCs w:val="24"/>
        </w:rPr>
        <w:t>iGlu</w:t>
      </w:r>
      <w:r w:rsidR="003F49E9" w:rsidRPr="00BC772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f</w:t>
      </w:r>
      <w:proofErr w:type="spellEnd"/>
      <w:r w:rsidR="003F49E9" w:rsidRPr="003F49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3F49E9" w:rsidRPr="003F49E9">
        <w:rPr>
          <w:rFonts w:ascii="Times New Roman" w:hAnsi="Times New Roman" w:cs="Times New Roman"/>
          <w:bCs/>
          <w:sz w:val="24"/>
          <w:szCs w:val="24"/>
        </w:rPr>
        <w:t>iGlu</w:t>
      </w:r>
      <w:r w:rsidR="003F49E9" w:rsidRPr="00BC7725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u</w:t>
      </w:r>
      <w:proofErr w:type="spellEnd"/>
      <w:r w:rsidR="003F49E9">
        <w:rPr>
          <w:rFonts w:ascii="Times New Roman" w:hAnsi="Times New Roman" w:cs="Times New Roman"/>
          <w:bCs/>
          <w:iCs/>
          <w:sz w:val="24"/>
          <w:szCs w:val="24"/>
        </w:rPr>
        <w:t xml:space="preserve"> ha</w:t>
      </w:r>
      <w:r w:rsidR="007D07C8">
        <w:rPr>
          <w:rFonts w:ascii="Times New Roman" w:hAnsi="Times New Roman" w:cs="Times New Roman"/>
          <w:bCs/>
          <w:iCs/>
          <w:sz w:val="24"/>
          <w:szCs w:val="24"/>
        </w:rPr>
        <w:t>ve</w:t>
      </w:r>
      <w:r w:rsidR="003F49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>comparable brightness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>and fluorescence dynamic range</w:t>
      </w:r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iGluSnFR</w:t>
      </w:r>
      <w:proofErr w:type="spellEnd"/>
      <w:r w:rsidR="003F49E9">
        <w:rPr>
          <w:rFonts w:ascii="Times New Roman" w:hAnsi="Times New Roman" w:cs="Times New Roman"/>
          <w:bCs/>
          <w:sz w:val="24"/>
          <w:szCs w:val="24"/>
        </w:rPr>
        <w:t xml:space="preserve">. The </w:t>
      </w:r>
      <w:proofErr w:type="spellStart"/>
      <w:proofErr w:type="gramStart"/>
      <w:r w:rsidRPr="00BC7725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BC7725">
        <w:rPr>
          <w:rFonts w:ascii="Times New Roman" w:hAnsi="Times New Roman" w:cs="Times New Roman"/>
          <w:bCs/>
          <w:sz w:val="24"/>
          <w:szCs w:val="24"/>
          <w:vertAlign w:val="subscript"/>
        </w:rPr>
        <w:t>d</w:t>
      </w:r>
      <w:proofErr w:type="spellEnd"/>
      <w:proofErr w:type="gramEnd"/>
      <w:r w:rsidR="003F49E9">
        <w:rPr>
          <w:rFonts w:ascii="Times New Roman" w:hAnsi="Times New Roman" w:cs="Times New Roman"/>
          <w:bCs/>
          <w:sz w:val="24"/>
          <w:szCs w:val="24"/>
        </w:rPr>
        <w:t xml:space="preserve"> for glutamate measured by equilibrium binding titration </w:t>
      </w:r>
      <w:r w:rsidR="00527E0D">
        <w:rPr>
          <w:rFonts w:ascii="Times New Roman" w:hAnsi="Times New Roman" w:cs="Times New Roman"/>
          <w:bCs/>
          <w:sz w:val="24"/>
          <w:szCs w:val="24"/>
        </w:rPr>
        <w:t xml:space="preserve">at 20 °C </w:t>
      </w:r>
      <w:r w:rsidR="007D07C8">
        <w:rPr>
          <w:rFonts w:ascii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Cs/>
          <w:sz w:val="24"/>
          <w:szCs w:val="24"/>
        </w:rPr>
        <w:t>increased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from 33 </w:t>
      </w:r>
      <w:r w:rsidR="003F49E9" w:rsidRPr="003F49E9">
        <w:rPr>
          <w:rFonts w:ascii="Symbol" w:hAnsi="Symbol" w:cs="Times New Roman"/>
          <w:bCs/>
          <w:sz w:val="24"/>
          <w:szCs w:val="24"/>
        </w:rPr>
        <w:t>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3F49E9">
        <w:rPr>
          <w:rFonts w:ascii="Times New Roman" w:hAnsi="Times New Roman" w:cs="Times New Roman"/>
          <w:bCs/>
          <w:sz w:val="24"/>
          <w:szCs w:val="24"/>
        </w:rPr>
        <w:t>iGluSnFR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to 137 </w:t>
      </w:r>
      <w:r w:rsidR="003F49E9" w:rsidRPr="003F49E9">
        <w:rPr>
          <w:rFonts w:ascii="Symbol" w:hAnsi="Symbol" w:cs="Times New Roman"/>
          <w:bCs/>
          <w:sz w:val="24"/>
          <w:szCs w:val="24"/>
        </w:rPr>
        <w:t>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M and 600 </w:t>
      </w:r>
      <w:r w:rsidR="003F49E9" w:rsidRPr="003F49E9">
        <w:rPr>
          <w:rFonts w:ascii="Symbol" w:hAnsi="Symbol" w:cs="Times New Roman"/>
          <w:bCs/>
          <w:sz w:val="24"/>
          <w:szCs w:val="24"/>
        </w:rPr>
        <w:t>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3F49E9">
        <w:rPr>
          <w:rFonts w:ascii="Times New Roman" w:hAnsi="Times New Roman" w:cs="Times New Roman"/>
          <w:bCs/>
          <w:sz w:val="24"/>
          <w:szCs w:val="24"/>
        </w:rPr>
        <w:t>iGlu</w:t>
      </w:r>
      <w:r w:rsidR="003F49E9" w:rsidRPr="00BC772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f</w:t>
      </w:r>
      <w:proofErr w:type="spellEnd"/>
      <w:r w:rsidR="003F49E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3F49E9">
        <w:rPr>
          <w:rFonts w:ascii="Times New Roman" w:hAnsi="Times New Roman" w:cs="Times New Roman"/>
          <w:bCs/>
          <w:sz w:val="24"/>
          <w:szCs w:val="24"/>
        </w:rPr>
        <w:t>iGlu</w:t>
      </w:r>
      <w:r w:rsidR="003F49E9" w:rsidRPr="00BC772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u</w:t>
      </w:r>
      <w:proofErr w:type="spellEnd"/>
      <w:r w:rsidR="003F49E9">
        <w:rPr>
          <w:rFonts w:ascii="Times New Roman" w:hAnsi="Times New Roman" w:cs="Times New Roman"/>
          <w:bCs/>
          <w:sz w:val="24"/>
          <w:szCs w:val="24"/>
        </w:rPr>
        <w:t>, respectively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3F49E9">
        <w:rPr>
          <w:rFonts w:ascii="Times New Roman" w:hAnsi="Times New Roman" w:cs="Times New Roman"/>
          <w:bCs/>
          <w:sz w:val="24"/>
          <w:szCs w:val="24"/>
        </w:rPr>
        <w:t>.</w:t>
      </w:r>
      <w:r w:rsidR="00856BE3">
        <w:rPr>
          <w:rFonts w:ascii="Times New Roman" w:hAnsi="Times New Roman" w:cs="Times New Roman"/>
          <w:bCs/>
          <w:sz w:val="24"/>
          <w:szCs w:val="24"/>
        </w:rPr>
        <w:t xml:space="preserve"> At 34 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 w:rsidR="00856BE3">
        <w:rPr>
          <w:rFonts w:ascii="Times New Roman" w:hAnsi="Times New Roman" w:cs="Times New Roman"/>
          <w:bCs/>
          <w:sz w:val="24"/>
          <w:szCs w:val="24"/>
        </w:rPr>
        <w:t xml:space="preserve">C, </w:t>
      </w:r>
      <w:r w:rsidR="00856BE3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856BE3" w:rsidRPr="00856BE3">
        <w:rPr>
          <w:rFonts w:ascii="Times New Roman" w:hAnsi="Times New Roman" w:cs="Times New Roman"/>
          <w:bCs/>
          <w:i/>
          <w:sz w:val="24"/>
          <w:szCs w:val="24"/>
        </w:rPr>
        <w:t>n vitro</w:t>
      </w:r>
      <w:r w:rsidR="00856BE3">
        <w:rPr>
          <w:rFonts w:ascii="Times New Roman" w:hAnsi="Times New Roman" w:cs="Times New Roman"/>
          <w:bCs/>
          <w:sz w:val="24"/>
          <w:szCs w:val="24"/>
        </w:rPr>
        <w:t xml:space="preserve"> dissociation rate </w:t>
      </w:r>
      <w:r w:rsidR="00405F00">
        <w:rPr>
          <w:rFonts w:ascii="Times New Roman" w:hAnsi="Times New Roman" w:cs="Times New Roman"/>
          <w:bCs/>
          <w:sz w:val="24"/>
          <w:szCs w:val="24"/>
        </w:rPr>
        <w:t xml:space="preserve">measured by stopped-flow </w:t>
      </w:r>
      <w:proofErr w:type="spellStart"/>
      <w:r w:rsidR="00405F00">
        <w:rPr>
          <w:rFonts w:ascii="Times New Roman" w:hAnsi="Times New Roman" w:cs="Times New Roman"/>
          <w:bCs/>
          <w:sz w:val="24"/>
          <w:szCs w:val="24"/>
        </w:rPr>
        <w:t>fluorimetry</w:t>
      </w:r>
      <w:proofErr w:type="spellEnd"/>
      <w:r w:rsidR="00405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C8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B90CD6">
        <w:rPr>
          <w:rFonts w:ascii="Times New Roman" w:hAnsi="Times New Roman" w:cs="Times New Roman"/>
          <w:bCs/>
          <w:sz w:val="24"/>
          <w:szCs w:val="24"/>
        </w:rPr>
        <w:t>increased</w:t>
      </w:r>
      <w:r w:rsidR="0085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CE0">
        <w:rPr>
          <w:rFonts w:ascii="Times New Roman" w:hAnsi="Times New Roman" w:cs="Times New Roman"/>
          <w:bCs/>
          <w:sz w:val="24"/>
          <w:szCs w:val="24"/>
        </w:rPr>
        <w:t xml:space="preserve">up to 6-fold </w:t>
      </w:r>
      <w:r w:rsidR="00856BE3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B90CD6">
        <w:rPr>
          <w:rFonts w:ascii="Times New Roman" w:hAnsi="Times New Roman" w:cs="Times New Roman"/>
          <w:bCs/>
          <w:sz w:val="24"/>
          <w:szCs w:val="24"/>
        </w:rPr>
        <w:t>233 s</w:t>
      </w:r>
      <w:r w:rsidR="00B90CD6" w:rsidRPr="00B90CD6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B90CD6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="00856BE3">
        <w:rPr>
          <w:rFonts w:ascii="Times New Roman" w:hAnsi="Times New Roman" w:cs="Times New Roman"/>
          <w:bCs/>
          <w:sz w:val="24"/>
          <w:szCs w:val="24"/>
        </w:rPr>
        <w:t>iGluSnFR</w:t>
      </w:r>
      <w:proofErr w:type="spellEnd"/>
      <w:r w:rsidR="00B90CD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CD6" w:rsidRPr="00B90CD6">
        <w:rPr>
          <w:rFonts w:ascii="Symbol" w:hAnsi="Symbol" w:cs="Times New Roman"/>
          <w:bCs/>
          <w:sz w:val="24"/>
          <w:szCs w:val="24"/>
        </w:rPr>
        <w:t></w:t>
      </w:r>
      <w:r w:rsidR="00B90CD6" w:rsidRPr="006209DC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off</w:t>
      </w:r>
      <w:r w:rsidR="00B90CD6">
        <w:rPr>
          <w:rFonts w:ascii="Times New Roman" w:hAnsi="Times New Roman" w:cs="Times New Roman"/>
          <w:bCs/>
          <w:sz w:val="24"/>
          <w:szCs w:val="24"/>
        </w:rPr>
        <w:t xml:space="preserve">=4.3 </w:t>
      </w:r>
      <w:proofErr w:type="spellStart"/>
      <w:r w:rsidR="00B90CD6">
        <w:rPr>
          <w:rFonts w:ascii="Times New Roman" w:hAnsi="Times New Roman" w:cs="Times New Roman"/>
          <w:bCs/>
          <w:sz w:val="24"/>
          <w:szCs w:val="24"/>
        </w:rPr>
        <w:t>ms</w:t>
      </w:r>
      <w:proofErr w:type="spellEnd"/>
      <w:r w:rsidR="00856BE3">
        <w:rPr>
          <w:rFonts w:ascii="Times New Roman" w:hAnsi="Times New Roman" w:cs="Times New Roman"/>
          <w:bCs/>
          <w:sz w:val="24"/>
          <w:szCs w:val="24"/>
        </w:rPr>
        <w:t xml:space="preserve">) to </w:t>
      </w:r>
      <w:r w:rsidR="00B90CD6">
        <w:rPr>
          <w:rFonts w:ascii="Times New Roman" w:hAnsi="Times New Roman" w:cs="Times New Roman"/>
          <w:bCs/>
          <w:sz w:val="24"/>
          <w:szCs w:val="24"/>
        </w:rPr>
        <w:t>1481 s</w:t>
      </w:r>
      <w:r w:rsidR="00B90CD6" w:rsidRPr="00B90CD6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B90CD6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="00856BE3">
        <w:rPr>
          <w:rFonts w:ascii="Times New Roman" w:hAnsi="Times New Roman" w:cs="Times New Roman"/>
          <w:bCs/>
          <w:sz w:val="24"/>
          <w:szCs w:val="24"/>
        </w:rPr>
        <w:t>iGlu</w:t>
      </w:r>
      <w:r w:rsidR="00856BE3" w:rsidRPr="0018777F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u</w:t>
      </w:r>
      <w:proofErr w:type="spellEnd"/>
      <w:r w:rsidR="00B90CD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CD6" w:rsidRPr="00B90CD6">
        <w:rPr>
          <w:rFonts w:ascii="Symbol" w:hAnsi="Symbol" w:cs="Times New Roman"/>
          <w:bCs/>
          <w:sz w:val="24"/>
          <w:szCs w:val="24"/>
        </w:rPr>
        <w:t></w:t>
      </w:r>
      <w:r w:rsidR="00B90CD6" w:rsidRPr="006209DC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off</w:t>
      </w:r>
      <w:r w:rsidR="00B90CD6">
        <w:rPr>
          <w:rFonts w:ascii="Times New Roman" w:hAnsi="Times New Roman" w:cs="Times New Roman"/>
          <w:bCs/>
          <w:sz w:val="24"/>
          <w:szCs w:val="24"/>
        </w:rPr>
        <w:t xml:space="preserve">=0.7 </w:t>
      </w:r>
      <w:proofErr w:type="spellStart"/>
      <w:r w:rsidR="00B90CD6">
        <w:rPr>
          <w:rFonts w:ascii="Times New Roman" w:hAnsi="Times New Roman" w:cs="Times New Roman"/>
          <w:bCs/>
          <w:sz w:val="24"/>
          <w:szCs w:val="24"/>
        </w:rPr>
        <w:t>ms</w:t>
      </w:r>
      <w:proofErr w:type="spellEnd"/>
      <w:r w:rsidR="00B90CD6">
        <w:rPr>
          <w:rFonts w:ascii="Times New Roman" w:hAnsi="Times New Roman" w:cs="Times New Roman"/>
          <w:bCs/>
          <w:sz w:val="24"/>
          <w:szCs w:val="24"/>
        </w:rPr>
        <w:t>)</w:t>
      </w:r>
      <w:r w:rsidR="00405F00">
        <w:rPr>
          <w:rFonts w:ascii="Times New Roman" w:hAnsi="Times New Roman" w:cs="Times New Roman"/>
          <w:bCs/>
          <w:sz w:val="24"/>
          <w:szCs w:val="24"/>
        </w:rPr>
        <w:t xml:space="preserve">, making </w:t>
      </w:r>
      <w:proofErr w:type="spellStart"/>
      <w:r w:rsidR="00405F00">
        <w:rPr>
          <w:rFonts w:ascii="Times New Roman" w:hAnsi="Times New Roman" w:cs="Times New Roman"/>
          <w:bCs/>
          <w:sz w:val="24"/>
          <w:szCs w:val="24"/>
        </w:rPr>
        <w:t>iGlu</w:t>
      </w:r>
      <w:r w:rsidR="00405F00" w:rsidRPr="00405F00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u</w:t>
      </w:r>
      <w:proofErr w:type="spellEnd"/>
      <w:r w:rsidR="00405F00">
        <w:rPr>
          <w:rFonts w:ascii="Times New Roman" w:hAnsi="Times New Roman" w:cs="Times New Roman"/>
          <w:bCs/>
          <w:sz w:val="24"/>
          <w:szCs w:val="24"/>
        </w:rPr>
        <w:t xml:space="preserve"> the fastest glutamate fluorescent reporter to-date</w:t>
      </w:r>
      <w:r w:rsidR="00856BE3">
        <w:rPr>
          <w:rFonts w:ascii="Times New Roman" w:hAnsi="Times New Roman" w:cs="Times New Roman"/>
          <w:bCs/>
          <w:sz w:val="24"/>
          <w:szCs w:val="24"/>
        </w:rPr>
        <w:t>. A</w:t>
      </w:r>
      <w:r w:rsidR="00856BE3" w:rsidRPr="003F49E9">
        <w:rPr>
          <w:rFonts w:ascii="Times New Roman" w:hAnsi="Times New Roman" w:cs="Times New Roman"/>
          <w:bCs/>
          <w:sz w:val="24"/>
          <w:szCs w:val="24"/>
        </w:rPr>
        <w:t>t single presynaptic</w:t>
      </w:r>
      <w:r w:rsidR="0085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BE3" w:rsidRPr="003F49E9">
        <w:rPr>
          <w:rFonts w:ascii="Times New Roman" w:hAnsi="Times New Roman" w:cs="Times New Roman"/>
          <w:bCs/>
          <w:sz w:val="24"/>
          <w:szCs w:val="24"/>
        </w:rPr>
        <w:t>terminals</w:t>
      </w:r>
      <w:r w:rsidR="00846CE0">
        <w:rPr>
          <w:rFonts w:ascii="Times New Roman" w:hAnsi="Times New Roman" w:cs="Times New Roman"/>
          <w:bCs/>
          <w:sz w:val="24"/>
          <w:szCs w:val="24"/>
        </w:rPr>
        <w:t xml:space="preserve"> stimulated at 100 Hz</w:t>
      </w:r>
      <w:r w:rsidR="00856BE3" w:rsidRPr="003F49E9">
        <w:rPr>
          <w:rFonts w:ascii="Times New Roman" w:hAnsi="Times New Roman" w:cs="Times New Roman"/>
          <w:bCs/>
          <w:sz w:val="24"/>
          <w:szCs w:val="24"/>
        </w:rPr>
        <w:t xml:space="preserve"> in hippocampal slice culture</w:t>
      </w:r>
      <w:r w:rsidR="001877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56BE3">
        <w:rPr>
          <w:rFonts w:ascii="Times New Roman" w:hAnsi="Times New Roman" w:cs="Times New Roman"/>
          <w:bCs/>
          <w:sz w:val="24"/>
          <w:szCs w:val="24"/>
        </w:rPr>
        <w:t>iGlu</w:t>
      </w:r>
      <w:r w:rsidR="0018777F" w:rsidRPr="0018777F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u</w:t>
      </w:r>
      <w:proofErr w:type="spellEnd"/>
      <w:r w:rsidR="0085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C8">
        <w:rPr>
          <w:rFonts w:ascii="Times New Roman" w:hAnsi="Times New Roman" w:cs="Times New Roman"/>
          <w:bCs/>
          <w:sz w:val="24"/>
          <w:szCs w:val="24"/>
        </w:rPr>
        <w:t>has</w:t>
      </w:r>
      <w:r w:rsidR="0018777F">
        <w:rPr>
          <w:rFonts w:ascii="Times New Roman" w:hAnsi="Times New Roman" w:cs="Times New Roman"/>
          <w:bCs/>
          <w:sz w:val="24"/>
          <w:szCs w:val="24"/>
        </w:rPr>
        <w:t xml:space="preserve"> 5-fold faster</w:t>
      </w:r>
      <w:r w:rsidR="0085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77F">
        <w:rPr>
          <w:rFonts w:ascii="Times New Roman" w:hAnsi="Times New Roman" w:cs="Times New Roman"/>
          <w:bCs/>
          <w:sz w:val="24"/>
          <w:szCs w:val="24"/>
        </w:rPr>
        <w:t>“</w:t>
      </w:r>
      <w:r w:rsidR="00856BE3" w:rsidRPr="00B96A39">
        <w:rPr>
          <w:rFonts w:ascii="Times New Roman" w:hAnsi="Times New Roman" w:cs="Times New Roman"/>
          <w:bCs/>
          <w:i/>
          <w:sz w:val="24"/>
          <w:szCs w:val="24"/>
        </w:rPr>
        <w:t>off</w:t>
      </w:r>
      <w:r w:rsidR="0018777F">
        <w:rPr>
          <w:rFonts w:ascii="Times New Roman" w:hAnsi="Times New Roman" w:cs="Times New Roman"/>
          <w:bCs/>
          <w:sz w:val="24"/>
          <w:szCs w:val="24"/>
        </w:rPr>
        <w:t>”</w:t>
      </w:r>
      <w:r w:rsidR="00856BE3">
        <w:rPr>
          <w:rFonts w:ascii="Times New Roman" w:hAnsi="Times New Roman" w:cs="Times New Roman"/>
          <w:bCs/>
          <w:sz w:val="24"/>
          <w:szCs w:val="24"/>
        </w:rPr>
        <w:t xml:space="preserve"> rate </w:t>
      </w:r>
      <w:r w:rsidR="00B96A39">
        <w:rPr>
          <w:rFonts w:ascii="Times New Roman" w:hAnsi="Times New Roman" w:cs="Times New Roman"/>
          <w:bCs/>
          <w:sz w:val="24"/>
          <w:szCs w:val="24"/>
        </w:rPr>
        <w:t>(</w:t>
      </w:r>
      <w:r w:rsidR="00B96A39" w:rsidRPr="00B90CD6">
        <w:rPr>
          <w:rFonts w:ascii="Symbol" w:hAnsi="Symbol" w:cs="Times New Roman"/>
          <w:bCs/>
          <w:sz w:val="24"/>
          <w:szCs w:val="24"/>
        </w:rPr>
        <w:t></w:t>
      </w:r>
      <w:r w:rsidR="00B96A39" w:rsidRPr="006209DC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off</w:t>
      </w:r>
      <w:r w:rsidR="00B96A39">
        <w:rPr>
          <w:rFonts w:ascii="Times New Roman" w:hAnsi="Times New Roman" w:cs="Times New Roman"/>
          <w:bCs/>
          <w:sz w:val="24"/>
          <w:szCs w:val="24"/>
        </w:rPr>
        <w:t xml:space="preserve">=2.6 </w:t>
      </w:r>
      <w:proofErr w:type="spellStart"/>
      <w:r w:rsidR="00B96A39">
        <w:rPr>
          <w:rFonts w:ascii="Times New Roman" w:hAnsi="Times New Roman" w:cs="Times New Roman"/>
          <w:bCs/>
          <w:sz w:val="24"/>
          <w:szCs w:val="24"/>
        </w:rPr>
        <w:t>ms</w:t>
      </w:r>
      <w:proofErr w:type="spellEnd"/>
      <w:r w:rsidR="00B96A3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8777F">
        <w:rPr>
          <w:rFonts w:ascii="Times New Roman" w:hAnsi="Times New Roman" w:cs="Times New Roman"/>
          <w:bCs/>
          <w:sz w:val="24"/>
          <w:szCs w:val="24"/>
        </w:rPr>
        <w:t xml:space="preserve">than </w:t>
      </w:r>
      <w:proofErr w:type="spellStart"/>
      <w:r w:rsidR="00856BE3">
        <w:rPr>
          <w:rFonts w:ascii="Times New Roman" w:hAnsi="Times New Roman" w:cs="Times New Roman"/>
          <w:bCs/>
          <w:sz w:val="24"/>
          <w:szCs w:val="24"/>
        </w:rPr>
        <w:t>iGluSnFR</w:t>
      </w:r>
      <w:proofErr w:type="spellEnd"/>
      <w:r w:rsidR="0018777F">
        <w:rPr>
          <w:rFonts w:ascii="Times New Roman" w:hAnsi="Times New Roman" w:cs="Times New Roman"/>
          <w:bCs/>
          <w:sz w:val="24"/>
          <w:szCs w:val="24"/>
        </w:rPr>
        <w:t xml:space="preserve">, with </w:t>
      </w:r>
      <w:r w:rsidR="007D07C8">
        <w:rPr>
          <w:rFonts w:ascii="Times New Roman" w:hAnsi="Times New Roman" w:cs="Times New Roman"/>
          <w:bCs/>
          <w:sz w:val="24"/>
          <w:szCs w:val="24"/>
        </w:rPr>
        <w:t>the</w:t>
      </w:r>
      <w:r w:rsidR="00187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>signal return</w:t>
      </w:r>
      <w:r w:rsidR="007D07C8">
        <w:rPr>
          <w:rFonts w:ascii="Times New Roman" w:hAnsi="Times New Roman" w:cs="Times New Roman"/>
          <w:bCs/>
          <w:sz w:val="24"/>
          <w:szCs w:val="24"/>
        </w:rPr>
        <w:t>ing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>to baseline between each stimulus, revealing complete clearing of synaptic glutamate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between high frequency release events. </w:t>
      </w:r>
      <w:r w:rsidR="00ED7965">
        <w:rPr>
          <w:rFonts w:ascii="Times New Roman" w:hAnsi="Times New Roman" w:cs="Times New Roman"/>
          <w:bCs/>
          <w:sz w:val="24"/>
          <w:szCs w:val="24"/>
        </w:rPr>
        <w:t>G</w:t>
      </w:r>
      <w:r w:rsidR="00AA0410" w:rsidRPr="00AA0410">
        <w:rPr>
          <w:rFonts w:ascii="Times New Roman" w:hAnsi="Times New Roman" w:cs="Times New Roman"/>
          <w:bCs/>
          <w:sz w:val="24"/>
          <w:szCs w:val="24"/>
        </w:rPr>
        <w:t>lutamate neurotransmission shows pronounced depression during high frequency</w:t>
      </w:r>
      <w:r w:rsidR="00AA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965">
        <w:rPr>
          <w:rFonts w:ascii="Times New Roman" w:hAnsi="Times New Roman" w:cs="Times New Roman"/>
          <w:bCs/>
          <w:sz w:val="24"/>
          <w:szCs w:val="24"/>
        </w:rPr>
        <w:t>bursts that</w:t>
      </w:r>
      <w:r w:rsidR="00AC13AB">
        <w:rPr>
          <w:rFonts w:ascii="Times New Roman" w:hAnsi="Times New Roman" w:cs="Times New Roman"/>
          <w:bCs/>
          <w:sz w:val="24"/>
          <w:szCs w:val="24"/>
        </w:rPr>
        <w:t xml:space="preserve"> can be </w:t>
      </w:r>
      <w:r w:rsidR="00AA0410" w:rsidRPr="00AA0410">
        <w:rPr>
          <w:rFonts w:ascii="Times New Roman" w:hAnsi="Times New Roman" w:cs="Times New Roman"/>
          <w:bCs/>
          <w:sz w:val="24"/>
          <w:szCs w:val="24"/>
        </w:rPr>
        <w:t>attributed to a depl</w:t>
      </w:r>
      <w:r w:rsidR="00746286">
        <w:rPr>
          <w:rFonts w:ascii="Times New Roman" w:hAnsi="Times New Roman" w:cs="Times New Roman"/>
          <w:bCs/>
          <w:sz w:val="24"/>
          <w:szCs w:val="24"/>
        </w:rPr>
        <w:t xml:space="preserve">etion of presynaptic resources or </w:t>
      </w:r>
      <w:r w:rsidR="00AA0410" w:rsidRPr="00AA0410">
        <w:rPr>
          <w:rFonts w:ascii="Times New Roman" w:hAnsi="Times New Roman" w:cs="Times New Roman"/>
          <w:bCs/>
          <w:sz w:val="24"/>
          <w:szCs w:val="24"/>
        </w:rPr>
        <w:t>desensitization of postsynaptic receptors.</w:t>
      </w:r>
      <w:r w:rsidR="00AA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7C8">
        <w:rPr>
          <w:rFonts w:ascii="Times New Roman" w:hAnsi="Times New Roman" w:cs="Times New Roman"/>
          <w:bCs/>
          <w:sz w:val="24"/>
          <w:szCs w:val="24"/>
        </w:rPr>
        <w:t>B</w:t>
      </w:r>
      <w:r w:rsidR="00AA0410">
        <w:rPr>
          <w:rFonts w:ascii="Times New Roman" w:hAnsi="Times New Roman" w:cs="Times New Roman"/>
          <w:bCs/>
          <w:sz w:val="24"/>
          <w:szCs w:val="24"/>
        </w:rPr>
        <w:t>y c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omparing </w:t>
      </w:r>
      <w:proofErr w:type="spellStart"/>
      <w:r w:rsidR="003F49E9" w:rsidRPr="003F49E9">
        <w:rPr>
          <w:rFonts w:ascii="Times New Roman" w:hAnsi="Times New Roman" w:cs="Times New Roman"/>
          <w:bCs/>
          <w:sz w:val="24"/>
          <w:szCs w:val="24"/>
        </w:rPr>
        <w:t>iGlu</w:t>
      </w:r>
      <w:r w:rsidR="003F49E9" w:rsidRPr="0070016D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u</w:t>
      </w:r>
      <w:proofErr w:type="spellEnd"/>
      <w:r w:rsidR="003F49E9" w:rsidRPr="003F49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>signals and AMPA receptor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>currents, we show that synaptic depression during 100 Hz trains is entirely due to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reduced glutamate release while the recovery after 500 </w:t>
      </w:r>
      <w:proofErr w:type="spellStart"/>
      <w:r w:rsidR="003F49E9" w:rsidRPr="003F49E9">
        <w:rPr>
          <w:rFonts w:ascii="Times New Roman" w:hAnsi="Times New Roman" w:cs="Times New Roman"/>
          <w:bCs/>
          <w:sz w:val="24"/>
          <w:szCs w:val="24"/>
        </w:rPr>
        <w:t>ms</w:t>
      </w:r>
      <w:proofErr w:type="spellEnd"/>
      <w:r w:rsidR="003F49E9" w:rsidRPr="003F49E9">
        <w:rPr>
          <w:rFonts w:ascii="Times New Roman" w:hAnsi="Times New Roman" w:cs="Times New Roman"/>
          <w:bCs/>
          <w:sz w:val="24"/>
          <w:szCs w:val="24"/>
        </w:rPr>
        <w:t xml:space="preserve"> has a postsynaptic</w:t>
      </w:r>
      <w:r w:rsidR="003F4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9E9" w:rsidRPr="003F49E9">
        <w:rPr>
          <w:rFonts w:ascii="Times New Roman" w:hAnsi="Times New Roman" w:cs="Times New Roman"/>
          <w:bCs/>
          <w:sz w:val="24"/>
          <w:szCs w:val="24"/>
        </w:rPr>
        <w:t>component.</w:t>
      </w:r>
    </w:p>
    <w:p w:rsidR="00F5298B" w:rsidRDefault="00F5298B" w:rsidP="003F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98B" w:rsidRPr="003F49E9" w:rsidRDefault="00F5298B" w:rsidP="00F5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work was funded by the </w:t>
      </w:r>
      <w:proofErr w:type="spellStart"/>
      <w:r w:rsidRPr="00F5298B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Pr="00F5298B">
        <w:rPr>
          <w:rFonts w:ascii="Times New Roman" w:hAnsi="Times New Roman" w:cs="Times New Roman"/>
          <w:sz w:val="24"/>
          <w:szCs w:val="24"/>
        </w:rPr>
        <w:t xml:space="preserve"> Trust 094385/Z/10/Z and </w:t>
      </w:r>
      <w:r w:rsidR="00C16906">
        <w:rPr>
          <w:rFonts w:ascii="Times New Roman" w:hAnsi="Times New Roman" w:cs="Times New Roman"/>
          <w:sz w:val="24"/>
          <w:szCs w:val="24"/>
        </w:rPr>
        <w:t xml:space="preserve">BBSRC BB/M02556X/1 to K.T; </w:t>
      </w:r>
      <w:r w:rsidRPr="00F5298B">
        <w:rPr>
          <w:rFonts w:ascii="Times New Roman" w:hAnsi="Times New Roman" w:cs="Times New Roman"/>
          <w:sz w:val="24"/>
          <w:szCs w:val="24"/>
        </w:rPr>
        <w:t>German Research Foundation to T.G.O. (SPP 1665, SFB 936,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8B">
        <w:rPr>
          <w:rFonts w:ascii="Times New Roman" w:hAnsi="Times New Roman" w:cs="Times New Roman"/>
          <w:sz w:val="24"/>
          <w:szCs w:val="24"/>
        </w:rPr>
        <w:t>FOR 2419) and J.S.W. (SPP 1926, FOR 2419)</w:t>
      </w:r>
      <w:r w:rsidR="00C16906">
        <w:rPr>
          <w:rFonts w:ascii="Times New Roman" w:hAnsi="Times New Roman" w:cs="Times New Roman"/>
          <w:sz w:val="24"/>
          <w:szCs w:val="24"/>
        </w:rPr>
        <w:t>;</w:t>
      </w:r>
      <w:r w:rsidRPr="00F5298B">
        <w:rPr>
          <w:rFonts w:ascii="Times New Roman" w:hAnsi="Times New Roman" w:cs="Times New Roman"/>
          <w:sz w:val="24"/>
          <w:szCs w:val="24"/>
        </w:rPr>
        <w:t xml:space="preserve"> </w:t>
      </w:r>
      <w:r w:rsidR="00C16906" w:rsidRPr="00F5298B">
        <w:rPr>
          <w:rFonts w:ascii="Times New Roman" w:hAnsi="Times New Roman" w:cs="Times New Roman"/>
          <w:sz w:val="24"/>
          <w:szCs w:val="24"/>
        </w:rPr>
        <w:t>European Research Coun</w:t>
      </w:r>
      <w:r w:rsidR="00C16906">
        <w:rPr>
          <w:rFonts w:ascii="Times New Roman" w:hAnsi="Times New Roman" w:cs="Times New Roman"/>
          <w:sz w:val="24"/>
          <w:szCs w:val="24"/>
        </w:rPr>
        <w:t>cil</w:t>
      </w:r>
      <w:r w:rsidR="00C16906" w:rsidRPr="00F5298B">
        <w:rPr>
          <w:rFonts w:ascii="Times New Roman" w:hAnsi="Times New Roman" w:cs="Times New Roman"/>
          <w:sz w:val="24"/>
          <w:szCs w:val="24"/>
        </w:rPr>
        <w:t xml:space="preserve"> </w:t>
      </w:r>
      <w:r w:rsidR="00C16906">
        <w:rPr>
          <w:rFonts w:ascii="Times New Roman" w:hAnsi="Times New Roman" w:cs="Times New Roman"/>
          <w:sz w:val="24"/>
          <w:szCs w:val="24"/>
        </w:rPr>
        <w:t>to J.S.W. (</w:t>
      </w:r>
      <w:r w:rsidRPr="00F5298B">
        <w:rPr>
          <w:rFonts w:ascii="Times New Roman" w:hAnsi="Times New Roman" w:cs="Times New Roman"/>
          <w:sz w:val="24"/>
          <w:szCs w:val="24"/>
        </w:rPr>
        <w:t>ERC-2016-StG 714762</w:t>
      </w:r>
      <w:r w:rsidR="00C169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98B" w:rsidRPr="003F49E9" w:rsidRDefault="00F5298B" w:rsidP="00F5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98B" w:rsidRPr="003F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E9"/>
    <w:rsid w:val="00097746"/>
    <w:rsid w:val="000C2492"/>
    <w:rsid w:val="001731B8"/>
    <w:rsid w:val="0018777F"/>
    <w:rsid w:val="001E2A45"/>
    <w:rsid w:val="0037645D"/>
    <w:rsid w:val="00394C3B"/>
    <w:rsid w:val="003F49E9"/>
    <w:rsid w:val="00405F00"/>
    <w:rsid w:val="00527E0D"/>
    <w:rsid w:val="006021B6"/>
    <w:rsid w:val="006209DC"/>
    <w:rsid w:val="0070016D"/>
    <w:rsid w:val="00746286"/>
    <w:rsid w:val="007D07C8"/>
    <w:rsid w:val="00846CE0"/>
    <w:rsid w:val="00856BE3"/>
    <w:rsid w:val="00AA0410"/>
    <w:rsid w:val="00AC13AB"/>
    <w:rsid w:val="00B90CD6"/>
    <w:rsid w:val="00B96A39"/>
    <w:rsid w:val="00BC7725"/>
    <w:rsid w:val="00C16906"/>
    <w:rsid w:val="00CC240C"/>
    <w:rsid w:val="00CC6EEF"/>
    <w:rsid w:val="00ED7965"/>
    <w:rsid w:val="00F5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C901B-23F8-48D8-B1CD-FF98F56F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Helassa, Nordine</dc:creator>
  <cp:keywords/>
  <dc:description/>
  <cp:lastModifiedBy>Katalin Torok</cp:lastModifiedBy>
  <cp:revision>2</cp:revision>
  <cp:lastPrinted>2017-10-02T15:22:00Z</cp:lastPrinted>
  <dcterms:created xsi:type="dcterms:W3CDTF">2017-10-03T08:43:00Z</dcterms:created>
  <dcterms:modified xsi:type="dcterms:W3CDTF">2017-10-03T08:43:00Z</dcterms:modified>
</cp:coreProperties>
</file>