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06A8C" w14:textId="77777777" w:rsidR="00E642EB" w:rsidRPr="009979BF" w:rsidRDefault="00AC6479" w:rsidP="00A560FE">
      <w:pPr>
        <w:spacing w:line="360" w:lineRule="auto"/>
        <w:jc w:val="both"/>
        <w:rPr>
          <w:rStyle w:val="Strong"/>
          <w:rFonts w:ascii="Calibri" w:eastAsiaTheme="minorEastAsia" w:hAnsi="Calibri" w:cstheme="minorBidi"/>
          <w:color w:val="auto"/>
          <w:sz w:val="20"/>
          <w:szCs w:val="20"/>
          <w:shd w:val="clear" w:color="auto" w:fill="auto"/>
          <w:lang w:val="en-US" w:eastAsia="en-US" w:bidi="en-US"/>
        </w:rPr>
      </w:pPr>
      <w:bookmarkStart w:id="0" w:name="_GoBack"/>
      <w:bookmarkEnd w:id="0"/>
      <w:r w:rsidRPr="009979BF">
        <w:rPr>
          <w:rStyle w:val="Strong"/>
          <w:color w:val="auto"/>
          <w:sz w:val="20"/>
          <w:szCs w:val="20"/>
        </w:rPr>
        <w:t>H</w:t>
      </w:r>
      <w:r w:rsidR="006026A2" w:rsidRPr="009979BF">
        <w:rPr>
          <w:rStyle w:val="Strong"/>
          <w:color w:val="auto"/>
          <w:sz w:val="20"/>
          <w:szCs w:val="20"/>
        </w:rPr>
        <w:t xml:space="preserve">ealth related quality of life </w:t>
      </w:r>
      <w:r w:rsidR="00A75692" w:rsidRPr="009979BF">
        <w:rPr>
          <w:rStyle w:val="Strong"/>
          <w:color w:val="auto"/>
          <w:sz w:val="20"/>
          <w:szCs w:val="20"/>
        </w:rPr>
        <w:t>and psychosocial impact</w:t>
      </w:r>
      <w:r w:rsidRPr="009979BF">
        <w:rPr>
          <w:rStyle w:val="Strong"/>
          <w:color w:val="auto"/>
          <w:sz w:val="20"/>
          <w:szCs w:val="20"/>
        </w:rPr>
        <w:t>s</w:t>
      </w:r>
      <w:r w:rsidR="00A75692" w:rsidRPr="009979BF">
        <w:rPr>
          <w:rStyle w:val="Strong"/>
          <w:color w:val="auto"/>
          <w:sz w:val="20"/>
          <w:szCs w:val="20"/>
        </w:rPr>
        <w:t xml:space="preserve"> of a diagnosis of non-specific genital infection in symptomatic </w:t>
      </w:r>
      <w:r w:rsidR="00FA446A" w:rsidRPr="009979BF">
        <w:rPr>
          <w:rStyle w:val="Strong"/>
          <w:color w:val="auto"/>
          <w:sz w:val="20"/>
          <w:szCs w:val="20"/>
        </w:rPr>
        <w:t xml:space="preserve">heterosexual </w:t>
      </w:r>
      <w:r w:rsidRPr="009979BF">
        <w:rPr>
          <w:rStyle w:val="Strong"/>
          <w:color w:val="auto"/>
          <w:sz w:val="20"/>
          <w:szCs w:val="20"/>
        </w:rPr>
        <w:t xml:space="preserve">men </w:t>
      </w:r>
      <w:r w:rsidR="00A75692" w:rsidRPr="009979BF">
        <w:rPr>
          <w:rStyle w:val="Strong"/>
          <w:color w:val="auto"/>
          <w:sz w:val="20"/>
          <w:szCs w:val="20"/>
        </w:rPr>
        <w:t>attending</w:t>
      </w:r>
      <w:r w:rsidR="00DD6D0C" w:rsidRPr="009979BF">
        <w:rPr>
          <w:rStyle w:val="Strong"/>
          <w:color w:val="auto"/>
          <w:sz w:val="20"/>
          <w:szCs w:val="20"/>
        </w:rPr>
        <w:t xml:space="preserve"> UK</w:t>
      </w:r>
      <w:r w:rsidR="00A75692" w:rsidRPr="009979BF">
        <w:rPr>
          <w:rStyle w:val="Strong"/>
          <w:color w:val="auto"/>
          <w:sz w:val="20"/>
          <w:szCs w:val="20"/>
        </w:rPr>
        <w:t xml:space="preserve"> Sexual Health clinics</w:t>
      </w:r>
      <w:r w:rsidRPr="009979BF">
        <w:rPr>
          <w:rStyle w:val="Strong"/>
          <w:color w:val="auto"/>
          <w:sz w:val="20"/>
          <w:szCs w:val="20"/>
        </w:rPr>
        <w:t>: a feasibility study</w:t>
      </w:r>
      <w:r w:rsidR="00A75692" w:rsidRPr="009979BF">
        <w:rPr>
          <w:rStyle w:val="Strong"/>
          <w:color w:val="auto"/>
          <w:sz w:val="20"/>
          <w:szCs w:val="20"/>
        </w:rPr>
        <w:t>.</w:t>
      </w:r>
    </w:p>
    <w:p w14:paraId="73E44E28" w14:textId="77777777" w:rsidR="00E642EB" w:rsidRPr="009979BF" w:rsidRDefault="00E642EB" w:rsidP="00307CAB">
      <w:pPr>
        <w:pStyle w:val="Normal-nospacing"/>
        <w:spacing w:after="240"/>
        <w:jc w:val="both"/>
        <w:rPr>
          <w:color w:val="auto"/>
          <w:sz w:val="20"/>
          <w:szCs w:val="20"/>
        </w:rPr>
      </w:pPr>
    </w:p>
    <w:p w14:paraId="18973CF2" w14:textId="77777777" w:rsidR="00E642EB" w:rsidRPr="009979BF" w:rsidRDefault="00052D96">
      <w:pPr>
        <w:jc w:val="both"/>
        <w:rPr>
          <w:b/>
          <w:color w:val="auto"/>
          <w:sz w:val="20"/>
          <w:szCs w:val="20"/>
        </w:rPr>
      </w:pPr>
      <w:r w:rsidRPr="009979BF">
        <w:rPr>
          <w:b/>
          <w:color w:val="auto"/>
          <w:sz w:val="20"/>
          <w:szCs w:val="20"/>
        </w:rPr>
        <w:t>Rachel Hill-Tout</w:t>
      </w:r>
      <w:r w:rsidR="00B76858" w:rsidRPr="009979BF">
        <w:rPr>
          <w:b/>
          <w:color w:val="auto"/>
          <w:sz w:val="20"/>
          <w:szCs w:val="20"/>
          <w:vertAlign w:val="superscript"/>
        </w:rPr>
        <w:t>1</w:t>
      </w:r>
      <w:r w:rsidR="00AC132B" w:rsidRPr="009979BF">
        <w:rPr>
          <w:b/>
          <w:color w:val="auto"/>
          <w:sz w:val="20"/>
          <w:szCs w:val="20"/>
          <w:vertAlign w:val="superscript"/>
        </w:rPr>
        <w:t>,3</w:t>
      </w:r>
      <w:r w:rsidR="002F300F" w:rsidRPr="009979BF">
        <w:rPr>
          <w:b/>
          <w:color w:val="auto"/>
          <w:sz w:val="20"/>
          <w:szCs w:val="20"/>
        </w:rPr>
        <w:t>, Emma M. Harding-Esch</w:t>
      </w:r>
      <w:r w:rsidR="002F300F" w:rsidRPr="009979BF">
        <w:rPr>
          <w:b/>
          <w:color w:val="auto"/>
          <w:sz w:val="20"/>
          <w:szCs w:val="20"/>
          <w:vertAlign w:val="superscript"/>
        </w:rPr>
        <w:t>2, 3</w:t>
      </w:r>
      <w:r w:rsidR="002F300F" w:rsidRPr="009979BF">
        <w:rPr>
          <w:b/>
          <w:color w:val="auto"/>
          <w:sz w:val="20"/>
          <w:szCs w:val="20"/>
        </w:rPr>
        <w:t>, Agata Pacho</w:t>
      </w:r>
      <w:r w:rsidR="002F300F" w:rsidRPr="009979BF">
        <w:rPr>
          <w:b/>
          <w:color w:val="auto"/>
          <w:sz w:val="20"/>
          <w:szCs w:val="20"/>
          <w:vertAlign w:val="superscript"/>
        </w:rPr>
        <w:t>2</w:t>
      </w:r>
      <w:r w:rsidR="002F300F" w:rsidRPr="009979BF">
        <w:rPr>
          <w:b/>
          <w:color w:val="auto"/>
          <w:sz w:val="20"/>
          <w:szCs w:val="20"/>
        </w:rPr>
        <w:t>, Martina Furegato</w:t>
      </w:r>
      <w:r w:rsidR="002F300F" w:rsidRPr="009979BF">
        <w:rPr>
          <w:b/>
          <w:color w:val="auto"/>
          <w:sz w:val="20"/>
          <w:szCs w:val="20"/>
          <w:vertAlign w:val="superscript"/>
        </w:rPr>
        <w:t>2, 3</w:t>
      </w:r>
      <w:r w:rsidR="002F300F" w:rsidRPr="009979BF">
        <w:rPr>
          <w:b/>
          <w:color w:val="auto"/>
          <w:sz w:val="20"/>
          <w:szCs w:val="20"/>
        </w:rPr>
        <w:t>, Sebastian S. Fuller*</w:t>
      </w:r>
      <w:r w:rsidR="00B907B3" w:rsidRPr="009979BF">
        <w:rPr>
          <w:b/>
          <w:color w:val="auto"/>
          <w:sz w:val="20"/>
          <w:szCs w:val="20"/>
          <w:vertAlign w:val="superscript"/>
        </w:rPr>
        <w:t>†2</w:t>
      </w:r>
      <w:r w:rsidR="002F300F" w:rsidRPr="009979BF">
        <w:rPr>
          <w:b/>
          <w:color w:val="auto"/>
          <w:sz w:val="20"/>
          <w:szCs w:val="20"/>
        </w:rPr>
        <w:t>, S Tariq Sadiq</w:t>
      </w:r>
      <w:r w:rsidR="00B907B3" w:rsidRPr="009979BF">
        <w:rPr>
          <w:b/>
          <w:color w:val="auto"/>
          <w:sz w:val="20"/>
          <w:szCs w:val="20"/>
          <w:vertAlign w:val="superscript"/>
        </w:rPr>
        <w:t>†1, 2, 3</w:t>
      </w:r>
    </w:p>
    <w:p w14:paraId="7D09DB10" w14:textId="77777777" w:rsidR="00E642EB" w:rsidRPr="009979BF" w:rsidRDefault="00052D96">
      <w:pPr>
        <w:jc w:val="both"/>
        <w:rPr>
          <w:color w:val="auto"/>
          <w:sz w:val="20"/>
          <w:szCs w:val="20"/>
        </w:rPr>
      </w:pPr>
      <w:r w:rsidRPr="009979BF">
        <w:rPr>
          <w:color w:val="auto"/>
          <w:sz w:val="20"/>
          <w:szCs w:val="20"/>
        </w:rPr>
        <w:t>* Corresponding author</w:t>
      </w:r>
    </w:p>
    <w:p w14:paraId="7E25FC21" w14:textId="77777777" w:rsidR="00E642EB" w:rsidRPr="009979BF" w:rsidRDefault="00052D96">
      <w:pPr>
        <w:jc w:val="both"/>
        <w:rPr>
          <w:color w:val="auto"/>
          <w:sz w:val="20"/>
          <w:szCs w:val="20"/>
        </w:rPr>
      </w:pPr>
      <w:r w:rsidRPr="009979BF">
        <w:rPr>
          <w:color w:val="auto"/>
          <w:sz w:val="20"/>
          <w:szCs w:val="20"/>
          <w:vertAlign w:val="superscript"/>
        </w:rPr>
        <w:t xml:space="preserve">† </w:t>
      </w:r>
      <w:r w:rsidRPr="009979BF">
        <w:rPr>
          <w:color w:val="auto"/>
          <w:sz w:val="20"/>
          <w:szCs w:val="20"/>
        </w:rPr>
        <w:t>Joint senior authors</w:t>
      </w:r>
    </w:p>
    <w:p w14:paraId="12467FFE" w14:textId="77777777" w:rsidR="00B76858" w:rsidRPr="009979BF" w:rsidRDefault="00B76858" w:rsidP="00307CAB">
      <w:pPr>
        <w:spacing w:after="240"/>
        <w:jc w:val="both"/>
        <w:rPr>
          <w:color w:val="auto"/>
          <w:sz w:val="20"/>
          <w:szCs w:val="20"/>
        </w:rPr>
      </w:pPr>
    </w:p>
    <w:p w14:paraId="35A8EC72" w14:textId="77777777" w:rsidR="00E642EB" w:rsidRPr="009979BF" w:rsidRDefault="00052D96" w:rsidP="00B76858">
      <w:pPr>
        <w:pStyle w:val="ListParagraph"/>
        <w:numPr>
          <w:ilvl w:val="0"/>
          <w:numId w:val="37"/>
        </w:numPr>
        <w:jc w:val="both"/>
        <w:rPr>
          <w:color w:val="auto"/>
          <w:sz w:val="20"/>
          <w:szCs w:val="20"/>
        </w:rPr>
      </w:pPr>
      <w:r w:rsidRPr="009979BF">
        <w:rPr>
          <w:color w:val="auto"/>
          <w:sz w:val="20"/>
          <w:szCs w:val="20"/>
        </w:rPr>
        <w:t>St Georges University Hospitals NHS Foundation Trust</w:t>
      </w:r>
    </w:p>
    <w:p w14:paraId="2C839B98" w14:textId="77777777" w:rsidR="00E642EB" w:rsidRPr="009979BF" w:rsidRDefault="00052D96" w:rsidP="00B76858">
      <w:pPr>
        <w:ind w:firstLine="720"/>
        <w:jc w:val="both"/>
        <w:rPr>
          <w:color w:val="auto"/>
          <w:sz w:val="20"/>
          <w:szCs w:val="20"/>
        </w:rPr>
      </w:pPr>
      <w:r w:rsidRPr="009979BF">
        <w:rPr>
          <w:color w:val="auto"/>
          <w:sz w:val="20"/>
          <w:szCs w:val="20"/>
        </w:rPr>
        <w:t>Blackshaw Rd, London SW17 0QT UK</w:t>
      </w:r>
    </w:p>
    <w:p w14:paraId="4FF4E950" w14:textId="77777777" w:rsidR="00E642EB" w:rsidRPr="009979BF" w:rsidRDefault="00E642EB">
      <w:pPr>
        <w:jc w:val="both"/>
        <w:rPr>
          <w:color w:val="auto"/>
          <w:sz w:val="20"/>
          <w:szCs w:val="20"/>
        </w:rPr>
      </w:pPr>
    </w:p>
    <w:p w14:paraId="01A78CC4" w14:textId="77777777" w:rsidR="00E642EB" w:rsidRPr="009979BF" w:rsidRDefault="00052D96" w:rsidP="00B76858">
      <w:pPr>
        <w:pStyle w:val="ListParagraph"/>
        <w:numPr>
          <w:ilvl w:val="0"/>
          <w:numId w:val="37"/>
        </w:numPr>
        <w:jc w:val="both"/>
        <w:rPr>
          <w:rFonts w:eastAsia="Arial Unicode MS" w:cstheme="minorHAnsi"/>
          <w:color w:val="auto"/>
          <w:sz w:val="20"/>
          <w:szCs w:val="20"/>
        </w:rPr>
      </w:pPr>
      <w:r w:rsidRPr="009979BF">
        <w:rPr>
          <w:rFonts w:eastAsia="Arial Unicode MS" w:cstheme="minorHAnsi"/>
          <w:color w:val="auto"/>
          <w:sz w:val="20"/>
          <w:szCs w:val="20"/>
        </w:rPr>
        <w:t>Applied Diagnostic Research and Evaluation Unit</w:t>
      </w:r>
    </w:p>
    <w:p w14:paraId="13CFE17F" w14:textId="77777777" w:rsidR="00E642EB" w:rsidRPr="009979BF" w:rsidRDefault="00052D96" w:rsidP="00B76858">
      <w:pPr>
        <w:pStyle w:val="ListParagraph"/>
        <w:jc w:val="both"/>
        <w:rPr>
          <w:rFonts w:eastAsia="Arial Unicode MS" w:cstheme="minorHAnsi"/>
          <w:color w:val="auto"/>
          <w:sz w:val="20"/>
          <w:szCs w:val="20"/>
        </w:rPr>
      </w:pPr>
      <w:r w:rsidRPr="009979BF">
        <w:rPr>
          <w:rFonts w:eastAsia="Arial Unicode MS" w:cstheme="minorHAnsi"/>
          <w:color w:val="auto"/>
          <w:sz w:val="20"/>
          <w:szCs w:val="20"/>
        </w:rPr>
        <w:t>Institute for Infection &amp; Immunity</w:t>
      </w:r>
    </w:p>
    <w:p w14:paraId="290A71A6" w14:textId="77777777" w:rsidR="00E642EB" w:rsidRPr="009979BF" w:rsidRDefault="00052D96" w:rsidP="00B76858">
      <w:pPr>
        <w:pStyle w:val="ListParagraph"/>
        <w:jc w:val="both"/>
        <w:rPr>
          <w:rFonts w:eastAsia="Arial Unicode MS" w:cstheme="minorHAnsi"/>
          <w:color w:val="auto"/>
          <w:sz w:val="20"/>
          <w:szCs w:val="20"/>
        </w:rPr>
      </w:pPr>
      <w:r w:rsidRPr="009979BF">
        <w:rPr>
          <w:rFonts w:eastAsia="Arial Unicode MS" w:cstheme="minorHAnsi"/>
          <w:color w:val="auto"/>
          <w:sz w:val="20"/>
          <w:szCs w:val="20"/>
        </w:rPr>
        <w:t>St George's, University of London</w:t>
      </w:r>
    </w:p>
    <w:p w14:paraId="10B6A83D" w14:textId="77777777" w:rsidR="00E642EB" w:rsidRPr="009979BF" w:rsidRDefault="00052D96" w:rsidP="00B76858">
      <w:pPr>
        <w:pStyle w:val="ListParagraph"/>
        <w:jc w:val="both"/>
        <w:rPr>
          <w:rFonts w:eastAsia="Arial Unicode MS" w:cstheme="minorHAnsi"/>
          <w:color w:val="auto"/>
          <w:sz w:val="20"/>
          <w:szCs w:val="20"/>
        </w:rPr>
      </w:pPr>
      <w:r w:rsidRPr="009979BF">
        <w:rPr>
          <w:rFonts w:eastAsia="Arial Unicode MS" w:cstheme="minorHAnsi"/>
          <w:color w:val="auto"/>
          <w:sz w:val="20"/>
          <w:szCs w:val="20"/>
        </w:rPr>
        <w:t xml:space="preserve">London, </w:t>
      </w:r>
      <w:r w:rsidRPr="009979BF">
        <w:rPr>
          <w:color w:val="auto"/>
          <w:sz w:val="20"/>
          <w:szCs w:val="20"/>
        </w:rPr>
        <w:t xml:space="preserve">SW17 0RE, </w:t>
      </w:r>
      <w:r w:rsidRPr="009979BF">
        <w:rPr>
          <w:rFonts w:eastAsia="Arial Unicode MS" w:cstheme="minorHAnsi"/>
          <w:color w:val="auto"/>
          <w:sz w:val="20"/>
          <w:szCs w:val="20"/>
        </w:rPr>
        <w:t>UK</w:t>
      </w:r>
    </w:p>
    <w:p w14:paraId="4A60ED76" w14:textId="77777777" w:rsidR="00B76858" w:rsidRPr="009979BF" w:rsidRDefault="00B76858" w:rsidP="00B76858">
      <w:pPr>
        <w:pStyle w:val="ListParagraph"/>
        <w:jc w:val="both"/>
        <w:rPr>
          <w:color w:val="auto"/>
          <w:sz w:val="20"/>
          <w:szCs w:val="20"/>
        </w:rPr>
      </w:pPr>
    </w:p>
    <w:p w14:paraId="03829A08" w14:textId="77777777" w:rsidR="00F34FFB" w:rsidRPr="009979BF" w:rsidRDefault="00052D96" w:rsidP="00B76858">
      <w:pPr>
        <w:pStyle w:val="ListParagraph"/>
        <w:numPr>
          <w:ilvl w:val="0"/>
          <w:numId w:val="37"/>
        </w:numPr>
        <w:jc w:val="both"/>
        <w:rPr>
          <w:color w:val="auto"/>
          <w:sz w:val="20"/>
          <w:szCs w:val="20"/>
        </w:rPr>
      </w:pPr>
      <w:r w:rsidRPr="009979BF">
        <w:rPr>
          <w:color w:val="auto"/>
          <w:sz w:val="20"/>
          <w:szCs w:val="20"/>
        </w:rPr>
        <w:t xml:space="preserve">Public Health England </w:t>
      </w:r>
    </w:p>
    <w:p w14:paraId="445BCBB8" w14:textId="77777777" w:rsidR="00E642EB" w:rsidRPr="009979BF" w:rsidRDefault="00052D96" w:rsidP="00F34FFB">
      <w:pPr>
        <w:pStyle w:val="ListParagraph"/>
        <w:numPr>
          <w:ilvl w:val="0"/>
          <w:numId w:val="39"/>
        </w:numPr>
        <w:rPr>
          <w:color w:val="auto"/>
          <w:sz w:val="20"/>
          <w:szCs w:val="20"/>
        </w:rPr>
      </w:pPr>
      <w:r w:rsidRPr="009979BF">
        <w:rPr>
          <w:color w:val="auto"/>
          <w:sz w:val="20"/>
          <w:szCs w:val="20"/>
        </w:rPr>
        <w:t xml:space="preserve">Colindale </w:t>
      </w:r>
      <w:r w:rsidR="00F34FFB" w:rsidRPr="009979BF">
        <w:rPr>
          <w:color w:val="auto"/>
          <w:sz w:val="20"/>
          <w:szCs w:val="20"/>
        </w:rPr>
        <w:t>Avenue</w:t>
      </w:r>
    </w:p>
    <w:p w14:paraId="10A32F22" w14:textId="77777777" w:rsidR="00072564" w:rsidRPr="009979BF" w:rsidRDefault="00052D96" w:rsidP="00B76858">
      <w:pPr>
        <w:pStyle w:val="ListParagraph"/>
        <w:jc w:val="both"/>
        <w:rPr>
          <w:color w:val="auto"/>
          <w:sz w:val="20"/>
          <w:szCs w:val="20"/>
        </w:rPr>
      </w:pPr>
      <w:r w:rsidRPr="009979BF">
        <w:rPr>
          <w:color w:val="auto"/>
          <w:sz w:val="20"/>
          <w:szCs w:val="20"/>
        </w:rPr>
        <w:t xml:space="preserve">London, NW9 5EQ UK </w:t>
      </w:r>
    </w:p>
    <w:p w14:paraId="5F53E44C" w14:textId="77777777" w:rsidR="00072564" w:rsidRPr="009979BF" w:rsidRDefault="00072564" w:rsidP="00307CAB">
      <w:pPr>
        <w:spacing w:after="240"/>
        <w:jc w:val="both"/>
        <w:rPr>
          <w:color w:val="auto"/>
          <w:sz w:val="20"/>
          <w:szCs w:val="20"/>
        </w:rPr>
      </w:pPr>
    </w:p>
    <w:p w14:paraId="306A133F" w14:textId="77777777" w:rsidR="00917175" w:rsidRPr="009979BF" w:rsidRDefault="00B76858" w:rsidP="00AA1FFE">
      <w:pPr>
        <w:jc w:val="both"/>
        <w:rPr>
          <w:color w:val="auto"/>
          <w:sz w:val="20"/>
          <w:szCs w:val="20"/>
        </w:rPr>
      </w:pPr>
      <w:r w:rsidRPr="009979BF">
        <w:rPr>
          <w:color w:val="auto"/>
          <w:sz w:val="20"/>
          <w:szCs w:val="20"/>
        </w:rPr>
        <w:t>Rachel Hill-Tout</w:t>
      </w:r>
      <w:r w:rsidR="009A0478" w:rsidRPr="009979BF">
        <w:rPr>
          <w:color w:val="auto"/>
          <w:sz w:val="20"/>
          <w:szCs w:val="20"/>
        </w:rPr>
        <w:t xml:space="preserve"> </w:t>
      </w:r>
    </w:p>
    <w:p w14:paraId="70713758" w14:textId="77777777" w:rsidR="00B76858" w:rsidRPr="009979BF" w:rsidRDefault="00B76858" w:rsidP="00AA1FFE">
      <w:pPr>
        <w:jc w:val="both"/>
        <w:rPr>
          <w:color w:val="auto"/>
          <w:sz w:val="20"/>
          <w:szCs w:val="20"/>
        </w:rPr>
      </w:pPr>
      <w:r w:rsidRPr="009979BF">
        <w:rPr>
          <w:color w:val="auto"/>
          <w:sz w:val="20"/>
          <w:szCs w:val="20"/>
        </w:rPr>
        <w:t>Specialist Registrar HIV/GUM</w:t>
      </w:r>
    </w:p>
    <w:p w14:paraId="4265148B" w14:textId="77777777" w:rsidR="00B76858" w:rsidRPr="009979BF" w:rsidRDefault="00B76858" w:rsidP="00AA1FFE">
      <w:pPr>
        <w:jc w:val="both"/>
        <w:rPr>
          <w:color w:val="auto"/>
          <w:sz w:val="20"/>
          <w:szCs w:val="20"/>
        </w:rPr>
      </w:pPr>
      <w:r w:rsidRPr="009979BF">
        <w:rPr>
          <w:color w:val="auto"/>
          <w:sz w:val="20"/>
          <w:szCs w:val="20"/>
        </w:rPr>
        <w:t>orcid.org/0000-0003-1892-8598</w:t>
      </w:r>
    </w:p>
    <w:p w14:paraId="3AD1EFCA" w14:textId="77777777" w:rsidR="00587C21" w:rsidRPr="009979BF" w:rsidRDefault="00587C21" w:rsidP="00AA1FFE">
      <w:pPr>
        <w:jc w:val="both"/>
        <w:rPr>
          <w:color w:val="auto"/>
          <w:sz w:val="20"/>
          <w:szCs w:val="20"/>
        </w:rPr>
      </w:pPr>
      <w:r w:rsidRPr="009979BF">
        <w:rPr>
          <w:color w:val="auto"/>
          <w:sz w:val="20"/>
          <w:szCs w:val="20"/>
        </w:rPr>
        <w:t>r.hill-tout@nhs.net</w:t>
      </w:r>
    </w:p>
    <w:p w14:paraId="22E8E350" w14:textId="77777777" w:rsidR="00B76858" w:rsidRPr="009979BF" w:rsidRDefault="00B76858" w:rsidP="00B76858">
      <w:pPr>
        <w:jc w:val="both"/>
        <w:rPr>
          <w:color w:val="auto"/>
          <w:sz w:val="20"/>
          <w:szCs w:val="20"/>
        </w:rPr>
      </w:pPr>
    </w:p>
    <w:p w14:paraId="5B65401D" w14:textId="77777777" w:rsidR="00B76858" w:rsidRPr="009979BF" w:rsidRDefault="00B76858" w:rsidP="00B76858">
      <w:pPr>
        <w:jc w:val="both"/>
        <w:rPr>
          <w:color w:val="auto"/>
          <w:sz w:val="20"/>
          <w:szCs w:val="20"/>
        </w:rPr>
      </w:pPr>
      <w:r w:rsidRPr="009979BF">
        <w:rPr>
          <w:color w:val="auto"/>
          <w:sz w:val="20"/>
          <w:szCs w:val="20"/>
        </w:rPr>
        <w:t>Emma M. Harding-Esch</w:t>
      </w:r>
    </w:p>
    <w:p w14:paraId="56598062" w14:textId="77777777" w:rsidR="00B76858" w:rsidRPr="009979BF" w:rsidRDefault="00B76858" w:rsidP="00B76858">
      <w:pPr>
        <w:jc w:val="both"/>
        <w:rPr>
          <w:rFonts w:eastAsia="Arial Unicode MS" w:cstheme="minorHAnsi"/>
          <w:color w:val="auto"/>
          <w:sz w:val="20"/>
          <w:szCs w:val="20"/>
        </w:rPr>
      </w:pPr>
      <w:r w:rsidRPr="009979BF">
        <w:rPr>
          <w:color w:val="auto"/>
          <w:sz w:val="20"/>
          <w:szCs w:val="20"/>
        </w:rPr>
        <w:t xml:space="preserve">ADREU Epidemiology Lead &amp; Programme Manager  </w:t>
      </w:r>
    </w:p>
    <w:p w14:paraId="429F265D" w14:textId="77777777" w:rsidR="00B76858" w:rsidRPr="009979BF" w:rsidRDefault="00B76858" w:rsidP="00B76858">
      <w:pPr>
        <w:jc w:val="both"/>
        <w:rPr>
          <w:bCs/>
          <w:color w:val="auto"/>
          <w:sz w:val="20"/>
          <w:szCs w:val="20"/>
        </w:rPr>
      </w:pPr>
      <w:r w:rsidRPr="009979BF">
        <w:rPr>
          <w:color w:val="auto"/>
          <w:sz w:val="20"/>
          <w:szCs w:val="20"/>
        </w:rPr>
        <w:t>orcid.org/0000-0002-1432-8109</w:t>
      </w:r>
    </w:p>
    <w:p w14:paraId="6E8F93CD" w14:textId="77777777" w:rsidR="00E642EB" w:rsidRPr="009979BF" w:rsidRDefault="00E642EB">
      <w:pPr>
        <w:jc w:val="both"/>
        <w:rPr>
          <w:color w:val="auto"/>
          <w:sz w:val="20"/>
          <w:szCs w:val="20"/>
        </w:rPr>
      </w:pPr>
    </w:p>
    <w:p w14:paraId="15260D65" w14:textId="77777777" w:rsidR="00E642EB" w:rsidRPr="009979BF" w:rsidRDefault="00052D96">
      <w:pPr>
        <w:jc w:val="both"/>
        <w:rPr>
          <w:color w:val="auto"/>
          <w:sz w:val="20"/>
          <w:szCs w:val="20"/>
        </w:rPr>
      </w:pPr>
      <w:r w:rsidRPr="009979BF">
        <w:rPr>
          <w:color w:val="auto"/>
          <w:sz w:val="20"/>
          <w:szCs w:val="20"/>
        </w:rPr>
        <w:t>Agata Pacho</w:t>
      </w:r>
    </w:p>
    <w:p w14:paraId="6FDCA126" w14:textId="77777777" w:rsidR="00E642EB" w:rsidRPr="009979BF" w:rsidRDefault="00B76858">
      <w:pPr>
        <w:jc w:val="both"/>
        <w:rPr>
          <w:color w:val="auto"/>
          <w:sz w:val="20"/>
          <w:szCs w:val="20"/>
        </w:rPr>
      </w:pPr>
      <w:r w:rsidRPr="009979BF">
        <w:rPr>
          <w:color w:val="auto"/>
          <w:sz w:val="20"/>
          <w:szCs w:val="20"/>
        </w:rPr>
        <w:t xml:space="preserve">ADREU </w:t>
      </w:r>
      <w:r w:rsidR="00052D96" w:rsidRPr="009979BF">
        <w:rPr>
          <w:color w:val="auto"/>
          <w:sz w:val="20"/>
          <w:szCs w:val="20"/>
        </w:rPr>
        <w:t>Research Assistant</w:t>
      </w:r>
    </w:p>
    <w:p w14:paraId="7E1F1740" w14:textId="77777777" w:rsidR="00E642EB" w:rsidRPr="009979BF" w:rsidRDefault="00052D96">
      <w:pPr>
        <w:jc w:val="both"/>
        <w:rPr>
          <w:rStyle w:val="orcid-id"/>
          <w:color w:val="auto"/>
          <w:sz w:val="20"/>
          <w:szCs w:val="20"/>
          <w:lang w:val="it-IT"/>
        </w:rPr>
      </w:pPr>
      <w:r w:rsidRPr="009979BF">
        <w:rPr>
          <w:rStyle w:val="orcid-id"/>
          <w:color w:val="auto"/>
          <w:sz w:val="20"/>
          <w:szCs w:val="20"/>
          <w:lang w:val="it-IT"/>
        </w:rPr>
        <w:t>orcid.org/0000-0002-0653-5095</w:t>
      </w:r>
    </w:p>
    <w:p w14:paraId="09CBFA8C" w14:textId="77777777" w:rsidR="00E642EB" w:rsidRPr="009979BF" w:rsidRDefault="00E642EB">
      <w:pPr>
        <w:jc w:val="both"/>
        <w:rPr>
          <w:rFonts w:eastAsia="Arial Unicode MS" w:cstheme="minorHAnsi"/>
          <w:color w:val="auto"/>
          <w:sz w:val="20"/>
          <w:szCs w:val="20"/>
          <w:lang w:val="it-IT"/>
        </w:rPr>
      </w:pPr>
    </w:p>
    <w:p w14:paraId="71578FEB" w14:textId="77777777" w:rsidR="00E642EB" w:rsidRPr="009979BF" w:rsidRDefault="00052D96">
      <w:pPr>
        <w:jc w:val="both"/>
        <w:rPr>
          <w:rFonts w:eastAsia="Arial Unicode MS" w:cstheme="minorHAnsi"/>
          <w:color w:val="auto"/>
          <w:sz w:val="20"/>
          <w:szCs w:val="20"/>
          <w:lang w:val="it-IT"/>
        </w:rPr>
      </w:pPr>
      <w:r w:rsidRPr="009979BF">
        <w:rPr>
          <w:rFonts w:eastAsia="Arial Unicode MS" w:cstheme="minorHAnsi"/>
          <w:color w:val="auto"/>
          <w:sz w:val="20"/>
          <w:szCs w:val="20"/>
          <w:lang w:val="it-IT"/>
        </w:rPr>
        <w:t>Martina Furegato</w:t>
      </w:r>
    </w:p>
    <w:p w14:paraId="47391A04" w14:textId="77777777" w:rsidR="00E642EB" w:rsidRPr="009979BF" w:rsidRDefault="00052D96">
      <w:pPr>
        <w:jc w:val="both"/>
        <w:rPr>
          <w:rFonts w:eastAsia="Arial Unicode MS" w:cstheme="minorHAnsi"/>
          <w:color w:val="auto"/>
          <w:sz w:val="20"/>
          <w:szCs w:val="20"/>
        </w:rPr>
      </w:pPr>
      <w:r w:rsidRPr="009979BF">
        <w:rPr>
          <w:rFonts w:eastAsia="Arial Unicode MS" w:cstheme="minorHAnsi"/>
          <w:color w:val="auto"/>
          <w:sz w:val="20"/>
          <w:szCs w:val="20"/>
        </w:rPr>
        <w:t>Statistician - HIV &amp; STI department</w:t>
      </w:r>
    </w:p>
    <w:p w14:paraId="74A7D7CD" w14:textId="77777777" w:rsidR="00C40F3A" w:rsidRPr="009979BF" w:rsidRDefault="007B3C15">
      <w:pPr>
        <w:jc w:val="both"/>
        <w:rPr>
          <w:color w:val="auto"/>
          <w:sz w:val="20"/>
          <w:szCs w:val="20"/>
        </w:rPr>
      </w:pPr>
      <w:r w:rsidRPr="009979BF">
        <w:rPr>
          <w:rStyle w:val="orcid-id"/>
          <w:color w:val="auto"/>
          <w:sz w:val="20"/>
          <w:szCs w:val="20"/>
          <w:lang w:val="it-IT"/>
        </w:rPr>
        <w:t>orcid.org/0000-0003-2168-8396</w:t>
      </w:r>
    </w:p>
    <w:p w14:paraId="660ED732" w14:textId="77777777" w:rsidR="00066BEB" w:rsidRPr="009979BF" w:rsidRDefault="00066BEB">
      <w:pPr>
        <w:jc w:val="both"/>
        <w:rPr>
          <w:color w:val="auto"/>
          <w:sz w:val="20"/>
          <w:szCs w:val="20"/>
        </w:rPr>
      </w:pPr>
    </w:p>
    <w:p w14:paraId="62627F97" w14:textId="77777777" w:rsidR="00E642EB" w:rsidRPr="009979BF" w:rsidRDefault="00052D96">
      <w:pPr>
        <w:jc w:val="both"/>
        <w:rPr>
          <w:color w:val="auto"/>
          <w:sz w:val="20"/>
          <w:szCs w:val="20"/>
        </w:rPr>
      </w:pPr>
      <w:r w:rsidRPr="009979BF">
        <w:rPr>
          <w:color w:val="auto"/>
          <w:sz w:val="20"/>
          <w:szCs w:val="20"/>
        </w:rPr>
        <w:t>Sebastian S. Fuller</w:t>
      </w:r>
    </w:p>
    <w:p w14:paraId="77C5A94E" w14:textId="77777777" w:rsidR="00E642EB" w:rsidRPr="009979BF" w:rsidRDefault="00052D96">
      <w:pPr>
        <w:jc w:val="both"/>
        <w:rPr>
          <w:color w:val="auto"/>
          <w:sz w:val="20"/>
          <w:szCs w:val="20"/>
        </w:rPr>
      </w:pPr>
      <w:r w:rsidRPr="009979BF">
        <w:rPr>
          <w:color w:val="auto"/>
          <w:sz w:val="20"/>
          <w:szCs w:val="20"/>
        </w:rPr>
        <w:t>ADREU Social Science Lead</w:t>
      </w:r>
    </w:p>
    <w:p w14:paraId="74FD134A" w14:textId="77777777" w:rsidR="00307CAB" w:rsidRPr="009979BF" w:rsidRDefault="003B3585">
      <w:pPr>
        <w:jc w:val="both"/>
        <w:rPr>
          <w:rFonts w:ascii="Calibri" w:hAnsi="Calibri"/>
          <w:color w:val="auto"/>
          <w:sz w:val="20"/>
          <w:szCs w:val="20"/>
        </w:rPr>
      </w:pPr>
      <w:r w:rsidRPr="009979BF">
        <w:rPr>
          <w:rFonts w:ascii="Calibri" w:hAnsi="Calibri"/>
          <w:color w:val="auto"/>
          <w:sz w:val="20"/>
          <w:szCs w:val="20"/>
        </w:rPr>
        <w:t>orcid.org/0000-0002-9284-6630</w:t>
      </w:r>
    </w:p>
    <w:p w14:paraId="2BD9E4C3" w14:textId="77777777" w:rsidR="003B3585" w:rsidRPr="009979BF" w:rsidRDefault="00307CAB">
      <w:pPr>
        <w:jc w:val="both"/>
        <w:rPr>
          <w:color w:val="auto"/>
          <w:sz w:val="20"/>
          <w:szCs w:val="20"/>
        </w:rPr>
      </w:pPr>
      <w:r w:rsidRPr="009979BF">
        <w:rPr>
          <w:rFonts w:ascii="Calibri" w:hAnsi="Calibri"/>
          <w:color w:val="auto"/>
          <w:sz w:val="20"/>
          <w:szCs w:val="20"/>
        </w:rPr>
        <w:t>sfuller@sgul.ac.uk</w:t>
      </w:r>
      <w:r w:rsidR="003B3585" w:rsidRPr="009979BF">
        <w:rPr>
          <w:rFonts w:ascii="Calibri" w:hAnsi="Calibri"/>
          <w:color w:val="auto"/>
          <w:sz w:val="20"/>
          <w:szCs w:val="20"/>
        </w:rPr>
        <w:t> </w:t>
      </w:r>
    </w:p>
    <w:p w14:paraId="6129CF73" w14:textId="77777777" w:rsidR="00E642EB" w:rsidRPr="009979BF" w:rsidRDefault="00E642EB">
      <w:pPr>
        <w:jc w:val="both"/>
        <w:rPr>
          <w:color w:val="auto"/>
          <w:sz w:val="20"/>
          <w:szCs w:val="20"/>
        </w:rPr>
      </w:pPr>
    </w:p>
    <w:p w14:paraId="1C085AFA" w14:textId="77777777" w:rsidR="00E642EB" w:rsidRPr="009979BF" w:rsidRDefault="00052D96">
      <w:pPr>
        <w:jc w:val="both"/>
        <w:rPr>
          <w:color w:val="auto"/>
          <w:sz w:val="20"/>
          <w:szCs w:val="20"/>
        </w:rPr>
      </w:pPr>
      <w:r w:rsidRPr="009979BF">
        <w:rPr>
          <w:color w:val="auto"/>
          <w:sz w:val="20"/>
          <w:szCs w:val="20"/>
        </w:rPr>
        <w:t>S Tariq Sadiq</w:t>
      </w:r>
    </w:p>
    <w:p w14:paraId="0796E764" w14:textId="77777777" w:rsidR="00E642EB" w:rsidRPr="009979BF" w:rsidRDefault="00052D96">
      <w:pPr>
        <w:jc w:val="both"/>
        <w:rPr>
          <w:color w:val="auto"/>
          <w:sz w:val="20"/>
          <w:szCs w:val="20"/>
        </w:rPr>
      </w:pPr>
      <w:r w:rsidRPr="009979BF">
        <w:rPr>
          <w:color w:val="auto"/>
          <w:sz w:val="20"/>
          <w:szCs w:val="20"/>
        </w:rPr>
        <w:t>Reader in HIV and Sexual Health Medicine, Consultant Physician</w:t>
      </w:r>
      <w:r w:rsidR="00B76858" w:rsidRPr="009979BF">
        <w:rPr>
          <w:color w:val="auto"/>
          <w:sz w:val="20"/>
          <w:szCs w:val="20"/>
        </w:rPr>
        <w:t xml:space="preserve"> / ADREU Lead</w:t>
      </w:r>
    </w:p>
    <w:p w14:paraId="43378E24" w14:textId="77777777" w:rsidR="00E642EB" w:rsidRPr="009979BF" w:rsidRDefault="00052D96">
      <w:pPr>
        <w:jc w:val="both"/>
        <w:rPr>
          <w:color w:val="auto"/>
          <w:sz w:val="20"/>
          <w:szCs w:val="20"/>
        </w:rPr>
      </w:pPr>
      <w:r w:rsidRPr="009979BF">
        <w:rPr>
          <w:color w:val="auto"/>
          <w:sz w:val="20"/>
          <w:szCs w:val="20"/>
        </w:rPr>
        <w:t>orcid.org/0000-0002-0608-381</w:t>
      </w:r>
    </w:p>
    <w:p w14:paraId="4554D85D" w14:textId="77777777" w:rsidR="00B76858" w:rsidRPr="009979BF" w:rsidRDefault="00B76858" w:rsidP="00307CAB">
      <w:pPr>
        <w:spacing w:after="240"/>
        <w:jc w:val="both"/>
        <w:rPr>
          <w:color w:val="auto"/>
          <w:sz w:val="20"/>
          <w:szCs w:val="20"/>
        </w:rPr>
      </w:pPr>
    </w:p>
    <w:p w14:paraId="62FD4718" w14:textId="77777777" w:rsidR="00066BEB" w:rsidRPr="009979BF" w:rsidRDefault="00066BEB" w:rsidP="00307CAB">
      <w:pPr>
        <w:spacing w:after="240"/>
        <w:jc w:val="both"/>
        <w:rPr>
          <w:color w:val="auto"/>
          <w:sz w:val="20"/>
          <w:szCs w:val="20"/>
        </w:rPr>
      </w:pPr>
    </w:p>
    <w:p w14:paraId="299D3F5C" w14:textId="77777777" w:rsidR="00066BEB" w:rsidRPr="009979BF" w:rsidRDefault="00066BEB" w:rsidP="00307CAB">
      <w:pPr>
        <w:spacing w:after="240"/>
        <w:jc w:val="both"/>
        <w:rPr>
          <w:color w:val="auto"/>
          <w:sz w:val="20"/>
          <w:szCs w:val="20"/>
        </w:rPr>
      </w:pPr>
    </w:p>
    <w:p w14:paraId="10946585" w14:textId="77777777" w:rsidR="00066BEB" w:rsidRPr="009979BF" w:rsidRDefault="00066BEB" w:rsidP="00307CAB">
      <w:pPr>
        <w:spacing w:after="240"/>
        <w:jc w:val="both"/>
        <w:rPr>
          <w:color w:val="auto"/>
          <w:sz w:val="20"/>
          <w:szCs w:val="20"/>
        </w:rPr>
      </w:pPr>
    </w:p>
    <w:p w14:paraId="28076287" w14:textId="77777777" w:rsidR="006C7BD2" w:rsidRPr="009979BF" w:rsidRDefault="0037758D" w:rsidP="00902713">
      <w:pPr>
        <w:spacing w:line="360" w:lineRule="auto"/>
        <w:rPr>
          <w:color w:val="auto"/>
          <w:sz w:val="20"/>
          <w:szCs w:val="20"/>
        </w:rPr>
      </w:pPr>
      <w:bookmarkStart w:id="1" w:name="_Toc395002648"/>
      <w:r w:rsidRPr="009979BF">
        <w:rPr>
          <w:b/>
          <w:color w:val="auto"/>
          <w:sz w:val="20"/>
          <w:szCs w:val="20"/>
        </w:rPr>
        <w:lastRenderedPageBreak/>
        <w:t>ABSTRACT</w:t>
      </w:r>
      <w:r w:rsidR="00052D96" w:rsidRPr="009979BF">
        <w:rPr>
          <w:rFonts w:cs="Tahoma"/>
          <w:b/>
          <w:color w:val="auto"/>
          <w:sz w:val="20"/>
          <w:szCs w:val="20"/>
        </w:rPr>
        <w:t xml:space="preserve"> </w:t>
      </w:r>
    </w:p>
    <w:p w14:paraId="3E5BAC43" w14:textId="77777777" w:rsidR="00424BAF" w:rsidRPr="009979BF" w:rsidRDefault="00052D96">
      <w:pPr>
        <w:spacing w:line="360" w:lineRule="auto"/>
        <w:rPr>
          <w:b/>
          <w:color w:val="auto"/>
          <w:sz w:val="20"/>
          <w:szCs w:val="20"/>
        </w:rPr>
      </w:pPr>
      <w:r w:rsidRPr="009979BF">
        <w:rPr>
          <w:b/>
          <w:color w:val="auto"/>
          <w:sz w:val="20"/>
          <w:szCs w:val="20"/>
        </w:rPr>
        <w:t xml:space="preserve">Introduction: </w:t>
      </w:r>
    </w:p>
    <w:p w14:paraId="5DEC4A4C" w14:textId="77777777" w:rsidR="00B851E5" w:rsidRPr="009979BF" w:rsidRDefault="0087732D">
      <w:pPr>
        <w:spacing w:line="360" w:lineRule="auto"/>
        <w:jc w:val="both"/>
        <w:rPr>
          <w:color w:val="auto"/>
          <w:sz w:val="20"/>
          <w:szCs w:val="20"/>
        </w:rPr>
      </w:pPr>
      <w:r w:rsidRPr="009979BF">
        <w:rPr>
          <w:color w:val="auto"/>
          <w:sz w:val="20"/>
          <w:szCs w:val="20"/>
        </w:rPr>
        <w:t>Non-specific genital infection (NSGI; non-</w:t>
      </w:r>
      <w:r w:rsidRPr="009979BF">
        <w:rPr>
          <w:i/>
          <w:color w:val="auto"/>
          <w:sz w:val="20"/>
          <w:szCs w:val="20"/>
        </w:rPr>
        <w:t>Chlamydia trachomatis</w:t>
      </w:r>
      <w:r w:rsidRPr="009979BF">
        <w:rPr>
          <w:color w:val="auto"/>
          <w:sz w:val="20"/>
          <w:szCs w:val="20"/>
        </w:rPr>
        <w:t xml:space="preserve"> (CT), non-</w:t>
      </w:r>
      <w:r w:rsidRPr="009979BF">
        <w:rPr>
          <w:i/>
          <w:color w:val="auto"/>
          <w:sz w:val="20"/>
          <w:szCs w:val="20"/>
        </w:rPr>
        <w:t>Neisseria gonorrhoeae</w:t>
      </w:r>
      <w:r w:rsidRPr="009979BF">
        <w:rPr>
          <w:color w:val="auto"/>
          <w:sz w:val="20"/>
          <w:szCs w:val="20"/>
        </w:rPr>
        <w:t xml:space="preserve"> (NG) associated urethritis) is a common diagnosis in symptomatic h</w:t>
      </w:r>
      <w:r w:rsidR="00C612C9" w:rsidRPr="009979BF">
        <w:rPr>
          <w:color w:val="auto"/>
          <w:sz w:val="20"/>
          <w:szCs w:val="20"/>
        </w:rPr>
        <w:t xml:space="preserve">eterosexual men </w:t>
      </w:r>
      <w:r w:rsidRPr="009979BF">
        <w:rPr>
          <w:color w:val="auto"/>
          <w:sz w:val="20"/>
          <w:szCs w:val="20"/>
        </w:rPr>
        <w:t>attending</w:t>
      </w:r>
      <w:r w:rsidR="00C612C9" w:rsidRPr="009979BF">
        <w:rPr>
          <w:color w:val="auto"/>
          <w:sz w:val="20"/>
          <w:szCs w:val="20"/>
        </w:rPr>
        <w:t xml:space="preserve"> UK Sexual Health Clinics (SHCs) </w:t>
      </w:r>
      <w:r w:rsidRPr="009979BF">
        <w:rPr>
          <w:color w:val="auto"/>
          <w:sz w:val="20"/>
          <w:szCs w:val="20"/>
        </w:rPr>
        <w:t>but</w:t>
      </w:r>
      <w:r w:rsidR="00626368" w:rsidRPr="009979BF">
        <w:rPr>
          <w:color w:val="auto"/>
          <w:sz w:val="20"/>
          <w:szCs w:val="20"/>
        </w:rPr>
        <w:t xml:space="preserve"> </w:t>
      </w:r>
      <w:r w:rsidR="00584FDB" w:rsidRPr="009979BF">
        <w:rPr>
          <w:color w:val="auto"/>
          <w:sz w:val="20"/>
          <w:szCs w:val="20"/>
        </w:rPr>
        <w:t>little is known about the psychosocial impact of this diagnosis</w:t>
      </w:r>
      <w:r w:rsidR="006C7BD2" w:rsidRPr="009979BF">
        <w:rPr>
          <w:color w:val="auto"/>
          <w:sz w:val="20"/>
          <w:szCs w:val="20"/>
        </w:rPr>
        <w:t>.</w:t>
      </w:r>
    </w:p>
    <w:p w14:paraId="4CEB3C25" w14:textId="77777777" w:rsidR="001C135D" w:rsidRPr="009979BF" w:rsidRDefault="001C135D">
      <w:pPr>
        <w:spacing w:line="360" w:lineRule="auto"/>
        <w:jc w:val="both"/>
        <w:rPr>
          <w:color w:val="auto"/>
          <w:sz w:val="20"/>
          <w:szCs w:val="20"/>
        </w:rPr>
      </w:pPr>
    </w:p>
    <w:p w14:paraId="776F3EEA" w14:textId="77777777" w:rsidR="00424BAF" w:rsidRPr="009979BF" w:rsidRDefault="00052D96">
      <w:pPr>
        <w:spacing w:line="360" w:lineRule="auto"/>
        <w:jc w:val="both"/>
        <w:rPr>
          <w:color w:val="auto"/>
          <w:sz w:val="20"/>
          <w:szCs w:val="20"/>
        </w:rPr>
      </w:pPr>
      <w:r w:rsidRPr="009979BF">
        <w:rPr>
          <w:b/>
          <w:color w:val="auto"/>
          <w:sz w:val="20"/>
          <w:szCs w:val="20"/>
        </w:rPr>
        <w:t xml:space="preserve">Methods: </w:t>
      </w:r>
    </w:p>
    <w:p w14:paraId="01CD914B" w14:textId="77777777" w:rsidR="00424BAF" w:rsidRPr="009979BF" w:rsidRDefault="00050BB5">
      <w:pPr>
        <w:spacing w:line="360" w:lineRule="auto"/>
        <w:jc w:val="both"/>
        <w:rPr>
          <w:color w:val="auto"/>
          <w:sz w:val="20"/>
          <w:szCs w:val="20"/>
        </w:rPr>
      </w:pPr>
      <w:r w:rsidRPr="009979BF">
        <w:rPr>
          <w:color w:val="auto"/>
          <w:sz w:val="20"/>
          <w:szCs w:val="20"/>
        </w:rPr>
        <w:t>We</w:t>
      </w:r>
      <w:r w:rsidR="00751F72" w:rsidRPr="009979BF">
        <w:rPr>
          <w:color w:val="auto"/>
          <w:sz w:val="20"/>
          <w:szCs w:val="20"/>
        </w:rPr>
        <w:t xml:space="preserve"> </w:t>
      </w:r>
      <w:r w:rsidR="007D3CAF" w:rsidRPr="009979BF">
        <w:rPr>
          <w:color w:val="auto"/>
          <w:sz w:val="20"/>
          <w:szCs w:val="20"/>
        </w:rPr>
        <w:t>conducted a</w:t>
      </w:r>
      <w:r w:rsidR="005E3321" w:rsidRPr="009979BF">
        <w:rPr>
          <w:color w:val="auto"/>
          <w:sz w:val="20"/>
          <w:szCs w:val="20"/>
        </w:rPr>
        <w:t xml:space="preserve">n observational study </w:t>
      </w:r>
      <w:r w:rsidR="00F91F0E" w:rsidRPr="009979BF">
        <w:rPr>
          <w:color w:val="auto"/>
          <w:sz w:val="20"/>
          <w:szCs w:val="20"/>
        </w:rPr>
        <w:t xml:space="preserve">among symptomatic heterosexual men attending SHCs </w:t>
      </w:r>
      <w:r w:rsidR="00626368" w:rsidRPr="009979BF">
        <w:rPr>
          <w:color w:val="auto"/>
          <w:sz w:val="20"/>
          <w:szCs w:val="20"/>
        </w:rPr>
        <w:t>to</w:t>
      </w:r>
      <w:r w:rsidR="005E3321" w:rsidRPr="009979BF">
        <w:rPr>
          <w:color w:val="auto"/>
          <w:sz w:val="20"/>
          <w:szCs w:val="20"/>
        </w:rPr>
        <w:t xml:space="preserve"> evaluate the</w:t>
      </w:r>
      <w:r w:rsidR="00626368" w:rsidRPr="009979BF">
        <w:rPr>
          <w:color w:val="auto"/>
          <w:sz w:val="20"/>
          <w:szCs w:val="20"/>
        </w:rPr>
        <w:t xml:space="preserve"> psychosocial impact of </w:t>
      </w:r>
      <w:r w:rsidR="000346C7" w:rsidRPr="009979BF">
        <w:rPr>
          <w:color w:val="auto"/>
          <w:sz w:val="20"/>
          <w:szCs w:val="20"/>
        </w:rPr>
        <w:t xml:space="preserve">an </w:t>
      </w:r>
      <w:r w:rsidR="00626368" w:rsidRPr="009979BF">
        <w:rPr>
          <w:color w:val="auto"/>
          <w:sz w:val="20"/>
          <w:szCs w:val="20"/>
        </w:rPr>
        <w:t xml:space="preserve">NSGI diagnosis </w:t>
      </w:r>
      <w:r w:rsidR="000346C7" w:rsidRPr="009979BF">
        <w:rPr>
          <w:color w:val="auto"/>
          <w:sz w:val="20"/>
          <w:szCs w:val="20"/>
        </w:rPr>
        <w:t>compared to a diagnosis of CT, NG or no abnormalities detected (NAD</w:t>
      </w:r>
      <w:r w:rsidR="0032454D" w:rsidRPr="009979BF">
        <w:rPr>
          <w:color w:val="auto"/>
          <w:sz w:val="20"/>
          <w:szCs w:val="20"/>
        </w:rPr>
        <w:t>) focussing o</w:t>
      </w:r>
      <w:r w:rsidR="00F91F0E" w:rsidRPr="009979BF">
        <w:rPr>
          <w:color w:val="auto"/>
          <w:sz w:val="20"/>
          <w:szCs w:val="20"/>
        </w:rPr>
        <w:t>n</w:t>
      </w:r>
      <w:r w:rsidR="0032454D" w:rsidRPr="009979BF">
        <w:rPr>
          <w:color w:val="auto"/>
          <w:sz w:val="20"/>
          <w:szCs w:val="20"/>
        </w:rPr>
        <w:t xml:space="preserve"> the feasibility of our study methodology</w:t>
      </w:r>
      <w:r w:rsidRPr="009979BF">
        <w:rPr>
          <w:color w:val="auto"/>
          <w:sz w:val="20"/>
          <w:szCs w:val="20"/>
        </w:rPr>
        <w:t xml:space="preserve">. </w:t>
      </w:r>
      <w:r w:rsidR="0023090A" w:rsidRPr="009979BF">
        <w:rPr>
          <w:color w:val="auto"/>
          <w:sz w:val="20"/>
          <w:szCs w:val="20"/>
        </w:rPr>
        <w:t>Participants</w:t>
      </w:r>
      <w:r w:rsidRPr="009979BF">
        <w:rPr>
          <w:color w:val="auto"/>
          <w:sz w:val="20"/>
          <w:szCs w:val="20"/>
        </w:rPr>
        <w:t xml:space="preserve"> completed </w:t>
      </w:r>
      <w:r w:rsidR="00443F4C" w:rsidRPr="009979BF">
        <w:rPr>
          <w:color w:val="auto"/>
          <w:sz w:val="20"/>
          <w:szCs w:val="20"/>
        </w:rPr>
        <w:t xml:space="preserve">a </w:t>
      </w:r>
      <w:r w:rsidRPr="009979BF">
        <w:rPr>
          <w:color w:val="auto"/>
          <w:sz w:val="20"/>
          <w:szCs w:val="20"/>
        </w:rPr>
        <w:t>Computer Assisted Self Interview (CASI)</w:t>
      </w:r>
      <w:r w:rsidR="00052D96" w:rsidRPr="009979BF">
        <w:rPr>
          <w:color w:val="auto"/>
          <w:sz w:val="20"/>
          <w:szCs w:val="20"/>
        </w:rPr>
        <w:t xml:space="preserve"> </w:t>
      </w:r>
      <w:r w:rsidR="00443F4C" w:rsidRPr="009979BF">
        <w:rPr>
          <w:color w:val="auto"/>
          <w:sz w:val="20"/>
          <w:szCs w:val="20"/>
        </w:rPr>
        <w:t xml:space="preserve">including </w:t>
      </w:r>
      <w:r w:rsidR="00046283" w:rsidRPr="009979BF">
        <w:rPr>
          <w:color w:val="auto"/>
          <w:sz w:val="20"/>
          <w:szCs w:val="20"/>
        </w:rPr>
        <w:t>two validated measures of psychosocial impact:</w:t>
      </w:r>
      <w:r w:rsidR="00066BEB" w:rsidRPr="009979BF">
        <w:rPr>
          <w:color w:val="auto"/>
          <w:sz w:val="20"/>
          <w:szCs w:val="20"/>
        </w:rPr>
        <w:t xml:space="preserve"> </w:t>
      </w:r>
      <w:r w:rsidR="00046283" w:rsidRPr="009979BF">
        <w:rPr>
          <w:color w:val="auto"/>
          <w:sz w:val="20"/>
          <w:szCs w:val="20"/>
        </w:rPr>
        <w:t xml:space="preserve">the EQ-5D-5L </w:t>
      </w:r>
      <w:r w:rsidR="00443F4C" w:rsidRPr="009979BF">
        <w:rPr>
          <w:color w:val="auto"/>
          <w:sz w:val="20"/>
          <w:szCs w:val="20"/>
        </w:rPr>
        <w:t xml:space="preserve">health-related quality-of-life (HRQoL) and </w:t>
      </w:r>
      <w:r w:rsidR="00046283" w:rsidRPr="009979BF">
        <w:rPr>
          <w:color w:val="auto"/>
          <w:sz w:val="20"/>
          <w:szCs w:val="20"/>
        </w:rPr>
        <w:t xml:space="preserve">Rosenberg </w:t>
      </w:r>
      <w:r w:rsidR="00E30119" w:rsidRPr="009979BF">
        <w:rPr>
          <w:color w:val="auto"/>
          <w:sz w:val="20"/>
          <w:szCs w:val="20"/>
        </w:rPr>
        <w:t>S</w:t>
      </w:r>
      <w:r w:rsidR="00443F4C" w:rsidRPr="009979BF">
        <w:rPr>
          <w:color w:val="auto"/>
          <w:sz w:val="20"/>
          <w:szCs w:val="20"/>
        </w:rPr>
        <w:t>elf-</w:t>
      </w:r>
      <w:r w:rsidR="00E30119" w:rsidRPr="009979BF">
        <w:rPr>
          <w:color w:val="auto"/>
          <w:sz w:val="20"/>
          <w:szCs w:val="20"/>
        </w:rPr>
        <w:t>E</w:t>
      </w:r>
      <w:r w:rsidR="00443F4C" w:rsidRPr="009979BF">
        <w:rPr>
          <w:color w:val="auto"/>
          <w:sz w:val="20"/>
          <w:szCs w:val="20"/>
        </w:rPr>
        <w:t xml:space="preserve">steem </w:t>
      </w:r>
      <w:r w:rsidR="00E30119" w:rsidRPr="009979BF">
        <w:rPr>
          <w:color w:val="auto"/>
          <w:sz w:val="20"/>
          <w:szCs w:val="20"/>
        </w:rPr>
        <w:t>s</w:t>
      </w:r>
      <w:r w:rsidR="00D95DA3" w:rsidRPr="009979BF">
        <w:rPr>
          <w:color w:val="auto"/>
          <w:sz w:val="20"/>
          <w:szCs w:val="20"/>
        </w:rPr>
        <w:t xml:space="preserve">cales, </w:t>
      </w:r>
      <w:r w:rsidR="00052D96" w:rsidRPr="009979BF">
        <w:rPr>
          <w:color w:val="auto"/>
          <w:sz w:val="20"/>
          <w:szCs w:val="20"/>
        </w:rPr>
        <w:t xml:space="preserve">before </w:t>
      </w:r>
      <w:r w:rsidR="00443F4C" w:rsidRPr="009979BF">
        <w:rPr>
          <w:color w:val="auto"/>
          <w:sz w:val="20"/>
          <w:szCs w:val="20"/>
        </w:rPr>
        <w:t xml:space="preserve">diagnostic </w:t>
      </w:r>
      <w:r w:rsidR="00052D96" w:rsidRPr="009979BF">
        <w:rPr>
          <w:color w:val="auto"/>
          <w:sz w:val="20"/>
          <w:szCs w:val="20"/>
        </w:rPr>
        <w:t xml:space="preserve">testing </w:t>
      </w:r>
      <w:r w:rsidR="00317F01" w:rsidRPr="009979BF">
        <w:rPr>
          <w:color w:val="auto"/>
          <w:sz w:val="20"/>
          <w:szCs w:val="20"/>
        </w:rPr>
        <w:t>and</w:t>
      </w:r>
      <w:r w:rsidR="00F6723D" w:rsidRPr="009979BF">
        <w:rPr>
          <w:color w:val="auto"/>
          <w:sz w:val="20"/>
          <w:szCs w:val="20"/>
        </w:rPr>
        <w:t xml:space="preserve"> </w:t>
      </w:r>
      <w:r w:rsidR="000A0041" w:rsidRPr="009979BF">
        <w:rPr>
          <w:color w:val="auto"/>
          <w:sz w:val="20"/>
          <w:szCs w:val="20"/>
        </w:rPr>
        <w:t>two</w:t>
      </w:r>
      <w:r w:rsidR="00B851E5" w:rsidRPr="009979BF">
        <w:rPr>
          <w:color w:val="auto"/>
          <w:sz w:val="20"/>
          <w:szCs w:val="20"/>
        </w:rPr>
        <w:t xml:space="preserve"> </w:t>
      </w:r>
      <w:r w:rsidR="00052D96" w:rsidRPr="009979BF">
        <w:rPr>
          <w:color w:val="auto"/>
          <w:sz w:val="20"/>
          <w:szCs w:val="20"/>
        </w:rPr>
        <w:t xml:space="preserve">weeks after receiving </w:t>
      </w:r>
      <w:r w:rsidR="00443F4C" w:rsidRPr="009979BF">
        <w:rPr>
          <w:color w:val="auto"/>
          <w:sz w:val="20"/>
          <w:szCs w:val="20"/>
        </w:rPr>
        <w:t>test results</w:t>
      </w:r>
      <w:r w:rsidR="00E31271" w:rsidRPr="009979BF">
        <w:rPr>
          <w:color w:val="auto"/>
          <w:sz w:val="20"/>
          <w:szCs w:val="20"/>
        </w:rPr>
        <w:t xml:space="preserve"> (FU-1)</w:t>
      </w:r>
      <w:r w:rsidR="000346C7" w:rsidRPr="009979BF">
        <w:rPr>
          <w:color w:val="auto"/>
          <w:sz w:val="20"/>
          <w:szCs w:val="20"/>
        </w:rPr>
        <w:t>,</w:t>
      </w:r>
      <w:r w:rsidR="00052D96" w:rsidRPr="009979BF">
        <w:rPr>
          <w:color w:val="auto"/>
          <w:sz w:val="20"/>
          <w:szCs w:val="20"/>
        </w:rPr>
        <w:t xml:space="preserve"> </w:t>
      </w:r>
      <w:r w:rsidR="007B6C89" w:rsidRPr="009979BF">
        <w:rPr>
          <w:color w:val="auto"/>
          <w:sz w:val="20"/>
          <w:szCs w:val="20"/>
        </w:rPr>
        <w:t xml:space="preserve">and </w:t>
      </w:r>
      <w:r w:rsidR="006C7BD2" w:rsidRPr="009979BF">
        <w:rPr>
          <w:color w:val="auto"/>
          <w:sz w:val="20"/>
          <w:szCs w:val="20"/>
        </w:rPr>
        <w:t>a qualitative interview.</w:t>
      </w:r>
      <w:r w:rsidR="007D4427" w:rsidRPr="009979BF">
        <w:rPr>
          <w:color w:val="auto"/>
          <w:sz w:val="20"/>
          <w:szCs w:val="20"/>
        </w:rPr>
        <w:t xml:space="preserve"> We compared scores between diagnos</w:t>
      </w:r>
      <w:r w:rsidR="00626368" w:rsidRPr="009979BF">
        <w:rPr>
          <w:color w:val="auto"/>
          <w:sz w:val="20"/>
          <w:szCs w:val="20"/>
        </w:rPr>
        <w:t>tic groups</w:t>
      </w:r>
      <w:r w:rsidR="001F0D06" w:rsidRPr="009979BF">
        <w:rPr>
          <w:color w:val="auto"/>
          <w:sz w:val="20"/>
          <w:szCs w:val="20"/>
        </w:rPr>
        <w:t xml:space="preserve"> </w:t>
      </w:r>
      <w:r w:rsidR="00626368" w:rsidRPr="009979BF">
        <w:rPr>
          <w:color w:val="auto"/>
          <w:sz w:val="20"/>
          <w:szCs w:val="20"/>
        </w:rPr>
        <w:t>using paired t-tests,</w:t>
      </w:r>
      <w:r w:rsidR="007D4427" w:rsidRPr="009979BF">
        <w:rPr>
          <w:color w:val="auto"/>
          <w:sz w:val="20"/>
          <w:szCs w:val="20"/>
        </w:rPr>
        <w:t xml:space="preserve"> qualitative data </w:t>
      </w:r>
      <w:r w:rsidR="00072564" w:rsidRPr="009979BF">
        <w:rPr>
          <w:color w:val="auto"/>
          <w:sz w:val="20"/>
          <w:szCs w:val="20"/>
        </w:rPr>
        <w:t xml:space="preserve">were </w:t>
      </w:r>
      <w:r w:rsidR="007D4427" w:rsidRPr="009979BF">
        <w:rPr>
          <w:color w:val="auto"/>
          <w:sz w:val="20"/>
          <w:szCs w:val="20"/>
        </w:rPr>
        <w:t>analysed them</w:t>
      </w:r>
      <w:r w:rsidR="00626368" w:rsidRPr="009979BF">
        <w:rPr>
          <w:color w:val="auto"/>
          <w:sz w:val="20"/>
          <w:szCs w:val="20"/>
        </w:rPr>
        <w:t>atically</w:t>
      </w:r>
      <w:r w:rsidR="00072564" w:rsidRPr="009979BF">
        <w:rPr>
          <w:color w:val="auto"/>
          <w:sz w:val="20"/>
          <w:szCs w:val="20"/>
        </w:rPr>
        <w:t>,</w:t>
      </w:r>
      <w:r w:rsidR="00626368" w:rsidRPr="009979BF">
        <w:rPr>
          <w:color w:val="auto"/>
          <w:sz w:val="20"/>
          <w:szCs w:val="20"/>
        </w:rPr>
        <w:t xml:space="preserve"> and</w:t>
      </w:r>
      <w:r w:rsidR="007D4427" w:rsidRPr="009979BF">
        <w:rPr>
          <w:color w:val="auto"/>
          <w:sz w:val="20"/>
          <w:szCs w:val="20"/>
        </w:rPr>
        <w:t xml:space="preserve"> feasibility was assessed </w:t>
      </w:r>
      <w:r w:rsidR="00584FDB" w:rsidRPr="009979BF">
        <w:rPr>
          <w:color w:val="auto"/>
          <w:sz w:val="20"/>
          <w:szCs w:val="20"/>
        </w:rPr>
        <w:t>by</w:t>
      </w:r>
      <w:r w:rsidR="007D4427" w:rsidRPr="009979BF">
        <w:rPr>
          <w:color w:val="auto"/>
          <w:sz w:val="20"/>
          <w:szCs w:val="20"/>
        </w:rPr>
        <w:t xml:space="preserve"> process analysis.  </w:t>
      </w:r>
      <w:r w:rsidR="006C7BD2" w:rsidRPr="009979BF">
        <w:rPr>
          <w:color w:val="auto"/>
          <w:sz w:val="20"/>
          <w:szCs w:val="20"/>
        </w:rPr>
        <w:t xml:space="preserve"> </w:t>
      </w:r>
    </w:p>
    <w:p w14:paraId="464BAE81" w14:textId="77777777" w:rsidR="00424BAF" w:rsidRPr="009979BF" w:rsidRDefault="00424BAF">
      <w:pPr>
        <w:spacing w:line="360" w:lineRule="auto"/>
        <w:rPr>
          <w:b/>
          <w:color w:val="auto"/>
          <w:sz w:val="20"/>
          <w:szCs w:val="20"/>
        </w:rPr>
      </w:pPr>
    </w:p>
    <w:p w14:paraId="607276E9" w14:textId="77777777" w:rsidR="00E91706" w:rsidRPr="009979BF" w:rsidRDefault="00B907B3">
      <w:pPr>
        <w:spacing w:line="360" w:lineRule="auto"/>
        <w:rPr>
          <w:b/>
          <w:color w:val="auto"/>
          <w:sz w:val="20"/>
          <w:szCs w:val="20"/>
        </w:rPr>
      </w:pPr>
      <w:r w:rsidRPr="009979BF">
        <w:rPr>
          <w:b/>
          <w:color w:val="auto"/>
          <w:sz w:val="20"/>
          <w:szCs w:val="20"/>
        </w:rPr>
        <w:t xml:space="preserve">Results: </w:t>
      </w:r>
    </w:p>
    <w:p w14:paraId="2248B6A4" w14:textId="77777777" w:rsidR="00424BAF" w:rsidRPr="009979BF" w:rsidRDefault="00B907B3">
      <w:pPr>
        <w:spacing w:line="360" w:lineRule="auto"/>
        <w:rPr>
          <w:color w:val="auto"/>
          <w:sz w:val="20"/>
          <w:szCs w:val="20"/>
        </w:rPr>
      </w:pPr>
      <w:r w:rsidRPr="009979BF">
        <w:rPr>
          <w:color w:val="auto"/>
          <w:sz w:val="20"/>
          <w:szCs w:val="20"/>
        </w:rPr>
        <w:t xml:space="preserve">60 men completed the baseline CASI (75% response rate). 46 (76.6%) were eligible for follow-up; 11/46 (23.9%) completed the follow-up CASI, and 3/11 (27.3%) completed the qualitative interview. 81.7% of all participants left CASI feedback at baseline: 73.5% reported the questionnaire as ‘fine’ or ‘very good’. Qualitative interview participants reported the study was acceptable. </w:t>
      </w:r>
      <w:r w:rsidR="00C45E5C" w:rsidRPr="009979BF">
        <w:rPr>
          <w:color w:val="auto"/>
          <w:sz w:val="20"/>
          <w:szCs w:val="20"/>
        </w:rPr>
        <w:t>Compared to baseline, among patients completing FU-1, only patients with a diagnosis of NSGI (p&lt;0.05) or CT (p&lt;0.05) showed increased EQ-5D-5L Index, whereas</w:t>
      </w:r>
      <w:r w:rsidR="00F21EFE" w:rsidRPr="009979BF">
        <w:rPr>
          <w:color w:val="auto"/>
          <w:sz w:val="20"/>
          <w:szCs w:val="20"/>
        </w:rPr>
        <w:t xml:space="preserve"> patients with a diagnosis of NSGI (P=0.05) </w:t>
      </w:r>
      <w:r w:rsidR="00C45E5C" w:rsidRPr="009979BF">
        <w:rPr>
          <w:color w:val="auto"/>
          <w:sz w:val="20"/>
          <w:szCs w:val="20"/>
        </w:rPr>
        <w:t>showed decreased mean Rosenberg Self-Esteem Scale score</w:t>
      </w:r>
      <w:r w:rsidR="00F21EFE" w:rsidRPr="009979BF">
        <w:rPr>
          <w:color w:val="auto"/>
          <w:sz w:val="20"/>
          <w:szCs w:val="20"/>
        </w:rPr>
        <w:t>.</w:t>
      </w:r>
    </w:p>
    <w:p w14:paraId="5A937DEE" w14:textId="77777777" w:rsidR="00975D83" w:rsidRPr="009979BF" w:rsidRDefault="00975D83">
      <w:pPr>
        <w:spacing w:line="360" w:lineRule="auto"/>
        <w:rPr>
          <w:b/>
          <w:color w:val="auto"/>
          <w:sz w:val="20"/>
          <w:szCs w:val="20"/>
        </w:rPr>
      </w:pPr>
    </w:p>
    <w:p w14:paraId="6752F0D2" w14:textId="77777777" w:rsidR="005733E8" w:rsidRPr="009979BF" w:rsidRDefault="00B907B3">
      <w:pPr>
        <w:spacing w:line="360" w:lineRule="auto"/>
        <w:rPr>
          <w:b/>
          <w:color w:val="auto"/>
          <w:sz w:val="20"/>
          <w:szCs w:val="20"/>
        </w:rPr>
      </w:pPr>
      <w:r w:rsidRPr="009979BF">
        <w:rPr>
          <w:b/>
          <w:color w:val="auto"/>
          <w:sz w:val="20"/>
          <w:szCs w:val="20"/>
        </w:rPr>
        <w:t xml:space="preserve">Conclusions: </w:t>
      </w:r>
    </w:p>
    <w:p w14:paraId="73ED8E90" w14:textId="77777777" w:rsidR="00A6698A" w:rsidRPr="009979BF" w:rsidRDefault="00B907B3">
      <w:pPr>
        <w:spacing w:line="360" w:lineRule="auto"/>
        <w:rPr>
          <w:color w:val="auto"/>
          <w:sz w:val="20"/>
          <w:szCs w:val="20"/>
        </w:rPr>
      </w:pPr>
      <w:r w:rsidRPr="009979BF">
        <w:rPr>
          <w:color w:val="auto"/>
          <w:sz w:val="20"/>
          <w:szCs w:val="20"/>
        </w:rPr>
        <w:t xml:space="preserve">Although most participants indicated study acceptability at baseline, and we employed measures to increase retention (CASI questionnaires, reminder messages, a focus on men’s health), we experienced high loss to follow-up. </w:t>
      </w:r>
      <w:r w:rsidR="00C45E5C" w:rsidRPr="009979BF">
        <w:rPr>
          <w:color w:val="auto"/>
          <w:sz w:val="20"/>
          <w:szCs w:val="20"/>
        </w:rPr>
        <w:t xml:space="preserve">We found that heterosexual men attending SHCs with symptoms of urethritis experience both positive and negative psychosocial impacts following their clinic attendance, which warrants further investigation. </w:t>
      </w:r>
    </w:p>
    <w:p w14:paraId="7B832830" w14:textId="77777777" w:rsidR="00C571D9" w:rsidRPr="009979BF" w:rsidRDefault="00C571D9">
      <w:pPr>
        <w:spacing w:line="360" w:lineRule="auto"/>
        <w:rPr>
          <w:b/>
          <w:color w:val="auto"/>
          <w:sz w:val="20"/>
          <w:szCs w:val="20"/>
        </w:rPr>
      </w:pPr>
    </w:p>
    <w:p w14:paraId="71A9BFA2" w14:textId="77777777" w:rsidR="00C571D9" w:rsidRPr="009979BF" w:rsidRDefault="00A1730B">
      <w:pPr>
        <w:spacing w:line="360" w:lineRule="auto"/>
        <w:rPr>
          <w:b/>
          <w:color w:val="auto"/>
          <w:sz w:val="20"/>
          <w:szCs w:val="20"/>
        </w:rPr>
      </w:pPr>
      <w:r w:rsidRPr="009979BF">
        <w:rPr>
          <w:b/>
          <w:color w:val="auto"/>
          <w:sz w:val="20"/>
          <w:szCs w:val="20"/>
        </w:rPr>
        <w:t>Article Summary</w:t>
      </w:r>
    </w:p>
    <w:p w14:paraId="18298FFB" w14:textId="77777777" w:rsidR="00915521" w:rsidRPr="009979BF" w:rsidRDefault="00C571D9">
      <w:pPr>
        <w:spacing w:line="360" w:lineRule="auto"/>
        <w:rPr>
          <w:color w:val="auto"/>
          <w:sz w:val="20"/>
          <w:szCs w:val="20"/>
        </w:rPr>
      </w:pPr>
      <w:r w:rsidRPr="009979BF">
        <w:rPr>
          <w:color w:val="auto"/>
          <w:sz w:val="20"/>
          <w:szCs w:val="20"/>
        </w:rPr>
        <w:t>Strengths and Limitations of this study</w:t>
      </w:r>
    </w:p>
    <w:bookmarkEnd w:id="1"/>
    <w:p w14:paraId="0D8559D7" w14:textId="77777777" w:rsidR="00C571D9" w:rsidRPr="009979BF" w:rsidRDefault="00A1730B">
      <w:pPr>
        <w:pStyle w:val="ListParagraph"/>
        <w:numPr>
          <w:ilvl w:val="0"/>
          <w:numId w:val="43"/>
        </w:numPr>
        <w:spacing w:line="360" w:lineRule="auto"/>
        <w:jc w:val="both"/>
        <w:rPr>
          <w:color w:val="auto"/>
          <w:sz w:val="20"/>
          <w:szCs w:val="20"/>
        </w:rPr>
      </w:pPr>
      <w:r w:rsidRPr="009979BF">
        <w:rPr>
          <w:color w:val="auto"/>
          <w:sz w:val="20"/>
          <w:szCs w:val="20"/>
        </w:rPr>
        <w:t xml:space="preserve">This </w:t>
      </w:r>
      <w:r w:rsidR="00AD2B89" w:rsidRPr="009979BF">
        <w:rPr>
          <w:color w:val="auto"/>
          <w:sz w:val="20"/>
          <w:szCs w:val="20"/>
        </w:rPr>
        <w:t xml:space="preserve">study presents </w:t>
      </w:r>
      <w:r w:rsidRPr="009979BF">
        <w:rPr>
          <w:color w:val="auto"/>
          <w:sz w:val="20"/>
          <w:szCs w:val="20"/>
        </w:rPr>
        <w:t xml:space="preserve">the first data  </w:t>
      </w:r>
      <w:r w:rsidR="00AD2B89" w:rsidRPr="009979BF">
        <w:rPr>
          <w:color w:val="auto"/>
          <w:sz w:val="20"/>
          <w:szCs w:val="20"/>
        </w:rPr>
        <w:t xml:space="preserve">investigating </w:t>
      </w:r>
      <w:r w:rsidRPr="009979BF">
        <w:rPr>
          <w:color w:val="auto"/>
          <w:sz w:val="20"/>
          <w:szCs w:val="20"/>
        </w:rPr>
        <w:t>the</w:t>
      </w:r>
      <w:r w:rsidR="00456312" w:rsidRPr="009979BF">
        <w:rPr>
          <w:color w:val="auto"/>
          <w:sz w:val="20"/>
          <w:szCs w:val="20"/>
        </w:rPr>
        <w:t xml:space="preserve"> psychosocial</w:t>
      </w:r>
      <w:r w:rsidRPr="009979BF">
        <w:rPr>
          <w:color w:val="auto"/>
          <w:sz w:val="20"/>
          <w:szCs w:val="20"/>
        </w:rPr>
        <w:t xml:space="preserve"> impact</w:t>
      </w:r>
      <w:r w:rsidR="00AD2B89" w:rsidRPr="009979BF">
        <w:rPr>
          <w:color w:val="auto"/>
          <w:sz w:val="20"/>
          <w:szCs w:val="20"/>
        </w:rPr>
        <w:t>s</w:t>
      </w:r>
      <w:r w:rsidRPr="009979BF">
        <w:rPr>
          <w:color w:val="auto"/>
          <w:sz w:val="20"/>
          <w:szCs w:val="20"/>
        </w:rPr>
        <w:t xml:space="preserve"> of </w:t>
      </w:r>
      <w:r w:rsidR="00AD2B89" w:rsidRPr="009979BF">
        <w:rPr>
          <w:color w:val="auto"/>
          <w:sz w:val="20"/>
          <w:szCs w:val="20"/>
        </w:rPr>
        <w:t xml:space="preserve">the common diagnosis of </w:t>
      </w:r>
      <w:r w:rsidRPr="009979BF">
        <w:rPr>
          <w:color w:val="auto"/>
          <w:sz w:val="20"/>
          <w:szCs w:val="20"/>
        </w:rPr>
        <w:t xml:space="preserve">non-specific genital infection in </w:t>
      </w:r>
      <w:r w:rsidR="006E3920" w:rsidRPr="009979BF">
        <w:rPr>
          <w:color w:val="auto"/>
          <w:sz w:val="20"/>
          <w:szCs w:val="20"/>
        </w:rPr>
        <w:t xml:space="preserve">heterosexual </w:t>
      </w:r>
      <w:r w:rsidRPr="009979BF">
        <w:rPr>
          <w:color w:val="auto"/>
          <w:sz w:val="20"/>
          <w:szCs w:val="20"/>
        </w:rPr>
        <w:t>men attending sexual health clinics.</w:t>
      </w:r>
    </w:p>
    <w:p w14:paraId="4FD455C9" w14:textId="77777777" w:rsidR="00A1730B" w:rsidRPr="009979BF" w:rsidRDefault="00A1730B">
      <w:pPr>
        <w:pStyle w:val="ListParagraph"/>
        <w:numPr>
          <w:ilvl w:val="0"/>
          <w:numId w:val="43"/>
        </w:numPr>
        <w:spacing w:line="360" w:lineRule="auto"/>
        <w:jc w:val="both"/>
        <w:rPr>
          <w:color w:val="auto"/>
          <w:sz w:val="20"/>
          <w:szCs w:val="20"/>
        </w:rPr>
      </w:pPr>
      <w:r w:rsidRPr="009979BF">
        <w:rPr>
          <w:color w:val="auto"/>
          <w:sz w:val="20"/>
          <w:szCs w:val="20"/>
        </w:rPr>
        <w:t>This study used both validated scales and qualitative interviews to assess psychosocial impac</w:t>
      </w:r>
      <w:r w:rsidR="00456312" w:rsidRPr="009979BF">
        <w:rPr>
          <w:color w:val="auto"/>
          <w:sz w:val="20"/>
          <w:szCs w:val="20"/>
        </w:rPr>
        <w:t>t.</w:t>
      </w:r>
    </w:p>
    <w:p w14:paraId="1FEBE134" w14:textId="77777777" w:rsidR="00A1730B" w:rsidRPr="009979BF" w:rsidRDefault="00A1730B">
      <w:pPr>
        <w:pStyle w:val="ListParagraph"/>
        <w:numPr>
          <w:ilvl w:val="0"/>
          <w:numId w:val="43"/>
        </w:numPr>
        <w:spacing w:line="360" w:lineRule="auto"/>
        <w:jc w:val="both"/>
        <w:rPr>
          <w:color w:val="auto"/>
          <w:sz w:val="20"/>
          <w:szCs w:val="20"/>
        </w:rPr>
      </w:pPr>
      <w:r w:rsidRPr="009979BF">
        <w:rPr>
          <w:color w:val="auto"/>
          <w:sz w:val="20"/>
          <w:szCs w:val="20"/>
        </w:rPr>
        <w:t>We used computer assisted self-interviewing to collect data on psychosocial impact as this has been shown to improve data quality in sensitive topics.</w:t>
      </w:r>
    </w:p>
    <w:p w14:paraId="372B51EC" w14:textId="77777777" w:rsidR="00A1730B" w:rsidRPr="009979BF" w:rsidRDefault="00A1730B">
      <w:pPr>
        <w:pStyle w:val="ListParagraph"/>
        <w:numPr>
          <w:ilvl w:val="0"/>
          <w:numId w:val="43"/>
        </w:numPr>
        <w:spacing w:line="360" w:lineRule="auto"/>
        <w:jc w:val="both"/>
        <w:rPr>
          <w:color w:val="auto"/>
          <w:sz w:val="20"/>
          <w:szCs w:val="20"/>
        </w:rPr>
      </w:pPr>
      <w:r w:rsidRPr="009979BF">
        <w:rPr>
          <w:color w:val="auto"/>
          <w:sz w:val="20"/>
          <w:szCs w:val="20"/>
        </w:rPr>
        <w:lastRenderedPageBreak/>
        <w:t>The study was s</w:t>
      </w:r>
      <w:r w:rsidR="00587C21" w:rsidRPr="009979BF">
        <w:rPr>
          <w:color w:val="auto"/>
          <w:sz w:val="20"/>
          <w:szCs w:val="20"/>
        </w:rPr>
        <w:t>mall</w:t>
      </w:r>
      <w:r w:rsidRPr="009979BF">
        <w:rPr>
          <w:color w:val="auto"/>
          <w:sz w:val="20"/>
          <w:szCs w:val="20"/>
        </w:rPr>
        <w:t xml:space="preserve"> and</w:t>
      </w:r>
      <w:r w:rsidR="005E6F40" w:rsidRPr="009979BF">
        <w:rPr>
          <w:color w:val="auto"/>
          <w:sz w:val="20"/>
          <w:szCs w:val="20"/>
        </w:rPr>
        <w:t xml:space="preserve"> was</w:t>
      </w:r>
      <w:r w:rsidRPr="009979BF">
        <w:rPr>
          <w:color w:val="auto"/>
          <w:sz w:val="20"/>
          <w:szCs w:val="20"/>
        </w:rPr>
        <w:t xml:space="preserve"> conducted in </w:t>
      </w:r>
      <w:r w:rsidR="00B851E5" w:rsidRPr="009979BF">
        <w:rPr>
          <w:color w:val="auto"/>
          <w:sz w:val="20"/>
          <w:szCs w:val="20"/>
        </w:rPr>
        <w:t>two</w:t>
      </w:r>
      <w:r w:rsidR="005E6F40" w:rsidRPr="009979BF">
        <w:rPr>
          <w:color w:val="auto"/>
          <w:sz w:val="20"/>
          <w:szCs w:val="20"/>
        </w:rPr>
        <w:t xml:space="preserve"> London sexual health clinics</w:t>
      </w:r>
      <w:r w:rsidR="00AD2B89" w:rsidRPr="009979BF">
        <w:rPr>
          <w:color w:val="auto"/>
          <w:sz w:val="20"/>
          <w:szCs w:val="20"/>
        </w:rPr>
        <w:t>,</w:t>
      </w:r>
      <w:r w:rsidR="00D20887" w:rsidRPr="009979BF">
        <w:rPr>
          <w:color w:val="auto"/>
          <w:sz w:val="20"/>
          <w:szCs w:val="20"/>
        </w:rPr>
        <w:t xml:space="preserve"> which may limit the </w:t>
      </w:r>
      <w:r w:rsidR="0005025B" w:rsidRPr="009979BF">
        <w:rPr>
          <w:color w:val="auto"/>
          <w:sz w:val="20"/>
          <w:szCs w:val="20"/>
        </w:rPr>
        <w:t>generalizability</w:t>
      </w:r>
      <w:r w:rsidR="00D20887" w:rsidRPr="009979BF">
        <w:rPr>
          <w:color w:val="auto"/>
          <w:sz w:val="20"/>
          <w:szCs w:val="20"/>
        </w:rPr>
        <w:t xml:space="preserve"> of our results.</w:t>
      </w:r>
    </w:p>
    <w:p w14:paraId="13F28FE5" w14:textId="77777777" w:rsidR="00A1730B" w:rsidRPr="009979BF" w:rsidRDefault="00A1730B">
      <w:pPr>
        <w:pStyle w:val="ListParagraph"/>
        <w:numPr>
          <w:ilvl w:val="0"/>
          <w:numId w:val="43"/>
        </w:numPr>
        <w:spacing w:line="360" w:lineRule="auto"/>
        <w:jc w:val="both"/>
        <w:rPr>
          <w:color w:val="auto"/>
          <w:sz w:val="20"/>
          <w:szCs w:val="20"/>
        </w:rPr>
      </w:pPr>
      <w:r w:rsidRPr="009979BF">
        <w:rPr>
          <w:color w:val="auto"/>
          <w:sz w:val="20"/>
          <w:szCs w:val="20"/>
        </w:rPr>
        <w:t>There was</w:t>
      </w:r>
      <w:r w:rsidR="00A649EA" w:rsidRPr="009979BF">
        <w:rPr>
          <w:color w:val="auto"/>
          <w:sz w:val="20"/>
          <w:szCs w:val="20"/>
        </w:rPr>
        <w:t xml:space="preserve"> high</w:t>
      </w:r>
      <w:r w:rsidRPr="009979BF">
        <w:rPr>
          <w:color w:val="auto"/>
          <w:sz w:val="20"/>
          <w:szCs w:val="20"/>
        </w:rPr>
        <w:t xml:space="preserve"> loss to follow-up after baseline</w:t>
      </w:r>
      <w:r w:rsidR="00AD2B89" w:rsidRPr="009979BF">
        <w:rPr>
          <w:color w:val="auto"/>
          <w:sz w:val="20"/>
          <w:szCs w:val="20"/>
        </w:rPr>
        <w:t>,</w:t>
      </w:r>
      <w:r w:rsidRPr="009979BF">
        <w:rPr>
          <w:color w:val="auto"/>
          <w:sz w:val="20"/>
          <w:szCs w:val="20"/>
        </w:rPr>
        <w:t xml:space="preserve"> which may have biased our results.</w:t>
      </w:r>
    </w:p>
    <w:p w14:paraId="5B8710C4" w14:textId="77777777" w:rsidR="00A67E90" w:rsidRPr="009979BF" w:rsidRDefault="00A67E90">
      <w:pPr>
        <w:spacing w:line="360" w:lineRule="auto"/>
        <w:jc w:val="both"/>
        <w:rPr>
          <w:b/>
          <w:color w:val="auto"/>
          <w:sz w:val="20"/>
          <w:szCs w:val="20"/>
        </w:rPr>
      </w:pPr>
    </w:p>
    <w:p w14:paraId="679B2177" w14:textId="77777777" w:rsidR="00D471C5" w:rsidRPr="009979BF" w:rsidRDefault="003F7481">
      <w:pPr>
        <w:spacing w:line="360" w:lineRule="auto"/>
        <w:jc w:val="both"/>
        <w:rPr>
          <w:b/>
          <w:color w:val="auto"/>
          <w:sz w:val="20"/>
          <w:szCs w:val="20"/>
        </w:rPr>
      </w:pPr>
      <w:r w:rsidRPr="009979BF">
        <w:rPr>
          <w:b/>
          <w:color w:val="auto"/>
          <w:sz w:val="20"/>
          <w:szCs w:val="20"/>
        </w:rPr>
        <w:t xml:space="preserve">INTRODUCTION </w:t>
      </w:r>
    </w:p>
    <w:p w14:paraId="455FD282" w14:textId="77777777" w:rsidR="009E08A3" w:rsidRPr="009979BF" w:rsidRDefault="00F0177D">
      <w:pPr>
        <w:spacing w:line="360" w:lineRule="auto"/>
        <w:rPr>
          <w:color w:val="auto"/>
          <w:sz w:val="20"/>
          <w:szCs w:val="20"/>
        </w:rPr>
      </w:pPr>
      <w:r w:rsidRPr="009979BF">
        <w:rPr>
          <w:color w:val="auto"/>
          <w:sz w:val="20"/>
          <w:szCs w:val="20"/>
        </w:rPr>
        <w:t>Non-specific Genital Infection (</w:t>
      </w:r>
      <w:r w:rsidR="00EB3777" w:rsidRPr="009979BF">
        <w:rPr>
          <w:color w:val="auto"/>
          <w:sz w:val="20"/>
          <w:szCs w:val="20"/>
        </w:rPr>
        <w:t>NSGI</w:t>
      </w:r>
      <w:r w:rsidRPr="009979BF">
        <w:rPr>
          <w:color w:val="auto"/>
          <w:sz w:val="20"/>
          <w:szCs w:val="20"/>
        </w:rPr>
        <w:t>)</w:t>
      </w:r>
      <w:r w:rsidR="00EB3777" w:rsidRPr="009979BF">
        <w:rPr>
          <w:color w:val="auto"/>
          <w:sz w:val="20"/>
          <w:szCs w:val="20"/>
        </w:rPr>
        <w:t xml:space="preserve"> </w:t>
      </w:r>
      <w:r w:rsidR="007D3CAF" w:rsidRPr="009979BF">
        <w:rPr>
          <w:color w:val="auto"/>
          <w:sz w:val="20"/>
          <w:szCs w:val="20"/>
        </w:rPr>
        <w:t>or,</w:t>
      </w:r>
      <w:r w:rsidR="00EB3777" w:rsidRPr="009979BF">
        <w:rPr>
          <w:color w:val="auto"/>
          <w:sz w:val="20"/>
          <w:szCs w:val="20"/>
        </w:rPr>
        <w:t xml:space="preserve"> non-</w:t>
      </w:r>
      <w:r w:rsidR="00EB3777" w:rsidRPr="009979BF">
        <w:rPr>
          <w:i/>
          <w:color w:val="auto"/>
          <w:sz w:val="20"/>
          <w:szCs w:val="20"/>
        </w:rPr>
        <w:t>Chlamydia trachomatis</w:t>
      </w:r>
      <w:r w:rsidR="00EB3777" w:rsidRPr="009979BF">
        <w:rPr>
          <w:color w:val="auto"/>
          <w:sz w:val="20"/>
          <w:szCs w:val="20"/>
        </w:rPr>
        <w:t xml:space="preserve"> (CT), non-</w:t>
      </w:r>
      <w:r w:rsidR="00EB3777" w:rsidRPr="009979BF">
        <w:rPr>
          <w:i/>
          <w:color w:val="auto"/>
          <w:sz w:val="20"/>
          <w:szCs w:val="20"/>
        </w:rPr>
        <w:t>Neisseria gonorrhoeae</w:t>
      </w:r>
      <w:r w:rsidR="00EB3777" w:rsidRPr="009979BF">
        <w:rPr>
          <w:color w:val="auto"/>
          <w:sz w:val="20"/>
          <w:szCs w:val="20"/>
        </w:rPr>
        <w:t xml:space="preserve"> (NG) associated urethritis</w:t>
      </w:r>
      <w:r w:rsidR="00AA3086" w:rsidRPr="009979BF">
        <w:rPr>
          <w:color w:val="auto"/>
          <w:sz w:val="20"/>
          <w:szCs w:val="20"/>
        </w:rPr>
        <w:t xml:space="preserve"> (NGU)</w:t>
      </w:r>
      <w:r w:rsidR="00EB3777" w:rsidRPr="009979BF">
        <w:rPr>
          <w:color w:val="auto"/>
          <w:sz w:val="20"/>
          <w:szCs w:val="20"/>
        </w:rPr>
        <w:t xml:space="preserve">, is the third most frequently diagnosed condition in heterosexual men attending </w:t>
      </w:r>
      <w:r w:rsidR="00EA5B28" w:rsidRPr="009979BF">
        <w:rPr>
          <w:color w:val="auto"/>
          <w:sz w:val="20"/>
          <w:szCs w:val="20"/>
        </w:rPr>
        <w:t>sexual health clinics (</w:t>
      </w:r>
      <w:r w:rsidR="00EB3777" w:rsidRPr="009979BF">
        <w:rPr>
          <w:color w:val="auto"/>
          <w:sz w:val="20"/>
          <w:szCs w:val="20"/>
        </w:rPr>
        <w:t>SHCs</w:t>
      </w:r>
      <w:r w:rsidR="00EA5B28" w:rsidRPr="009979BF">
        <w:rPr>
          <w:color w:val="auto"/>
          <w:sz w:val="20"/>
          <w:szCs w:val="20"/>
        </w:rPr>
        <w:t>)</w:t>
      </w:r>
      <w:r w:rsidR="00A2137E" w:rsidRPr="009979BF">
        <w:rPr>
          <w:color w:val="auto"/>
          <w:sz w:val="20"/>
          <w:szCs w:val="20"/>
        </w:rPr>
        <w:t xml:space="preserve"> in the United Kingdom (UK)</w:t>
      </w:r>
      <w:r w:rsidRPr="009979BF">
        <w:rPr>
          <w:color w:val="auto"/>
          <w:sz w:val="20"/>
          <w:szCs w:val="20"/>
        </w:rPr>
        <w:t>,</w:t>
      </w:r>
      <w:r w:rsidR="00EB3777" w:rsidRPr="009979BF">
        <w:rPr>
          <w:color w:val="auto"/>
          <w:sz w:val="20"/>
          <w:szCs w:val="20"/>
        </w:rPr>
        <w:t xml:space="preserve"> with 30</w:t>
      </w:r>
      <w:r w:rsidR="001C1285" w:rsidRPr="009979BF">
        <w:rPr>
          <w:color w:val="auto"/>
          <w:sz w:val="20"/>
          <w:szCs w:val="20"/>
        </w:rPr>
        <w:t>,</w:t>
      </w:r>
      <w:r w:rsidR="00EB3777" w:rsidRPr="009979BF">
        <w:rPr>
          <w:color w:val="auto"/>
          <w:sz w:val="20"/>
          <w:szCs w:val="20"/>
        </w:rPr>
        <w:t>381 cases/year compared to CT (42,483/year) and first presentation of genital warts (32,656/year)</w:t>
      </w:r>
      <w:r w:rsidR="008E4571" w:rsidRPr="009979BF">
        <w:rPr>
          <w:color w:val="auto"/>
          <w:sz w:val="20"/>
          <w:szCs w:val="20"/>
        </w:rPr>
        <w:t xml:space="preserve"> </w:t>
      </w:r>
      <w:r w:rsidR="00B907B3" w:rsidRPr="009979BF">
        <w:rPr>
          <w:color w:val="auto"/>
          <w:sz w:val="20"/>
          <w:szCs w:val="20"/>
        </w:rPr>
        <w:fldChar w:fldCharType="begin" w:fldLock="1"/>
      </w:r>
      <w:r w:rsidR="00BA2669" w:rsidRPr="009979BF">
        <w:rPr>
          <w:color w:val="auto"/>
          <w:sz w:val="20"/>
          <w:szCs w:val="20"/>
        </w:rPr>
        <w:instrText>ADDIN CSL_CITATION { "citationItems" : [ { "id" : "ITEM-1", "itemData" : { "URL" : "https://www.gov.uk/government/statistics/sexually-transmitted-infections-stis-annual-data-tables", "accessed" : { "date-parts" : [ [ "2016", "3", "29" ] ] }, "id" : "ITEM-1", "issued" : { "date-parts" : [ [ "0" ] ] }, "title" : "Table 4: All STI diagnoses &amp; services by gender &amp; sexual risk, 2010 - 2014. Public Health England", "type" : "webpage" }, "uris" : [ "http://www.mendeley.com/documents/?uuid=23daaabe-7f49-4208-b4fb-5cabbece70b1" ] } ], "mendeley" : { "formattedCitation" : "[1]", "plainTextFormattedCitation" : "[1]", "previouslyFormattedCitation" : "[1]" }, "properties" : { "noteIndex" : 0 }, "schema" : "https://github.com/citation-style-language/schema/raw/master/csl-citation.json" }</w:instrText>
      </w:r>
      <w:r w:rsidR="00B907B3" w:rsidRPr="009979BF">
        <w:rPr>
          <w:color w:val="auto"/>
          <w:sz w:val="20"/>
          <w:szCs w:val="20"/>
        </w:rPr>
        <w:fldChar w:fldCharType="separate"/>
      </w:r>
      <w:r w:rsidR="00975228" w:rsidRPr="009979BF">
        <w:rPr>
          <w:noProof/>
          <w:color w:val="auto"/>
          <w:sz w:val="20"/>
          <w:szCs w:val="20"/>
        </w:rPr>
        <w:t>[1]</w:t>
      </w:r>
      <w:r w:rsidR="00B907B3" w:rsidRPr="009979BF">
        <w:rPr>
          <w:color w:val="auto"/>
          <w:sz w:val="20"/>
          <w:szCs w:val="20"/>
        </w:rPr>
        <w:fldChar w:fldCharType="end"/>
      </w:r>
      <w:r w:rsidR="00EB3777" w:rsidRPr="009979BF">
        <w:rPr>
          <w:color w:val="auto"/>
          <w:sz w:val="20"/>
          <w:szCs w:val="20"/>
        </w:rPr>
        <w:t xml:space="preserve">. </w:t>
      </w:r>
      <w:r w:rsidR="00BE43DD" w:rsidRPr="009979BF">
        <w:rPr>
          <w:color w:val="auto"/>
          <w:sz w:val="20"/>
          <w:szCs w:val="20"/>
        </w:rPr>
        <w:t xml:space="preserve">NSGI is a diagnosis of exclusion; men with urethral symptoms are screened with urethral microscopy in </w:t>
      </w:r>
      <w:r w:rsidR="000231CD" w:rsidRPr="009979BF">
        <w:rPr>
          <w:color w:val="auto"/>
          <w:sz w:val="20"/>
          <w:szCs w:val="20"/>
        </w:rPr>
        <w:t>SHCs</w:t>
      </w:r>
      <w:r w:rsidR="00B62341" w:rsidRPr="009979BF">
        <w:rPr>
          <w:color w:val="auto"/>
          <w:sz w:val="20"/>
          <w:szCs w:val="20"/>
        </w:rPr>
        <w:t xml:space="preserve">, </w:t>
      </w:r>
      <w:r w:rsidR="001F0EF3" w:rsidRPr="009979BF">
        <w:rPr>
          <w:color w:val="auto"/>
          <w:sz w:val="20"/>
          <w:szCs w:val="20"/>
        </w:rPr>
        <w:t xml:space="preserve">and </w:t>
      </w:r>
      <w:r w:rsidR="00B62341" w:rsidRPr="009979BF">
        <w:rPr>
          <w:color w:val="auto"/>
          <w:sz w:val="20"/>
          <w:szCs w:val="20"/>
        </w:rPr>
        <w:t>if</w:t>
      </w:r>
      <w:r w:rsidR="00E0479C" w:rsidRPr="009979BF">
        <w:rPr>
          <w:color w:val="auto"/>
          <w:sz w:val="20"/>
          <w:szCs w:val="20"/>
        </w:rPr>
        <w:t xml:space="preserve"> </w:t>
      </w:r>
      <w:r w:rsidR="00B62341" w:rsidRPr="009979BF">
        <w:rPr>
          <w:color w:val="auto"/>
          <w:sz w:val="20"/>
          <w:szCs w:val="20"/>
        </w:rPr>
        <w:t xml:space="preserve">this </w:t>
      </w:r>
      <w:r w:rsidR="00AA3086" w:rsidRPr="009979BF">
        <w:rPr>
          <w:color w:val="auto"/>
          <w:sz w:val="20"/>
          <w:szCs w:val="20"/>
        </w:rPr>
        <w:t>demonstrates</w:t>
      </w:r>
      <w:r w:rsidR="00B62341" w:rsidRPr="009979BF">
        <w:rPr>
          <w:color w:val="auto"/>
          <w:sz w:val="20"/>
          <w:szCs w:val="20"/>
        </w:rPr>
        <w:t xml:space="preserve"> urethritis with no gonococci</w:t>
      </w:r>
      <w:r w:rsidR="005F1D23" w:rsidRPr="009979BF">
        <w:rPr>
          <w:color w:val="auto"/>
          <w:sz w:val="20"/>
          <w:szCs w:val="20"/>
        </w:rPr>
        <w:t>,</w:t>
      </w:r>
      <w:r w:rsidR="00B62341" w:rsidRPr="009979BF">
        <w:rPr>
          <w:color w:val="auto"/>
          <w:sz w:val="20"/>
          <w:szCs w:val="20"/>
        </w:rPr>
        <w:t xml:space="preserve"> a provisional diagnosis of NGU is made</w:t>
      </w:r>
      <w:r w:rsidR="00443F4C" w:rsidRPr="009979BF">
        <w:rPr>
          <w:color w:val="auto"/>
          <w:sz w:val="20"/>
          <w:szCs w:val="20"/>
        </w:rPr>
        <w:t xml:space="preserve"> </w:t>
      </w:r>
      <w:r w:rsidR="00B907B3" w:rsidRPr="009979BF">
        <w:rPr>
          <w:color w:val="auto"/>
          <w:sz w:val="20"/>
          <w:szCs w:val="20"/>
        </w:rPr>
        <w:fldChar w:fldCharType="begin" w:fldLock="1"/>
      </w:r>
      <w:r w:rsidR="00BA2669" w:rsidRPr="009979BF">
        <w:rPr>
          <w:color w:val="auto"/>
          <w:sz w:val="20"/>
          <w:szCs w:val="20"/>
        </w:rPr>
        <w:instrText>ADDIN CSL_CITATION { "citationItems" : [ { "id" : "ITEM-1", "itemData" : { "DOI" : "10.1177/0956462415586675", "ISSN" : "1758-1052", "PMID" : "26002319", "abstract" : "We present the updated British Association for Sexual Health and HIV guideline for the management of non-gonococcal urethritis in men. This document includes a review of the current literature on its aetiology, diagnosis and management. In particular it highlights the emerging evidence that azithromycin 1\u2009g may result in the development of antimicrobial resistance in Mycoplasma genitalium and that neither azithromycin 1\u2009g nor doxycycline 100\u2009mg twice daily for seven days achieves a cure rate of &gt;90% for this micro-organism. Evidence-based diagnostic and management strategies for men presenting with symptoms suggestive of urethritis, those confirmed to have non-gonococcal urethritis and those with persistent symptoms following first-line treatment are detailed.", "author" : [ { "dropping-particle" : "", "family" : "Horner", "given" : "P", "non-dropping-particle" : "", "parse-names" : false, "suffix" : "" }, { "dropping-particle" : "", "family" : "Blee", "given" : "K", "non-dropping-particle" : "", "parse-names" : false, "suffix" : "" }, { "dropping-particle" : "", "family" : "O'Mahony", "given" : "C", "non-dropping-particle" : "", "parse-names" : false, "suffix" : "" }, { "dropping-particle" : "", "family" : "Muir", "given" : "P", "non-dropping-particle" : "", "parse-names" : false, "suffix" : "" }, { "dropping-particle" : "", "family" : "Evans", "given" : "C", "non-dropping-particle" : "", "parse-names" : false, "suffix" : "" }, { "dropping-particle" : "", "family" : "Radcliffe", "given" : "K", "non-dropping-particle" : "", "parse-names" : false, "suffix" : "" }, { "dropping-particle" : "", "family" : "Clinical Effectiveness Group of the British Association for Sexual Health and HIV", "given" : "", "non-dropping-particle" : "", "parse-names" : false, "suffix" : "" } ], "container-title" : "International journal of STD &amp; AIDS", "id" : "ITEM-1", "issue" : "2", "issued" : { "date-parts" : [ [ "2016", "2" ] ] }, "page" : "85-96", "title" : "2015 UK National Guideline on the management of non-gonococcal urethritis.", "type" : "article-journal", "volume" : "27" }, "uris" : [ "http://www.mendeley.com/documents/?uuid=b94bce1b-2cd1-3857-b946-56bb8a308c13" ] } ], "mendeley" : { "formattedCitation" : "[2]", "plainTextFormattedCitation" : "[2]", "previouslyFormattedCitation" : "[2]" }, "properties" : { "noteIndex" : 0 }, "schema" : "https://github.com/citation-style-language/schema/raw/master/csl-citation.json" }</w:instrText>
      </w:r>
      <w:r w:rsidR="00B907B3" w:rsidRPr="009979BF">
        <w:rPr>
          <w:color w:val="auto"/>
          <w:sz w:val="20"/>
          <w:szCs w:val="20"/>
        </w:rPr>
        <w:fldChar w:fldCharType="separate"/>
      </w:r>
      <w:r w:rsidR="00975228" w:rsidRPr="009979BF">
        <w:rPr>
          <w:noProof/>
          <w:color w:val="auto"/>
          <w:sz w:val="20"/>
          <w:szCs w:val="20"/>
        </w:rPr>
        <w:t>[2]</w:t>
      </w:r>
      <w:r w:rsidR="00B907B3" w:rsidRPr="009979BF">
        <w:rPr>
          <w:color w:val="auto"/>
          <w:sz w:val="20"/>
          <w:szCs w:val="20"/>
        </w:rPr>
        <w:fldChar w:fldCharType="end"/>
      </w:r>
      <w:r w:rsidR="00B62341" w:rsidRPr="009979BF">
        <w:rPr>
          <w:color w:val="auto"/>
          <w:sz w:val="20"/>
          <w:szCs w:val="20"/>
        </w:rPr>
        <w:t xml:space="preserve">. </w:t>
      </w:r>
      <w:r w:rsidR="001F0EF3" w:rsidRPr="009979BF">
        <w:rPr>
          <w:color w:val="auto"/>
          <w:sz w:val="20"/>
          <w:szCs w:val="20"/>
        </w:rPr>
        <w:t>If u</w:t>
      </w:r>
      <w:r w:rsidR="00B62341" w:rsidRPr="009979BF">
        <w:rPr>
          <w:color w:val="auto"/>
          <w:sz w:val="20"/>
          <w:szCs w:val="20"/>
        </w:rPr>
        <w:t xml:space="preserve">rinary </w:t>
      </w:r>
      <w:r w:rsidR="00B86945" w:rsidRPr="009979BF">
        <w:rPr>
          <w:color w:val="auto"/>
          <w:sz w:val="20"/>
          <w:szCs w:val="20"/>
        </w:rPr>
        <w:t>Nucleic Acid Amplification T</w:t>
      </w:r>
      <w:r w:rsidR="00B62341" w:rsidRPr="009979BF">
        <w:rPr>
          <w:color w:val="auto"/>
          <w:sz w:val="20"/>
          <w:szCs w:val="20"/>
        </w:rPr>
        <w:t xml:space="preserve">ests </w:t>
      </w:r>
      <w:r w:rsidR="003A00B2" w:rsidRPr="009979BF">
        <w:rPr>
          <w:color w:val="auto"/>
          <w:sz w:val="20"/>
          <w:szCs w:val="20"/>
        </w:rPr>
        <w:t>(NAAT</w:t>
      </w:r>
      <w:r w:rsidR="00884E67" w:rsidRPr="009979BF">
        <w:rPr>
          <w:color w:val="auto"/>
          <w:sz w:val="20"/>
          <w:szCs w:val="20"/>
        </w:rPr>
        <w:t>s</w:t>
      </w:r>
      <w:r w:rsidR="003A00B2" w:rsidRPr="009979BF">
        <w:rPr>
          <w:color w:val="auto"/>
          <w:sz w:val="20"/>
          <w:szCs w:val="20"/>
        </w:rPr>
        <w:t xml:space="preserve">) </w:t>
      </w:r>
      <w:r w:rsidR="00B62341" w:rsidRPr="009979BF">
        <w:rPr>
          <w:color w:val="auto"/>
          <w:sz w:val="20"/>
          <w:szCs w:val="20"/>
        </w:rPr>
        <w:t>sent for NG and CT</w:t>
      </w:r>
      <w:r w:rsidR="001F0EF3" w:rsidRPr="009979BF">
        <w:rPr>
          <w:color w:val="auto"/>
          <w:sz w:val="20"/>
          <w:szCs w:val="20"/>
        </w:rPr>
        <w:t xml:space="preserve"> </w:t>
      </w:r>
      <w:r w:rsidR="00B62341" w:rsidRPr="009979BF">
        <w:rPr>
          <w:color w:val="auto"/>
          <w:sz w:val="20"/>
          <w:szCs w:val="20"/>
        </w:rPr>
        <w:t xml:space="preserve">are both </w:t>
      </w:r>
      <w:r w:rsidR="005F1D23" w:rsidRPr="009979BF">
        <w:rPr>
          <w:color w:val="auto"/>
          <w:sz w:val="20"/>
          <w:szCs w:val="20"/>
        </w:rPr>
        <w:t>negative, the diagnosis</w:t>
      </w:r>
      <w:r w:rsidR="00AA3086" w:rsidRPr="009979BF">
        <w:rPr>
          <w:color w:val="auto"/>
          <w:sz w:val="20"/>
          <w:szCs w:val="20"/>
        </w:rPr>
        <w:t xml:space="preserve"> is recorded as NSGI.</w:t>
      </w:r>
      <w:r w:rsidR="009E08A3" w:rsidRPr="009979BF">
        <w:rPr>
          <w:color w:val="auto"/>
          <w:sz w:val="20"/>
          <w:szCs w:val="20"/>
        </w:rPr>
        <w:t xml:space="preserve"> </w:t>
      </w:r>
    </w:p>
    <w:p w14:paraId="081B9DDF" w14:textId="77777777" w:rsidR="00C53861" w:rsidRPr="009979BF" w:rsidRDefault="00C53861">
      <w:pPr>
        <w:spacing w:line="360" w:lineRule="auto"/>
        <w:rPr>
          <w:color w:val="auto"/>
          <w:sz w:val="20"/>
          <w:szCs w:val="20"/>
        </w:rPr>
      </w:pPr>
    </w:p>
    <w:p w14:paraId="268422EB" w14:textId="77777777" w:rsidR="0074120E" w:rsidRPr="009979BF" w:rsidRDefault="00AA3086">
      <w:pPr>
        <w:spacing w:line="360" w:lineRule="auto"/>
        <w:jc w:val="both"/>
        <w:rPr>
          <w:color w:val="auto"/>
          <w:sz w:val="20"/>
          <w:szCs w:val="20"/>
        </w:rPr>
      </w:pPr>
      <w:r w:rsidRPr="009979BF">
        <w:rPr>
          <w:color w:val="auto"/>
          <w:sz w:val="20"/>
          <w:szCs w:val="20"/>
        </w:rPr>
        <w:t xml:space="preserve">Although a common condition, </w:t>
      </w:r>
      <w:r w:rsidR="000231CD" w:rsidRPr="009979BF">
        <w:rPr>
          <w:color w:val="auto"/>
          <w:sz w:val="20"/>
          <w:szCs w:val="20"/>
        </w:rPr>
        <w:t>NSGI</w:t>
      </w:r>
      <w:r w:rsidR="009D00A9" w:rsidRPr="009979BF">
        <w:rPr>
          <w:color w:val="auto"/>
          <w:sz w:val="20"/>
          <w:szCs w:val="20"/>
        </w:rPr>
        <w:t xml:space="preserve"> remains</w:t>
      </w:r>
      <w:r w:rsidR="00E0479C" w:rsidRPr="009979BF">
        <w:rPr>
          <w:color w:val="auto"/>
          <w:sz w:val="20"/>
          <w:szCs w:val="20"/>
        </w:rPr>
        <w:t xml:space="preserve"> </w:t>
      </w:r>
      <w:r w:rsidR="00D03C8F" w:rsidRPr="009979BF">
        <w:rPr>
          <w:color w:val="auto"/>
          <w:sz w:val="20"/>
          <w:szCs w:val="20"/>
        </w:rPr>
        <w:t>poorly understood</w:t>
      </w:r>
      <w:r w:rsidR="00B62341" w:rsidRPr="009979BF">
        <w:rPr>
          <w:color w:val="auto"/>
          <w:sz w:val="20"/>
          <w:szCs w:val="20"/>
        </w:rPr>
        <w:t>. NSGI</w:t>
      </w:r>
      <w:r w:rsidR="001C1285" w:rsidRPr="009979BF">
        <w:rPr>
          <w:color w:val="auto"/>
          <w:sz w:val="20"/>
          <w:szCs w:val="20"/>
        </w:rPr>
        <w:t xml:space="preserve"> </w:t>
      </w:r>
      <w:r w:rsidR="007C1A89" w:rsidRPr="009979BF">
        <w:rPr>
          <w:color w:val="auto"/>
          <w:sz w:val="20"/>
          <w:szCs w:val="20"/>
        </w:rPr>
        <w:t xml:space="preserve">can be caused by a variety of </w:t>
      </w:r>
      <w:r w:rsidR="00E0479C" w:rsidRPr="009979BF">
        <w:rPr>
          <w:color w:val="auto"/>
          <w:sz w:val="20"/>
          <w:szCs w:val="20"/>
        </w:rPr>
        <w:t xml:space="preserve">sexually transmitted infections </w:t>
      </w:r>
      <w:r w:rsidR="008E4571" w:rsidRPr="009979BF">
        <w:rPr>
          <w:color w:val="auto"/>
          <w:sz w:val="20"/>
          <w:szCs w:val="20"/>
        </w:rPr>
        <w:t>(</w:t>
      </w:r>
      <w:r w:rsidR="000C030D" w:rsidRPr="009979BF">
        <w:rPr>
          <w:color w:val="auto"/>
          <w:sz w:val="20"/>
          <w:szCs w:val="20"/>
        </w:rPr>
        <w:t>STIs</w:t>
      </w:r>
      <w:r w:rsidR="008E4571" w:rsidRPr="009979BF">
        <w:rPr>
          <w:color w:val="auto"/>
          <w:sz w:val="20"/>
          <w:szCs w:val="20"/>
        </w:rPr>
        <w:t>)</w:t>
      </w:r>
      <w:r w:rsidR="000C030D" w:rsidRPr="009979BF">
        <w:rPr>
          <w:color w:val="auto"/>
          <w:sz w:val="20"/>
          <w:szCs w:val="20"/>
        </w:rPr>
        <w:t xml:space="preserve">, </w:t>
      </w:r>
      <w:r w:rsidR="007C1A89" w:rsidRPr="009979BF">
        <w:rPr>
          <w:color w:val="auto"/>
          <w:sz w:val="20"/>
          <w:szCs w:val="20"/>
        </w:rPr>
        <w:t xml:space="preserve">including </w:t>
      </w:r>
      <w:r w:rsidR="007C1A89" w:rsidRPr="009979BF">
        <w:rPr>
          <w:i/>
          <w:color w:val="auto"/>
          <w:sz w:val="20"/>
          <w:szCs w:val="20"/>
        </w:rPr>
        <w:t>Mycoplasma genitalium</w:t>
      </w:r>
      <w:r w:rsidR="007C1A89" w:rsidRPr="009979BF">
        <w:rPr>
          <w:color w:val="auto"/>
          <w:sz w:val="20"/>
          <w:szCs w:val="20"/>
        </w:rPr>
        <w:t xml:space="preserve"> (MG) and </w:t>
      </w:r>
      <w:r w:rsidR="007C1A89" w:rsidRPr="009979BF">
        <w:rPr>
          <w:i/>
          <w:color w:val="auto"/>
          <w:sz w:val="20"/>
          <w:szCs w:val="20"/>
        </w:rPr>
        <w:t xml:space="preserve">Trichomonas vaginalis </w:t>
      </w:r>
      <w:r w:rsidR="007C1A89" w:rsidRPr="009979BF">
        <w:rPr>
          <w:color w:val="auto"/>
          <w:sz w:val="20"/>
          <w:szCs w:val="20"/>
        </w:rPr>
        <w:t xml:space="preserve">(TV), </w:t>
      </w:r>
      <w:r w:rsidR="00D03C8F" w:rsidRPr="009979BF">
        <w:rPr>
          <w:color w:val="auto"/>
          <w:sz w:val="20"/>
          <w:szCs w:val="20"/>
        </w:rPr>
        <w:t xml:space="preserve">which </w:t>
      </w:r>
      <w:r w:rsidR="007C1A89" w:rsidRPr="009979BF">
        <w:rPr>
          <w:color w:val="auto"/>
          <w:sz w:val="20"/>
          <w:szCs w:val="20"/>
        </w:rPr>
        <w:t>are not routinely tested for</w:t>
      </w:r>
      <w:r w:rsidR="005F1D23" w:rsidRPr="009979BF">
        <w:rPr>
          <w:color w:val="auto"/>
          <w:sz w:val="20"/>
          <w:szCs w:val="20"/>
        </w:rPr>
        <w:t xml:space="preserve"> in SHCs</w:t>
      </w:r>
      <w:r w:rsidR="001C1285" w:rsidRPr="009979BF">
        <w:rPr>
          <w:color w:val="auto"/>
          <w:sz w:val="20"/>
          <w:szCs w:val="20"/>
        </w:rPr>
        <w:t>,</w:t>
      </w:r>
      <w:r w:rsidR="00D03C8F" w:rsidRPr="009979BF">
        <w:rPr>
          <w:color w:val="auto"/>
          <w:sz w:val="20"/>
          <w:szCs w:val="20"/>
        </w:rPr>
        <w:t xml:space="preserve"> </w:t>
      </w:r>
      <w:r w:rsidR="0081296A" w:rsidRPr="009979BF">
        <w:rPr>
          <w:color w:val="auto"/>
          <w:sz w:val="20"/>
          <w:szCs w:val="20"/>
        </w:rPr>
        <w:t xml:space="preserve">and </w:t>
      </w:r>
      <w:r w:rsidR="00D84E72" w:rsidRPr="009979BF">
        <w:rPr>
          <w:color w:val="auto"/>
          <w:sz w:val="20"/>
          <w:szCs w:val="20"/>
        </w:rPr>
        <w:t xml:space="preserve">many cases </w:t>
      </w:r>
      <w:r w:rsidR="00B62341" w:rsidRPr="009979BF">
        <w:rPr>
          <w:color w:val="auto"/>
          <w:sz w:val="20"/>
          <w:szCs w:val="20"/>
        </w:rPr>
        <w:t>ha</w:t>
      </w:r>
      <w:r w:rsidR="003A00B2" w:rsidRPr="009979BF">
        <w:rPr>
          <w:color w:val="auto"/>
          <w:sz w:val="20"/>
          <w:szCs w:val="20"/>
        </w:rPr>
        <w:t>ve</w:t>
      </w:r>
      <w:r w:rsidR="00B62341" w:rsidRPr="009979BF">
        <w:rPr>
          <w:color w:val="auto"/>
          <w:sz w:val="20"/>
          <w:szCs w:val="20"/>
        </w:rPr>
        <w:t xml:space="preserve"> </w:t>
      </w:r>
      <w:r w:rsidR="00D84E72" w:rsidRPr="009979BF">
        <w:rPr>
          <w:color w:val="auto"/>
          <w:sz w:val="20"/>
          <w:szCs w:val="20"/>
        </w:rPr>
        <w:t>an uncertain aetiology</w:t>
      </w:r>
      <w:r w:rsidR="00787939" w:rsidRPr="009979BF">
        <w:rPr>
          <w:color w:val="auto"/>
          <w:sz w:val="20"/>
          <w:szCs w:val="20"/>
        </w:rPr>
        <w:t xml:space="preserve"> </w:t>
      </w:r>
      <w:r w:rsidR="00B907B3" w:rsidRPr="009979BF">
        <w:rPr>
          <w:color w:val="auto"/>
          <w:sz w:val="20"/>
          <w:szCs w:val="20"/>
        </w:rPr>
        <w:fldChar w:fldCharType="begin" w:fldLock="1"/>
      </w:r>
      <w:r w:rsidR="00BA2669" w:rsidRPr="009979BF">
        <w:rPr>
          <w:color w:val="auto"/>
          <w:sz w:val="20"/>
          <w:szCs w:val="20"/>
        </w:rPr>
        <w:instrText>ADDIN CSL_CITATION { "citationItems" : [ { "id" : "ITEM-1", "itemData" : { "DOI" : "10.1177/0956462415586675", "ISSN" : "1758-1052", "PMID" : "26002319", "abstract" : "We present the updated British Association for Sexual Health and HIV guideline for the management of non-gonococcal urethritis in men. This document includes a review of the current literature on its aetiology, diagnosis and management. In particular it highlights the emerging evidence that azithromycin 1\u2009g may result in the development of antimicrobial resistance in Mycoplasma genitalium and that neither azithromycin 1\u2009g nor doxycycline 100\u2009mg twice daily for seven days achieves a cure rate of &gt;90% for this micro-organism. Evidence-based diagnostic and management strategies for men presenting with symptoms suggestive of urethritis, those confirmed to have non-gonococcal urethritis and those with persistent symptoms following first-line treatment are detailed.", "author" : [ { "dropping-particle" : "", "family" : "Horner", "given" : "P", "non-dropping-particle" : "", "parse-names" : false, "suffix" : "" }, { "dropping-particle" : "", "family" : "Blee", "given" : "K", "non-dropping-particle" : "", "parse-names" : false, "suffix" : "" }, { "dropping-particle" : "", "family" : "O'Mahony", "given" : "C", "non-dropping-particle" : "", "parse-names" : false, "suffix" : "" }, { "dropping-particle" : "", "family" : "Muir", "given" : "P", "non-dropping-particle" : "", "parse-names" : false, "suffix" : "" }, { "dropping-particle" : "", "family" : "Evans", "given" : "C", "non-dropping-particle" : "", "parse-names" : false, "suffix" : "" }, { "dropping-particle" : "", "family" : "Radcliffe", "given" : "K", "non-dropping-particle" : "", "parse-names" : false, "suffix" : "" }, { "dropping-particle" : "", "family" : "Clinical Effectiveness Group of the British Association for Sexual Health and HIV", "given" : "", "non-dropping-particle" : "", "parse-names" : false, "suffix" : "" } ], "container-title" : "International journal of STD &amp; AIDS", "id" : "ITEM-1", "issue" : "2", "issued" : { "date-parts" : [ [ "2016", "2" ] ] }, "page" : "85-96", "title" : "2015 UK National Guideline on the management of non-gonococcal urethritis.", "type" : "article-journal", "volume" : "27" }, "uris" : [ "http://www.mendeley.com/documents/?uuid=b94bce1b-2cd1-3857-b946-56bb8a308c13" ] } ], "mendeley" : { "formattedCitation" : "[2]", "plainTextFormattedCitation" : "[2]", "previouslyFormattedCitation" : "[2]" }, "properties" : { "noteIndex" : 0 }, "schema" : "https://github.com/citation-style-language/schema/raw/master/csl-citation.json" }</w:instrText>
      </w:r>
      <w:r w:rsidR="00B907B3" w:rsidRPr="009979BF">
        <w:rPr>
          <w:color w:val="auto"/>
          <w:sz w:val="20"/>
          <w:szCs w:val="20"/>
        </w:rPr>
        <w:fldChar w:fldCharType="separate"/>
      </w:r>
      <w:r w:rsidR="00975228" w:rsidRPr="009979BF">
        <w:rPr>
          <w:noProof/>
          <w:color w:val="auto"/>
          <w:sz w:val="20"/>
          <w:szCs w:val="20"/>
        </w:rPr>
        <w:t>[2]</w:t>
      </w:r>
      <w:r w:rsidR="00B907B3" w:rsidRPr="009979BF">
        <w:rPr>
          <w:color w:val="auto"/>
          <w:sz w:val="20"/>
          <w:szCs w:val="20"/>
        </w:rPr>
        <w:fldChar w:fldCharType="end"/>
      </w:r>
      <w:r w:rsidR="00C0195D" w:rsidRPr="009979BF">
        <w:rPr>
          <w:color w:val="auto"/>
          <w:sz w:val="20"/>
          <w:szCs w:val="20"/>
        </w:rPr>
        <w:t>.</w:t>
      </w:r>
      <w:r w:rsidR="00B62341" w:rsidRPr="009979BF">
        <w:rPr>
          <w:color w:val="auto"/>
          <w:sz w:val="20"/>
          <w:szCs w:val="20"/>
        </w:rPr>
        <w:t xml:space="preserve"> </w:t>
      </w:r>
      <w:r w:rsidR="000231CD" w:rsidRPr="009979BF">
        <w:rPr>
          <w:color w:val="auto"/>
          <w:sz w:val="20"/>
          <w:szCs w:val="20"/>
        </w:rPr>
        <w:t>M</w:t>
      </w:r>
      <w:r w:rsidR="000C030D" w:rsidRPr="009979BF">
        <w:rPr>
          <w:color w:val="auto"/>
          <w:sz w:val="20"/>
          <w:szCs w:val="20"/>
        </w:rPr>
        <w:t>icroscopy</w:t>
      </w:r>
      <w:r w:rsidR="00D84E72" w:rsidRPr="009979BF">
        <w:rPr>
          <w:color w:val="auto"/>
          <w:sz w:val="20"/>
          <w:szCs w:val="20"/>
        </w:rPr>
        <w:t xml:space="preserve">, on which the diagnosis rests, </w:t>
      </w:r>
      <w:r w:rsidR="00F307A2" w:rsidRPr="009979BF">
        <w:rPr>
          <w:color w:val="auto"/>
          <w:sz w:val="20"/>
          <w:szCs w:val="20"/>
        </w:rPr>
        <w:t>ha</w:t>
      </w:r>
      <w:r w:rsidR="00CB7F10" w:rsidRPr="009979BF">
        <w:rPr>
          <w:color w:val="auto"/>
          <w:sz w:val="20"/>
          <w:szCs w:val="20"/>
        </w:rPr>
        <w:t xml:space="preserve">s </w:t>
      </w:r>
      <w:r w:rsidR="00AD5497" w:rsidRPr="009979BF">
        <w:rPr>
          <w:color w:val="auto"/>
          <w:sz w:val="20"/>
          <w:szCs w:val="20"/>
        </w:rPr>
        <w:t>poor</w:t>
      </w:r>
      <w:r w:rsidR="00CB7F10" w:rsidRPr="009979BF">
        <w:rPr>
          <w:color w:val="auto"/>
          <w:sz w:val="20"/>
          <w:szCs w:val="20"/>
        </w:rPr>
        <w:t xml:space="preserve"> </w:t>
      </w:r>
      <w:r w:rsidR="00AD5497" w:rsidRPr="009979BF">
        <w:rPr>
          <w:color w:val="auto"/>
          <w:sz w:val="20"/>
          <w:szCs w:val="20"/>
        </w:rPr>
        <w:t>specific</w:t>
      </w:r>
      <w:r w:rsidR="00CB7F10" w:rsidRPr="009979BF">
        <w:rPr>
          <w:color w:val="auto"/>
          <w:sz w:val="20"/>
          <w:szCs w:val="20"/>
        </w:rPr>
        <w:t xml:space="preserve">ity </w:t>
      </w:r>
      <w:r w:rsidR="00AD5497" w:rsidRPr="009979BF">
        <w:rPr>
          <w:color w:val="auto"/>
          <w:sz w:val="20"/>
          <w:szCs w:val="20"/>
        </w:rPr>
        <w:t xml:space="preserve">for known causes of urethritis </w:t>
      </w:r>
      <w:r w:rsidR="00B907B3" w:rsidRPr="009979BF">
        <w:rPr>
          <w:color w:val="auto"/>
          <w:sz w:val="20"/>
          <w:szCs w:val="20"/>
        </w:rPr>
        <w:fldChar w:fldCharType="begin" w:fldLock="1"/>
      </w:r>
      <w:r w:rsidR="00BA2669" w:rsidRPr="009979BF">
        <w:rPr>
          <w:color w:val="auto"/>
          <w:sz w:val="20"/>
          <w:szCs w:val="20"/>
        </w:rPr>
        <w:instrText>ADDIN CSL_CITATION { "citationItems" : [ { "id" : "ITEM-1", "itemData" : { "DOI" : "10.1136/sextrans-2014-051761", "ISSN" : "1472-3263", "PMID" : "25614466", "abstract" : "OBJECTIVES Gram-stained urethral smear (GSUS), the standard point-of-care test for non-gonococcal urethritis (NGU) is operator dependent and poorly specific. The performance of rapid automated urine flow cytometry (AUFC) of first void urine (FVU) white cell counts (UWCC) for predicting Mycoplasma genitalium and Chlamydia trachomatis urethral infections was assessed and its application to asymptomatic infection was evaluated. METHODS Receiver operating characteristic curve analysis, determining FVU-UWCC threshold for predicting M. genitalium or C. trachomatis infection was performed on 208 'training' samples from symptomatic patients and subsequently validated using 228 additional FVUs obtained from prospective unselected patients. RESULTS An optimal diagnostic threshold of &gt;29\u2005UWC/\u00b5L gave sensitivities and specificities for either infection of 81.5% (95% CI 65.1% to 91.6%) and 85.8% (79.5% to 90.4%), respectively, compared with 86.8% (71.1% to 95%) and 64.7% (56.9% to 71.7%), respectively, for GSUS, using the training set samples. FVU-UWCC demonstrated sensitivities and specificities of 69.2% (95% CI 48.1% to 84.9%) and 92% (87.2% to 95.2%), respectively, when using validation samples. In asymptomatic patients where GSUS was not used, AUFC would have enabled more infections to be detected compared with clinical considerations only (71.4% vs 28.6%; p=0.03). The correlation between UWCC and bacterial load was stronger for M. genitalium compared with C. trachomatis (\u03c4=0.426, p\u22640.001 vs \u03c4=0.295, p=0.022, respectively). CONCLUSIONS AUFC offers improved specificity over microscopy for predicting C. trachomatis or M. genitalium infection. Universal AUFC may enable non-invasive diagnosis of asymptomatic NGU at the PoC. The degree of urethral inflammation exhibits a stronger association with pathogen load for M. genitalium compared with C. trachomatis.", "author" : [ { "dropping-particle" : "", "family" : "Pond", "given" : "Marcus J", "non-dropping-particle" : "", "parse-names" : false, "suffix" : "" }, { "dropping-particle" : "V", "family" : "Nori", "given" : "Achyuta", "non-dropping-particle" : "", "parse-names" : false, "suffix" : "" }, { "dropping-particle" : "", "family" : "Patel", "given" : "Sheel", "non-dropping-particle" : "", "parse-names" : false, "suffix" : "" }, { "dropping-particle" : "", "family" : "Laing", "given" : "Ken", "non-dropping-particle" : "", "parse-names" : false, "suffix" : "" }, { "dropping-particle" : "", "family" : "Ajayi", "given" : "Margarita", "non-dropping-particle" : "", "parse-names" : false, "suffix" : "" }, { "dropping-particle" : "", "family" : "Copas", "given" : "Andrew J", "non-dropping-particle" : "", "parse-names" : false, "suffix" : "" }, { "dropping-particle" : "", "family" : "Butcher", "given" : "Philip D", "non-dropping-particle" : "", "parse-names" : false, "suffix" : "" }, { "dropping-particle" : "", "family" : "Hay", "given" : "Phillip", "non-dropping-particle" : "", "parse-names" : false, "suffix" : "" }, { "dropping-particle" : "", "family" : "Sadiq", "given" : "Syed Tariq", "non-dropping-particle" : "", "parse-names" : false, "suffix" : "" } ], "container-title" : "Sexually transmitted infections", "id" : "ITEM-1", "issue" : "3", "issued" : { "date-parts" : [ [ "2015", "5" ] ] }, "page" : "165-70", "publisher" : "BMJ Group", "title" : "Performance evaluation of automated urine microscopy as a rapid, non-invasive approach for the diagnosis of non-gonococcal urethritis.", "type" : "article-journal", "volume" : "91" }, "uris" : [ "http://www.mendeley.com/documents/?uuid=650b5653-a759-3b1c-8bcd-113c40722a2c" ] } ], "mendeley" : { "formattedCitation" : "[3]", "plainTextFormattedCitation" : "[3]", "previouslyFormattedCitation" : "[3]" }, "properties" : { "noteIndex" : 0 }, "schema" : "https://github.com/citation-style-language/schema/raw/master/csl-citation.json" }</w:instrText>
      </w:r>
      <w:r w:rsidR="00B907B3" w:rsidRPr="009979BF">
        <w:rPr>
          <w:color w:val="auto"/>
          <w:sz w:val="20"/>
          <w:szCs w:val="20"/>
        </w:rPr>
        <w:fldChar w:fldCharType="separate"/>
      </w:r>
      <w:r w:rsidR="00975228" w:rsidRPr="009979BF">
        <w:rPr>
          <w:noProof/>
          <w:color w:val="auto"/>
          <w:sz w:val="20"/>
          <w:szCs w:val="20"/>
        </w:rPr>
        <w:t>[3]</w:t>
      </w:r>
      <w:r w:rsidR="00B907B3" w:rsidRPr="009979BF">
        <w:rPr>
          <w:color w:val="auto"/>
          <w:sz w:val="20"/>
          <w:szCs w:val="20"/>
        </w:rPr>
        <w:fldChar w:fldCharType="end"/>
      </w:r>
      <w:r w:rsidR="00D84E72" w:rsidRPr="009979BF">
        <w:rPr>
          <w:color w:val="auto"/>
          <w:sz w:val="20"/>
          <w:szCs w:val="20"/>
        </w:rPr>
        <w:t xml:space="preserve"> and </w:t>
      </w:r>
      <w:r w:rsidR="000C030D" w:rsidRPr="009979BF">
        <w:rPr>
          <w:color w:val="auto"/>
          <w:sz w:val="20"/>
          <w:szCs w:val="20"/>
        </w:rPr>
        <w:t xml:space="preserve">is subject to </w:t>
      </w:r>
      <w:r w:rsidR="00AD5497" w:rsidRPr="009979BF">
        <w:rPr>
          <w:color w:val="auto"/>
          <w:sz w:val="20"/>
          <w:szCs w:val="20"/>
        </w:rPr>
        <w:t>considerable observer variation</w:t>
      </w:r>
      <w:r w:rsidR="00CB7F10" w:rsidRPr="009979BF">
        <w:rPr>
          <w:color w:val="auto"/>
          <w:sz w:val="20"/>
          <w:szCs w:val="20"/>
        </w:rPr>
        <w:t xml:space="preserve"> </w:t>
      </w:r>
      <w:r w:rsidR="00B907B3" w:rsidRPr="009979BF">
        <w:rPr>
          <w:color w:val="auto"/>
          <w:sz w:val="20"/>
          <w:szCs w:val="20"/>
        </w:rPr>
        <w:fldChar w:fldCharType="begin" w:fldLock="1"/>
      </w:r>
      <w:r w:rsidR="00BA2669" w:rsidRPr="009979BF">
        <w:rPr>
          <w:color w:val="auto"/>
          <w:sz w:val="20"/>
          <w:szCs w:val="20"/>
        </w:rPr>
        <w:instrText>ADDIN CSL_CITATION { "citationItems" : [ { "id" : "ITEM-1", "itemData" : { "DOI" : "10.1136/sti.79.6.487", "ISSN" : "1368-4973", "PMID" : "14663127", "abstract" : "OBJECTIVES To determine the reliability of the diagnosis of non-gonococcal urethritis (NGU), and the variation between and within microscopists, from urethral smears at a large London genitourinary medicine clinic. METHODS A senior microscopist (SM) preselected 60 Gram stained urethral smear slides, 20 negative (&lt;5 polymorphs/hpf), 20 low grade NGU (5-20 p/hpf), and 20 high grade NGU (&gt;20 p/hpf). Ten experienced microscopists, blinded to these initial grades, examined all slides giving each a polymorph score. After relabelling and randomly changing their order, the slides were re-examined by the same microscopists. Finally, the SM determined whether the study had resulted in loss of cells from any of the slides. The SM's initial grading and the consensus among microscopists provide two gold standards for analysis. RESULTS Nine low grade and five high grade slides were removed from analysis because of loss of cells. By SM standard, considering microscopists' readings as simply non-NGU (&lt;5 p/hpf) or NGU (&gt;or=5 p/hpf), 97% from negative slides were correct (variation 93-100 across microscopists), 68% from low grade slides (45-95), and 94% from high grade slides (83-100). Consistency between repeat readings by the same microscopist was 96% for negatives, 75% for low grade and 89% for high grade slides. Results were similar by consensus standard. CONCLUSIONS There was considerable variation between and within microscopists in the diagnosis of NGU. Sensitivity was strongly related to grade of urethritis, with an appreciable proportion of low grade urethritis falsely diagnosed as negative. With increasing attendances for sexual health screening, a false positive rate of only 3% may lead to many false diagnoses.", "author" : [ { "dropping-particle" : "", "family" : "Smith", "given" : "R", "non-dropping-particle" : "", "parse-names" : false, "suffix" : "" }, { "dropping-particle" : "", "family" : "Copas", "given" : "A J", "non-dropping-particle" : "", "parse-names" : false, "suffix" : "" }, { "dropping-particle" : "", "family" : "Prince", "given" : "M", "non-dropping-particle" : "", "parse-names" : false, "suffix" : "" }, { "dropping-particle" : "", "family" : "George", "given" : "B", "non-dropping-particle" : "", "parse-names" : false, "suffix" : "" }, { "dropping-particle" : "", "family" : "Walker", "given" : "A S", "non-dropping-particle" : "", "parse-names" : false, "suffix" : "" }, { "dropping-particle" : "", "family" : "Sadiq", "given" : "S T", "non-dropping-particle" : "", "parse-names" : false, "suffix" : "" } ], "container-title" : "Sexually transmitted infections", "id" : "ITEM-1", "issue" : "6", "issued" : { "date-parts" : [ [ "2003", "12" ] ] }, "page" : "487-90", "publisher" : "BMJ Group", "title" : "Poor sensitivity and consistency of microscopy in the diagnosis of low grade non-gonococcal urethritis.", "type" : "article-journal", "volume" : "79" }, "uris" : [ "http://www.mendeley.com/documents/?uuid=cc947077-16a2-3cf3-b455-6227bbeb6e7b" ] } ], "mendeley" : { "formattedCitation" : "[4]", "plainTextFormattedCitation" : "[4]", "previouslyFormattedCitation" : "[4]" }, "properties" : { "noteIndex" : 0 }, "schema" : "https://github.com/citation-style-language/schema/raw/master/csl-citation.json" }</w:instrText>
      </w:r>
      <w:r w:rsidR="00B907B3" w:rsidRPr="009979BF">
        <w:rPr>
          <w:color w:val="auto"/>
          <w:sz w:val="20"/>
          <w:szCs w:val="20"/>
        </w:rPr>
        <w:fldChar w:fldCharType="separate"/>
      </w:r>
      <w:r w:rsidR="00975228" w:rsidRPr="009979BF">
        <w:rPr>
          <w:noProof/>
          <w:color w:val="auto"/>
          <w:sz w:val="20"/>
          <w:szCs w:val="20"/>
        </w:rPr>
        <w:t>[4]</w:t>
      </w:r>
      <w:r w:rsidR="00B907B3" w:rsidRPr="009979BF">
        <w:rPr>
          <w:color w:val="auto"/>
          <w:sz w:val="20"/>
          <w:szCs w:val="20"/>
        </w:rPr>
        <w:fldChar w:fldCharType="end"/>
      </w:r>
      <w:r w:rsidR="00AD5497" w:rsidRPr="009979BF">
        <w:rPr>
          <w:color w:val="auto"/>
          <w:sz w:val="20"/>
          <w:szCs w:val="20"/>
        </w:rPr>
        <w:t xml:space="preserve">. </w:t>
      </w:r>
      <w:r w:rsidR="00BE43DD" w:rsidRPr="009979BF">
        <w:rPr>
          <w:color w:val="auto"/>
          <w:sz w:val="20"/>
          <w:szCs w:val="20"/>
        </w:rPr>
        <w:t xml:space="preserve">National guidelines recommend that men diagnosed with NGU are informed they may have an STI, given </w:t>
      </w:r>
      <w:r w:rsidR="000231CD" w:rsidRPr="009979BF">
        <w:rPr>
          <w:color w:val="auto"/>
          <w:sz w:val="20"/>
          <w:szCs w:val="20"/>
        </w:rPr>
        <w:t xml:space="preserve">same day </w:t>
      </w:r>
      <w:r w:rsidR="00BE43DD" w:rsidRPr="009979BF">
        <w:rPr>
          <w:color w:val="auto"/>
          <w:sz w:val="20"/>
          <w:szCs w:val="20"/>
        </w:rPr>
        <w:t>empirical antibiotic</w:t>
      </w:r>
      <w:r w:rsidR="000231CD" w:rsidRPr="009979BF">
        <w:rPr>
          <w:color w:val="auto"/>
          <w:sz w:val="20"/>
          <w:szCs w:val="20"/>
        </w:rPr>
        <w:t>s</w:t>
      </w:r>
      <w:r w:rsidR="00BE43DD" w:rsidRPr="009979BF">
        <w:rPr>
          <w:color w:val="auto"/>
          <w:sz w:val="20"/>
          <w:szCs w:val="20"/>
        </w:rPr>
        <w:t xml:space="preserve">, advised their partners should attend for STI testing and empirical treatment, and to abstain from sex until treatment is completed </w:t>
      </w:r>
      <w:r w:rsidR="00B907B3" w:rsidRPr="009979BF">
        <w:rPr>
          <w:color w:val="auto"/>
          <w:sz w:val="20"/>
          <w:szCs w:val="20"/>
        </w:rPr>
        <w:fldChar w:fldCharType="begin" w:fldLock="1"/>
      </w:r>
      <w:r w:rsidR="00BA2669" w:rsidRPr="009979BF">
        <w:rPr>
          <w:color w:val="auto"/>
          <w:sz w:val="20"/>
          <w:szCs w:val="20"/>
        </w:rPr>
        <w:instrText>ADDIN CSL_CITATION { "citationItems" : [ { "id" : "ITEM-1", "itemData" : { "DOI" : "10.1177/0956462415586675", "ISSN" : "1758-1052", "PMID" : "26002319", "abstract" : "We present the updated British Association for Sexual Health and HIV guideline for the management of non-gonococcal urethritis in men. This document includes a review of the current literature on its aetiology, diagnosis and management. In particular it highlights the emerging evidence that azithromycin 1\u2009g may result in the development of antimicrobial resistance in Mycoplasma genitalium and that neither azithromycin 1\u2009g nor doxycycline 100\u2009mg twice daily for seven days achieves a cure rate of &gt;90% for this micro-organism. Evidence-based diagnostic and management strategies for men presenting with symptoms suggestive of urethritis, those confirmed to have non-gonococcal urethritis and those with persistent symptoms following first-line treatment are detailed.", "author" : [ { "dropping-particle" : "", "family" : "Horner", "given" : "P", "non-dropping-particle" : "", "parse-names" : false, "suffix" : "" }, { "dropping-particle" : "", "family" : "Blee", "given" : "K", "non-dropping-particle" : "", "parse-names" : false, "suffix" : "" }, { "dropping-particle" : "", "family" : "O'Mahony", "given" : "C", "non-dropping-particle" : "", "parse-names" : false, "suffix" : "" }, { "dropping-particle" : "", "family" : "Muir", "given" : "P", "non-dropping-particle" : "", "parse-names" : false, "suffix" : "" }, { "dropping-particle" : "", "family" : "Evans", "given" : "C", "non-dropping-particle" : "", "parse-names" : false, "suffix" : "" }, { "dropping-particle" : "", "family" : "Radcliffe", "given" : "K", "non-dropping-particle" : "", "parse-names" : false, "suffix" : "" }, { "dropping-particle" : "", "family" : "Clinical Effectiveness Group of the British Association for Sexual Health and HIV", "given" : "", "non-dropping-particle" : "", "parse-names" : false, "suffix" : "" } ], "container-title" : "International journal of STD &amp; AIDS", "id" : "ITEM-1", "issue" : "2", "issued" : { "date-parts" : [ [ "2016", "2" ] ] }, "page" : "85-96", "title" : "2015 UK National Guideline on the management of non-gonococcal urethritis.", "type" : "article-journal", "volume" : "27" }, "uris" : [ "http://www.mendeley.com/documents/?uuid=b94bce1b-2cd1-3857-b946-56bb8a308c13" ] } ], "mendeley" : { "formattedCitation" : "[2]", "plainTextFormattedCitation" : "[2]", "previouslyFormattedCitation" : "[2]" }, "properties" : { "noteIndex" : 0 }, "schema" : "https://github.com/citation-style-language/schema/raw/master/csl-citation.json" }</w:instrText>
      </w:r>
      <w:r w:rsidR="00B907B3" w:rsidRPr="009979BF">
        <w:rPr>
          <w:color w:val="auto"/>
          <w:sz w:val="20"/>
          <w:szCs w:val="20"/>
        </w:rPr>
        <w:fldChar w:fldCharType="separate"/>
      </w:r>
      <w:r w:rsidR="00975228" w:rsidRPr="009979BF">
        <w:rPr>
          <w:noProof/>
          <w:color w:val="auto"/>
          <w:sz w:val="20"/>
          <w:szCs w:val="20"/>
        </w:rPr>
        <w:t>[2]</w:t>
      </w:r>
      <w:r w:rsidR="00B907B3" w:rsidRPr="009979BF">
        <w:rPr>
          <w:color w:val="auto"/>
          <w:sz w:val="20"/>
          <w:szCs w:val="20"/>
        </w:rPr>
        <w:fldChar w:fldCharType="end"/>
      </w:r>
      <w:r w:rsidR="00BE43DD" w:rsidRPr="009979BF">
        <w:rPr>
          <w:color w:val="auto"/>
          <w:sz w:val="20"/>
          <w:szCs w:val="20"/>
        </w:rPr>
        <w:t xml:space="preserve">. Men </w:t>
      </w:r>
      <w:r w:rsidR="00EA466A" w:rsidRPr="009979BF">
        <w:rPr>
          <w:color w:val="auto"/>
          <w:sz w:val="20"/>
          <w:szCs w:val="20"/>
        </w:rPr>
        <w:t xml:space="preserve">usually </w:t>
      </w:r>
      <w:r w:rsidR="00BE43DD" w:rsidRPr="009979BF">
        <w:rPr>
          <w:color w:val="auto"/>
          <w:sz w:val="20"/>
          <w:szCs w:val="20"/>
        </w:rPr>
        <w:t xml:space="preserve">receive </w:t>
      </w:r>
      <w:r w:rsidR="000231CD" w:rsidRPr="009979BF">
        <w:rPr>
          <w:color w:val="auto"/>
          <w:sz w:val="20"/>
          <w:szCs w:val="20"/>
        </w:rPr>
        <w:t xml:space="preserve">CT/NG NAAT </w:t>
      </w:r>
      <w:r w:rsidR="00BE43DD" w:rsidRPr="009979BF">
        <w:rPr>
          <w:color w:val="auto"/>
          <w:sz w:val="20"/>
          <w:szCs w:val="20"/>
        </w:rPr>
        <w:t xml:space="preserve">results </w:t>
      </w:r>
      <w:r w:rsidR="00B62341" w:rsidRPr="009979BF">
        <w:rPr>
          <w:color w:val="auto"/>
          <w:sz w:val="20"/>
          <w:szCs w:val="20"/>
        </w:rPr>
        <w:t xml:space="preserve">within 8 days </w:t>
      </w:r>
      <w:r w:rsidR="00B907B3" w:rsidRPr="009979BF">
        <w:rPr>
          <w:color w:val="auto"/>
          <w:sz w:val="20"/>
          <w:szCs w:val="20"/>
        </w:rPr>
        <w:fldChar w:fldCharType="begin" w:fldLock="1"/>
      </w:r>
      <w:r w:rsidR="00BA2669" w:rsidRPr="009979BF">
        <w:rPr>
          <w:color w:val="auto"/>
          <w:sz w:val="20"/>
          <w:szCs w:val="20"/>
        </w:rPr>
        <w:instrText>ADDIN CSL_CITATION { "citationItems" : [ { "id" : "ITEM-1", "itemData" : { "DOI" : "10.1136/sti.2004.014381", "ISSN" : "1368-4973", "PMID" : "16461603", "abstract" : "OBJECTIVE To assess the effectiveness of a text message result service within an inner London sexual health clinic. METHOD Demographic data, diagnoses, and time to diagnosis and treatment were collected over a 6 month period for patients receiving text messages and a matched standard recall group. Data on messages sent, staff time, and cost in relation to result provision were collected. RESULTS Over a 6 month period 952 text messages were sent. In the final month of analysis, 33.9% of all clinic results were provided by text, resulting in a saving of 46 hours of staff time per month. 49 messages requested that the patient return for treatment, 28 of these patients had untreated genital Chlamydia trachomatis (CT) infection. The mean number of days (SD) to diagnosis was significantly shorter in the text message group (TG) v the standard recall group (SG) (7.9 (3.6) v 11.2 (4.7), p &lt;0.001). The median time to treatment was 8.5 days (range 4-27 days) for the TG group v 15.0 (range 7-35) for SG, p = 0.005. CONCLUSION Patients with genital CT infection are diagnosed and receive treatment sooner since the introduction of a text message result service. The introduction of this service has resulted in a significant saving in staff time.", "author" : [ { "dropping-particle" : "", "family" : "Menon-Johansson", "given" : "A S", "non-dropping-particle" : "", "parse-names" : false, "suffix" : "" }, { "dropping-particle" : "", "family" : "McNaught", "given" : "F", "non-dropping-particle" : "", "parse-names" : false, "suffix" : "" }, { "dropping-particle" : "", "family" : "Mandalia", "given" : "S", "non-dropping-particle" : "", "parse-names" : false, "suffix" : "" }, { "dropping-particle" : "", "family" : "Sullivan", "given" : "A K", "non-dropping-particle" : "", "parse-names" : false, "suffix" : "" } ], "container-title" : "Sexually transmitted infections", "id" : "ITEM-1", "issue" : "1", "issued" : { "date-parts" : [ [ "2006", "2" ] ] }, "page" : "49-51", "publisher" : "BMJ Group", "title" : "Texting decreases the time to treatment for genital Chlamydia trachomatis infection.", "type" : "article-journal", "volume" : "82" }, "uris" : [ "http://www.mendeley.com/documents/?uuid=d99f6bd4-9121-37ef-a9c5-19ad5ca2936a" ] } ], "mendeley" : { "formattedCitation" : "[5]", "plainTextFormattedCitation" : "[5]", "previouslyFormattedCitation" : "[5]" }, "properties" : { "noteIndex" : 0 }, "schema" : "https://github.com/citation-style-language/schema/raw/master/csl-citation.json" }</w:instrText>
      </w:r>
      <w:r w:rsidR="00B907B3" w:rsidRPr="009979BF">
        <w:rPr>
          <w:color w:val="auto"/>
          <w:sz w:val="20"/>
          <w:szCs w:val="20"/>
        </w:rPr>
        <w:fldChar w:fldCharType="separate"/>
      </w:r>
      <w:r w:rsidR="00975228" w:rsidRPr="009979BF">
        <w:rPr>
          <w:noProof/>
          <w:color w:val="auto"/>
          <w:sz w:val="20"/>
          <w:szCs w:val="20"/>
        </w:rPr>
        <w:t>[5]</w:t>
      </w:r>
      <w:r w:rsidR="00B907B3" w:rsidRPr="009979BF">
        <w:rPr>
          <w:color w:val="auto"/>
          <w:sz w:val="20"/>
          <w:szCs w:val="20"/>
        </w:rPr>
        <w:fldChar w:fldCharType="end"/>
      </w:r>
      <w:r w:rsidR="00B62341" w:rsidRPr="009979BF">
        <w:rPr>
          <w:color w:val="auto"/>
          <w:sz w:val="20"/>
          <w:szCs w:val="20"/>
        </w:rPr>
        <w:t xml:space="preserve">. </w:t>
      </w:r>
      <w:r w:rsidR="00BE43DD" w:rsidRPr="009979BF">
        <w:rPr>
          <w:color w:val="auto"/>
          <w:sz w:val="20"/>
          <w:szCs w:val="20"/>
        </w:rPr>
        <w:t>Following first-line antibiotic</w:t>
      </w:r>
      <w:r w:rsidR="000231CD" w:rsidRPr="009979BF">
        <w:rPr>
          <w:color w:val="auto"/>
          <w:sz w:val="20"/>
          <w:szCs w:val="20"/>
        </w:rPr>
        <w:t xml:space="preserve">s </w:t>
      </w:r>
      <w:r w:rsidR="00BE43DD" w:rsidRPr="009979BF">
        <w:rPr>
          <w:color w:val="auto"/>
          <w:sz w:val="20"/>
          <w:szCs w:val="20"/>
        </w:rPr>
        <w:t xml:space="preserve">for NSGI, 10%–20% of men return because of persistent symptoms </w:t>
      </w:r>
      <w:r w:rsidR="00B907B3" w:rsidRPr="009979BF">
        <w:rPr>
          <w:color w:val="auto"/>
          <w:sz w:val="20"/>
          <w:szCs w:val="20"/>
        </w:rPr>
        <w:fldChar w:fldCharType="begin" w:fldLock="1"/>
      </w:r>
      <w:r w:rsidR="00BA2669" w:rsidRPr="009979BF">
        <w:rPr>
          <w:color w:val="auto"/>
          <w:sz w:val="20"/>
          <w:szCs w:val="20"/>
        </w:rPr>
        <w:instrText>ADDIN CSL_CITATION { "citationItems" : [ { "id" : "ITEM-1", "itemData" : { "ISSN" : "0003-4819", "PMID" : "7271091", "abstract" : "We treated 289 men who had nongonococcal urethritis with minocycline, 100 mg once or twice daily for 7 to 21 days. After 21 +/- 7 days, urethritis persisted or recurred in 31 (27%) of 114 given 7-day therapy and only nine (8%) of 110 given 21-day therapy (p = 0.0005). However, by 49 +/- 14 days, the cumulative percent rate of failure was 31% for 7-day and 30% for 21-day therapy. Thus, 21-day therapy only delayed recurrence. The higher daily dosage did not improve outcome. Urethritis persisted or recurred in 19% of men with initial Chlamydia trachomatis infection. Among men without C. trachomatis, urethritis persisted or recurred in 32% with and 52% without Ureaplasma urealyticum infection (p = 0.03). At follow-up, 79% of cases of persistent or recurrent urethritis were culture negative for C. trachomatis and U. urealyticum. The cause of C. trachomatis-negative, U. urealyticum-negative nongonococcal urethritis, which was least responsive to minocycline therapy, remains uncertain.", "author" : [ { "dropping-particle" : "", "family" : "Bowie", "given" : "W R", "non-dropping-particle" : "", "parse-names" : false, "suffix" : "" }, { "dropping-particle" : "", "family" : "Alexander", "given" : "E R", "non-dropping-particle" : "", "parse-names" : false, "suffix" : "" }, { "dropping-particle" : "", "family" : "Stimson", "given" : "J B", "non-dropping-particle" : "", "parse-names" : false, "suffix" : "" }, { "dropping-particle" : "", "family" : "Floyd", "given" : "J F", "non-dropping-particle" : "", "parse-names" : false, "suffix" : "" }, { "dropping-particle" : "", "family" : "Holmes", "given" : "K K", "non-dropping-particle" : "", "parse-names" : false, "suffix" : "" } ], "container-title" : "Annals of internal medicine", "id" : "ITEM-1", "issue" : "3", "issued" : { "date-parts" : [ [ "1981", "9" ] ] }, "page" : "306-11", "title" : "Therapy for nongonococcal urethritis: double-blind randomized comparison of two doses and two durations of minocycline.", "type" : "article-journal", "volume" : "95" }, "uris" : [ "http://www.mendeley.com/documents/?uuid=825b5990-6bd0-38d8-bb43-54b70aa93ecf" ] }, { "id" : "ITEM-2", "itemData" : { "DOI" : "10.1086/319594", "ISSN" : "1058-4838", "PMID" : "11264026", "abstract" : "One hundred fourteen heterosexual men with acute nongonococcal urethritis (NGU) and 64 patients without NGU were studied. We determined that Chlamydia trachomatis and Mycoplasma genitalium were strongly associated with acute NGU after controlling, by means of multivariate analysis, for age, race, sexual lifestyle, and coinfection (odds ratio [OR], 13.0, 95% confidence interval [CI], 2.6-64.5; and OR, 17.9, 95% CI, 2.0-160, respectively). Eighty-six men with acute NGU reattended at least once 10-92 days after treatment; 59 (69%) of these 86 men had urethritis. Seven men had M. genitalium detected during 10-92 days of follow-up, and all had urethritis. Ureaplasmas were not associated with acute NGU in multivariate analysis, but their detection was associated with the presence of urethritis during follow-up (P=.014). Ureaplasmas or M. genitalium were associated with both chronic NGU, which was defined as urethritis that occurred 30-92 days after the commencement of treatment (P=.028), and chronic NGU with symptoms or signs (P=.005).", "author" : [ { "dropping-particle" : "", "family" : "Horner", "given" : "P", "non-dropping-particle" : "", "parse-names" : false, "suffix" : "" }, { "dropping-particle" : "", "family" : "Thomas", "given" : "B", "non-dropping-particle" : "", "parse-names" : false, "suffix" : "" }, { "dropping-particle" : "", "family" : "Gilroy", "given" : "C B", "non-dropping-particle" : "", "parse-names" : false, "suffix" : "" }, { "dropping-particle" : "", "family" : "Egger", "given" : "M", "non-dropping-particle" : "", "parse-names" : false, "suffix" : "" }, { "dropping-particle" : "", "family" : "Taylor-Robinson", "given" : "D", "non-dropping-particle" : "", "parse-names" : false, "suffix" : "" } ], "container-title" : "Clinical infectious diseases : an official publication of the Infectious Diseases Society of America", "id" : "ITEM-2", "issue" : "7", "issued" : { "date-parts" : [ [ "2001", "4", "1" ] ] }, "page" : "995-1003", "title" : "Role of Mycoplasma genitalium and Ureaplasma urealyticum in acute and chronic nongonococcal urethritis.", "type" : "article-journal", "volume" : "32" }, "uris" : [ "http://www.mendeley.com/documents/?uuid=3717a023-5c0b-3001-9559-412242b410ba" ] } ], "mendeley" : { "formattedCitation" : "[6,7]", "plainTextFormattedCitation" : "[6,7]", "previouslyFormattedCitation" : "[6,7]" }, "properties" : { "noteIndex" : 0 }, "schema" : "https://github.com/citation-style-language/schema/raw/master/csl-citation.json" }</w:instrText>
      </w:r>
      <w:r w:rsidR="00B907B3" w:rsidRPr="009979BF">
        <w:rPr>
          <w:color w:val="auto"/>
          <w:sz w:val="20"/>
          <w:szCs w:val="20"/>
        </w:rPr>
        <w:fldChar w:fldCharType="separate"/>
      </w:r>
      <w:r w:rsidR="00975228" w:rsidRPr="009979BF">
        <w:rPr>
          <w:noProof/>
          <w:color w:val="auto"/>
          <w:sz w:val="20"/>
          <w:szCs w:val="20"/>
        </w:rPr>
        <w:t>[6,7]</w:t>
      </w:r>
      <w:r w:rsidR="00B907B3" w:rsidRPr="009979BF">
        <w:rPr>
          <w:color w:val="auto"/>
          <w:sz w:val="20"/>
          <w:szCs w:val="20"/>
        </w:rPr>
        <w:fldChar w:fldCharType="end"/>
      </w:r>
      <w:r w:rsidR="00BE43DD" w:rsidRPr="009979BF">
        <w:rPr>
          <w:color w:val="auto"/>
          <w:sz w:val="20"/>
          <w:szCs w:val="20"/>
        </w:rPr>
        <w:t xml:space="preserve">. </w:t>
      </w:r>
    </w:p>
    <w:p w14:paraId="363C5FF9" w14:textId="77777777" w:rsidR="0074120E" w:rsidRPr="009979BF" w:rsidRDefault="0074120E">
      <w:pPr>
        <w:spacing w:line="360" w:lineRule="auto"/>
        <w:jc w:val="both"/>
        <w:rPr>
          <w:color w:val="auto"/>
          <w:sz w:val="20"/>
          <w:szCs w:val="20"/>
        </w:rPr>
      </w:pPr>
    </w:p>
    <w:p w14:paraId="453A9BB0" w14:textId="77777777" w:rsidR="00672068" w:rsidRPr="009979BF" w:rsidRDefault="0046645E">
      <w:pPr>
        <w:spacing w:line="360" w:lineRule="auto"/>
        <w:jc w:val="both"/>
        <w:rPr>
          <w:color w:val="auto"/>
          <w:sz w:val="20"/>
          <w:szCs w:val="20"/>
        </w:rPr>
      </w:pPr>
      <w:r w:rsidRPr="009979BF">
        <w:rPr>
          <w:color w:val="auto"/>
          <w:sz w:val="20"/>
          <w:szCs w:val="20"/>
        </w:rPr>
        <w:t xml:space="preserve">Men who undergo STI testing, and are diagnosed with an STI report negative impacts on their psychosocial wellbeing, including feelings of stigma </w:t>
      </w:r>
      <w:r w:rsidR="00B907B3" w:rsidRPr="009979BF">
        <w:rPr>
          <w:color w:val="auto"/>
          <w:sz w:val="20"/>
          <w:szCs w:val="20"/>
        </w:rPr>
        <w:fldChar w:fldCharType="begin" w:fldLock="1"/>
      </w:r>
      <w:r w:rsidR="004B4B35" w:rsidRPr="009979BF">
        <w:rPr>
          <w:color w:val="auto"/>
          <w:sz w:val="20"/>
          <w:szCs w:val="20"/>
        </w:rPr>
        <w:instrText>ADDIN CSL_CITATION { "citationItems" : [ { "id" : "ITEM-1", "itemData" : { "ISSN" : "1368-4973", "PMID" : "14573831", "abstract" : "OBJECTIVES To explore men's and women's accounts of chlamydia testing, with a view to understanding sex differences in attitudes and in behaviours of public health importance. METHODS Semistructured interviews with 24 heterosexual patients (12 men; 12 women) diagnosed with genital chlamydia infection, at a large sexual health clinic in central London were transcribed and analysed using qualitative thematic analysis. RESULTS Participants' expressions revealed important sex differences. Women felt anxious about their future reproductive health, feared stigmatisation, and blamed themselves for contracting chlamydia; whereas men generally reported less concern, were unwilling to disclose their condition to sexual partners, and some men projected attributions of blame onto their partners. Delays in seeking care appeared to be related to perceptions of chlamydia as a relatively minor infection, particularly in men. CONCLUSIONS Health promotion needs to reflect sex and age differences, emphasising the negative consequences of delayed clinic attendance and exposure to repeat infections. For health professionals to respond appropriately and effectively to increasing numbers of chlamydia infections, there is a need to understand men's avoidant attitudes and behaviours in relation to sexual and reproductive health.", "author" : [ { "dropping-particle" : "", "family" : "Darroch", "given" : "J", "non-dropping-particle" : "", "parse-names" : false, "suffix" : "" }, { "dropping-particle" : "", "family" : "Myers", "given" : "L", "non-dropping-particle" : "", "parse-names" : false, "suffix" : "" }, { "dropping-particle" : "", "family" : "Cassell", "given" : "J", "non-dropping-particle" : "", "parse-names" : false, "suffix" : "" } ], "container-title" : "Sexually transmitted infections", "id" : "ITEM-1", "issue" : "5", "issued" : { "date-parts" : [ [ "2003", "10" ] ] }, "note" : "women and men qualitative", "page" : "372-3", "title" : "Sex differences in the experience of testing positive for genital chlamydia infection: a qualitative study with implications for public health and for a national screening programme.", "type" : "article-journal", "volume" : "79" }, "uris" : [ "http://www.mendeley.com/documents/?uuid=ac30572a-46ca-3208-87df-347896c74808" ] }, { "id" : "ITEM-2", "itemData" : { "ISSN" : "0960-1643", "PMID" : "16882376", "abstract" : "BACKGROUND Urogenital Chlamydia trachomatis infections are widespread, and each year many tests are performed in general practice. AIM First, to quantify the magnitude of stigmatization, problems related to partner, and anxiety of infertility among men and women tested for C. trachomatis in general practice. Second, to investigate the effect of a C. trachomatis test result on planned future condom use. DESIGN OF STUDY Comparative cross-sectional study. SETTING General practices in Aarhus County, Denmark. METHOD Men and women tested for C. trachomatis in general practice were given a questionnaire about feelings of stigmatization, fear of partner's reaction, fear of future infertility and other psychosocial side effects related to being infected or not infected with C. trachomatis. RESULTS A total of 277 participated in the study. The response rates were 61% (82/135) and 54% (195/365) among infected and non-infected individuals, respectively. Among the infected individuals 32% (9/28) of the men's partners and 35% (19/54) of the women's partners were upset about the test result, 9% (5/54) of the women and 11% (3/28) of the men split with their partner, 59% (32/54) of the women and 54% (15/28) of the men expressed nervousness about infertility, and 91% (19/21) of the women but only 56% (5/9) of the men said that they would use a condom more often in the future. All these figures were significantly lower for both men and women having C. trachomatis negative test results. CONCLUSION A chlamydia test affects the individual in terms of sexuality, relation to partner, reproduction, and future contraceptive strategy. The influence is highest among women and individuals with a positive test result. These findings should be taken into account in screening programmes targeting young women and men.", "author" : [ { "dropping-particle" : "", "family" : "Kangas", "given" : "Ida", "non-dropping-particle" : "", "parse-names" : false, "suffix" : "" }, { "dropping-particle" : "", "family" : "Andersen", "given" : "Berit", "non-dropping-particle" : "", "parse-names" : false, "suffix" : "" }, { "dropping-particle" : "", "family" : "Olesen", "given" : "Frede", "non-dropping-particle" : "", "parse-names" : false, "suffix" : "" }, { "dropping-particle" : "", "family" : "M\u00f8ller", "given" : "Jens K", "non-dropping-particle" : "", "parse-names" : false, "suffix" : "" }, { "dropping-particle" : "", "family" : "\u00d8stergaard", "given" : "Lars", "non-dropping-particle" : "", "parse-names" : false, "suffix" : "" } ], "container-title" : "The British journal of general practice : the journal of the Royal College of General Practitioners", "id" : "ITEM-2", "issue" : "529", "issued" : { "date-parts" : [ [ "2006", "8" ] ] }, "note" : "women and men", "page" : "587-93", "title" : "Psychosocial impact of Chlamydia trachomatis testing in general practice.", "type" : "article-journal", "volume" : "56" }, "uris" : [ "http://www.mendeley.com/documents/?uuid=8f88360f-1ce5-3c18-b612-33cd5106c2b2" ] }, { "id" : "ITEM-3", "itemData" : { "ISSN" : "0264-0325", "PMID" : "10076643", "abstract" : "This study considers aspects of the experiences of a group of people attending a sexual health clinic and receiving the diagnosis of a sexually transmitted infection (STI). The study was conducted in the form of action research using a qualitative approach. Participants consisted of eight attenders at a sexual health clinic who had been diagnosed with a sexually transmitted infection. Counselling skills and techniques were used throughout semi-structured interviews to explore participants' feelings about these issues. Thematic analysis was used to generate themes of importance to the participants. Some people who had been to a sexual health clinic and received a diagnosis of a sexually transmitted infection were found to experience feelings of anxiety, stigma and isolation. This study is of value to all those working in the field of sexual health with an interest in understanding the issues that are important to the client group.", "author" : [ { "dropping-particle" : "", "family" : "Holgate", "given" : "H S", "non-dropping-particle" : "", "parse-names" : false, "suffix" : "" }, { "dropping-particle" : "", "family" : "Longman", "given" : "C", "non-dropping-particle" : "", "parse-names" : false, "suffix" : "" } ], "container-title" : "Journal of the Royal Society of Health", "id" : "ITEM-3", "issue" : "2", "issued" : { "date-parts" : [ [ "1998", "4" ] ] }, "page" : "94-6", "title" : "Some peoples' psychological experiences of attending a sexual health clinic and having a sexually transmitted infection.", "type" : "article-journal", "volume" : "118" }, "uris" : [ "http://www.mendeley.com/documents/?uuid=63713af5-a21e-30d3-9210-20b769f6023a" ] } ], "mendeley" : { "formattedCitation" : "[8\u201310]", "plainTextFormattedCitation" : "[8\u201310]", "previouslyFormattedCitation" : "[8\u201310]" }, "properties" : { "noteIndex" : 0 }, "schema" : "https://github.com/citation-style-language/schema/raw/master/csl-citation.json" }</w:instrText>
      </w:r>
      <w:r w:rsidR="00B907B3" w:rsidRPr="009979BF">
        <w:rPr>
          <w:color w:val="auto"/>
          <w:sz w:val="20"/>
          <w:szCs w:val="20"/>
        </w:rPr>
        <w:fldChar w:fldCharType="separate"/>
      </w:r>
      <w:r w:rsidRPr="009979BF">
        <w:rPr>
          <w:noProof/>
          <w:color w:val="auto"/>
          <w:sz w:val="20"/>
          <w:szCs w:val="20"/>
        </w:rPr>
        <w:t>[8–10]</w:t>
      </w:r>
      <w:r w:rsidR="00B907B3" w:rsidRPr="009979BF">
        <w:rPr>
          <w:color w:val="auto"/>
          <w:sz w:val="20"/>
          <w:szCs w:val="20"/>
        </w:rPr>
        <w:fldChar w:fldCharType="end"/>
      </w:r>
      <w:r w:rsidRPr="009979BF">
        <w:rPr>
          <w:color w:val="auto"/>
          <w:sz w:val="20"/>
          <w:szCs w:val="20"/>
        </w:rPr>
        <w:t>,</w:t>
      </w:r>
      <w:r w:rsidR="009D00A9" w:rsidRPr="009979BF">
        <w:rPr>
          <w:color w:val="auto"/>
          <w:sz w:val="20"/>
          <w:szCs w:val="20"/>
        </w:rPr>
        <w:t xml:space="preserve"> however, to our knowledge, </w:t>
      </w:r>
      <w:r w:rsidR="00443F4C" w:rsidRPr="009979BF">
        <w:rPr>
          <w:color w:val="auto"/>
          <w:sz w:val="20"/>
          <w:szCs w:val="20"/>
        </w:rPr>
        <w:t>there are no published data on</w:t>
      </w:r>
      <w:r w:rsidR="009D00A9" w:rsidRPr="009979BF">
        <w:rPr>
          <w:color w:val="auto"/>
          <w:sz w:val="20"/>
          <w:szCs w:val="20"/>
        </w:rPr>
        <w:t xml:space="preserve"> the psychosocial impact of NSGI diagnosis among men.  </w:t>
      </w:r>
      <w:r w:rsidR="009A0478" w:rsidRPr="009979BF">
        <w:rPr>
          <w:color w:val="auto"/>
          <w:sz w:val="20"/>
          <w:szCs w:val="20"/>
        </w:rPr>
        <w:t>Stigma has been shown</w:t>
      </w:r>
      <w:r w:rsidR="00BF2A3C" w:rsidRPr="009979BF">
        <w:rPr>
          <w:color w:val="auto"/>
          <w:sz w:val="20"/>
          <w:szCs w:val="20"/>
        </w:rPr>
        <w:t xml:space="preserve"> in men</w:t>
      </w:r>
      <w:r w:rsidR="009A0478" w:rsidRPr="009979BF">
        <w:rPr>
          <w:color w:val="auto"/>
          <w:sz w:val="20"/>
          <w:szCs w:val="20"/>
        </w:rPr>
        <w:t xml:space="preserve"> to be associated with a </w:t>
      </w:r>
      <w:r w:rsidR="009A0478" w:rsidRPr="009979BF">
        <w:rPr>
          <w:rFonts w:cs="Segoe UI"/>
          <w:color w:val="auto"/>
          <w:sz w:val="20"/>
          <w:szCs w:val="20"/>
        </w:rPr>
        <w:t xml:space="preserve">delay in testing for STIs, and </w:t>
      </w:r>
      <w:r w:rsidR="009A0478" w:rsidRPr="009979BF">
        <w:rPr>
          <w:color w:val="auto"/>
          <w:sz w:val="20"/>
          <w:szCs w:val="20"/>
        </w:rPr>
        <w:t>decreased willingness to notify</w:t>
      </w:r>
      <w:r w:rsidR="00BF2A3C" w:rsidRPr="009979BF">
        <w:rPr>
          <w:color w:val="auto"/>
          <w:sz w:val="20"/>
          <w:szCs w:val="20"/>
        </w:rPr>
        <w:t xml:space="preserve"> their </w:t>
      </w:r>
      <w:r w:rsidR="001C135D" w:rsidRPr="009979BF">
        <w:rPr>
          <w:color w:val="auto"/>
          <w:sz w:val="20"/>
          <w:szCs w:val="20"/>
        </w:rPr>
        <w:t xml:space="preserve">casual </w:t>
      </w:r>
      <w:r w:rsidR="009A0478" w:rsidRPr="009979BF">
        <w:rPr>
          <w:color w:val="auto"/>
          <w:sz w:val="20"/>
          <w:szCs w:val="20"/>
        </w:rPr>
        <w:t xml:space="preserve">partners of </w:t>
      </w:r>
      <w:r w:rsidR="001C135D" w:rsidRPr="009979BF">
        <w:rPr>
          <w:color w:val="auto"/>
          <w:sz w:val="20"/>
          <w:szCs w:val="20"/>
        </w:rPr>
        <w:t>their</w:t>
      </w:r>
      <w:r w:rsidR="009A0478" w:rsidRPr="009979BF">
        <w:rPr>
          <w:color w:val="auto"/>
          <w:sz w:val="20"/>
          <w:szCs w:val="20"/>
        </w:rPr>
        <w:t> </w:t>
      </w:r>
      <w:r w:rsidR="009A0478" w:rsidRPr="009979BF">
        <w:rPr>
          <w:rStyle w:val="highlight"/>
          <w:color w:val="auto"/>
          <w:sz w:val="20"/>
          <w:szCs w:val="20"/>
        </w:rPr>
        <w:t>STI</w:t>
      </w:r>
      <w:r w:rsidR="001C135D" w:rsidRPr="009979BF">
        <w:rPr>
          <w:rStyle w:val="highlight"/>
          <w:color w:val="auto"/>
          <w:sz w:val="20"/>
          <w:szCs w:val="20"/>
        </w:rPr>
        <w:t xml:space="preserve"> diagnosis</w:t>
      </w:r>
      <w:r w:rsidR="009A0478" w:rsidRPr="009979BF">
        <w:rPr>
          <w:rStyle w:val="highlight"/>
          <w:color w:val="auto"/>
          <w:sz w:val="20"/>
          <w:szCs w:val="20"/>
        </w:rPr>
        <w:t xml:space="preserve"> </w:t>
      </w:r>
      <w:r w:rsidR="00B907B3" w:rsidRPr="009979BF">
        <w:rPr>
          <w:rStyle w:val="highlight"/>
          <w:color w:val="auto"/>
          <w:sz w:val="20"/>
          <w:szCs w:val="20"/>
        </w:rPr>
        <w:fldChar w:fldCharType="begin" w:fldLock="1"/>
      </w:r>
      <w:r w:rsidR="008D4440" w:rsidRPr="009979BF">
        <w:rPr>
          <w:rStyle w:val="highlight"/>
          <w:color w:val="auto"/>
          <w:sz w:val="20"/>
          <w:szCs w:val="20"/>
        </w:rPr>
        <w:instrText>ADDIN CSL_CITATION { "citationItems" : [ { "id" : "ITEM-1", "itemData" : { "DOI" : "10.1089/apc.2013.0316", "ISSN" : "1557-7449", "PMID" : "25133501", "abstract" : "A self-administered, street intercept survey was conducted in order to examine the relation of stigma and shame associated with sexually transmitted infections (STI) to STI testing practices, partner notification, and partner-delivered treatment among young African American men (n=108) in a low-income, urban community in San Francisco with high STI burden. Multivariate logistic regression revealed that increasing STI-related stigma was significantly associated with a decreased odds of STI testing, such that every standard deviation increase in stigma score was associated with 0.62 decreased odds of having been tested (aOR: 0.62, 95% CI: 0.38-1.00), controlling for age. STI stigma was also significantly associated with a decreased willingness to notify non-main partners of an STI (aOR: 0.64 95% CI: 0.41-0.99). Participants with higher levels of stigma and shame were also significantly less likely to be willing to deliver STI medication to a partner (stigma aOR: 0.57, 95% CI: 0.37-0.88; shame aOR 0.53 95% CI: 0.34-0.83). Findings suggest that STI-related stigma and shame, common in this population, could undermine STI testing, treatment, and partner notification programs. The medical establishment, one of the institutional factors to have reinforced this culture of stigma, must aid efforts to reduce its effects through providing integrated services, reframing sexual health in campaigns, educating clients, and providing wider options to aid disclosure and partner notification practices.", "author" : [ { "dropping-particle" : "", "family" : "Morris", "given" : "Jessica L", "non-dropping-particle" : "", "parse-names" : false, "suffix" : "" }, { "dropping-particle" : "", "family" : "Lippman", "given" : "Sheri A", "non-dropping-particle" : "", "parse-names" : false, "suffix" : "" }, { "dropping-particle" : "", "family" : "Philip", "given" : "Susan", "non-dropping-particle" : "", "parse-names" : false, "suffix" : "" }, { "dropping-particle" : "", "family" : "Bernstein", "given" : "Kyle", "non-dropping-particle" : "", "parse-names" : false, "suffix" : "" }, { "dropping-particle" : "", "family" : "Neilands", "given" : "Torsten B", "non-dropping-particle" : "", "parse-names" : false, "suffix" : "" }, { "dropping-particle" : "", "family" : "Lightfoot", "given" : "Marguerita", "non-dropping-particle" : "", "parse-names" : false, "suffix" : "" } ], "container-title" : "AIDS patient care and STDs", "id" : "ITEM-1", "issue" : "9", "issued" : { "date-parts" : [ [ "2014", "9" ] ] }, "page" : "499-506", "title" : "Sexually transmitted infection related stigma and shame among African American male youth: implications for testing practices, partner notification, and treatment.", "type" : "article-journal", "volume" : "28" }, "uris" : [ "http://www.mendeley.com/documents/?uuid=32facd3c-fd1f-311a-84fe-0d36d841e50c" ] } ], "mendeley" : { "formattedCitation" : "[11]", "plainTextFormattedCitation" : "[11]", "previouslyFormattedCitation" : "[11]" }, "properties" : { "noteIndex" : 0 }, "schema" : "https://github.com/citation-style-language/schema/raw/master/csl-citation.json" }</w:instrText>
      </w:r>
      <w:r w:rsidR="00B907B3" w:rsidRPr="009979BF">
        <w:rPr>
          <w:rStyle w:val="highlight"/>
          <w:color w:val="auto"/>
          <w:sz w:val="20"/>
          <w:szCs w:val="20"/>
        </w:rPr>
        <w:fldChar w:fldCharType="separate"/>
      </w:r>
      <w:r w:rsidR="004B4B35" w:rsidRPr="009979BF">
        <w:rPr>
          <w:rStyle w:val="highlight"/>
          <w:noProof/>
          <w:color w:val="auto"/>
          <w:sz w:val="20"/>
          <w:szCs w:val="20"/>
        </w:rPr>
        <w:t>[11]</w:t>
      </w:r>
      <w:r w:rsidR="00B907B3" w:rsidRPr="009979BF">
        <w:rPr>
          <w:rStyle w:val="highlight"/>
          <w:color w:val="auto"/>
          <w:sz w:val="20"/>
          <w:szCs w:val="20"/>
        </w:rPr>
        <w:fldChar w:fldCharType="end"/>
      </w:r>
      <w:r w:rsidR="000D1AA4" w:rsidRPr="009979BF">
        <w:rPr>
          <w:rStyle w:val="highlight"/>
          <w:color w:val="auto"/>
          <w:sz w:val="20"/>
          <w:szCs w:val="20"/>
        </w:rPr>
        <w:t>.</w:t>
      </w:r>
      <w:r w:rsidR="009A0478" w:rsidRPr="009979BF">
        <w:rPr>
          <w:color w:val="auto"/>
          <w:sz w:val="20"/>
          <w:szCs w:val="20"/>
        </w:rPr>
        <w:t xml:space="preserve"> Studies on psychosocial impact, partner notification and quality of life impact have predominantly been carried out in women</w:t>
      </w:r>
      <w:r w:rsidR="00BF2A3C" w:rsidRPr="009979BF">
        <w:rPr>
          <w:color w:val="auto"/>
          <w:sz w:val="20"/>
          <w:szCs w:val="20"/>
        </w:rPr>
        <w:t xml:space="preserve"> </w:t>
      </w:r>
      <w:r w:rsidR="00B907B3" w:rsidRPr="009979BF">
        <w:rPr>
          <w:color w:val="auto"/>
          <w:sz w:val="20"/>
          <w:szCs w:val="20"/>
        </w:rPr>
        <w:fldChar w:fldCharType="begin" w:fldLock="1"/>
      </w:r>
      <w:r w:rsidR="008D4440" w:rsidRPr="009979BF">
        <w:rPr>
          <w:color w:val="auto"/>
          <w:sz w:val="20"/>
          <w:szCs w:val="20"/>
        </w:rPr>
        <w:instrText>ADDIN CSL_CITATION { "citationItems" : [ { "id" : "ITEM-1", "itemData" : { "DOI" : "10.1093/fampra/cml031", "ISSN" : "0263-2136", "PMID" : "16790452", "abstract" : "BACKGROUND Screening for Chlamydia trachomatis in selected health care settings is underway in the UK despite insufficient evidence about the personal impact of screening. OBJECTIVES To describe men and women's experiences of being screened for chlamydia as part of the Chlamydia Screening Studies (ClaSS) project, a population-based UK study of postal screening for chlamydia. METHODS We conducted in-depth interviews with 45 purposively sampled participants in the ClaSS project using a checklist of topics relating to their experiences of the screening process. Interviews were audio-tape recorded, transcribed verbatim and analysed using the constant comparison method. RESULTS Four main themes emerged: initial discomfort with screening arising from an unease with sexual health issues; anxiety, especially after receiving a positive test result, due to the fear of informing sexual partners, the risk of infertility and the possibility of having other undetected infections; women's concern about being stigmatised for having been infected with chlamydia, which affected how they felt about themselves and how they thought others would perceive them; and recognising the need to balance the harms of screening with the benefits. Despite some reported adverse effects, no one regretted their decision to be screened. CONCLUSIONS Public education and discussion of sexually transmitted infections should help to increase the acceptability of chlamydia screening and destigmatise a diagnosis of chlamydia. Those working in primary care settings are likely to become increasingly involved in chlamydia screening and so must be suitably trained to inform individuals of the potential adverse effects and to deal with their consequences.", "author" : [ { "dropping-particle" : "", "family" : "Mills", "given" : "Nicola", "non-dropping-particle" : "", "parse-names" : false, "suffix" : "" }, { "dropping-particle" : "", "family" : "Daker-White", "given" : "Gavin", "non-dropping-particle" : "", "parse-names" : false, "suffix" : "" }, { "dropping-particle" : "", "family" : "Graham", "given" : "Anna", "non-dropping-particle" : "", "parse-names" : false, "suffix" : "" }, { "dropping-particle" : "", "family" : "Campbell", "given" : "Rona", "non-dropping-particle" : "", "parse-names" : false, "suffix" : "" } ], "container-title" : "Family practice", "id" : "ITEM-1", "issue" : "5", "issued" : { "date-parts" : [ [ "2006", "10" ] ] }, "page" : "550-7", "title" : "Population screening for Chlamydia trachomatis infection in the UK: a qualitative study of the experiences of those screened.", "type" : "article-journal", "volume" : "23" }, "uris" : [ "http://www.mendeley.com/documents/?uuid=e676815f-a5c6-36ec-8b27-d68f08f1df77" ] }, { "id" : "ITEM-2", "itemData" : { "DOI" : "10.1097/OLQ.0b013e31822b0bed", "ISSN" : "1537-4521", "PMID" : "21992975", "abstract" : "BACKGROUND Few data exist on potential harms of chlamydia screening. We assessed the psychosocial impact of receiving a positive Chlamydia trachomatis test result. METHODS We prospectively studied women \u226516 years of age undergoing chlamydia testing in 2 Midwestern family planning clinics. We surveyed women at baseline and about 1 month after receiving test results, using 9 validated psychosocial scales/subscales and chlamydia-specific questions. Changes in scale scores were calculated for each woman. Mean percent changes in scores for chlamydia-positive and -negative women were compared using a t test. RESULTS We enrolled 1807 women (response rate, 84%). Of the 1688 women with test results, 149 (8.8%) tested positive. At follow-up, chlamydia-positive women (n = 71) had a 75% increase in anxiety about sexual aspects of their life on the Multidimensional Sexual Self-Concept Questionnaire (P &lt; 0.001), significantly greater than the 26% increase among 280 randomly selected chlamydia-negative women (P = 0.02). There were no differences for the other 8 scales/subscales, including general measures of anxiety, depression, and self-esteem. Chlamydia-positive women were more likely than chlamydia-negative women to be \"concerned about chlamydia\" (80% vs. 40%, P &lt; 0.001) and to report breaking up with a main partner (33% vs. 11%, P &lt; 0.001) at follow-up. Women testing positive reported a range of chlamydia-specific concerns. CONCLUSIONS Chlamydia-positive women had significant increases in anxiety about sex and concern about chlamydia, but did not have marked changes in more general measures of psychosocial well-being about 1 month after diagnosis. Chlamydia diagnoses were associated with some disruption of relationships with main partners. Chlamydia-specific concerns may guide counseling messages to minimize psychosocial impact.", "author" : [ { "dropping-particle" : "", "family" : "Gottlieb", "given" : "Sami L", "non-dropping-particle" : "", "parse-names" : false, "suffix" : "" }, { "dropping-particle" : "", "family" : "Stoner", "given" : "Bradley P", "non-dropping-particle" : "", "parse-names" : false, "suffix" : "" }, { "dropping-particle" : "", "family" : "Zaidi", "given" : "Akbar A", "non-dropping-particle" : "", "parse-names" : false, "suffix" : "" }, { "dropping-particle" : "", "family" : "Buckel", "given" : "Christina", "non-dropping-particle" : "", "parse-names" : false, "suffix" : "" }, { "dropping-particle" : "", "family" : "Tran", "given" : "Molly", "non-dropping-particle" : "", "parse-names" : false, "suffix" : "" }, { "dropping-particle" : "", "family" : "Leichliter", "given" : "Jami S", "non-dropping-particle" : "", "parse-names" : false, "suffix" : "" }, { "dropping-particle" : "", "family" : "Berman", "given" : "Stuart M", "non-dropping-particle" : "", "parse-names" : false, "suffix" : "" }, { "dropping-particle" : "", "family" : "Markowitz", "given" : "Lauri E", "non-dropping-particle" : "", "parse-names" : false, "suffix" : "" } ], "container-title" : "Sexually transmitted diseases", "id" : "ITEM-2", "issue" : "11", "issued" : { "date-parts" : [ [ "2011", "11" ] ] }, "note" : "women only", "page" : "1004-11", "title" : "A prospective study of the psychosocial impact of a positive Chlamydia trachomatis laboratory test.", "type" : "article-journal", "volume" : "38" }, "uris" : [ "http://www.mendeley.com/documents/?uuid=08d3b6f4-5ecf-3bfe-aa68-034e9fcb713b" ] }, { "id" : "ITEM-3", "itemData" : { "ISSN" : "0960-1643", "PMID" : "16882376", "abstract" : "BACKGROUND Urogenital Chlamydia trachomatis infections are widespread, and each year many tests are performed in general practice. AIM First, to quantify the magnitude of stigmatization, problems related to partner, and anxiety of infertility among men and women tested for C. trachomatis in general practice. Second, to investigate the effect of a C. trachomatis test result on planned future condom use. DESIGN OF STUDY Comparative cross-sectional study. SETTING General practices in Aarhus County, Denmark. METHOD Men and women tested for C. trachomatis in general practice were given a questionnaire about feelings of stigmatization, fear of partner's reaction, fear of future infertility and other psychosocial side effects related to being infected or not infected with C. trachomatis. RESULTS A total of 277 participated in the study. The response rates were 61% (82/135) and 54% (195/365) among infected and non-infected individuals, respectively. Among the infected individuals 32% (9/28) of the men's partners and 35% (19/54) of the women's partners were upset about the test result, 9% (5/54) of the women and 11% (3/28) of the men split with their partner, 59% (32/54) of the women and 54% (15/28) of the men expressed nervousness about infertility, and 91% (19/21) of the women but only 56% (5/9) of the men said that they would use a condom more often in the future. All these figures were significantly lower for both men and women having C. trachomatis negative test results. CONCLUSION A chlamydia test affects the individual in terms of sexuality, relation to partner, reproduction, and future contraceptive strategy. The influence is highest among women and individuals with a positive test result. These findings should be taken into account in screening programmes targeting young women and men.", "author" : [ { "dropping-particle" : "", "family" : "Kangas", "given" : "Ida", "non-dropping-particle" : "", "parse-names" : false, "suffix" : "" }, { "dropping-particle" : "", "family" : "Andersen", "given" : "Berit", "non-dropping-particle" : "", "parse-names" : false, "suffix" : "" }, { "dropping-particle" : "", "family" : "Olesen", "given" : "Frede", "non-dropping-particle" : "", "parse-names" : false, "suffix" : "" }, { "dropping-particle" : "", "family" : "M\u00f8ller", "given" : "Jens K", "non-dropping-particle" : "", "parse-names" : false, "suffix" : "" }, { "dropping-particle" : "", "family" : "\u00d8stergaard", "given" : "Lars", "non-dropping-particle" : "", "parse-names" : false, "suffix" : "" } ], "container-title" : "The British journal of general practice : the journal of the Royal College of General Practitioners", "id" : "ITEM-3", "issue" : "529", "issued" : { "date-parts" : [ [ "2006", "8" ] ] }, "page" : "587-93", "title" : "Psychosocial impact of Chlamydia trachomatis testing in general practice.", "type" : "article-journal", "volume" : "56" }, "uris" : [ "http://www.mendeley.com/documents/?uuid=a11b307f-ea7e-3796-92ce-0e597c86b72b" ] }, { "id" : "ITEM-4", "itemData" : { "ISSN" : "0960-1643", "PMID" : "16882376", "abstract" : "BACKGROUND Urogenital Chlamydia trachomatis infections are widespread, and each year many tests are performed in general practice. AIM First, to quantify the magnitude of stigmatization, problems related to partner, and anxiety of infertility among men and women tested for C. trachomatis in general practice. Second, to investigate the effect of a C. trachomatis test result on planned future condom use. DESIGN OF STUDY Comparative cross-sectional study. SETTING General practices in Aarhus County, Denmark. METHOD Men and women tested for C. trachomatis in general practice were given a questionnaire about feelings of stigmatization, fear of partner's reaction, fear of future infertility and other psychosocial side effects related to being infected or not infected with C. trachomatis. RESULTS A total of 277 participated in the study. The response rates were 61% (82/135) and 54% (195/365) among infected and non-infected individuals, respectively. Among the infected individuals 32% (9/28) of the men's partners and 35% (19/54) of the women's partners were upset about the test result, 9% (5/54) of the women and 11% (3/28) of the men split with their partner, 59% (32/54) of the women and 54% (15/28) of the men expressed nervousness about infertility, and 91% (19/21) of the women but only 56% (5/9) of the men said that they would use a condom more often in the future. All these figures were significantly lower for both men and women having C. trachomatis negative test results. CONCLUSION A chlamydia test affects the individual in terms of sexuality, relation to partner, reproduction, and future contraceptive strategy. The influence is highest among women and individuals with a positive test result. These findings should be taken into account in screening programmes targeting young women and men.", "author" : [ { "dropping-particle" : "", "family" : "Kangas", "given" : "Ida", "non-dropping-particle" : "", "parse-names" : false, "suffix" : "" }, { "dropping-particle" : "", "family" : "Andersen", "given" : "Berit", "non-dropping-particle" : "", "parse-names" : false, "suffix" : "" }, { "dropping-particle" : "", "family" : "Olesen", "given" : "Frede", "non-dropping-particle" : "", "parse-names" : false, "suffix" : "" }, { "dropping-particle" : "", "family" : "M\u00f8ller", "given" : "Jens K", "non-dropping-particle" : "", "parse-names" : false, "suffix" : "" }, { "dropping-particle" : "", "family" : "\u00d8stergaard", "given" : "Lars", "non-dropping-particle" : "", "parse-names" : false, "suffix" : "" } ], "container-title" : "The British journal of general practice : the journal of the Royal College of General Practitioners", "id" : "ITEM-4", "issue" : "529", "issued" : { "date-parts" : [ [ "2006", "8" ] ] }, "note" : "women and men", "page" : "587-93", "title" : "Psychosocial impact of Chlamydia trachomatis testing in general practice.", "type" : "article-journal", "volume" : "56" }, "uris" : [ "http://www.mendeley.com/documents/?uuid=8f88360f-1ce5-3c18-b612-33cd5106c2b2" ] } ], "mendeley" : { "formattedCitation" : "[9,12\u201314]", "plainTextFormattedCitation" : "[9,12\u201314]", "previouslyFormattedCitation" : "[9,12\u201314]" }, "properties" : { "noteIndex" : 0 }, "schema" : "https://github.com/citation-style-language/schema/raw/master/csl-citation.json" }</w:instrText>
      </w:r>
      <w:r w:rsidR="00B907B3" w:rsidRPr="009979BF">
        <w:rPr>
          <w:color w:val="auto"/>
          <w:sz w:val="20"/>
          <w:szCs w:val="20"/>
        </w:rPr>
        <w:fldChar w:fldCharType="separate"/>
      </w:r>
      <w:r w:rsidR="004B4B35" w:rsidRPr="009979BF">
        <w:rPr>
          <w:noProof/>
          <w:color w:val="auto"/>
          <w:sz w:val="20"/>
          <w:szCs w:val="20"/>
        </w:rPr>
        <w:t>[9,12–14]</w:t>
      </w:r>
      <w:r w:rsidR="00B907B3" w:rsidRPr="009979BF">
        <w:rPr>
          <w:color w:val="auto"/>
          <w:sz w:val="20"/>
          <w:szCs w:val="20"/>
        </w:rPr>
        <w:fldChar w:fldCharType="end"/>
      </w:r>
      <w:r w:rsidR="00AE09A2" w:rsidRPr="009979BF">
        <w:rPr>
          <w:color w:val="auto"/>
          <w:sz w:val="20"/>
          <w:szCs w:val="20"/>
        </w:rPr>
        <w:t>,</w:t>
      </w:r>
      <w:r w:rsidR="009A0478" w:rsidRPr="009979BF">
        <w:rPr>
          <w:color w:val="auto"/>
          <w:sz w:val="20"/>
          <w:szCs w:val="20"/>
        </w:rPr>
        <w:t xml:space="preserve"> with few studies </w:t>
      </w:r>
      <w:r w:rsidR="00BF2A3C" w:rsidRPr="009979BF">
        <w:rPr>
          <w:color w:val="auto"/>
          <w:sz w:val="20"/>
          <w:szCs w:val="20"/>
        </w:rPr>
        <w:t>recruiting</w:t>
      </w:r>
      <w:r w:rsidR="00341D65" w:rsidRPr="009979BF">
        <w:rPr>
          <w:color w:val="auto"/>
          <w:sz w:val="20"/>
          <w:szCs w:val="20"/>
        </w:rPr>
        <w:t xml:space="preserve"> </w:t>
      </w:r>
      <w:r w:rsidR="009A0478" w:rsidRPr="009979BF">
        <w:rPr>
          <w:color w:val="auto"/>
          <w:sz w:val="20"/>
          <w:szCs w:val="20"/>
        </w:rPr>
        <w:t xml:space="preserve">men.  </w:t>
      </w:r>
      <w:r w:rsidR="00BF2A3C" w:rsidRPr="009979BF">
        <w:rPr>
          <w:color w:val="auto"/>
          <w:sz w:val="20"/>
          <w:szCs w:val="20"/>
        </w:rPr>
        <w:t>A</w:t>
      </w:r>
      <w:r w:rsidR="009A0478" w:rsidRPr="009979BF">
        <w:rPr>
          <w:color w:val="auto"/>
          <w:sz w:val="20"/>
          <w:szCs w:val="20"/>
        </w:rPr>
        <w:t xml:space="preserve"> greater understanding of the degree and nature of psychosocia</w:t>
      </w:r>
      <w:r w:rsidR="00BF2A3C" w:rsidRPr="009979BF">
        <w:rPr>
          <w:color w:val="auto"/>
          <w:sz w:val="20"/>
          <w:szCs w:val="20"/>
        </w:rPr>
        <w:t>l impacts of a diagnosis of an STI, or a 'presumed STI</w:t>
      </w:r>
      <w:r w:rsidR="009A0478" w:rsidRPr="009979BF">
        <w:rPr>
          <w:color w:val="auto"/>
          <w:sz w:val="20"/>
          <w:szCs w:val="20"/>
        </w:rPr>
        <w:t>'</w:t>
      </w:r>
      <w:r w:rsidR="00BF2A3C" w:rsidRPr="009979BF">
        <w:rPr>
          <w:color w:val="auto"/>
          <w:sz w:val="20"/>
          <w:szCs w:val="20"/>
        </w:rPr>
        <w:t xml:space="preserve"> </w:t>
      </w:r>
      <w:r w:rsidR="009A0478" w:rsidRPr="009979BF">
        <w:rPr>
          <w:color w:val="auto"/>
          <w:sz w:val="20"/>
          <w:szCs w:val="20"/>
        </w:rPr>
        <w:t>such as NSGI</w:t>
      </w:r>
      <w:r w:rsidR="00BF2A3C" w:rsidRPr="009979BF">
        <w:rPr>
          <w:color w:val="auto"/>
          <w:sz w:val="20"/>
          <w:szCs w:val="20"/>
        </w:rPr>
        <w:t>,</w:t>
      </w:r>
      <w:r w:rsidR="009A0478" w:rsidRPr="009979BF">
        <w:rPr>
          <w:color w:val="auto"/>
          <w:sz w:val="20"/>
          <w:szCs w:val="20"/>
        </w:rPr>
        <w:t xml:space="preserve"> in men</w:t>
      </w:r>
      <w:r w:rsidR="00BF2A3C" w:rsidRPr="009979BF">
        <w:rPr>
          <w:color w:val="auto"/>
          <w:sz w:val="20"/>
          <w:szCs w:val="20"/>
        </w:rPr>
        <w:t>,</w:t>
      </w:r>
      <w:r w:rsidR="009A0478" w:rsidRPr="009979BF">
        <w:rPr>
          <w:color w:val="auto"/>
          <w:sz w:val="20"/>
          <w:szCs w:val="20"/>
        </w:rPr>
        <w:t xml:space="preserve"> is important to </w:t>
      </w:r>
      <w:r w:rsidR="00BF2A3C" w:rsidRPr="009979BF">
        <w:rPr>
          <w:color w:val="auto"/>
          <w:sz w:val="20"/>
          <w:szCs w:val="20"/>
        </w:rPr>
        <w:t xml:space="preserve">optimise </w:t>
      </w:r>
      <w:r w:rsidR="009A0478" w:rsidRPr="009979BF">
        <w:rPr>
          <w:color w:val="auto"/>
          <w:sz w:val="20"/>
          <w:szCs w:val="20"/>
        </w:rPr>
        <w:t>interventions</w:t>
      </w:r>
      <w:r w:rsidR="00BE39CA" w:rsidRPr="009979BF">
        <w:rPr>
          <w:color w:val="auto"/>
          <w:sz w:val="20"/>
          <w:szCs w:val="20"/>
        </w:rPr>
        <w:t>,</w:t>
      </w:r>
      <w:r w:rsidR="002F616A" w:rsidRPr="009979BF">
        <w:rPr>
          <w:color w:val="auto"/>
          <w:sz w:val="20"/>
          <w:szCs w:val="20"/>
        </w:rPr>
        <w:t xml:space="preserve"> including </w:t>
      </w:r>
      <w:r w:rsidR="00BF2A3C" w:rsidRPr="009979BF">
        <w:rPr>
          <w:color w:val="auto"/>
          <w:sz w:val="20"/>
          <w:szCs w:val="20"/>
        </w:rPr>
        <w:t>partner notification and risk-behaviour modification, which aim to</w:t>
      </w:r>
      <w:r w:rsidR="009A0478" w:rsidRPr="009979BF">
        <w:rPr>
          <w:color w:val="auto"/>
          <w:sz w:val="20"/>
          <w:szCs w:val="20"/>
        </w:rPr>
        <w:t xml:space="preserve"> reduce</w:t>
      </w:r>
      <w:r w:rsidR="00BF2A3C" w:rsidRPr="009979BF">
        <w:rPr>
          <w:color w:val="auto"/>
          <w:sz w:val="20"/>
          <w:szCs w:val="20"/>
        </w:rPr>
        <w:t xml:space="preserve"> the</w:t>
      </w:r>
      <w:r w:rsidR="009A0478" w:rsidRPr="009979BF">
        <w:rPr>
          <w:color w:val="auto"/>
          <w:sz w:val="20"/>
          <w:szCs w:val="20"/>
        </w:rPr>
        <w:t xml:space="preserve"> </w:t>
      </w:r>
      <w:r w:rsidR="00BF2A3C" w:rsidRPr="009979BF">
        <w:rPr>
          <w:color w:val="auto"/>
          <w:sz w:val="20"/>
          <w:szCs w:val="20"/>
        </w:rPr>
        <w:t xml:space="preserve">negative </w:t>
      </w:r>
      <w:r w:rsidR="00341D65" w:rsidRPr="009979BF">
        <w:rPr>
          <w:color w:val="auto"/>
          <w:sz w:val="20"/>
          <w:szCs w:val="20"/>
        </w:rPr>
        <w:t xml:space="preserve">impact </w:t>
      </w:r>
      <w:r w:rsidR="009A0478" w:rsidRPr="009979BF">
        <w:rPr>
          <w:color w:val="auto"/>
          <w:sz w:val="20"/>
          <w:szCs w:val="20"/>
        </w:rPr>
        <w:t>of STIs, such as</w:t>
      </w:r>
      <w:r w:rsidR="00341D65" w:rsidRPr="009979BF">
        <w:rPr>
          <w:color w:val="auto"/>
          <w:sz w:val="20"/>
          <w:szCs w:val="20"/>
        </w:rPr>
        <w:t xml:space="preserve"> </w:t>
      </w:r>
      <w:r w:rsidR="009A0478" w:rsidRPr="009979BF">
        <w:rPr>
          <w:color w:val="auto"/>
          <w:sz w:val="20"/>
          <w:szCs w:val="20"/>
        </w:rPr>
        <w:t>complications</w:t>
      </w:r>
      <w:r w:rsidR="00341D65" w:rsidRPr="009979BF">
        <w:rPr>
          <w:color w:val="auto"/>
          <w:sz w:val="20"/>
          <w:szCs w:val="20"/>
        </w:rPr>
        <w:t xml:space="preserve"> of infection</w:t>
      </w:r>
      <w:r w:rsidR="00BF2A3C" w:rsidRPr="009979BF">
        <w:rPr>
          <w:color w:val="auto"/>
          <w:sz w:val="20"/>
          <w:szCs w:val="20"/>
        </w:rPr>
        <w:t>.</w:t>
      </w:r>
      <w:r w:rsidR="009A0478" w:rsidRPr="009979BF">
        <w:rPr>
          <w:color w:val="auto"/>
          <w:sz w:val="20"/>
          <w:szCs w:val="20"/>
        </w:rPr>
        <w:t xml:space="preserve"> </w:t>
      </w:r>
    </w:p>
    <w:p w14:paraId="74738CAB" w14:textId="77777777" w:rsidR="00F46161" w:rsidRPr="009979BF" w:rsidRDefault="00F46161">
      <w:pPr>
        <w:spacing w:line="360" w:lineRule="auto"/>
        <w:jc w:val="both"/>
        <w:rPr>
          <w:color w:val="auto"/>
          <w:sz w:val="20"/>
          <w:szCs w:val="20"/>
        </w:rPr>
      </w:pPr>
    </w:p>
    <w:p w14:paraId="0FE8853E" w14:textId="77777777" w:rsidR="00BA203A" w:rsidRPr="009979BF" w:rsidRDefault="00342788">
      <w:pPr>
        <w:spacing w:line="360" w:lineRule="auto"/>
        <w:jc w:val="both"/>
        <w:rPr>
          <w:color w:val="auto"/>
          <w:sz w:val="20"/>
          <w:szCs w:val="20"/>
        </w:rPr>
      </w:pPr>
      <w:r w:rsidRPr="009979BF">
        <w:rPr>
          <w:color w:val="auto"/>
          <w:sz w:val="20"/>
          <w:szCs w:val="20"/>
        </w:rPr>
        <w:t>M</w:t>
      </w:r>
      <w:r w:rsidR="00F17C32" w:rsidRPr="009979BF">
        <w:rPr>
          <w:color w:val="auto"/>
          <w:sz w:val="20"/>
          <w:szCs w:val="20"/>
        </w:rPr>
        <w:t xml:space="preserve">en are </w:t>
      </w:r>
      <w:r w:rsidRPr="009979BF">
        <w:rPr>
          <w:color w:val="auto"/>
          <w:sz w:val="20"/>
          <w:szCs w:val="20"/>
        </w:rPr>
        <w:t xml:space="preserve">reportedly </w:t>
      </w:r>
      <w:r w:rsidR="00F17C32" w:rsidRPr="009979BF">
        <w:rPr>
          <w:color w:val="auto"/>
          <w:sz w:val="20"/>
          <w:szCs w:val="20"/>
        </w:rPr>
        <w:t xml:space="preserve">poor users of health services, largely </w:t>
      </w:r>
      <w:r w:rsidR="001E318D" w:rsidRPr="009979BF">
        <w:rPr>
          <w:color w:val="auto"/>
          <w:sz w:val="20"/>
          <w:szCs w:val="20"/>
        </w:rPr>
        <w:t>due to</w:t>
      </w:r>
      <w:r w:rsidR="00F17C32" w:rsidRPr="009979BF">
        <w:rPr>
          <w:color w:val="auto"/>
          <w:sz w:val="20"/>
          <w:szCs w:val="20"/>
        </w:rPr>
        <w:t xml:space="preserve"> culturally </w:t>
      </w:r>
      <w:r w:rsidR="00411306" w:rsidRPr="009979BF">
        <w:rPr>
          <w:color w:val="auto"/>
          <w:sz w:val="20"/>
          <w:szCs w:val="20"/>
        </w:rPr>
        <w:t>dominant ideals of masculinity that equate illness with weakness</w:t>
      </w:r>
      <w:r w:rsidR="00C0195D" w:rsidRPr="009979BF">
        <w:rPr>
          <w:color w:val="auto"/>
          <w:sz w:val="20"/>
          <w:szCs w:val="20"/>
        </w:rPr>
        <w:t>,</w:t>
      </w:r>
      <w:r w:rsidR="00411306" w:rsidRPr="009979BF">
        <w:rPr>
          <w:color w:val="auto"/>
          <w:sz w:val="20"/>
          <w:szCs w:val="20"/>
        </w:rPr>
        <w:t xml:space="preserve"> </w:t>
      </w:r>
      <w:r w:rsidR="001E318D" w:rsidRPr="009979BF">
        <w:rPr>
          <w:color w:val="auto"/>
          <w:sz w:val="20"/>
          <w:szCs w:val="20"/>
        </w:rPr>
        <w:t xml:space="preserve">which </w:t>
      </w:r>
      <w:r w:rsidR="00411306" w:rsidRPr="009979BF">
        <w:rPr>
          <w:color w:val="auto"/>
          <w:sz w:val="20"/>
          <w:szCs w:val="20"/>
        </w:rPr>
        <w:t xml:space="preserve">may </w:t>
      </w:r>
      <w:r w:rsidR="001E318D" w:rsidRPr="009979BF">
        <w:rPr>
          <w:color w:val="auto"/>
          <w:sz w:val="20"/>
          <w:szCs w:val="20"/>
        </w:rPr>
        <w:t>impede</w:t>
      </w:r>
      <w:r w:rsidR="00411306" w:rsidRPr="009979BF">
        <w:rPr>
          <w:color w:val="auto"/>
          <w:sz w:val="20"/>
          <w:szCs w:val="20"/>
        </w:rPr>
        <w:t xml:space="preserve"> </w:t>
      </w:r>
      <w:r w:rsidR="00524749" w:rsidRPr="009979BF">
        <w:rPr>
          <w:color w:val="auto"/>
          <w:sz w:val="20"/>
          <w:szCs w:val="20"/>
        </w:rPr>
        <w:t>care-</w:t>
      </w:r>
      <w:r w:rsidR="00411306" w:rsidRPr="009979BF">
        <w:rPr>
          <w:color w:val="auto"/>
          <w:sz w:val="20"/>
          <w:szCs w:val="20"/>
        </w:rPr>
        <w:t>seeking</w:t>
      </w:r>
      <w:r w:rsidR="00F74357" w:rsidRPr="009979BF">
        <w:rPr>
          <w:color w:val="auto"/>
          <w:sz w:val="20"/>
          <w:szCs w:val="20"/>
        </w:rPr>
        <w:t xml:space="preserve"> </w:t>
      </w:r>
      <w:r w:rsidR="00B907B3" w:rsidRPr="009979BF">
        <w:rPr>
          <w:color w:val="auto"/>
          <w:sz w:val="20"/>
          <w:szCs w:val="20"/>
        </w:rPr>
        <w:fldChar w:fldCharType="begin" w:fldLock="1"/>
      </w:r>
      <w:r w:rsidR="008D4440" w:rsidRPr="009979BF">
        <w:rPr>
          <w:color w:val="auto"/>
          <w:sz w:val="20"/>
          <w:szCs w:val="20"/>
        </w:rPr>
        <w:instrText>ADDIN CSL_CITATION { "citationItems" : [ { "id" : "ITEM-1", "itemData" : { "DOI" : "10.1177/001789690506400402", "ISSN" : "0017-8969", "abstract" : "Within the UK, health promotion work with men is well established with examples now dating back for over twenty years. Ten years ago, Robertson1 wrote a review of the state of health promotion services for men in the UK. However, much has changed in policy and practice since this time. This brief paper therefore provides a periodic review of how such services have developed and progressed in the last ten years. The reasons for these developments are explored before consideration is given to what current challenges remain in health promotion work with men. The paper suggests that, despite innovative changes in practice, and a policy agenda that facilitates more holistic approaches, there is little change in men's health related practices and subsequent health outcomes. The reasons for this are considered, as are the opportunities that currently exist to help improve future health promotion services for men.", "author" : [ { "dropping-particle" : "", "family" : "Robertson", "given" : "Steve", "non-dropping-particle" : "", "parse-names" : false, "suffix" : "" }, { "dropping-particle" : "", "family" : "Williamson", "given" : "Peter", "non-dropping-particle" : "", "parse-names" : false, "suffix" : "" } ], "container-title" : "Health Education Journal", "id" : "ITEM-1", "issue" : "4", "issued" : { "date-parts" : [ [ "2005", "12" ] ] }, "page" : "293-301", "publisher" : "Sage PublicationsSage CA: Thousand Oaks, CA", "title" : "Men and health promotion in the UK: Ten years further on?", "type" : "article-journal", "volume" : "64" }, "uris" : [ "http://www.mendeley.com/documents/?uuid=fc190ae8-e30a-3ae7-a18c-e3e37bf6bc14" ] }, { "id" : "ITEM-2", "itemData" : { "DOI" : "10.1111/1467-9566.00124", "author" : [ { "dropping-particle" : "", "family" : "Cameron", "given" : "Elaine", "non-dropping-particle" : "", "parse-names" : false, "suffix" : "" }, { "dropping-particle" : "", "family" : "Bernardes", "given" : "Jon", "non-dropping-particle" : "", "parse-names" : false, "suffix" : "" } ], "container-title" : "Sociology of Health &amp;amp; Illness", "id" : "ITEM-2", "issue" : "5", "issued" : { "date-parts" : [ [ "1998", "9" ] ] }, "page" : "673-693", "publisher" : "Blackwell Publishers Ltd", "title" : "Gender and disadvantage in health: men's health for a change", "type" : "article-journal", "volume" : "20" }, "uris" : [ "http://www.mendeley.com/documents/?uuid=288810a2-a148-3d90-9c00-9a53825285c9" ] }, { "id" : "ITEM-3", "itemData" : { "ISBN" : "9780520246980", "abstract" : "2nd ed. Introduction to the second edition -- Introducing masculinities -- Growth of the field of study -- Debates and difficulties -- The global dimension -- In conclusion -- pt. I. Knowledge and its problems -- 1. The science of masculinity -- Rival knowledges -- Clinical knowledge -- The Oedipus complex -- Archetype and identity -- Radical psychoanalysis -- The male role -- The new social science -- Histories -- Ethnography of the other -- Social construction and gender dynamics -- Political knowledge -- The object of knowledge -- 2. Men's bodies -- True masculinity -- Machine, landscape and compromise -- The body inescapable -- Complexities of mire or blood -- Banquo's ghost : body-reflexive practices -- Forming the world -- 3. The social organization of masculinity -- Defining masculinity -- Gender as a structure of social practice -- Relations among masculinities : hegemony, subordination, complicity, marginalization -- Historical dynamics, violence and crisis tendencies. pt. II. Four studies of the dynamics of masculinity -- Introduction -- 4. Live fast and die young -- Group and context -- Abstract labour -- Violence and the state -- Compulsory heterosexuality for men -- Masculinity as collective practice -- Protest masculinity -- Other trajectories -- Divergent masculinities and gender politics -- 5. A whole new world -- The moment of engagement -- Distancing -- The environmental movement -- Encounters with feminism -- The moment of separation -- The annihilation of masculinity -- The moment of contestation -- 6. A very straight gay -- The moment of engagement -- The grain of sand : sexuality -- Being gay : identity and relationships -- Relations between masculinities -- Facing change -- Gay masculinity as project and history -- 7. Men of reason -- Constructing masculinity -- Constructing rationality -- Career and workplace -- The irrational -- Reason and change. pt. III. History and politics -- 8. The history of masculinity -- The production of masculinity in the formation of the modern gender order -- Transformations -- The present moment -- 9. Masculinity politics -- Men's politics and masculinity politics -- Masculinity therapy -- The gun lobby : defending hegemonic masculinity -- Gay liberation -- Exit politics -- 10. Practice and utopia -- Historical consciousness -- Purposes of action -- Degendering and recomposing -- Forms of action -- Education -- Prospects -- Afterword : the contemporary politics of masculinity -- Men's interests in c\u2026", "author" : [ { "dropping-particle" : "", "family" : "Connell", "given" : "Raewyn", "non-dropping-particle" : "", "parse-names" : false, "suffix" : "" } ], "id" : "ITEM-3", "issued" : { "date-parts" : [ [ "2005" ] ] }, "number-of-pages" : "324", "publisher" : "University of California Press", "title" : "Masculinities", "type" : "book" }, "uris" : [ "http://www.mendeley.com/documents/?uuid=7ba2abb9-8347-32cb-864d-1ee666d240f0" ] }, { "id" : "ITEM-4", "itemData" : { "DOI" : "10.3149/jmh.1103.202", "abstract" : "Men's hesitancy to seek help for psychological distress is demonstrated in the quan-titative literature. Men's perspectives and experiences need to be better understood to inform policy and practice. A meta-ethnography was conducted of 51 qualitative studies on men's perspectives on psychological distress and help seeking. Findings indicate most participants' conceptualizations of psychological distress are socially-based and many have difficulty with the term \" depression. \" Men's accounts show no-tions of masculinity negatively impacts mental health and acts as a barrier to help seeking. Challenging the common characterization of men, men reveal the impact of interpersonal factors on mental health. Gender is revealed as a determinant of health that interacts with economic security, ethnicity and sexuality. Implications for policy and practice are discussed. Keywords: men's mental health, qualitative meta-ethnography, masculinities, lay perspectives on mental health, determinants of mental health A growing body of research has established men are far less likely to seek both informal and formal help for mental health problems (Addis &amp; Mahalik, 2003; Galdas, Cheater, &amp; Marshall, 2005). The unmet need for mental health care and support among men is a sig-nificant public health matter. One possible result of the gendered nature of help seeking is the startling statistics that in Western countries men die by suicide three to four times the rate of women. (World Health Organization, 2002). The literature exploring the nature of men's mental health and help seeking behaviour is small, relatively recent (the majority of publications are from within the past decade) and growing. Much of the men's mental health research to date has been larger scale quantitative studies focusing on the impact of mas-culinity on health. This paper centers the less well trodden path taken in the men's mental 202", "author" : [ { "dropping-particle" : "", "family" : "Hoy", "given" : "S", "non-dropping-particle" : "", "parse-names" : false, "suffix" : "" } ], "container-title" : "International Journal of Men's Health", "id" : "ITEM-4", "issue" : "3", "issued" : { "date-parts" : [ [ "2012" ] ] }, "page" : "202-206", "title" : "Beyond Men Behaving Badly: A Meta-Ethnography of Men's Perspectives on Psychological Distress and Help Seeking", "type" : "article-journal", "volume" : "11" }, "uris" : [ "http://www.mendeley.com/documents/?uuid=faddee25-2925-3f1b-a890-0899285b8821" ] } ], "mendeley" : { "formattedCitation" : "[15\u201318]", "plainTextFormattedCitation" : "[15\u201318]", "previouslyFormattedCitation" : "[15\u201318]" }, "properties" : { "noteIndex" : 0 }, "schema" : "https://github.com/citation-style-language/schema/raw/master/csl-citation.json" }</w:instrText>
      </w:r>
      <w:r w:rsidR="00B907B3" w:rsidRPr="009979BF">
        <w:rPr>
          <w:color w:val="auto"/>
          <w:sz w:val="20"/>
          <w:szCs w:val="20"/>
        </w:rPr>
        <w:fldChar w:fldCharType="separate"/>
      </w:r>
      <w:r w:rsidR="004B4B35" w:rsidRPr="009979BF">
        <w:rPr>
          <w:noProof/>
          <w:color w:val="auto"/>
          <w:sz w:val="20"/>
          <w:szCs w:val="20"/>
        </w:rPr>
        <w:t>[15–18]</w:t>
      </w:r>
      <w:r w:rsidR="00B907B3" w:rsidRPr="009979BF">
        <w:rPr>
          <w:color w:val="auto"/>
          <w:sz w:val="20"/>
          <w:szCs w:val="20"/>
        </w:rPr>
        <w:fldChar w:fldCharType="end"/>
      </w:r>
      <w:r w:rsidR="005B4FBB" w:rsidRPr="009979BF">
        <w:rPr>
          <w:color w:val="auto"/>
          <w:sz w:val="20"/>
          <w:szCs w:val="20"/>
        </w:rPr>
        <w:t>.</w:t>
      </w:r>
      <w:r w:rsidR="00411306" w:rsidRPr="009979BF">
        <w:rPr>
          <w:color w:val="auto"/>
          <w:sz w:val="20"/>
          <w:szCs w:val="20"/>
        </w:rPr>
        <w:t xml:space="preserve"> In sexual healthcare,</w:t>
      </w:r>
      <w:r w:rsidR="00F17C32" w:rsidRPr="009979BF">
        <w:rPr>
          <w:color w:val="auto"/>
          <w:sz w:val="20"/>
          <w:szCs w:val="20"/>
        </w:rPr>
        <w:t xml:space="preserve"> the</w:t>
      </w:r>
      <w:r w:rsidR="00411306" w:rsidRPr="009979BF">
        <w:rPr>
          <w:color w:val="auto"/>
          <w:sz w:val="20"/>
          <w:szCs w:val="20"/>
        </w:rPr>
        <w:t>re has traditionally been a</w:t>
      </w:r>
      <w:r w:rsidR="00F17C32" w:rsidRPr="009979BF">
        <w:rPr>
          <w:color w:val="auto"/>
          <w:sz w:val="20"/>
          <w:szCs w:val="20"/>
        </w:rPr>
        <w:t xml:space="preserve"> focus on female reproductive health</w:t>
      </w:r>
      <w:r w:rsidR="004D4573" w:rsidRPr="009979BF">
        <w:rPr>
          <w:color w:val="auto"/>
          <w:sz w:val="20"/>
          <w:szCs w:val="20"/>
        </w:rPr>
        <w:t xml:space="preserve"> </w:t>
      </w:r>
      <w:r w:rsidR="00B907B3" w:rsidRPr="009979BF">
        <w:rPr>
          <w:color w:val="auto"/>
          <w:sz w:val="20"/>
          <w:szCs w:val="20"/>
        </w:rPr>
        <w:fldChar w:fldCharType="begin" w:fldLock="1"/>
      </w:r>
      <w:r w:rsidR="008D4440" w:rsidRPr="009979BF">
        <w:rPr>
          <w:color w:val="auto"/>
          <w:sz w:val="20"/>
          <w:szCs w:val="20"/>
        </w:rPr>
        <w:instrText>ADDIN CSL_CITATION { "citationItems" : [ { "id" : "ITEM-1", "itemData" : { "DOI" : "10.1080/136910500300769", "ISSN" : "1369-1058", "abstract" : "Following the 1994 International Conference on Population and Development, the world has seen a shift in paradigm away from focused family planning programmes towards reproductive and sexual health more generally. This paper considers how the traditional emphasis on women's health and family planning can result in men's sexual health needs being overlooked. A biomedical rationale to target men with health services evolved from the rising interest in control programmes for HIV and sexually transmitted infections (STIs). To plan appropriate health interventions more needs to be known about how men perceive their sexual health. Unique data from Orissa (India) and rural Bangladesh illustrate men's perceptions of their sexual health problems and demonstrate that men are willing to seek care. While public sector programmers and health planners may be focusing their attention on the control of STIs, men in both studies indicated that their major concerns relate more to matters of psychosexual disorders. The fail...", "author" : [ { "dropping-particle" : "", "family" : "Collumbien", "given" : "Martine", "non-dropping-particle" : "", "parse-names" : false, "suffix" : "" }, { "dropping-particle" : "", "family" : "Hawkes", "given" : "Sarah", "non-dropping-particle" : "", "parse-names" : false, "suffix" : "" } ], "container-title" : "Culture, Health &amp; Sexuality", "id" : "ITEM-1", "issue" : "2", "issued" : { "date-parts" : [ [ "2000", "1" ] ] }, "page" : "135-150", "publisher" : " Taylor &amp; Francis Group ", "title" : "Missing men's messages: Does the reproductive health approach respond to men's sexual health needs?", "type" : "article-journal", "volume" : "2" }, "uris" : [ "http://www.mendeley.com/documents/?uuid=b2e8948f-04b2-3b8e-a931-6ef6413aa7b8" ] } ], "mendeley" : { "formattedCitation" : "[19]", "plainTextFormattedCitation" : "[19]", "previouslyFormattedCitation" : "[19]" }, "properties" : { "noteIndex" : 0 }, "schema" : "https://github.com/citation-style-language/schema/raw/master/csl-citation.json" }</w:instrText>
      </w:r>
      <w:r w:rsidR="00B907B3" w:rsidRPr="009979BF">
        <w:rPr>
          <w:color w:val="auto"/>
          <w:sz w:val="20"/>
          <w:szCs w:val="20"/>
        </w:rPr>
        <w:fldChar w:fldCharType="separate"/>
      </w:r>
      <w:r w:rsidR="004B4B35" w:rsidRPr="009979BF">
        <w:rPr>
          <w:noProof/>
          <w:color w:val="auto"/>
          <w:sz w:val="20"/>
          <w:szCs w:val="20"/>
        </w:rPr>
        <w:t>[19]</w:t>
      </w:r>
      <w:r w:rsidR="00B907B3" w:rsidRPr="009979BF">
        <w:rPr>
          <w:color w:val="auto"/>
          <w:sz w:val="20"/>
          <w:szCs w:val="20"/>
        </w:rPr>
        <w:fldChar w:fldCharType="end"/>
      </w:r>
      <w:r w:rsidR="00A84EE8" w:rsidRPr="009979BF">
        <w:rPr>
          <w:color w:val="auto"/>
          <w:sz w:val="20"/>
          <w:szCs w:val="20"/>
        </w:rPr>
        <w:t>,</w:t>
      </w:r>
      <w:r w:rsidR="00411306" w:rsidRPr="009979BF">
        <w:rPr>
          <w:color w:val="auto"/>
          <w:sz w:val="20"/>
          <w:szCs w:val="20"/>
        </w:rPr>
        <w:t xml:space="preserve"> and this </w:t>
      </w:r>
      <w:r w:rsidR="00F17C32" w:rsidRPr="009979BF">
        <w:rPr>
          <w:color w:val="auto"/>
          <w:sz w:val="20"/>
          <w:szCs w:val="20"/>
        </w:rPr>
        <w:t xml:space="preserve">may </w:t>
      </w:r>
      <w:r w:rsidR="00411306" w:rsidRPr="009979BF">
        <w:rPr>
          <w:color w:val="auto"/>
          <w:sz w:val="20"/>
          <w:szCs w:val="20"/>
        </w:rPr>
        <w:t xml:space="preserve">further </w:t>
      </w:r>
      <w:r w:rsidR="00A2137E" w:rsidRPr="009979BF">
        <w:rPr>
          <w:color w:val="auto"/>
          <w:sz w:val="20"/>
          <w:szCs w:val="20"/>
        </w:rPr>
        <w:t>discourage male attendance</w:t>
      </w:r>
      <w:r w:rsidR="00B066D8" w:rsidRPr="009979BF">
        <w:rPr>
          <w:color w:val="auto"/>
          <w:sz w:val="20"/>
          <w:szCs w:val="20"/>
        </w:rPr>
        <w:t xml:space="preserve"> </w:t>
      </w:r>
      <w:r w:rsidR="00B907B3" w:rsidRPr="009979BF">
        <w:rPr>
          <w:color w:val="auto"/>
          <w:sz w:val="20"/>
          <w:szCs w:val="20"/>
        </w:rPr>
        <w:fldChar w:fldCharType="begin" w:fldLock="1"/>
      </w:r>
      <w:r w:rsidR="008D4440" w:rsidRPr="009979BF">
        <w:rPr>
          <w:color w:val="auto"/>
          <w:sz w:val="20"/>
          <w:szCs w:val="20"/>
        </w:rPr>
        <w:instrText>ADDIN CSL_CITATION { "citationItems" : [ { "id" : "ITEM-1", "itemData" : { "DOI" : "10.1080/136910500300769", "ISSN" : "1369-1058", "abstract" : "Following the 1994 International Conference on Population and Development, the world has seen a shift in paradigm away from focused family planning programmes towards reproductive and sexual health more generally. This paper considers how the traditional emphasis on women's health and family planning can result in men's sexual health needs being overlooked. A biomedical rationale to target men with health services evolved from the rising interest in control programmes for HIV and sexually transmitted infections (STIs). To plan appropriate health interventions more needs to be known about how men perceive their sexual health. Unique data from Orissa (India) and rural Bangladesh illustrate men's perceptions of their sexual health problems and demonstrate that men are willing to seek care. While public sector programmers and health planners may be focusing their attention on the control of STIs, men in both studies indicated that their major concerns relate more to matters of psychosexual disorders. The fail...", "author" : [ { "dropping-particle" : "", "family" : "Collumbien", "given" : "Martine", "non-dropping-particle" : "", "parse-names" : false, "suffix" : "" }, { "dropping-particle" : "", "family" : "Hawkes", "given" : "Sarah", "non-dropping-particle" : "", "parse-names" : false, "suffix" : "" } ], "container-title" : "Culture, Health &amp; Sexuality", "id" : "ITEM-1", "issue" : "2", "issued" : { "date-parts" : [ [ "2000", "1" ] ] }, "page" : "135-150", "publisher" : " Taylor &amp; Francis Group ", "title" : "Missing men's messages: Does the reproductive health approach respond to men's sexual health needs?", "type" : "article-journal", "volume" : "2" }, "uris" : [ "http://www.mendeley.com/documents/?uuid=b2e8948f-04b2-3b8e-a931-6ef6413aa7b8" ] }, { "id" : "ITEM-2", "itemData" : { "author" : [ { "dropping-particle" : "", "family" : "Banks", "given" : "Ian", "non-dropping-particle" : "", "parse-names" : false, "suffix" : "" } ], "container-title" : "BMJ", "id" : "ITEM-2", "issue" : "7320", "issued" : { "date-parts" : [ [ "2001" ] ] }, "title" : "No man's land: men, illness, and the NHS", "type" : "article-journal", "volume" : "323" }, "uris" : [ "http://www.mendeley.com/documents/?uuid=e842e2da-1154-39f1-b857-10e406163b0a" ] } ], "mendeley" : { "formattedCitation" : "[19,20]", "plainTextFormattedCitation" : "[19,20]", "previouslyFormattedCitation" : "[19,20]" }, "properties" : { "noteIndex" : 0 }, "schema" : "https://github.com/citation-style-language/schema/raw/master/csl-citation.json" }</w:instrText>
      </w:r>
      <w:r w:rsidR="00B907B3" w:rsidRPr="009979BF">
        <w:rPr>
          <w:color w:val="auto"/>
          <w:sz w:val="20"/>
          <w:szCs w:val="20"/>
        </w:rPr>
        <w:fldChar w:fldCharType="separate"/>
      </w:r>
      <w:r w:rsidR="004B4B35" w:rsidRPr="009979BF">
        <w:rPr>
          <w:noProof/>
          <w:color w:val="auto"/>
          <w:sz w:val="20"/>
          <w:szCs w:val="20"/>
        </w:rPr>
        <w:t>[19,20]</w:t>
      </w:r>
      <w:r w:rsidR="00B907B3" w:rsidRPr="009979BF">
        <w:rPr>
          <w:color w:val="auto"/>
          <w:sz w:val="20"/>
          <w:szCs w:val="20"/>
        </w:rPr>
        <w:fldChar w:fldCharType="end"/>
      </w:r>
      <w:r w:rsidR="00C106EA" w:rsidRPr="009979BF">
        <w:rPr>
          <w:color w:val="auto"/>
          <w:sz w:val="20"/>
          <w:szCs w:val="20"/>
        </w:rPr>
        <w:t>.</w:t>
      </w:r>
      <w:r w:rsidR="00F17C32" w:rsidRPr="009979BF">
        <w:rPr>
          <w:color w:val="auto"/>
          <w:sz w:val="20"/>
          <w:szCs w:val="20"/>
        </w:rPr>
        <w:t xml:space="preserve"> However,</w:t>
      </w:r>
      <w:r w:rsidR="00DC2DFB" w:rsidRPr="009979BF">
        <w:rPr>
          <w:color w:val="auto"/>
          <w:sz w:val="20"/>
          <w:szCs w:val="20"/>
        </w:rPr>
        <w:t xml:space="preserve"> </w:t>
      </w:r>
      <w:r w:rsidR="00411306" w:rsidRPr="009979BF">
        <w:rPr>
          <w:color w:val="auto"/>
          <w:sz w:val="20"/>
          <w:szCs w:val="20"/>
        </w:rPr>
        <w:t>men are willing</w:t>
      </w:r>
      <w:r w:rsidR="00F17C32" w:rsidRPr="009979BF">
        <w:rPr>
          <w:color w:val="auto"/>
          <w:sz w:val="20"/>
          <w:szCs w:val="20"/>
        </w:rPr>
        <w:t xml:space="preserve"> to respond </w:t>
      </w:r>
      <w:r w:rsidR="00411306" w:rsidRPr="009979BF">
        <w:rPr>
          <w:color w:val="auto"/>
          <w:sz w:val="20"/>
          <w:szCs w:val="20"/>
        </w:rPr>
        <w:t xml:space="preserve">openly </w:t>
      </w:r>
      <w:r w:rsidR="00F17C32" w:rsidRPr="009979BF">
        <w:rPr>
          <w:color w:val="auto"/>
          <w:sz w:val="20"/>
          <w:szCs w:val="20"/>
        </w:rPr>
        <w:t>to questions about their sexual health,</w:t>
      </w:r>
      <w:r w:rsidR="002511AB" w:rsidRPr="009979BF">
        <w:rPr>
          <w:color w:val="auto"/>
          <w:sz w:val="20"/>
          <w:szCs w:val="20"/>
        </w:rPr>
        <w:t xml:space="preserve"> </w:t>
      </w:r>
      <w:r w:rsidR="00F17C32" w:rsidRPr="009979BF">
        <w:rPr>
          <w:color w:val="auto"/>
          <w:sz w:val="20"/>
          <w:szCs w:val="20"/>
        </w:rPr>
        <w:t xml:space="preserve">particularly when </w:t>
      </w:r>
      <w:r w:rsidR="008E4571" w:rsidRPr="009979BF">
        <w:rPr>
          <w:color w:val="auto"/>
          <w:sz w:val="20"/>
          <w:szCs w:val="20"/>
        </w:rPr>
        <w:t>e</w:t>
      </w:r>
      <w:r w:rsidR="00F17C32" w:rsidRPr="009979BF">
        <w:rPr>
          <w:color w:val="auto"/>
          <w:sz w:val="20"/>
          <w:szCs w:val="20"/>
        </w:rPr>
        <w:t xml:space="preserve">nquiries are focused </w:t>
      </w:r>
      <w:r w:rsidR="00A84EE8" w:rsidRPr="009979BF">
        <w:rPr>
          <w:color w:val="auto"/>
          <w:sz w:val="20"/>
          <w:szCs w:val="20"/>
        </w:rPr>
        <w:t>specifically on men’s needs</w:t>
      </w:r>
      <w:r w:rsidR="00E0479C" w:rsidRPr="009979BF">
        <w:rPr>
          <w:color w:val="auto"/>
          <w:sz w:val="20"/>
          <w:szCs w:val="20"/>
        </w:rPr>
        <w:t xml:space="preserve"> </w:t>
      </w:r>
      <w:r w:rsidR="00B907B3" w:rsidRPr="009979BF">
        <w:rPr>
          <w:color w:val="auto"/>
          <w:sz w:val="20"/>
          <w:szCs w:val="20"/>
        </w:rPr>
        <w:fldChar w:fldCharType="begin" w:fldLock="1"/>
      </w:r>
      <w:r w:rsidR="008D4440" w:rsidRPr="009979BF">
        <w:rPr>
          <w:color w:val="auto"/>
          <w:sz w:val="20"/>
          <w:szCs w:val="20"/>
        </w:rPr>
        <w:instrText>ADDIN CSL_CITATION { "citationItems" : [ { "id" : "ITEM-1", "itemData" : { "DOI" : "10.1080/136910500300769", "ISSN" : "1369-1058", "abstract" : "Following the 1994 International Conference on Population and Development, the world has seen a shift in paradigm away from focused family planning programmes towards reproductive and sexual health more generally. This paper considers how the traditional emphasis on women's health and family planning can result in men's sexual health needs being overlooked. A biomedical rationale to target men with health services evolved from the rising interest in control programmes for HIV and sexually transmitted infections (STIs). To plan appropriate health interventions more needs to be known about how men perceive their sexual health. Unique data from Orissa (India) and rural Bangladesh illustrate men's perceptions of their sexual health problems and demonstrate that men are willing to seek care. While public sector programmers and health planners may be focusing their attention on the control of STIs, men in both studies indicated that their major concerns relate more to matters of psychosexual disorders. The fail...", "author" : [ { "dropping-particle" : "", "family" : "Collumbien", "given" : "Martine", "non-dropping-particle" : "", "parse-names" : false, "suffix" : "" }, { "dropping-particle" : "", "family" : "Hawkes", "given" : "Sarah", "non-dropping-particle" : "", "parse-names" : false, "suffix" : "" } ], "container-title" : "Culture, Health &amp; Sexuality", "id" : "ITEM-1", "issue" : "2", "issued" : { "date-parts" : [ [ "2000", "1" ] ] }, "page" : "135-150", "publisher" : " Taylor &amp; Francis Group ", "title" : "Missing men's messages: Does the reproductive health approach respond to men's sexual health needs?", "type" : "article-journal", "volume" : "2" }, "uris" : [ "http://www.mendeley.com/documents/?uuid=b2e8948f-04b2-3b8e-a931-6ef6413aa7b8" ] }, { "id" : "ITEM-2", "itemData" : { "ISSN" : "0277-9536", "abstract" : "It is often assumed that men are reluctant to seek medical care. However, despite growing interest in masculinity and men's health, few studies have focussed on men's experiences of consultation in relation to their constructions of masculinity. Those that have are largely based on men with diseases of the male body (testicular and prostate cancer) or those which have been stereotyped as male (coronary heart disease). This paper presents discussions and experiences of help seeking and its relation to, and implications for, the practice of masculinity amongst a diversity of men in Scotland, as articulated in focus group discussions. The discussions did indeed suggest a widespread endorsement of a 'hegemonic' view that men 'should' be reluctant to seek help, particularly amongst younger men. However, they also included instances which questioned or went against this apparent reluctance to seek help. These were themselves linked with masculinity: help seeking was more quickly embraced when it was perceived as a means to preserve or restore another, more valued, enactment of masculinity (e.g. working as a fire-fighter, or maintaining sexual performance or function). Few other studies have emphasised how men negotiate deviations from the hegemonic view of help-seeking.", "author" : [ { "dropping-particle" : "", "family" : "Rosaleen", "given" : "O'Brien,", "non-dropping-particle" : "", "parse-names" : false, "suffix" : "" }, { "dropping-particle" : "", "family" : "Hunt", "given" : "Kate", "non-dropping-particle" : "", "parse-names" : false, "suffix" : "" }, { "dropping-particle" : "", "family" : "Hart", "given" : "Graham", "non-dropping-particle" : "", "parse-names" : false, "suffix" : "" }, { "dropping-particle" : "", "family" : "Rosaleen", "given" : "O'Brien,", "non-dropping-particle" : "", "parse-names" : false, "suffix" : "" }, { "dropping-particle" : "", "family" : "Hunt", "given" : "Kate", "non-dropping-particle" : "", "parse-names" : false, "suffix" : "" }, { "dropping-particle" : "", "family" : "Hart", "given" : "Graham", "non-dropping-particle" : "", "parse-names" : false, "suffix" : "" } ], "container-title" : "Social Science &amp; Medicine", "id" : "ITEM-2", "issue" : "3", "issued" : { "date-parts" : [ [ "2005" ] ] }, "number-of-pages" : "503-516", "publisher" : "Elsevier Science", "title" : "Social science &amp;amp; medicine.", "type" : "book", "volume" : "61" }, "uris" : [ "http://www.mendeley.com/documents/?uuid=2b728a0a-cc64-3e14-b3e0-9ce0868510b3" ] } ], "mendeley" : { "formattedCitation" : "[19,21]", "plainTextFormattedCitation" : "[19,21]", "previouslyFormattedCitation" : "[19,21]" }, "properties" : { "noteIndex" : 0 }, "schema" : "https://github.com/citation-style-language/schema/raw/master/csl-citation.json" }</w:instrText>
      </w:r>
      <w:r w:rsidR="00B907B3" w:rsidRPr="009979BF">
        <w:rPr>
          <w:color w:val="auto"/>
          <w:sz w:val="20"/>
          <w:szCs w:val="20"/>
        </w:rPr>
        <w:fldChar w:fldCharType="separate"/>
      </w:r>
      <w:r w:rsidR="004B4B35" w:rsidRPr="009979BF">
        <w:rPr>
          <w:noProof/>
          <w:color w:val="auto"/>
          <w:sz w:val="20"/>
          <w:szCs w:val="20"/>
        </w:rPr>
        <w:t>[19,21]</w:t>
      </w:r>
      <w:r w:rsidR="00B907B3" w:rsidRPr="009979BF">
        <w:rPr>
          <w:color w:val="auto"/>
          <w:sz w:val="20"/>
          <w:szCs w:val="20"/>
        </w:rPr>
        <w:fldChar w:fldCharType="end"/>
      </w:r>
      <w:r w:rsidR="00C106EA" w:rsidRPr="009979BF">
        <w:rPr>
          <w:color w:val="auto"/>
          <w:sz w:val="20"/>
          <w:szCs w:val="20"/>
        </w:rPr>
        <w:t>.</w:t>
      </w:r>
      <w:r w:rsidR="00411306" w:rsidRPr="009979BF">
        <w:rPr>
          <w:color w:val="auto"/>
          <w:sz w:val="20"/>
          <w:szCs w:val="20"/>
        </w:rPr>
        <w:t xml:space="preserve"> </w:t>
      </w:r>
      <w:r w:rsidR="00A2137E" w:rsidRPr="009979BF">
        <w:rPr>
          <w:color w:val="auto"/>
          <w:sz w:val="20"/>
          <w:szCs w:val="20"/>
        </w:rPr>
        <w:t xml:space="preserve"> </w:t>
      </w:r>
    </w:p>
    <w:p w14:paraId="664C5E95" w14:textId="77777777" w:rsidR="005731E5" w:rsidRPr="009979BF" w:rsidRDefault="005731E5">
      <w:pPr>
        <w:spacing w:line="360" w:lineRule="auto"/>
        <w:jc w:val="both"/>
        <w:rPr>
          <w:color w:val="auto"/>
          <w:sz w:val="20"/>
          <w:szCs w:val="20"/>
        </w:rPr>
      </w:pPr>
    </w:p>
    <w:p w14:paraId="1AD569C6" w14:textId="77777777" w:rsidR="005731E5" w:rsidRPr="009979BF" w:rsidRDefault="005731E5">
      <w:pPr>
        <w:spacing w:line="360" w:lineRule="auto"/>
        <w:jc w:val="both"/>
        <w:rPr>
          <w:color w:val="auto"/>
          <w:sz w:val="20"/>
          <w:szCs w:val="20"/>
        </w:rPr>
      </w:pPr>
      <w:r w:rsidRPr="009979BF">
        <w:rPr>
          <w:color w:val="auto"/>
          <w:sz w:val="20"/>
          <w:szCs w:val="20"/>
        </w:rPr>
        <w:t xml:space="preserve">We decided to focus on heterosexual men in this study as there are important differences between men who have sex with men (MSM) and men who have sex exclusively with women (MSEW) in their access of </w:t>
      </w:r>
      <w:r w:rsidR="002F616A" w:rsidRPr="009979BF">
        <w:rPr>
          <w:color w:val="auto"/>
          <w:sz w:val="20"/>
          <w:szCs w:val="20"/>
        </w:rPr>
        <w:t>SHC</w:t>
      </w:r>
      <w:r w:rsidRPr="009979BF">
        <w:rPr>
          <w:color w:val="auto"/>
          <w:sz w:val="20"/>
          <w:szCs w:val="20"/>
        </w:rPr>
        <w:t xml:space="preserve"> services, reported sexual health risks, their own perception of risk of STI</w:t>
      </w:r>
      <w:r w:rsidR="00D35F86" w:rsidRPr="009979BF">
        <w:rPr>
          <w:color w:val="auto"/>
          <w:sz w:val="20"/>
          <w:szCs w:val="20"/>
        </w:rPr>
        <w:t>s</w:t>
      </w:r>
      <w:r w:rsidR="002F616A" w:rsidRPr="009979BF">
        <w:rPr>
          <w:color w:val="auto"/>
          <w:sz w:val="20"/>
          <w:szCs w:val="20"/>
        </w:rPr>
        <w:t>,</w:t>
      </w:r>
      <w:r w:rsidR="00D35F86" w:rsidRPr="009979BF">
        <w:rPr>
          <w:color w:val="auto"/>
          <w:sz w:val="20"/>
          <w:szCs w:val="20"/>
        </w:rPr>
        <w:t xml:space="preserve"> and </w:t>
      </w:r>
      <w:r w:rsidRPr="009979BF">
        <w:rPr>
          <w:color w:val="auto"/>
          <w:sz w:val="20"/>
          <w:szCs w:val="20"/>
        </w:rPr>
        <w:t>sexual health and wellbeing outcomes</w:t>
      </w:r>
      <w:r w:rsidR="00323142" w:rsidRPr="009979BF">
        <w:rPr>
          <w:color w:val="auto"/>
          <w:sz w:val="20"/>
          <w:szCs w:val="20"/>
        </w:rPr>
        <w:t xml:space="preserve"> </w:t>
      </w:r>
      <w:r w:rsidR="00B907B3" w:rsidRPr="009979BF">
        <w:rPr>
          <w:color w:val="auto"/>
          <w:sz w:val="20"/>
          <w:szCs w:val="20"/>
        </w:rPr>
        <w:fldChar w:fldCharType="begin" w:fldLock="1"/>
      </w:r>
      <w:r w:rsidR="008D4440" w:rsidRPr="009979BF">
        <w:rPr>
          <w:color w:val="auto"/>
          <w:sz w:val="20"/>
          <w:szCs w:val="20"/>
        </w:rPr>
        <w:instrText>ADDIN CSL_CITATION { "citationItems" : [ { "id" : "ITEM-1", "itemData" : { "DOI" : "10.1016/S0140-6736(13)61947-9", "ISSN" : "1474-547X", "PMID" : "24286785", "abstract" : "BACKGROUND Population-based estimates of prevalence, risk distribution, and intervention uptake inform delivery of control programmes for sexually transmitted infections (STIs). We undertook the third National Survey of Sexual Attitudes and Lifestyles (Natsal-3) after implementation of national sexual health strategies, and describe the epidemiology of four STIs in Britain (England, Scotland, and Wales) and the uptake of interventions. METHODS Between Sept 6, 2010 and Aug 31, 2012, we did a probability sample survey of 15,162 women and men aged 16-74 years in Britain. Participants were interviewed with computer-assisted face-to-face and self-completion questionnaires. Urine from a sample of participants aged 16-44 years who reported at least one sexual partner over the lifetime was tested for the presence of Chlamydia trachomatis, type-specific human papillomavirus (HPV), Neisseria gonorrhoeae, and HIV antibody. We describe age-specific and sex-specific prevalences of infection and intervention uptake, in relation to demographic and behavioural factors, and explore changes since Natsal-1 (1990-91) and Natsal-2 (1999-2001). FINDINGS Of 8047 eligible participants invited to provide a urine sample, 4828 (60%) agreed. We excluded 278 samples, leaving 4550 (94%) participants with STI test results. Chlamydia prevalence was 1\u00b75% (95% CI 1\u00b71-2\u00b70) in women and 1\u00b71% (0\u00b77-1\u00b76) in men. Prevalences in individuals aged 16-24 years were 3\u00b71% (2\u00b72-4\u00b73) in women and 2\u00b73% (1\u00b75-3\u00b74) in men. Area-level deprivation and higher numbers of partners, especially without use of condoms, were risk factors. However, 60\u00b74% (45\u00b75-73\u00b77) of chlamydia in women and 43\u00b73% (25\u00b79-62\u00b75) in men was in individuals who had had one partner in the past year. Among sexually active 16-24-year-olds, 54\u00b72% (51\u00b74-56\u00b79) of women and 34\u00b76% (31\u00b78-37\u00b74) of men reported testing for chlamydia in the past year, with testing higher in those with more partners. High-risk HPV was detected in 15\u00b79% (14\u00b74-17\u00b75) of women, similar to in Natsal-2. Coverage of HPV catch-up vaccination was 61\u00b75% (58\u00b72-64\u00b77). Prevalence of HPV types 16 and 18 in women aged 18-20 years was lower in Natsal-3 than Natsal-2 (5\u00b78% [3\u00b79-8\u00b76] vs 11\u00b73% [6\u00b78-18\u00b72]; age-adjusted odds ratio 0\u00b744 [0\u00b721-0\u00b794]). Gonorrhoea (&lt;0\u00b71% prevalence in women and men) and HIV (0\u00b71% prevalence in women and 0\u00b72% in men) were uncommon and restricted to participants with recognised high-risk factors. Since Natsal-2, substantial increases were noted in attendance \u2026", "author" : [ { "dropping-particle" : "", "family" : "Sonnenberg", "given" : "Pam", "non-dropping-particle" : "", "parse-names" : false, "suffix" : "" }, { "dropping-particle" : "", "family" : "Clifton", "given" : "Soazig", "non-dropping-particle" : "", "parse-names" : false, "suffix" : "" }, { "dropping-particle" : "", "family" : "Beddows", "given" : "Simon", "non-dropping-particle" : "", "parse-names" : false, "suffix" : "" }, { "dropping-particle" : "", "family" : "Field", "given" : "Nigel", "non-dropping-particle" : "", "parse-names" : false, "suffix" : "" }, { "dropping-particle" : "", "family" : "Soldan", "given" : "Kate", "non-dropping-particle" : "", "parse-names" : false, "suffix" : "" }, { "dropping-particle" : "", "family" : "Tanton", "given" : "Clare", "non-dropping-particle" : "", "parse-names" : false, "suffix" : "" }, { "dropping-particle" : "", "family" : "Mercer", "given" : "Catherine H", "non-dropping-particle" : "", "parse-names" : false, "suffix" : "" }, { "dropping-particle" : "", "family" : "Silva", "given" : "Filomeno Coelho", "non-dropping-particle" : "da", "parse-names" : false, "suffix" : "" }, { "dropping-particle" : "", "family" : "Alexander", "given" : "Sarah", "non-dropping-particle" : "", "parse-names" : false, "suffix" : "" }, { "dropping-particle" : "", "family" : "Copas", "given" : "Andrew J", "non-dropping-particle" : "", "parse-names" : false, "suffix" : "" }, { "dropping-particle" : "", "family" : "Phelps", "given" : "Andrew", "non-dropping-particle" : "", "parse-names" : false, "suffix" : "" }, { "dropping-particle" : "", "family" : "Erens", "given" : "Bob", "non-dropping-particle" : "", "parse-names" : false, "suffix" : "" }, { "dropping-particle" : "", "family" : "Prah", "given" : "Philip", "non-dropping-particle" : "", "parse-names" : false, "suffix" : "" }, { "dropping-particle" : "", "family" : "Macdowall", "given" : "Wendy", "non-dropping-particle" : "", "parse-names" : false, "suffix" : "" }, { "dropping-particle" : "", "family" : "Wellings", "given" : "Kaye", "non-dropping-particle" : "", "parse-names" : false, "suffix" : "" }, { "dropping-particle" : "", "family" : "Ison", "given" : "Catherine A", "non-dropping-particle" : "", "parse-names" : false, "suffix" : "" }, { "dropping-particle" : "", "family" : "Johnson", "given" : "Anne M", "non-dropping-particle" : "", "parse-names" : false, "suffix" : "" } ], "container-title" : "Lancet (London, England)", "id" : "ITEM-1", "issue" : "9907", "issued" : { "date-parts" : [ [ "2013", "11", "30" ] ] }, "page" : "1795-806", "publisher" : "Elsevier", "title" : "Prevalence, risk factors, and uptake of interventions for sexually transmitted infections in Britain: findings from the National Surveys of Sexual Attitudes and Lifestyles (Natsal).", "type" : "article-journal", "volume" : "382" }, "uris" : [ "http://www.mendeley.com/documents/?uuid=ee24f789-e5ec-3ab7-a32e-f3d0eac6d3ed" ] } ], "mendeley" : { "formattedCitation" : "[22]", "plainTextFormattedCitation" : "[22]", "previouslyFormattedCitation" : "[22]" }, "properties" : { "noteIndex" : 0 }, "schema" : "https://github.com/citation-style-language/schema/raw/master/csl-citation.json" }</w:instrText>
      </w:r>
      <w:r w:rsidR="00B907B3" w:rsidRPr="009979BF">
        <w:rPr>
          <w:color w:val="auto"/>
          <w:sz w:val="20"/>
          <w:szCs w:val="20"/>
        </w:rPr>
        <w:fldChar w:fldCharType="separate"/>
      </w:r>
      <w:r w:rsidR="004B4B35" w:rsidRPr="009979BF">
        <w:rPr>
          <w:noProof/>
          <w:color w:val="auto"/>
          <w:sz w:val="20"/>
          <w:szCs w:val="20"/>
        </w:rPr>
        <w:t>[22]</w:t>
      </w:r>
      <w:r w:rsidR="00B907B3" w:rsidRPr="009979BF">
        <w:rPr>
          <w:color w:val="auto"/>
          <w:sz w:val="20"/>
          <w:szCs w:val="20"/>
        </w:rPr>
        <w:fldChar w:fldCharType="end"/>
      </w:r>
      <w:r w:rsidR="00585E09" w:rsidRPr="009979BF">
        <w:rPr>
          <w:color w:val="auto"/>
          <w:sz w:val="20"/>
          <w:szCs w:val="20"/>
        </w:rPr>
        <w:t>,</w:t>
      </w:r>
      <w:r w:rsidRPr="009979BF">
        <w:rPr>
          <w:color w:val="auto"/>
          <w:sz w:val="20"/>
          <w:szCs w:val="20"/>
        </w:rPr>
        <w:t xml:space="preserve"> suggesting that their experience of diagnosis of a genital infection may also be different.  Due to the</w:t>
      </w:r>
      <w:r w:rsidR="00F535AD" w:rsidRPr="009979BF">
        <w:rPr>
          <w:color w:val="auto"/>
          <w:sz w:val="20"/>
          <w:szCs w:val="20"/>
        </w:rPr>
        <w:t>se</w:t>
      </w:r>
      <w:r w:rsidRPr="009979BF">
        <w:rPr>
          <w:color w:val="auto"/>
          <w:sz w:val="20"/>
          <w:szCs w:val="20"/>
        </w:rPr>
        <w:t xml:space="preserve"> important differences between MSM and MSEW, we </w:t>
      </w:r>
      <w:r w:rsidR="00F535AD" w:rsidRPr="009979BF">
        <w:rPr>
          <w:color w:val="auto"/>
          <w:sz w:val="20"/>
          <w:szCs w:val="20"/>
        </w:rPr>
        <w:t xml:space="preserve">decided </w:t>
      </w:r>
      <w:r w:rsidRPr="009979BF">
        <w:rPr>
          <w:color w:val="auto"/>
          <w:sz w:val="20"/>
          <w:szCs w:val="20"/>
        </w:rPr>
        <w:t>that psychosocial impacts of an STI diagnosis in MSM merit</w:t>
      </w:r>
      <w:r w:rsidR="00F535AD" w:rsidRPr="009979BF">
        <w:rPr>
          <w:color w:val="auto"/>
          <w:sz w:val="20"/>
          <w:szCs w:val="20"/>
        </w:rPr>
        <w:t xml:space="preserve">ed </w:t>
      </w:r>
      <w:r w:rsidRPr="009979BF">
        <w:rPr>
          <w:color w:val="auto"/>
          <w:sz w:val="20"/>
          <w:szCs w:val="20"/>
        </w:rPr>
        <w:t>studying separately.</w:t>
      </w:r>
    </w:p>
    <w:p w14:paraId="08479D23" w14:textId="77777777" w:rsidR="00F17C32" w:rsidRPr="009979BF" w:rsidRDefault="00F17C32">
      <w:pPr>
        <w:spacing w:line="360" w:lineRule="auto"/>
        <w:jc w:val="both"/>
        <w:rPr>
          <w:color w:val="auto"/>
          <w:sz w:val="20"/>
          <w:szCs w:val="20"/>
        </w:rPr>
      </w:pPr>
    </w:p>
    <w:p w14:paraId="3E63F0C7" w14:textId="77777777" w:rsidR="00F17C32" w:rsidRPr="009979BF" w:rsidRDefault="00F17C32">
      <w:pPr>
        <w:spacing w:line="360" w:lineRule="auto"/>
        <w:jc w:val="both"/>
        <w:rPr>
          <w:color w:val="auto"/>
          <w:sz w:val="20"/>
          <w:szCs w:val="20"/>
        </w:rPr>
      </w:pPr>
      <w:r w:rsidRPr="009979BF">
        <w:rPr>
          <w:color w:val="auto"/>
          <w:sz w:val="20"/>
          <w:szCs w:val="20"/>
        </w:rPr>
        <w:t xml:space="preserve">Because of </w:t>
      </w:r>
      <w:r w:rsidR="008E4571" w:rsidRPr="009979BF">
        <w:rPr>
          <w:color w:val="auto"/>
          <w:sz w:val="20"/>
          <w:szCs w:val="20"/>
        </w:rPr>
        <w:t xml:space="preserve">a </w:t>
      </w:r>
      <w:r w:rsidRPr="009979BF">
        <w:rPr>
          <w:color w:val="auto"/>
          <w:sz w:val="20"/>
          <w:szCs w:val="20"/>
        </w:rPr>
        <w:t>lack of model</w:t>
      </w:r>
      <w:r w:rsidR="008E4571" w:rsidRPr="009979BF">
        <w:rPr>
          <w:color w:val="auto"/>
          <w:sz w:val="20"/>
          <w:szCs w:val="20"/>
        </w:rPr>
        <w:t>s</w:t>
      </w:r>
      <w:r w:rsidRPr="009979BF">
        <w:rPr>
          <w:color w:val="auto"/>
          <w:sz w:val="20"/>
          <w:szCs w:val="20"/>
        </w:rPr>
        <w:t xml:space="preserve"> to measure the</w:t>
      </w:r>
      <w:r w:rsidR="00EA0DF9" w:rsidRPr="009979BF">
        <w:rPr>
          <w:color w:val="auto"/>
          <w:sz w:val="20"/>
          <w:szCs w:val="20"/>
        </w:rPr>
        <w:t xml:space="preserve"> psychosocial impact of </w:t>
      </w:r>
      <w:r w:rsidR="008E4571" w:rsidRPr="009979BF">
        <w:rPr>
          <w:color w:val="auto"/>
          <w:sz w:val="20"/>
          <w:szCs w:val="20"/>
        </w:rPr>
        <w:t xml:space="preserve">an </w:t>
      </w:r>
      <w:r w:rsidRPr="009979BF">
        <w:rPr>
          <w:color w:val="auto"/>
          <w:sz w:val="20"/>
          <w:szCs w:val="20"/>
        </w:rPr>
        <w:t>NSGI diagnosis</w:t>
      </w:r>
      <w:r w:rsidR="00DC2DFB" w:rsidRPr="009979BF">
        <w:rPr>
          <w:color w:val="auto"/>
          <w:sz w:val="20"/>
          <w:szCs w:val="20"/>
        </w:rPr>
        <w:t xml:space="preserve"> among men</w:t>
      </w:r>
      <w:r w:rsidRPr="009979BF">
        <w:rPr>
          <w:color w:val="auto"/>
          <w:sz w:val="20"/>
          <w:szCs w:val="20"/>
        </w:rPr>
        <w:t>, and the potential difficulty in recruiting</w:t>
      </w:r>
      <w:r w:rsidR="001C1285" w:rsidRPr="009979BF">
        <w:rPr>
          <w:color w:val="auto"/>
          <w:sz w:val="20"/>
          <w:szCs w:val="20"/>
        </w:rPr>
        <w:t xml:space="preserve"> and retaining </w:t>
      </w:r>
      <w:r w:rsidR="00342788" w:rsidRPr="009979BF">
        <w:rPr>
          <w:color w:val="auto"/>
          <w:sz w:val="20"/>
          <w:szCs w:val="20"/>
        </w:rPr>
        <w:t>this group</w:t>
      </w:r>
      <w:r w:rsidR="008E4571" w:rsidRPr="009979BF">
        <w:rPr>
          <w:color w:val="auto"/>
          <w:sz w:val="20"/>
          <w:szCs w:val="20"/>
        </w:rPr>
        <w:t xml:space="preserve"> in sexual health studies</w:t>
      </w:r>
      <w:r w:rsidRPr="009979BF">
        <w:rPr>
          <w:color w:val="auto"/>
          <w:sz w:val="20"/>
          <w:szCs w:val="20"/>
        </w:rPr>
        <w:t>, we designed a</w:t>
      </w:r>
      <w:r w:rsidR="00EA5B28" w:rsidRPr="009979BF">
        <w:rPr>
          <w:color w:val="auto"/>
          <w:sz w:val="20"/>
          <w:szCs w:val="20"/>
        </w:rPr>
        <w:t xml:space="preserve"> small-scale longitudinal mixed-</w:t>
      </w:r>
      <w:r w:rsidRPr="009979BF">
        <w:rPr>
          <w:color w:val="auto"/>
          <w:sz w:val="20"/>
          <w:szCs w:val="20"/>
        </w:rPr>
        <w:t xml:space="preserve">method feasibility study to </w:t>
      </w:r>
      <w:r w:rsidR="00DC2DFB" w:rsidRPr="009979BF">
        <w:rPr>
          <w:color w:val="auto"/>
          <w:sz w:val="20"/>
          <w:szCs w:val="20"/>
        </w:rPr>
        <w:t xml:space="preserve">inform on our research methods and better understand </w:t>
      </w:r>
      <w:r w:rsidR="00342788" w:rsidRPr="009979BF">
        <w:rPr>
          <w:color w:val="auto"/>
          <w:sz w:val="20"/>
          <w:szCs w:val="20"/>
        </w:rPr>
        <w:t>the</w:t>
      </w:r>
      <w:r w:rsidR="00DC2DFB" w:rsidRPr="009979BF">
        <w:rPr>
          <w:color w:val="auto"/>
          <w:sz w:val="20"/>
          <w:szCs w:val="20"/>
        </w:rPr>
        <w:t xml:space="preserve"> psychosocial and health related quality of life (HRQoL) status </w:t>
      </w:r>
      <w:r w:rsidR="00342788" w:rsidRPr="009979BF">
        <w:rPr>
          <w:color w:val="auto"/>
          <w:sz w:val="20"/>
          <w:szCs w:val="20"/>
        </w:rPr>
        <w:t>of</w:t>
      </w:r>
      <w:r w:rsidR="008E1AC2" w:rsidRPr="009979BF">
        <w:rPr>
          <w:color w:val="auto"/>
          <w:sz w:val="20"/>
          <w:szCs w:val="20"/>
        </w:rPr>
        <w:t xml:space="preserve"> symptomatic </w:t>
      </w:r>
      <w:r w:rsidR="00342788" w:rsidRPr="009979BF">
        <w:rPr>
          <w:color w:val="auto"/>
          <w:sz w:val="20"/>
          <w:szCs w:val="20"/>
        </w:rPr>
        <w:t xml:space="preserve">heterosexual men </w:t>
      </w:r>
      <w:r w:rsidR="00DC2DFB" w:rsidRPr="009979BF">
        <w:rPr>
          <w:color w:val="auto"/>
          <w:sz w:val="20"/>
          <w:szCs w:val="20"/>
        </w:rPr>
        <w:t xml:space="preserve">before and after receiving a diagnosis of NSGI, CT, NG or </w:t>
      </w:r>
      <w:r w:rsidR="00202150" w:rsidRPr="009979BF">
        <w:rPr>
          <w:color w:val="auto"/>
          <w:sz w:val="20"/>
          <w:szCs w:val="20"/>
        </w:rPr>
        <w:t>“</w:t>
      </w:r>
      <w:r w:rsidR="00DC2DFB" w:rsidRPr="009979BF">
        <w:rPr>
          <w:color w:val="auto"/>
          <w:sz w:val="20"/>
          <w:szCs w:val="20"/>
        </w:rPr>
        <w:t>nothing abnormal detected</w:t>
      </w:r>
      <w:r w:rsidR="00202150" w:rsidRPr="009979BF">
        <w:rPr>
          <w:color w:val="auto"/>
          <w:sz w:val="20"/>
          <w:szCs w:val="20"/>
        </w:rPr>
        <w:t>”</w:t>
      </w:r>
      <w:r w:rsidR="00DC2DFB" w:rsidRPr="009979BF">
        <w:rPr>
          <w:color w:val="auto"/>
          <w:sz w:val="20"/>
          <w:szCs w:val="20"/>
        </w:rPr>
        <w:t xml:space="preserve"> (NAD). </w:t>
      </w:r>
    </w:p>
    <w:p w14:paraId="1B18CA74" w14:textId="77777777" w:rsidR="003D2E06" w:rsidRPr="009979BF" w:rsidRDefault="003D2E06">
      <w:pPr>
        <w:spacing w:line="360" w:lineRule="auto"/>
        <w:rPr>
          <w:color w:val="auto"/>
          <w:sz w:val="20"/>
          <w:szCs w:val="20"/>
        </w:rPr>
      </w:pPr>
    </w:p>
    <w:p w14:paraId="211B748C" w14:textId="77777777" w:rsidR="0037758D" w:rsidRPr="009979BF" w:rsidRDefault="0037758D">
      <w:pPr>
        <w:spacing w:line="360" w:lineRule="auto"/>
        <w:rPr>
          <w:b/>
          <w:color w:val="auto"/>
          <w:sz w:val="20"/>
          <w:szCs w:val="20"/>
        </w:rPr>
      </w:pPr>
      <w:r w:rsidRPr="009979BF">
        <w:rPr>
          <w:b/>
          <w:color w:val="auto"/>
          <w:sz w:val="20"/>
          <w:szCs w:val="20"/>
        </w:rPr>
        <w:t>METHODS</w:t>
      </w:r>
    </w:p>
    <w:p w14:paraId="3552DF60" w14:textId="77777777" w:rsidR="00000BC7" w:rsidRPr="009979BF" w:rsidRDefault="00AC3122">
      <w:pPr>
        <w:spacing w:line="360" w:lineRule="auto"/>
        <w:jc w:val="both"/>
        <w:rPr>
          <w:rFonts w:cs="Tahoma"/>
          <w:b/>
          <w:color w:val="auto"/>
          <w:spacing w:val="-3"/>
          <w:sz w:val="20"/>
          <w:szCs w:val="20"/>
        </w:rPr>
      </w:pPr>
      <w:r w:rsidRPr="009979BF">
        <w:rPr>
          <w:b/>
          <w:color w:val="auto"/>
          <w:sz w:val="20"/>
          <w:szCs w:val="20"/>
        </w:rPr>
        <w:t xml:space="preserve">Study Design </w:t>
      </w:r>
    </w:p>
    <w:p w14:paraId="47502869" w14:textId="77777777" w:rsidR="00C40026" w:rsidRPr="009979BF" w:rsidRDefault="001E318D">
      <w:pPr>
        <w:spacing w:line="360" w:lineRule="auto"/>
        <w:jc w:val="both"/>
        <w:rPr>
          <w:rFonts w:cs="Tahoma"/>
          <w:color w:val="auto"/>
          <w:spacing w:val="-3"/>
          <w:sz w:val="20"/>
          <w:szCs w:val="20"/>
        </w:rPr>
      </w:pPr>
      <w:r w:rsidRPr="009979BF">
        <w:rPr>
          <w:rFonts w:cs="Tahoma"/>
          <w:color w:val="auto"/>
          <w:spacing w:val="-3"/>
          <w:sz w:val="20"/>
          <w:szCs w:val="20"/>
        </w:rPr>
        <w:t>We conducted a</w:t>
      </w:r>
      <w:r w:rsidR="0032454D" w:rsidRPr="009979BF">
        <w:rPr>
          <w:rFonts w:cs="Tahoma"/>
          <w:color w:val="auto"/>
          <w:spacing w:val="-3"/>
          <w:sz w:val="20"/>
          <w:szCs w:val="20"/>
        </w:rPr>
        <w:t>n observational,</w:t>
      </w:r>
      <w:r w:rsidR="00C40026" w:rsidRPr="009979BF">
        <w:rPr>
          <w:rFonts w:cs="Tahoma"/>
          <w:color w:val="auto"/>
          <w:spacing w:val="-3"/>
          <w:sz w:val="20"/>
          <w:szCs w:val="20"/>
        </w:rPr>
        <w:t xml:space="preserve"> longitudinal study </w:t>
      </w:r>
      <w:r w:rsidR="00BB60CB" w:rsidRPr="009979BF">
        <w:rPr>
          <w:rFonts w:cs="Tahoma"/>
          <w:color w:val="auto"/>
          <w:spacing w:val="-3"/>
          <w:sz w:val="20"/>
          <w:szCs w:val="20"/>
        </w:rPr>
        <w:t xml:space="preserve">in symptomatic heterosexual men </w:t>
      </w:r>
      <w:r w:rsidR="00C40026" w:rsidRPr="009979BF">
        <w:rPr>
          <w:rFonts w:cs="Tahoma"/>
          <w:color w:val="auto"/>
          <w:spacing w:val="-3"/>
          <w:sz w:val="20"/>
          <w:szCs w:val="20"/>
        </w:rPr>
        <w:t xml:space="preserve">using patient completed questionnaires </w:t>
      </w:r>
      <w:r w:rsidR="005F1D23" w:rsidRPr="009979BF">
        <w:rPr>
          <w:rFonts w:cs="Tahoma"/>
          <w:color w:val="auto"/>
          <w:spacing w:val="-3"/>
          <w:sz w:val="20"/>
          <w:szCs w:val="20"/>
        </w:rPr>
        <w:t>assessing HRQoL</w:t>
      </w:r>
      <w:r w:rsidR="00C40026" w:rsidRPr="009979BF">
        <w:rPr>
          <w:rFonts w:cs="Tahoma"/>
          <w:color w:val="auto"/>
          <w:spacing w:val="-3"/>
          <w:sz w:val="20"/>
          <w:szCs w:val="20"/>
        </w:rPr>
        <w:t xml:space="preserve"> and psychosocial status before</w:t>
      </w:r>
      <w:r w:rsidR="002F616A" w:rsidRPr="009979BF">
        <w:rPr>
          <w:rFonts w:cs="Tahoma"/>
          <w:color w:val="auto"/>
          <w:spacing w:val="-3"/>
          <w:sz w:val="20"/>
          <w:szCs w:val="20"/>
        </w:rPr>
        <w:t xml:space="preserve"> </w:t>
      </w:r>
      <w:r w:rsidR="00C40026" w:rsidRPr="009979BF">
        <w:rPr>
          <w:rFonts w:cs="Tahoma"/>
          <w:color w:val="auto"/>
          <w:spacing w:val="-3"/>
          <w:sz w:val="20"/>
          <w:szCs w:val="20"/>
        </w:rPr>
        <w:t>and af</w:t>
      </w:r>
      <w:r w:rsidR="00A21507" w:rsidRPr="009979BF">
        <w:rPr>
          <w:rFonts w:cs="Tahoma"/>
          <w:color w:val="auto"/>
          <w:spacing w:val="-3"/>
          <w:sz w:val="20"/>
          <w:szCs w:val="20"/>
        </w:rPr>
        <w:t>ter receiving STI test results</w:t>
      </w:r>
      <w:r w:rsidRPr="009979BF">
        <w:rPr>
          <w:rFonts w:cs="Tahoma"/>
          <w:color w:val="auto"/>
          <w:spacing w:val="-3"/>
          <w:sz w:val="20"/>
          <w:szCs w:val="20"/>
        </w:rPr>
        <w:t xml:space="preserve">, and </w:t>
      </w:r>
      <w:r w:rsidR="00A21507" w:rsidRPr="009979BF">
        <w:rPr>
          <w:rFonts w:cs="Tahoma"/>
          <w:color w:val="auto"/>
          <w:spacing w:val="-3"/>
          <w:sz w:val="20"/>
          <w:szCs w:val="20"/>
        </w:rPr>
        <w:t xml:space="preserve">individual </w:t>
      </w:r>
      <w:r w:rsidR="004D4573" w:rsidRPr="009979BF">
        <w:rPr>
          <w:rFonts w:cs="Tahoma"/>
          <w:color w:val="auto"/>
          <w:spacing w:val="-3"/>
          <w:sz w:val="20"/>
          <w:szCs w:val="20"/>
        </w:rPr>
        <w:t>qualitative</w:t>
      </w:r>
      <w:r w:rsidR="00A21507" w:rsidRPr="009979BF">
        <w:rPr>
          <w:rFonts w:cs="Tahoma"/>
          <w:color w:val="auto"/>
          <w:spacing w:val="-3"/>
          <w:sz w:val="20"/>
          <w:szCs w:val="20"/>
        </w:rPr>
        <w:t xml:space="preserve"> </w:t>
      </w:r>
      <w:r w:rsidR="000231CD" w:rsidRPr="009979BF">
        <w:rPr>
          <w:rFonts w:cs="Tahoma"/>
          <w:color w:val="auto"/>
          <w:spacing w:val="-3"/>
          <w:sz w:val="20"/>
          <w:szCs w:val="20"/>
        </w:rPr>
        <w:t>interview</w:t>
      </w:r>
      <w:r w:rsidRPr="009979BF">
        <w:rPr>
          <w:rFonts w:cs="Tahoma"/>
          <w:color w:val="auto"/>
          <w:spacing w:val="-3"/>
          <w:sz w:val="20"/>
          <w:szCs w:val="20"/>
        </w:rPr>
        <w:t>s</w:t>
      </w:r>
      <w:r w:rsidR="000231CD" w:rsidRPr="009979BF">
        <w:rPr>
          <w:rFonts w:cs="Tahoma"/>
          <w:color w:val="auto"/>
          <w:spacing w:val="-3"/>
          <w:sz w:val="20"/>
          <w:szCs w:val="20"/>
        </w:rPr>
        <w:t xml:space="preserve"> </w:t>
      </w:r>
      <w:r w:rsidR="00A21507" w:rsidRPr="009979BF">
        <w:rPr>
          <w:rFonts w:cs="Tahoma"/>
          <w:color w:val="auto"/>
          <w:spacing w:val="-3"/>
          <w:sz w:val="20"/>
          <w:szCs w:val="20"/>
        </w:rPr>
        <w:t>to evaluate experiences at the SHC and acceptability of study methods.</w:t>
      </w:r>
    </w:p>
    <w:p w14:paraId="692B295F" w14:textId="77777777" w:rsidR="004D4573" w:rsidRPr="009979BF" w:rsidRDefault="004D4573">
      <w:pPr>
        <w:spacing w:line="360" w:lineRule="auto"/>
        <w:jc w:val="both"/>
        <w:rPr>
          <w:rFonts w:cs="Tahoma"/>
          <w:color w:val="auto"/>
          <w:spacing w:val="-3"/>
          <w:sz w:val="20"/>
          <w:szCs w:val="20"/>
        </w:rPr>
      </w:pPr>
    </w:p>
    <w:p w14:paraId="37DF0A90" w14:textId="77777777" w:rsidR="00222CB9" w:rsidRPr="009979BF" w:rsidRDefault="00035DFF">
      <w:pPr>
        <w:spacing w:line="360" w:lineRule="auto"/>
        <w:jc w:val="both"/>
        <w:rPr>
          <w:rFonts w:cs="Tahoma"/>
          <w:color w:val="auto"/>
          <w:spacing w:val="-3"/>
          <w:sz w:val="20"/>
          <w:szCs w:val="20"/>
        </w:rPr>
      </w:pPr>
      <w:r w:rsidRPr="009979BF">
        <w:rPr>
          <w:rFonts w:cs="Tahoma"/>
          <w:color w:val="auto"/>
          <w:spacing w:val="-3"/>
          <w:sz w:val="20"/>
          <w:szCs w:val="20"/>
        </w:rPr>
        <w:t>E</w:t>
      </w:r>
      <w:r w:rsidR="00C91C6B" w:rsidRPr="009979BF">
        <w:rPr>
          <w:rFonts w:cs="Tahoma"/>
          <w:color w:val="auto"/>
          <w:spacing w:val="-3"/>
          <w:sz w:val="20"/>
          <w:szCs w:val="20"/>
        </w:rPr>
        <w:t>ligibility criteria were</w:t>
      </w:r>
      <w:r w:rsidR="00943EB4" w:rsidRPr="009979BF">
        <w:rPr>
          <w:rFonts w:cs="Tahoma"/>
          <w:color w:val="auto"/>
          <w:spacing w:val="-3"/>
          <w:sz w:val="20"/>
          <w:szCs w:val="20"/>
        </w:rPr>
        <w:t>:</w:t>
      </w:r>
      <w:r w:rsidR="00C91C6B" w:rsidRPr="009979BF">
        <w:rPr>
          <w:rFonts w:cs="Tahoma"/>
          <w:color w:val="auto"/>
          <w:spacing w:val="-3"/>
          <w:sz w:val="20"/>
          <w:szCs w:val="20"/>
        </w:rPr>
        <w:t xml:space="preserve"> </w:t>
      </w:r>
      <w:r w:rsidR="00AC3122" w:rsidRPr="009979BF">
        <w:rPr>
          <w:rFonts w:cs="Tahoma"/>
          <w:color w:val="auto"/>
          <w:spacing w:val="-3"/>
          <w:sz w:val="20"/>
          <w:szCs w:val="20"/>
        </w:rPr>
        <w:t>heteros</w:t>
      </w:r>
      <w:r w:rsidR="007A0A2F" w:rsidRPr="009979BF">
        <w:rPr>
          <w:rFonts w:cs="Tahoma"/>
          <w:color w:val="auto"/>
          <w:spacing w:val="-3"/>
          <w:sz w:val="20"/>
          <w:szCs w:val="20"/>
        </w:rPr>
        <w:t>exual men</w:t>
      </w:r>
      <w:r w:rsidR="00AA0A5D" w:rsidRPr="009979BF">
        <w:rPr>
          <w:rFonts w:cs="Tahoma"/>
          <w:color w:val="auto"/>
          <w:spacing w:val="-3"/>
          <w:sz w:val="20"/>
          <w:szCs w:val="20"/>
        </w:rPr>
        <w:t xml:space="preserve"> </w:t>
      </w:r>
      <w:r w:rsidR="00DC2DFB" w:rsidRPr="009979BF">
        <w:rPr>
          <w:rFonts w:cs="Tahoma"/>
          <w:color w:val="auto"/>
          <w:spacing w:val="-3"/>
          <w:sz w:val="20"/>
          <w:szCs w:val="20"/>
        </w:rPr>
        <w:t xml:space="preserve">presenting </w:t>
      </w:r>
      <w:r w:rsidR="00AA0A5D" w:rsidRPr="009979BF">
        <w:rPr>
          <w:rFonts w:cs="Tahoma"/>
          <w:color w:val="auto"/>
          <w:spacing w:val="-3"/>
          <w:sz w:val="20"/>
          <w:szCs w:val="20"/>
        </w:rPr>
        <w:t>with urethral symptoms</w:t>
      </w:r>
      <w:r w:rsidR="008F6FDD" w:rsidRPr="009979BF">
        <w:rPr>
          <w:rFonts w:cs="Tahoma"/>
          <w:color w:val="auto"/>
          <w:spacing w:val="-3"/>
          <w:sz w:val="20"/>
          <w:szCs w:val="20"/>
        </w:rPr>
        <w:t xml:space="preserve"> (dysuria</w:t>
      </w:r>
      <w:r w:rsidR="00806455" w:rsidRPr="009979BF">
        <w:rPr>
          <w:rFonts w:cs="Tahoma"/>
          <w:color w:val="auto"/>
          <w:spacing w:val="-3"/>
          <w:sz w:val="20"/>
          <w:szCs w:val="20"/>
        </w:rPr>
        <w:t>, discharge</w:t>
      </w:r>
      <w:r w:rsidR="00A40CA7" w:rsidRPr="009979BF">
        <w:rPr>
          <w:rFonts w:cs="Tahoma"/>
          <w:color w:val="auto"/>
          <w:spacing w:val="-3"/>
          <w:sz w:val="20"/>
          <w:szCs w:val="20"/>
        </w:rPr>
        <w:t xml:space="preserve"> or urethral discomfort)</w:t>
      </w:r>
      <w:r w:rsidR="00AA0A5D" w:rsidRPr="009979BF">
        <w:rPr>
          <w:rFonts w:cs="Tahoma"/>
          <w:color w:val="auto"/>
          <w:spacing w:val="-3"/>
          <w:sz w:val="20"/>
          <w:szCs w:val="20"/>
        </w:rPr>
        <w:t>,</w:t>
      </w:r>
      <w:r w:rsidR="007A0A2F" w:rsidRPr="009979BF">
        <w:rPr>
          <w:rFonts w:cs="Tahoma"/>
          <w:color w:val="auto"/>
          <w:spacing w:val="-3"/>
          <w:sz w:val="20"/>
          <w:szCs w:val="20"/>
        </w:rPr>
        <w:t xml:space="preserve"> aged </w:t>
      </w:r>
      <w:r w:rsidR="00014391" w:rsidRPr="009979BF">
        <w:rPr>
          <w:rFonts w:cs="Tahoma"/>
          <w:color w:val="auto"/>
          <w:spacing w:val="-3"/>
          <w:sz w:val="20"/>
          <w:szCs w:val="20"/>
        </w:rPr>
        <w:t>≥</w:t>
      </w:r>
      <w:r w:rsidR="007A0A2F" w:rsidRPr="009979BF">
        <w:rPr>
          <w:rFonts w:cs="Tahoma"/>
          <w:color w:val="auto"/>
          <w:spacing w:val="-3"/>
          <w:sz w:val="20"/>
          <w:szCs w:val="20"/>
        </w:rPr>
        <w:t xml:space="preserve">16 years </w:t>
      </w:r>
      <w:r w:rsidR="00DC2DFB" w:rsidRPr="009979BF">
        <w:rPr>
          <w:rFonts w:cs="Tahoma"/>
          <w:color w:val="auto"/>
          <w:spacing w:val="-3"/>
          <w:sz w:val="20"/>
          <w:szCs w:val="20"/>
        </w:rPr>
        <w:t xml:space="preserve">at </w:t>
      </w:r>
      <w:r w:rsidR="00453C32" w:rsidRPr="009979BF">
        <w:rPr>
          <w:rFonts w:cs="Tahoma"/>
          <w:color w:val="auto"/>
          <w:spacing w:val="-3"/>
          <w:sz w:val="20"/>
          <w:szCs w:val="20"/>
        </w:rPr>
        <w:t xml:space="preserve">either of </w:t>
      </w:r>
      <w:r w:rsidR="00AC3122" w:rsidRPr="009979BF">
        <w:rPr>
          <w:rFonts w:cs="Tahoma"/>
          <w:color w:val="auto"/>
          <w:spacing w:val="-3"/>
          <w:sz w:val="20"/>
          <w:szCs w:val="20"/>
        </w:rPr>
        <w:t xml:space="preserve">two </w:t>
      </w:r>
      <w:r w:rsidR="00453C32" w:rsidRPr="009979BF">
        <w:rPr>
          <w:rFonts w:cs="Tahoma"/>
          <w:color w:val="auto"/>
          <w:spacing w:val="-3"/>
          <w:sz w:val="20"/>
          <w:szCs w:val="20"/>
        </w:rPr>
        <w:t xml:space="preserve">participating </w:t>
      </w:r>
      <w:r w:rsidR="00AC3122" w:rsidRPr="009979BF">
        <w:rPr>
          <w:rFonts w:cs="Tahoma"/>
          <w:color w:val="auto"/>
          <w:spacing w:val="-3"/>
          <w:sz w:val="20"/>
          <w:szCs w:val="20"/>
        </w:rPr>
        <w:t>London SHCs</w:t>
      </w:r>
      <w:r w:rsidR="00B1482D" w:rsidRPr="009979BF">
        <w:rPr>
          <w:rFonts w:cs="Tahoma"/>
          <w:color w:val="auto"/>
          <w:spacing w:val="-3"/>
          <w:sz w:val="20"/>
          <w:szCs w:val="20"/>
        </w:rPr>
        <w:t xml:space="preserve"> </w:t>
      </w:r>
      <w:r w:rsidR="00161922" w:rsidRPr="009979BF">
        <w:rPr>
          <w:rFonts w:cs="Tahoma"/>
          <w:color w:val="auto"/>
          <w:spacing w:val="-3"/>
          <w:sz w:val="20"/>
          <w:szCs w:val="20"/>
        </w:rPr>
        <w:t xml:space="preserve">between September </w:t>
      </w:r>
      <w:r w:rsidR="00943EB4" w:rsidRPr="009979BF">
        <w:rPr>
          <w:rFonts w:cs="Tahoma"/>
          <w:color w:val="auto"/>
          <w:spacing w:val="-3"/>
          <w:sz w:val="20"/>
          <w:szCs w:val="20"/>
        </w:rPr>
        <w:t>-</w:t>
      </w:r>
      <w:r w:rsidR="00161922" w:rsidRPr="009979BF">
        <w:rPr>
          <w:rFonts w:cs="Tahoma"/>
          <w:color w:val="auto"/>
          <w:spacing w:val="-3"/>
          <w:sz w:val="20"/>
          <w:szCs w:val="20"/>
        </w:rPr>
        <w:t xml:space="preserve"> October 2016.</w:t>
      </w:r>
      <w:r w:rsidR="007A0A2F" w:rsidRPr="009979BF">
        <w:rPr>
          <w:rFonts w:cs="Tahoma"/>
          <w:color w:val="auto"/>
          <w:spacing w:val="-3"/>
          <w:sz w:val="20"/>
          <w:szCs w:val="20"/>
        </w:rPr>
        <w:t xml:space="preserve"> </w:t>
      </w:r>
      <w:r w:rsidR="00B1482D" w:rsidRPr="009979BF">
        <w:rPr>
          <w:rFonts w:cs="Tahoma"/>
          <w:color w:val="auto"/>
          <w:spacing w:val="-3"/>
          <w:sz w:val="20"/>
          <w:szCs w:val="20"/>
        </w:rPr>
        <w:t>We excluded</w:t>
      </w:r>
      <w:r w:rsidR="00BA66A3" w:rsidRPr="009979BF">
        <w:rPr>
          <w:rFonts w:cs="Tahoma"/>
          <w:color w:val="auto"/>
          <w:spacing w:val="-3"/>
          <w:sz w:val="20"/>
          <w:szCs w:val="20"/>
        </w:rPr>
        <w:t xml:space="preserve"> men who were </w:t>
      </w:r>
      <w:r w:rsidR="001B6D01" w:rsidRPr="009979BF">
        <w:rPr>
          <w:rFonts w:cs="Tahoma"/>
          <w:color w:val="auto"/>
          <w:spacing w:val="-3"/>
          <w:sz w:val="20"/>
          <w:szCs w:val="20"/>
        </w:rPr>
        <w:t>asymptomatic</w:t>
      </w:r>
      <w:r w:rsidR="00A05C57" w:rsidRPr="009979BF">
        <w:rPr>
          <w:rFonts w:cs="Tahoma"/>
          <w:color w:val="auto"/>
          <w:spacing w:val="-3"/>
          <w:sz w:val="20"/>
          <w:szCs w:val="20"/>
        </w:rPr>
        <w:t xml:space="preserve">, </w:t>
      </w:r>
      <w:r w:rsidR="00AC3122" w:rsidRPr="009979BF">
        <w:rPr>
          <w:rFonts w:cs="Tahoma"/>
          <w:color w:val="auto"/>
          <w:spacing w:val="-3"/>
          <w:sz w:val="20"/>
          <w:szCs w:val="20"/>
        </w:rPr>
        <w:t>not</w:t>
      </w:r>
      <w:r w:rsidR="007A0A2F" w:rsidRPr="009979BF">
        <w:rPr>
          <w:rFonts w:cs="Tahoma"/>
          <w:color w:val="auto"/>
          <w:spacing w:val="-3"/>
          <w:sz w:val="20"/>
          <w:szCs w:val="20"/>
        </w:rPr>
        <w:t xml:space="preserve"> available </w:t>
      </w:r>
      <w:r w:rsidR="001B6D01" w:rsidRPr="009979BF">
        <w:rPr>
          <w:rFonts w:cs="Tahoma"/>
          <w:color w:val="auto"/>
          <w:spacing w:val="-3"/>
          <w:sz w:val="20"/>
          <w:szCs w:val="20"/>
        </w:rPr>
        <w:t>for follow-up</w:t>
      </w:r>
      <w:r w:rsidR="00A05C57" w:rsidRPr="009979BF">
        <w:rPr>
          <w:rFonts w:cs="Tahoma"/>
          <w:color w:val="auto"/>
          <w:spacing w:val="-3"/>
          <w:sz w:val="20"/>
          <w:szCs w:val="20"/>
        </w:rPr>
        <w:t xml:space="preserve">, </w:t>
      </w:r>
      <w:r w:rsidR="005F5BD9" w:rsidRPr="009979BF">
        <w:rPr>
          <w:rFonts w:cs="Tahoma"/>
          <w:color w:val="auto"/>
          <w:spacing w:val="-3"/>
          <w:sz w:val="20"/>
          <w:szCs w:val="20"/>
        </w:rPr>
        <w:t xml:space="preserve">and </w:t>
      </w:r>
      <w:r w:rsidR="00A9359C" w:rsidRPr="009979BF">
        <w:rPr>
          <w:rFonts w:cs="Tahoma"/>
          <w:color w:val="auto"/>
          <w:spacing w:val="-3"/>
          <w:sz w:val="20"/>
          <w:szCs w:val="20"/>
        </w:rPr>
        <w:t xml:space="preserve">who were unable to </w:t>
      </w:r>
      <w:r w:rsidR="000B74DA" w:rsidRPr="009979BF">
        <w:rPr>
          <w:rFonts w:cs="Tahoma"/>
          <w:color w:val="auto"/>
          <w:spacing w:val="-3"/>
          <w:sz w:val="20"/>
          <w:szCs w:val="20"/>
        </w:rPr>
        <w:t>understand</w:t>
      </w:r>
      <w:r w:rsidR="00A9359C" w:rsidRPr="009979BF">
        <w:rPr>
          <w:rFonts w:cs="Tahoma"/>
          <w:color w:val="auto"/>
          <w:spacing w:val="-3"/>
          <w:sz w:val="20"/>
          <w:szCs w:val="20"/>
        </w:rPr>
        <w:t xml:space="preserve"> English</w:t>
      </w:r>
      <w:r w:rsidR="00CF159D" w:rsidRPr="009979BF">
        <w:rPr>
          <w:rFonts w:cs="Tahoma"/>
          <w:color w:val="auto"/>
          <w:spacing w:val="-3"/>
          <w:sz w:val="20"/>
          <w:szCs w:val="20"/>
        </w:rPr>
        <w:t xml:space="preserve">. </w:t>
      </w:r>
    </w:p>
    <w:p w14:paraId="02A5031E" w14:textId="77777777" w:rsidR="00222CB9" w:rsidRPr="009979BF" w:rsidRDefault="00222CB9">
      <w:pPr>
        <w:spacing w:line="360" w:lineRule="auto"/>
        <w:jc w:val="both"/>
        <w:rPr>
          <w:rFonts w:cs="Tahoma"/>
          <w:color w:val="auto"/>
          <w:spacing w:val="-3"/>
          <w:sz w:val="20"/>
          <w:szCs w:val="20"/>
        </w:rPr>
      </w:pPr>
    </w:p>
    <w:p w14:paraId="0F755059" w14:textId="77777777" w:rsidR="00D51C69" w:rsidRPr="009979BF" w:rsidRDefault="00222CB9">
      <w:pPr>
        <w:spacing w:line="360" w:lineRule="auto"/>
        <w:jc w:val="both"/>
        <w:rPr>
          <w:rFonts w:cs="Tahoma"/>
          <w:color w:val="auto"/>
          <w:spacing w:val="-3"/>
          <w:sz w:val="20"/>
          <w:szCs w:val="20"/>
        </w:rPr>
      </w:pPr>
      <w:r w:rsidRPr="009979BF">
        <w:rPr>
          <w:rFonts w:cs="Tahoma"/>
          <w:color w:val="auto"/>
          <w:spacing w:val="-3"/>
          <w:sz w:val="20"/>
          <w:szCs w:val="20"/>
        </w:rPr>
        <w:t>F</w:t>
      </w:r>
      <w:r w:rsidR="00035DFF" w:rsidRPr="009979BF">
        <w:rPr>
          <w:rFonts w:cs="Tahoma"/>
          <w:color w:val="auto"/>
          <w:spacing w:val="-3"/>
          <w:sz w:val="20"/>
          <w:szCs w:val="20"/>
        </w:rPr>
        <w:t xml:space="preserve">ollowing informed consent, </w:t>
      </w:r>
      <w:r w:rsidR="00A83510" w:rsidRPr="009979BF">
        <w:rPr>
          <w:rFonts w:cs="Tahoma"/>
          <w:color w:val="auto"/>
          <w:spacing w:val="-3"/>
          <w:sz w:val="20"/>
          <w:szCs w:val="20"/>
        </w:rPr>
        <w:t>participant</w:t>
      </w:r>
      <w:r w:rsidR="00EC2CD4" w:rsidRPr="009979BF">
        <w:rPr>
          <w:rFonts w:cs="Tahoma"/>
          <w:color w:val="auto"/>
          <w:spacing w:val="-3"/>
          <w:sz w:val="20"/>
          <w:szCs w:val="20"/>
        </w:rPr>
        <w:t>s</w:t>
      </w:r>
      <w:r w:rsidR="00035DFF" w:rsidRPr="009979BF">
        <w:rPr>
          <w:rFonts w:cs="Tahoma"/>
          <w:color w:val="auto"/>
          <w:spacing w:val="-3"/>
          <w:sz w:val="20"/>
          <w:szCs w:val="20"/>
        </w:rPr>
        <w:t xml:space="preserve"> were invited to complete a </w:t>
      </w:r>
      <w:r w:rsidR="004D4573" w:rsidRPr="009979BF">
        <w:rPr>
          <w:rFonts w:cs="Tahoma"/>
          <w:color w:val="auto"/>
          <w:spacing w:val="-3"/>
          <w:sz w:val="20"/>
          <w:szCs w:val="20"/>
        </w:rPr>
        <w:t>b</w:t>
      </w:r>
      <w:r w:rsidR="00D51C69" w:rsidRPr="009979BF">
        <w:rPr>
          <w:rFonts w:cs="Tahoma"/>
          <w:color w:val="auto"/>
          <w:spacing w:val="-3"/>
          <w:sz w:val="20"/>
          <w:szCs w:val="20"/>
        </w:rPr>
        <w:t>aseline</w:t>
      </w:r>
      <w:r w:rsidR="00035DFF" w:rsidRPr="009979BF">
        <w:rPr>
          <w:rFonts w:cs="Tahoma"/>
          <w:color w:val="auto"/>
          <w:spacing w:val="-3"/>
          <w:sz w:val="20"/>
          <w:szCs w:val="20"/>
        </w:rPr>
        <w:t xml:space="preserve"> computer assisted self-interview (CASI) assessing psychosocial</w:t>
      </w:r>
      <w:r w:rsidR="00D51C69" w:rsidRPr="009979BF">
        <w:rPr>
          <w:rFonts w:cs="Tahoma"/>
          <w:color w:val="auto"/>
          <w:spacing w:val="-3"/>
          <w:sz w:val="20"/>
          <w:szCs w:val="20"/>
        </w:rPr>
        <w:t xml:space="preserve"> and HRQoL</w:t>
      </w:r>
      <w:r w:rsidR="00035DFF" w:rsidRPr="009979BF">
        <w:rPr>
          <w:rFonts w:cs="Tahoma"/>
          <w:color w:val="auto"/>
          <w:spacing w:val="-3"/>
          <w:sz w:val="20"/>
          <w:szCs w:val="20"/>
        </w:rPr>
        <w:t xml:space="preserve"> status in clinic prior to consultation, a </w:t>
      </w:r>
      <w:r w:rsidR="00884E67" w:rsidRPr="009979BF">
        <w:rPr>
          <w:rFonts w:cs="Tahoma"/>
          <w:color w:val="auto"/>
          <w:spacing w:val="-3"/>
          <w:sz w:val="20"/>
          <w:szCs w:val="20"/>
        </w:rPr>
        <w:t>f</w:t>
      </w:r>
      <w:r w:rsidR="00453C32" w:rsidRPr="009979BF">
        <w:rPr>
          <w:rFonts w:cs="Tahoma"/>
          <w:color w:val="auto"/>
          <w:spacing w:val="-3"/>
          <w:sz w:val="20"/>
          <w:szCs w:val="20"/>
        </w:rPr>
        <w:t>ollow-up</w:t>
      </w:r>
      <w:r w:rsidR="00D51C69" w:rsidRPr="009979BF">
        <w:rPr>
          <w:rFonts w:cs="Tahoma"/>
          <w:color w:val="auto"/>
          <w:spacing w:val="-3"/>
          <w:sz w:val="20"/>
          <w:szCs w:val="20"/>
        </w:rPr>
        <w:t xml:space="preserve"> </w:t>
      </w:r>
      <w:r w:rsidR="00035DFF" w:rsidRPr="009979BF">
        <w:rPr>
          <w:rFonts w:cs="Tahoma"/>
          <w:color w:val="auto"/>
          <w:spacing w:val="-3"/>
          <w:sz w:val="20"/>
          <w:szCs w:val="20"/>
        </w:rPr>
        <w:t>CASI</w:t>
      </w:r>
      <w:r w:rsidR="004D4573" w:rsidRPr="009979BF">
        <w:rPr>
          <w:rFonts w:cs="Tahoma"/>
          <w:color w:val="auto"/>
          <w:spacing w:val="-3"/>
          <w:sz w:val="20"/>
          <w:szCs w:val="20"/>
        </w:rPr>
        <w:t xml:space="preserve"> </w:t>
      </w:r>
      <w:r w:rsidR="00035DFF" w:rsidRPr="009979BF">
        <w:rPr>
          <w:rFonts w:cs="Tahoma"/>
          <w:color w:val="auto"/>
          <w:spacing w:val="-3"/>
          <w:sz w:val="20"/>
          <w:szCs w:val="20"/>
        </w:rPr>
        <w:t>aft</w:t>
      </w:r>
      <w:r w:rsidR="00C37844" w:rsidRPr="009979BF">
        <w:rPr>
          <w:rFonts w:cs="Tahoma"/>
          <w:color w:val="auto"/>
          <w:spacing w:val="-3"/>
          <w:sz w:val="20"/>
          <w:szCs w:val="20"/>
        </w:rPr>
        <w:t xml:space="preserve">er receipt of all test results </w:t>
      </w:r>
      <w:r w:rsidR="00035DFF" w:rsidRPr="009979BF">
        <w:rPr>
          <w:rFonts w:cs="Tahoma"/>
          <w:color w:val="auto"/>
          <w:spacing w:val="-3"/>
          <w:sz w:val="20"/>
          <w:szCs w:val="20"/>
        </w:rPr>
        <w:t xml:space="preserve">1-2 weeks after </w:t>
      </w:r>
      <w:r w:rsidR="00884E67" w:rsidRPr="009979BF">
        <w:rPr>
          <w:rFonts w:cs="Tahoma"/>
          <w:color w:val="auto"/>
          <w:spacing w:val="-3"/>
          <w:sz w:val="20"/>
          <w:szCs w:val="20"/>
        </w:rPr>
        <w:t>b</w:t>
      </w:r>
      <w:r w:rsidR="00C37844" w:rsidRPr="009979BF">
        <w:rPr>
          <w:rFonts w:cs="Tahoma"/>
          <w:color w:val="auto"/>
          <w:spacing w:val="-3"/>
          <w:sz w:val="20"/>
          <w:szCs w:val="20"/>
        </w:rPr>
        <w:t>aseline</w:t>
      </w:r>
      <w:r w:rsidR="008A1D93" w:rsidRPr="009979BF">
        <w:rPr>
          <w:rFonts w:cs="Tahoma"/>
          <w:color w:val="auto"/>
          <w:spacing w:val="-3"/>
          <w:sz w:val="20"/>
          <w:szCs w:val="20"/>
        </w:rPr>
        <w:t xml:space="preserve"> </w:t>
      </w:r>
      <w:r w:rsidR="004D4573" w:rsidRPr="009979BF">
        <w:rPr>
          <w:rFonts w:cs="Tahoma"/>
          <w:color w:val="auto"/>
          <w:spacing w:val="-3"/>
          <w:sz w:val="20"/>
          <w:szCs w:val="20"/>
        </w:rPr>
        <w:t>(</w:t>
      </w:r>
      <w:r w:rsidR="002F616A" w:rsidRPr="009979BF">
        <w:rPr>
          <w:rFonts w:cs="Tahoma"/>
          <w:color w:val="auto"/>
          <w:spacing w:val="-3"/>
          <w:sz w:val="20"/>
          <w:szCs w:val="20"/>
        </w:rPr>
        <w:t>Follow-up 1 (</w:t>
      </w:r>
      <w:r w:rsidR="004D4573" w:rsidRPr="009979BF">
        <w:rPr>
          <w:rFonts w:cs="Tahoma"/>
          <w:color w:val="auto"/>
          <w:spacing w:val="-3"/>
          <w:sz w:val="20"/>
          <w:szCs w:val="20"/>
        </w:rPr>
        <w:t>FU-1)</w:t>
      </w:r>
      <w:r w:rsidR="002F616A" w:rsidRPr="009979BF">
        <w:rPr>
          <w:rFonts w:cs="Tahoma"/>
          <w:color w:val="auto"/>
          <w:spacing w:val="-3"/>
          <w:sz w:val="20"/>
          <w:szCs w:val="20"/>
        </w:rPr>
        <w:t>)</w:t>
      </w:r>
      <w:r w:rsidR="004D4573" w:rsidRPr="009979BF">
        <w:rPr>
          <w:rFonts w:cs="Tahoma"/>
          <w:color w:val="auto"/>
          <w:spacing w:val="-3"/>
          <w:sz w:val="20"/>
          <w:szCs w:val="20"/>
        </w:rPr>
        <w:t xml:space="preserve"> </w:t>
      </w:r>
      <w:r w:rsidR="008A1D93" w:rsidRPr="009979BF">
        <w:rPr>
          <w:rFonts w:cs="Tahoma"/>
          <w:color w:val="auto"/>
          <w:spacing w:val="-3"/>
          <w:sz w:val="20"/>
          <w:szCs w:val="20"/>
        </w:rPr>
        <w:t>and</w:t>
      </w:r>
      <w:r w:rsidR="004D4573" w:rsidRPr="009979BF">
        <w:rPr>
          <w:rFonts w:cs="Tahoma"/>
          <w:color w:val="auto"/>
          <w:spacing w:val="-3"/>
          <w:sz w:val="20"/>
          <w:szCs w:val="20"/>
        </w:rPr>
        <w:t xml:space="preserve"> </w:t>
      </w:r>
      <w:r w:rsidR="008A1D93" w:rsidRPr="009979BF">
        <w:rPr>
          <w:rFonts w:cs="Tahoma"/>
          <w:color w:val="auto"/>
          <w:spacing w:val="-3"/>
          <w:sz w:val="20"/>
          <w:szCs w:val="20"/>
        </w:rPr>
        <w:t xml:space="preserve">a qualitative interview </w:t>
      </w:r>
      <w:r w:rsidR="00035DFF" w:rsidRPr="009979BF">
        <w:rPr>
          <w:rFonts w:cs="Tahoma"/>
          <w:color w:val="auto"/>
          <w:spacing w:val="-3"/>
          <w:sz w:val="20"/>
          <w:szCs w:val="20"/>
        </w:rPr>
        <w:t>2-4 weeks</w:t>
      </w:r>
      <w:r w:rsidR="008A1D93" w:rsidRPr="009979BF">
        <w:rPr>
          <w:rFonts w:cs="Tahoma"/>
          <w:color w:val="auto"/>
          <w:spacing w:val="-3"/>
          <w:sz w:val="20"/>
          <w:szCs w:val="20"/>
        </w:rPr>
        <w:t xml:space="preserve"> after </w:t>
      </w:r>
      <w:r w:rsidR="00C37844" w:rsidRPr="009979BF">
        <w:rPr>
          <w:rFonts w:cs="Tahoma"/>
          <w:color w:val="auto"/>
          <w:spacing w:val="-3"/>
          <w:sz w:val="20"/>
          <w:szCs w:val="20"/>
        </w:rPr>
        <w:t>baseline</w:t>
      </w:r>
      <w:r w:rsidR="008E4571" w:rsidRPr="009979BF">
        <w:rPr>
          <w:rFonts w:cs="Tahoma"/>
          <w:color w:val="auto"/>
          <w:spacing w:val="-3"/>
          <w:sz w:val="20"/>
          <w:szCs w:val="20"/>
        </w:rPr>
        <w:t xml:space="preserve"> </w:t>
      </w:r>
      <w:r w:rsidR="004D4573" w:rsidRPr="009979BF">
        <w:rPr>
          <w:rFonts w:cs="Tahoma"/>
          <w:color w:val="auto"/>
          <w:spacing w:val="-3"/>
          <w:sz w:val="20"/>
          <w:szCs w:val="20"/>
        </w:rPr>
        <w:t>(</w:t>
      </w:r>
      <w:r w:rsidR="002F616A" w:rsidRPr="009979BF">
        <w:rPr>
          <w:rFonts w:cs="Tahoma"/>
          <w:color w:val="auto"/>
          <w:spacing w:val="-3"/>
          <w:sz w:val="20"/>
          <w:szCs w:val="20"/>
        </w:rPr>
        <w:t>Follow-up 2 (</w:t>
      </w:r>
      <w:r w:rsidR="004D4573" w:rsidRPr="009979BF">
        <w:rPr>
          <w:rFonts w:cs="Tahoma"/>
          <w:color w:val="auto"/>
          <w:spacing w:val="-3"/>
          <w:sz w:val="20"/>
          <w:szCs w:val="20"/>
        </w:rPr>
        <w:t>FU-2)</w:t>
      </w:r>
      <w:r w:rsidR="002F616A" w:rsidRPr="009979BF">
        <w:rPr>
          <w:rFonts w:cs="Tahoma"/>
          <w:color w:val="auto"/>
          <w:spacing w:val="-3"/>
          <w:sz w:val="20"/>
          <w:szCs w:val="20"/>
        </w:rPr>
        <w:t>)</w:t>
      </w:r>
      <w:r w:rsidR="004D4573" w:rsidRPr="009979BF">
        <w:rPr>
          <w:rFonts w:cs="Tahoma"/>
          <w:color w:val="auto"/>
          <w:spacing w:val="-3"/>
          <w:sz w:val="20"/>
          <w:szCs w:val="20"/>
        </w:rPr>
        <w:t>.</w:t>
      </w:r>
    </w:p>
    <w:p w14:paraId="22980D86" w14:textId="77777777" w:rsidR="00D51C69" w:rsidRPr="009979BF" w:rsidRDefault="00D51C69">
      <w:pPr>
        <w:spacing w:line="360" w:lineRule="auto"/>
        <w:jc w:val="both"/>
        <w:rPr>
          <w:rFonts w:cs="Tahoma"/>
          <w:color w:val="auto"/>
          <w:spacing w:val="-3"/>
          <w:sz w:val="20"/>
          <w:szCs w:val="20"/>
        </w:rPr>
      </w:pPr>
    </w:p>
    <w:p w14:paraId="3E4B9815" w14:textId="77777777" w:rsidR="00B1504C" w:rsidRPr="009979BF" w:rsidRDefault="00222CB9">
      <w:pPr>
        <w:spacing w:line="360" w:lineRule="auto"/>
        <w:jc w:val="both"/>
        <w:rPr>
          <w:color w:val="auto"/>
          <w:sz w:val="20"/>
          <w:szCs w:val="20"/>
        </w:rPr>
      </w:pPr>
      <w:r w:rsidRPr="009979BF">
        <w:rPr>
          <w:rFonts w:cs="Tahoma"/>
          <w:color w:val="auto"/>
          <w:spacing w:val="-3"/>
          <w:sz w:val="20"/>
          <w:szCs w:val="20"/>
        </w:rPr>
        <w:t xml:space="preserve">The participant pathway is </w:t>
      </w:r>
      <w:r w:rsidR="00943EB4" w:rsidRPr="009979BF">
        <w:rPr>
          <w:rFonts w:cs="Tahoma"/>
          <w:color w:val="auto"/>
          <w:spacing w:val="-3"/>
          <w:sz w:val="20"/>
          <w:szCs w:val="20"/>
        </w:rPr>
        <w:t>detailed</w:t>
      </w:r>
      <w:r w:rsidRPr="009979BF">
        <w:rPr>
          <w:rFonts w:cs="Tahoma"/>
          <w:color w:val="auto"/>
          <w:spacing w:val="-3"/>
          <w:sz w:val="20"/>
          <w:szCs w:val="20"/>
        </w:rPr>
        <w:t xml:space="preserve"> in Figure 1. </w:t>
      </w:r>
      <w:r w:rsidR="00D51C69" w:rsidRPr="009979BF">
        <w:rPr>
          <w:rFonts w:cs="Tahoma"/>
          <w:color w:val="auto"/>
          <w:spacing w:val="-3"/>
          <w:sz w:val="20"/>
          <w:szCs w:val="20"/>
        </w:rPr>
        <w:t>After completion of the</w:t>
      </w:r>
      <w:r w:rsidR="00A60C78" w:rsidRPr="009979BF">
        <w:rPr>
          <w:rFonts w:cs="Tahoma"/>
          <w:color w:val="auto"/>
          <w:spacing w:val="-3"/>
          <w:sz w:val="20"/>
          <w:szCs w:val="20"/>
        </w:rPr>
        <w:t xml:space="preserve"> </w:t>
      </w:r>
      <w:r w:rsidR="004D4573" w:rsidRPr="009979BF">
        <w:rPr>
          <w:rFonts w:cs="Tahoma"/>
          <w:color w:val="auto"/>
          <w:spacing w:val="-3"/>
          <w:sz w:val="20"/>
          <w:szCs w:val="20"/>
        </w:rPr>
        <w:t>b</w:t>
      </w:r>
      <w:r w:rsidR="00A60C78" w:rsidRPr="009979BF">
        <w:rPr>
          <w:rFonts w:cs="Tahoma"/>
          <w:color w:val="auto"/>
          <w:spacing w:val="-3"/>
          <w:sz w:val="20"/>
          <w:szCs w:val="20"/>
        </w:rPr>
        <w:t>aseline</w:t>
      </w:r>
      <w:r w:rsidR="00B12455" w:rsidRPr="009979BF">
        <w:rPr>
          <w:rFonts w:cs="Tahoma"/>
          <w:color w:val="auto"/>
          <w:spacing w:val="-3"/>
          <w:sz w:val="20"/>
          <w:szCs w:val="20"/>
        </w:rPr>
        <w:t xml:space="preserve"> CASI</w:t>
      </w:r>
      <w:r w:rsidR="00D170A0" w:rsidRPr="009979BF">
        <w:rPr>
          <w:rFonts w:cs="Tahoma"/>
          <w:color w:val="auto"/>
          <w:spacing w:val="-3"/>
          <w:sz w:val="20"/>
          <w:szCs w:val="20"/>
        </w:rPr>
        <w:t>,</w:t>
      </w:r>
      <w:r w:rsidR="00A60C78" w:rsidRPr="009979BF">
        <w:rPr>
          <w:rFonts w:cs="Tahoma"/>
          <w:color w:val="auto"/>
          <w:spacing w:val="-3"/>
          <w:sz w:val="20"/>
          <w:szCs w:val="20"/>
        </w:rPr>
        <w:t xml:space="preserve"> any </w:t>
      </w:r>
      <w:r w:rsidR="00E06212" w:rsidRPr="009979BF">
        <w:rPr>
          <w:rFonts w:cs="Tahoma"/>
          <w:color w:val="auto"/>
          <w:spacing w:val="-3"/>
          <w:sz w:val="20"/>
          <w:szCs w:val="20"/>
        </w:rPr>
        <w:t xml:space="preserve">participants </w:t>
      </w:r>
      <w:r w:rsidR="00A60C78" w:rsidRPr="009979BF">
        <w:rPr>
          <w:rFonts w:cs="Tahoma"/>
          <w:color w:val="auto"/>
          <w:spacing w:val="-3"/>
          <w:sz w:val="20"/>
          <w:szCs w:val="20"/>
        </w:rPr>
        <w:t xml:space="preserve">diagnosed with an STI other than CT, NG or NSGI, or who did not have both urethral microscopy </w:t>
      </w:r>
      <w:r w:rsidR="00D170A0" w:rsidRPr="009979BF">
        <w:rPr>
          <w:rFonts w:cs="Tahoma"/>
          <w:color w:val="auto"/>
          <w:spacing w:val="-3"/>
          <w:sz w:val="20"/>
          <w:szCs w:val="20"/>
        </w:rPr>
        <w:t>and urinary NAATs</w:t>
      </w:r>
      <w:r w:rsidR="00AC3C85" w:rsidRPr="009979BF">
        <w:rPr>
          <w:rFonts w:cs="Tahoma"/>
          <w:color w:val="auto"/>
          <w:spacing w:val="-3"/>
          <w:sz w:val="20"/>
          <w:szCs w:val="20"/>
        </w:rPr>
        <w:t>,</w:t>
      </w:r>
      <w:r w:rsidR="00D170A0" w:rsidRPr="009979BF">
        <w:rPr>
          <w:rFonts w:cs="Tahoma"/>
          <w:color w:val="auto"/>
          <w:spacing w:val="-3"/>
          <w:sz w:val="20"/>
          <w:szCs w:val="20"/>
        </w:rPr>
        <w:t xml:space="preserve"> </w:t>
      </w:r>
      <w:r w:rsidR="00A60C78" w:rsidRPr="009979BF">
        <w:rPr>
          <w:rFonts w:cs="Tahoma"/>
          <w:color w:val="auto"/>
          <w:spacing w:val="-3"/>
          <w:sz w:val="20"/>
          <w:szCs w:val="20"/>
        </w:rPr>
        <w:t>were withdrawn</w:t>
      </w:r>
      <w:r w:rsidR="00611C4C" w:rsidRPr="009979BF">
        <w:rPr>
          <w:rFonts w:cs="Tahoma"/>
          <w:color w:val="auto"/>
          <w:spacing w:val="-3"/>
          <w:sz w:val="20"/>
          <w:szCs w:val="20"/>
        </w:rPr>
        <w:t xml:space="preserve"> from the study</w:t>
      </w:r>
      <w:r w:rsidR="00A60C78" w:rsidRPr="009979BF">
        <w:rPr>
          <w:rFonts w:cs="Tahoma"/>
          <w:color w:val="auto"/>
          <w:spacing w:val="-3"/>
          <w:sz w:val="20"/>
          <w:szCs w:val="20"/>
        </w:rPr>
        <w:t>.</w:t>
      </w:r>
      <w:r w:rsidRPr="009979BF">
        <w:rPr>
          <w:rFonts w:cs="Tahoma"/>
          <w:color w:val="auto"/>
          <w:spacing w:val="-3"/>
          <w:sz w:val="20"/>
          <w:szCs w:val="20"/>
        </w:rPr>
        <w:t xml:space="preserve"> </w:t>
      </w:r>
      <w:r w:rsidR="00AC3122" w:rsidRPr="009979BF">
        <w:rPr>
          <w:rFonts w:cs="Tahoma"/>
          <w:color w:val="auto"/>
          <w:spacing w:val="-3"/>
          <w:sz w:val="20"/>
          <w:szCs w:val="20"/>
        </w:rPr>
        <w:t xml:space="preserve">Once </w:t>
      </w:r>
      <w:r w:rsidR="00AC3C85" w:rsidRPr="009979BF">
        <w:rPr>
          <w:rFonts w:cs="Tahoma"/>
          <w:color w:val="auto"/>
          <w:spacing w:val="-3"/>
          <w:sz w:val="20"/>
          <w:szCs w:val="20"/>
        </w:rPr>
        <w:t xml:space="preserve">participants </w:t>
      </w:r>
      <w:r w:rsidR="00CF159D" w:rsidRPr="009979BF">
        <w:rPr>
          <w:rFonts w:cs="Tahoma"/>
          <w:color w:val="auto"/>
          <w:spacing w:val="-3"/>
          <w:sz w:val="20"/>
          <w:szCs w:val="20"/>
        </w:rPr>
        <w:t xml:space="preserve">were notified of </w:t>
      </w:r>
      <w:r w:rsidR="00AC3122" w:rsidRPr="009979BF">
        <w:rPr>
          <w:rFonts w:cs="Tahoma"/>
          <w:color w:val="auto"/>
          <w:spacing w:val="-3"/>
          <w:sz w:val="20"/>
          <w:szCs w:val="20"/>
        </w:rPr>
        <w:t xml:space="preserve">their NAAT </w:t>
      </w:r>
      <w:r w:rsidR="00CF159D" w:rsidRPr="009979BF">
        <w:rPr>
          <w:rFonts w:cs="Tahoma"/>
          <w:color w:val="auto"/>
          <w:spacing w:val="-3"/>
          <w:sz w:val="20"/>
          <w:szCs w:val="20"/>
        </w:rPr>
        <w:t xml:space="preserve">CT/NG </w:t>
      </w:r>
      <w:r w:rsidR="00AC3122" w:rsidRPr="009979BF">
        <w:rPr>
          <w:rFonts w:cs="Tahoma"/>
          <w:color w:val="auto"/>
          <w:spacing w:val="-3"/>
          <w:sz w:val="20"/>
          <w:szCs w:val="20"/>
        </w:rPr>
        <w:t>results</w:t>
      </w:r>
      <w:r w:rsidR="00CF159D" w:rsidRPr="009979BF">
        <w:rPr>
          <w:rFonts w:cs="Tahoma"/>
          <w:color w:val="auto"/>
          <w:spacing w:val="-3"/>
          <w:sz w:val="20"/>
          <w:szCs w:val="20"/>
        </w:rPr>
        <w:t xml:space="preserve"> by the </w:t>
      </w:r>
      <w:r w:rsidR="000231CD" w:rsidRPr="009979BF">
        <w:rPr>
          <w:rFonts w:cs="Tahoma"/>
          <w:color w:val="auto"/>
          <w:spacing w:val="-3"/>
          <w:sz w:val="20"/>
          <w:szCs w:val="20"/>
        </w:rPr>
        <w:t xml:space="preserve">SHC </w:t>
      </w:r>
      <w:r w:rsidR="00CF159D" w:rsidRPr="009979BF">
        <w:rPr>
          <w:rFonts w:cs="Tahoma"/>
          <w:color w:val="auto"/>
          <w:spacing w:val="-3"/>
          <w:sz w:val="20"/>
          <w:szCs w:val="20"/>
        </w:rPr>
        <w:t>(phone call</w:t>
      </w:r>
      <w:r w:rsidR="000231CD" w:rsidRPr="009979BF">
        <w:rPr>
          <w:rFonts w:cs="Tahoma"/>
          <w:color w:val="auto"/>
          <w:spacing w:val="-3"/>
          <w:sz w:val="20"/>
          <w:szCs w:val="20"/>
        </w:rPr>
        <w:t xml:space="preserve">/ </w:t>
      </w:r>
      <w:r w:rsidR="00CF159D" w:rsidRPr="009979BF">
        <w:rPr>
          <w:rFonts w:cs="Tahoma"/>
          <w:color w:val="auto"/>
          <w:spacing w:val="-3"/>
          <w:sz w:val="20"/>
          <w:szCs w:val="20"/>
        </w:rPr>
        <w:t>text message)</w:t>
      </w:r>
      <w:r w:rsidR="00AC3122" w:rsidRPr="009979BF">
        <w:rPr>
          <w:rFonts w:cs="Tahoma"/>
          <w:color w:val="auto"/>
          <w:spacing w:val="-3"/>
          <w:sz w:val="20"/>
          <w:szCs w:val="20"/>
        </w:rPr>
        <w:t>,</w:t>
      </w:r>
      <w:r w:rsidR="0054714C" w:rsidRPr="009979BF">
        <w:rPr>
          <w:rFonts w:cs="Tahoma"/>
          <w:color w:val="auto"/>
          <w:spacing w:val="-3"/>
          <w:sz w:val="20"/>
          <w:szCs w:val="20"/>
        </w:rPr>
        <w:t xml:space="preserve"> </w:t>
      </w:r>
      <w:r w:rsidR="00CF159D" w:rsidRPr="009979BF">
        <w:rPr>
          <w:rFonts w:cs="Tahoma"/>
          <w:color w:val="auto"/>
          <w:spacing w:val="-3"/>
          <w:sz w:val="20"/>
          <w:szCs w:val="20"/>
        </w:rPr>
        <w:t xml:space="preserve">the research team </w:t>
      </w:r>
      <w:r w:rsidR="00D170A0" w:rsidRPr="009979BF">
        <w:rPr>
          <w:rFonts w:cs="Tahoma"/>
          <w:color w:val="auto"/>
          <w:spacing w:val="-3"/>
          <w:sz w:val="20"/>
          <w:szCs w:val="20"/>
        </w:rPr>
        <w:t>texted</w:t>
      </w:r>
      <w:r w:rsidR="00AC3122" w:rsidRPr="009979BF">
        <w:rPr>
          <w:rFonts w:cs="Tahoma"/>
          <w:color w:val="auto"/>
          <w:spacing w:val="-3"/>
          <w:sz w:val="20"/>
          <w:szCs w:val="20"/>
        </w:rPr>
        <w:t xml:space="preserve"> </w:t>
      </w:r>
      <w:r w:rsidR="00CF159D" w:rsidRPr="009979BF">
        <w:rPr>
          <w:rFonts w:cs="Tahoma"/>
          <w:color w:val="auto"/>
          <w:spacing w:val="-3"/>
          <w:sz w:val="20"/>
          <w:szCs w:val="20"/>
        </w:rPr>
        <w:t xml:space="preserve">participants </w:t>
      </w:r>
      <w:r w:rsidR="00401FA8" w:rsidRPr="009979BF">
        <w:rPr>
          <w:rFonts w:cs="Tahoma"/>
          <w:color w:val="auto"/>
          <w:spacing w:val="-3"/>
          <w:sz w:val="20"/>
          <w:szCs w:val="20"/>
        </w:rPr>
        <w:t xml:space="preserve">an electronic </w:t>
      </w:r>
      <w:r w:rsidR="00AC3122" w:rsidRPr="009979BF">
        <w:rPr>
          <w:rFonts w:cs="Tahoma"/>
          <w:color w:val="auto"/>
          <w:spacing w:val="-3"/>
          <w:sz w:val="20"/>
          <w:szCs w:val="20"/>
        </w:rPr>
        <w:t xml:space="preserve">link to </w:t>
      </w:r>
      <w:r w:rsidR="00AC3C85" w:rsidRPr="009979BF">
        <w:rPr>
          <w:rFonts w:cs="Tahoma"/>
          <w:color w:val="auto"/>
          <w:spacing w:val="-3"/>
          <w:sz w:val="20"/>
          <w:szCs w:val="20"/>
        </w:rPr>
        <w:t>the</w:t>
      </w:r>
      <w:r w:rsidR="00D170A0" w:rsidRPr="009979BF">
        <w:rPr>
          <w:rFonts w:cs="Tahoma"/>
          <w:color w:val="auto"/>
          <w:spacing w:val="-3"/>
          <w:sz w:val="20"/>
          <w:szCs w:val="20"/>
        </w:rPr>
        <w:t xml:space="preserve"> </w:t>
      </w:r>
      <w:r w:rsidR="003073B3" w:rsidRPr="009979BF">
        <w:rPr>
          <w:rFonts w:cs="Tahoma"/>
          <w:color w:val="auto"/>
          <w:spacing w:val="-3"/>
          <w:sz w:val="20"/>
          <w:szCs w:val="20"/>
        </w:rPr>
        <w:t>FU</w:t>
      </w:r>
      <w:r w:rsidR="008A1D93" w:rsidRPr="009979BF">
        <w:rPr>
          <w:rFonts w:cs="Tahoma"/>
          <w:color w:val="auto"/>
          <w:spacing w:val="-3"/>
          <w:sz w:val="20"/>
          <w:szCs w:val="20"/>
        </w:rPr>
        <w:t>-</w:t>
      </w:r>
      <w:r w:rsidR="003073B3" w:rsidRPr="009979BF">
        <w:rPr>
          <w:rFonts w:cs="Tahoma"/>
          <w:color w:val="auto"/>
          <w:spacing w:val="-3"/>
          <w:sz w:val="20"/>
          <w:szCs w:val="20"/>
        </w:rPr>
        <w:t>1</w:t>
      </w:r>
      <w:r w:rsidR="00D170A0" w:rsidRPr="009979BF">
        <w:rPr>
          <w:rFonts w:cs="Tahoma"/>
          <w:color w:val="auto"/>
          <w:spacing w:val="-3"/>
          <w:sz w:val="20"/>
          <w:szCs w:val="20"/>
        </w:rPr>
        <w:t xml:space="preserve"> CASI</w:t>
      </w:r>
      <w:r w:rsidR="00AC3C85" w:rsidRPr="009979BF">
        <w:rPr>
          <w:rStyle w:val="CommentReference"/>
          <w:color w:val="auto"/>
          <w:sz w:val="20"/>
          <w:szCs w:val="20"/>
        </w:rPr>
        <w:t>.</w:t>
      </w:r>
      <w:r w:rsidR="006872E2" w:rsidRPr="009979BF">
        <w:rPr>
          <w:color w:val="auto"/>
          <w:sz w:val="20"/>
          <w:szCs w:val="20"/>
        </w:rPr>
        <w:t xml:space="preserve"> </w:t>
      </w:r>
    </w:p>
    <w:p w14:paraId="751645A0" w14:textId="77777777" w:rsidR="00B1504C" w:rsidRPr="009979BF" w:rsidRDefault="00B1504C">
      <w:pPr>
        <w:spacing w:line="360" w:lineRule="auto"/>
        <w:jc w:val="both"/>
        <w:rPr>
          <w:color w:val="auto"/>
          <w:sz w:val="20"/>
          <w:szCs w:val="20"/>
        </w:rPr>
      </w:pPr>
    </w:p>
    <w:p w14:paraId="727A0FD2" w14:textId="77777777" w:rsidR="00B1504C" w:rsidRPr="009979BF" w:rsidRDefault="005F5BD9">
      <w:pPr>
        <w:spacing w:line="360" w:lineRule="auto"/>
        <w:jc w:val="both"/>
        <w:rPr>
          <w:rFonts w:cs="Tahoma"/>
          <w:color w:val="auto"/>
          <w:spacing w:val="-3"/>
          <w:sz w:val="20"/>
          <w:szCs w:val="20"/>
        </w:rPr>
      </w:pPr>
      <w:r w:rsidRPr="009979BF">
        <w:rPr>
          <w:rFonts w:cs="Tahoma"/>
          <w:color w:val="auto"/>
          <w:spacing w:val="-3"/>
          <w:sz w:val="20"/>
          <w:szCs w:val="20"/>
        </w:rPr>
        <w:t>CASIs were optimised for web-enabled device</w:t>
      </w:r>
      <w:r w:rsidR="00256573" w:rsidRPr="009979BF">
        <w:rPr>
          <w:rFonts w:cs="Tahoma"/>
          <w:color w:val="auto"/>
          <w:spacing w:val="-3"/>
          <w:sz w:val="20"/>
          <w:szCs w:val="20"/>
        </w:rPr>
        <w:t>s</w:t>
      </w:r>
      <w:r w:rsidRPr="009979BF">
        <w:rPr>
          <w:rFonts w:cs="Tahoma"/>
          <w:color w:val="auto"/>
          <w:spacing w:val="-3"/>
          <w:sz w:val="20"/>
          <w:szCs w:val="20"/>
        </w:rPr>
        <w:t xml:space="preserve"> including smartphones. We offered participants</w:t>
      </w:r>
      <w:r w:rsidR="008E4571" w:rsidRPr="009979BF">
        <w:rPr>
          <w:rFonts w:cs="Tahoma"/>
          <w:color w:val="auto"/>
          <w:spacing w:val="-3"/>
          <w:sz w:val="20"/>
          <w:szCs w:val="20"/>
        </w:rPr>
        <w:t xml:space="preserve"> the</w:t>
      </w:r>
      <w:r w:rsidRPr="009979BF">
        <w:rPr>
          <w:rFonts w:cs="Tahoma"/>
          <w:color w:val="auto"/>
          <w:spacing w:val="-3"/>
          <w:sz w:val="20"/>
          <w:szCs w:val="20"/>
        </w:rPr>
        <w:t xml:space="preserve"> choice to comple</w:t>
      </w:r>
      <w:r w:rsidR="00CD2332" w:rsidRPr="009979BF">
        <w:rPr>
          <w:rFonts w:cs="Tahoma"/>
          <w:color w:val="auto"/>
          <w:spacing w:val="-3"/>
          <w:sz w:val="20"/>
          <w:szCs w:val="20"/>
        </w:rPr>
        <w:t>te CASIs</w:t>
      </w:r>
      <w:r w:rsidRPr="009979BF">
        <w:rPr>
          <w:rFonts w:cs="Tahoma"/>
          <w:color w:val="auto"/>
          <w:spacing w:val="-3"/>
          <w:sz w:val="20"/>
          <w:szCs w:val="20"/>
        </w:rPr>
        <w:t xml:space="preserve"> using their own devi</w:t>
      </w:r>
      <w:r w:rsidR="00256573" w:rsidRPr="009979BF">
        <w:rPr>
          <w:rFonts w:cs="Tahoma"/>
          <w:color w:val="auto"/>
          <w:spacing w:val="-3"/>
          <w:sz w:val="20"/>
          <w:szCs w:val="20"/>
        </w:rPr>
        <w:t>ce or a study tablet-device</w:t>
      </w:r>
      <w:r w:rsidR="008E4571" w:rsidRPr="009979BF">
        <w:rPr>
          <w:rFonts w:cs="Tahoma"/>
          <w:color w:val="auto"/>
          <w:spacing w:val="-3"/>
          <w:sz w:val="20"/>
          <w:szCs w:val="20"/>
        </w:rPr>
        <w:t xml:space="preserve"> and</w:t>
      </w:r>
      <w:r w:rsidRPr="009979BF">
        <w:rPr>
          <w:rFonts w:cs="Tahoma"/>
          <w:color w:val="auto"/>
          <w:spacing w:val="-3"/>
          <w:sz w:val="20"/>
          <w:szCs w:val="20"/>
        </w:rPr>
        <w:t xml:space="preserve"> use of a private room in clinic.</w:t>
      </w:r>
      <w:r w:rsidR="004C7196" w:rsidRPr="009979BF">
        <w:rPr>
          <w:rFonts w:cs="Tahoma"/>
          <w:color w:val="auto"/>
          <w:spacing w:val="-3"/>
          <w:sz w:val="20"/>
          <w:szCs w:val="20"/>
        </w:rPr>
        <w:t xml:space="preserve"> </w:t>
      </w:r>
      <w:r w:rsidR="00B1504C" w:rsidRPr="009979BF">
        <w:rPr>
          <w:color w:val="auto"/>
          <w:sz w:val="20"/>
          <w:szCs w:val="20"/>
        </w:rPr>
        <w:t xml:space="preserve">Study staff sent </w:t>
      </w:r>
      <w:r w:rsidR="00884E67" w:rsidRPr="009979BF">
        <w:rPr>
          <w:color w:val="auto"/>
          <w:sz w:val="20"/>
          <w:szCs w:val="20"/>
        </w:rPr>
        <w:t xml:space="preserve">≤2 </w:t>
      </w:r>
      <w:r w:rsidR="00B1504C" w:rsidRPr="009979BF">
        <w:rPr>
          <w:color w:val="auto"/>
          <w:sz w:val="20"/>
          <w:szCs w:val="20"/>
        </w:rPr>
        <w:t xml:space="preserve">text message reminders for each follow-up. Participants who did not complete FU-1 were considered ineligible for FU-2. Participants received </w:t>
      </w:r>
      <w:r w:rsidR="00256573" w:rsidRPr="009979BF">
        <w:rPr>
          <w:color w:val="auto"/>
          <w:sz w:val="20"/>
          <w:szCs w:val="20"/>
        </w:rPr>
        <w:t xml:space="preserve">gift voucher </w:t>
      </w:r>
      <w:r w:rsidR="00B1504C" w:rsidRPr="009979BF">
        <w:rPr>
          <w:color w:val="auto"/>
          <w:sz w:val="20"/>
          <w:szCs w:val="20"/>
        </w:rPr>
        <w:t>reimbursement</w:t>
      </w:r>
      <w:r w:rsidR="00256573" w:rsidRPr="009979BF">
        <w:rPr>
          <w:color w:val="auto"/>
          <w:sz w:val="20"/>
          <w:szCs w:val="20"/>
        </w:rPr>
        <w:t>s:</w:t>
      </w:r>
      <w:r w:rsidR="00A876E9" w:rsidRPr="009979BF">
        <w:rPr>
          <w:color w:val="auto"/>
          <w:sz w:val="20"/>
          <w:szCs w:val="20"/>
        </w:rPr>
        <w:t xml:space="preserve"> £5</w:t>
      </w:r>
      <w:r w:rsidR="00256573" w:rsidRPr="009979BF">
        <w:rPr>
          <w:color w:val="auto"/>
          <w:sz w:val="20"/>
          <w:szCs w:val="20"/>
        </w:rPr>
        <w:t xml:space="preserve"> (baseline)</w:t>
      </w:r>
      <w:r w:rsidR="00A876E9" w:rsidRPr="009979BF">
        <w:rPr>
          <w:color w:val="auto"/>
          <w:sz w:val="20"/>
          <w:szCs w:val="20"/>
        </w:rPr>
        <w:t>, £10</w:t>
      </w:r>
      <w:r w:rsidR="00256573" w:rsidRPr="009979BF">
        <w:rPr>
          <w:color w:val="auto"/>
          <w:sz w:val="20"/>
          <w:szCs w:val="20"/>
        </w:rPr>
        <w:t xml:space="preserve"> (FU-1)</w:t>
      </w:r>
      <w:r w:rsidR="008E4571" w:rsidRPr="009979BF">
        <w:rPr>
          <w:color w:val="auto"/>
          <w:sz w:val="20"/>
          <w:szCs w:val="20"/>
        </w:rPr>
        <w:t>,</w:t>
      </w:r>
      <w:r w:rsidR="00A876E9" w:rsidRPr="009979BF">
        <w:rPr>
          <w:color w:val="auto"/>
          <w:sz w:val="20"/>
          <w:szCs w:val="20"/>
        </w:rPr>
        <w:t xml:space="preserve"> </w:t>
      </w:r>
      <w:r w:rsidR="00B1504C" w:rsidRPr="009979BF">
        <w:rPr>
          <w:color w:val="auto"/>
          <w:sz w:val="20"/>
          <w:szCs w:val="20"/>
        </w:rPr>
        <w:t xml:space="preserve">£20 </w:t>
      </w:r>
      <w:r w:rsidR="00CD2332" w:rsidRPr="009979BF">
        <w:rPr>
          <w:color w:val="auto"/>
          <w:sz w:val="20"/>
          <w:szCs w:val="20"/>
        </w:rPr>
        <w:t>(</w:t>
      </w:r>
      <w:r w:rsidR="00256573" w:rsidRPr="009979BF">
        <w:rPr>
          <w:color w:val="auto"/>
          <w:sz w:val="20"/>
          <w:szCs w:val="20"/>
        </w:rPr>
        <w:t>FU-2</w:t>
      </w:r>
      <w:r w:rsidR="00CD2332" w:rsidRPr="009979BF">
        <w:rPr>
          <w:color w:val="auto"/>
          <w:sz w:val="20"/>
          <w:szCs w:val="20"/>
        </w:rPr>
        <w:t>)</w:t>
      </w:r>
      <w:r w:rsidR="00B1504C" w:rsidRPr="009979BF">
        <w:rPr>
          <w:color w:val="auto"/>
          <w:sz w:val="20"/>
          <w:szCs w:val="20"/>
        </w:rPr>
        <w:t xml:space="preserve">. </w:t>
      </w:r>
    </w:p>
    <w:p w14:paraId="4FBDDF81" w14:textId="77777777" w:rsidR="00917175" w:rsidRPr="009979BF" w:rsidRDefault="00D51C69">
      <w:pPr>
        <w:spacing w:line="360" w:lineRule="auto"/>
        <w:jc w:val="both"/>
        <w:rPr>
          <w:color w:val="auto"/>
          <w:sz w:val="20"/>
          <w:szCs w:val="20"/>
        </w:rPr>
      </w:pPr>
      <w:r w:rsidRPr="009979BF">
        <w:rPr>
          <w:color w:val="auto"/>
          <w:sz w:val="20"/>
          <w:szCs w:val="20"/>
        </w:rPr>
        <w:lastRenderedPageBreak/>
        <w:t xml:space="preserve">We categorised </w:t>
      </w:r>
      <w:r w:rsidR="000231CD" w:rsidRPr="009979BF">
        <w:rPr>
          <w:color w:val="auto"/>
          <w:sz w:val="20"/>
          <w:szCs w:val="20"/>
        </w:rPr>
        <w:t>participants</w:t>
      </w:r>
      <w:r w:rsidRPr="009979BF">
        <w:rPr>
          <w:color w:val="auto"/>
          <w:sz w:val="20"/>
          <w:szCs w:val="20"/>
        </w:rPr>
        <w:t xml:space="preserve"> into </w:t>
      </w:r>
      <w:r w:rsidR="00884E67" w:rsidRPr="009979BF">
        <w:rPr>
          <w:color w:val="auto"/>
          <w:sz w:val="20"/>
          <w:szCs w:val="20"/>
        </w:rPr>
        <w:t>four</w:t>
      </w:r>
      <w:r w:rsidRPr="009979BF">
        <w:rPr>
          <w:color w:val="auto"/>
          <w:sz w:val="20"/>
          <w:szCs w:val="20"/>
        </w:rPr>
        <w:t xml:space="preserve"> diagnostic groups based on microscopy and NAAT </w:t>
      </w:r>
      <w:r w:rsidR="00CD7C47" w:rsidRPr="009979BF">
        <w:rPr>
          <w:color w:val="auto"/>
          <w:sz w:val="20"/>
          <w:szCs w:val="20"/>
        </w:rPr>
        <w:t>results</w:t>
      </w:r>
      <w:r w:rsidR="002F616A" w:rsidRPr="009979BF">
        <w:rPr>
          <w:color w:val="auto"/>
          <w:sz w:val="20"/>
          <w:szCs w:val="20"/>
        </w:rPr>
        <w:t>:</w:t>
      </w:r>
      <w:r w:rsidRPr="009979BF">
        <w:rPr>
          <w:color w:val="auto"/>
          <w:sz w:val="20"/>
          <w:szCs w:val="20"/>
        </w:rPr>
        <w:t xml:space="preserve"> </w:t>
      </w:r>
      <w:r w:rsidR="00B1504C" w:rsidRPr="009979BF">
        <w:rPr>
          <w:color w:val="auto"/>
          <w:sz w:val="20"/>
          <w:szCs w:val="20"/>
        </w:rPr>
        <w:t xml:space="preserve">NSGI </w:t>
      </w:r>
      <w:r w:rsidR="006C40D1" w:rsidRPr="009979BF">
        <w:rPr>
          <w:color w:val="auto"/>
          <w:sz w:val="20"/>
          <w:szCs w:val="20"/>
        </w:rPr>
        <w:t>(</w:t>
      </w:r>
      <w:r w:rsidR="00B1504C" w:rsidRPr="009979BF">
        <w:rPr>
          <w:color w:val="auto"/>
          <w:sz w:val="20"/>
          <w:szCs w:val="20"/>
        </w:rPr>
        <w:t xml:space="preserve">NGU diagnosis </w:t>
      </w:r>
      <w:r w:rsidR="000231CD" w:rsidRPr="009979BF">
        <w:rPr>
          <w:color w:val="auto"/>
          <w:sz w:val="20"/>
          <w:szCs w:val="20"/>
        </w:rPr>
        <w:t>on urethral microscopy</w:t>
      </w:r>
      <w:r w:rsidR="00B1504C" w:rsidRPr="009979BF">
        <w:rPr>
          <w:color w:val="auto"/>
          <w:sz w:val="20"/>
          <w:szCs w:val="20"/>
        </w:rPr>
        <w:t xml:space="preserve"> and CT/NG NAATs negative</w:t>
      </w:r>
      <w:r w:rsidR="006C40D1" w:rsidRPr="009979BF">
        <w:rPr>
          <w:color w:val="auto"/>
          <w:sz w:val="20"/>
          <w:szCs w:val="20"/>
        </w:rPr>
        <w:t>)</w:t>
      </w:r>
      <w:r w:rsidR="00B1504C" w:rsidRPr="009979BF">
        <w:rPr>
          <w:color w:val="auto"/>
          <w:sz w:val="20"/>
          <w:szCs w:val="20"/>
        </w:rPr>
        <w:t>; NG</w:t>
      </w:r>
      <w:r w:rsidR="006C40D1" w:rsidRPr="009979BF">
        <w:rPr>
          <w:color w:val="auto"/>
          <w:sz w:val="20"/>
          <w:szCs w:val="20"/>
        </w:rPr>
        <w:t xml:space="preserve"> (</w:t>
      </w:r>
      <w:r w:rsidR="000231CD" w:rsidRPr="009979BF">
        <w:rPr>
          <w:color w:val="auto"/>
          <w:sz w:val="20"/>
          <w:szCs w:val="20"/>
        </w:rPr>
        <w:t xml:space="preserve">NG on </w:t>
      </w:r>
      <w:r w:rsidR="00B1504C" w:rsidRPr="009979BF">
        <w:rPr>
          <w:color w:val="auto"/>
          <w:sz w:val="20"/>
          <w:szCs w:val="20"/>
        </w:rPr>
        <w:t xml:space="preserve">urethral microscopy </w:t>
      </w:r>
      <w:r w:rsidR="00CD7C47" w:rsidRPr="009979BF">
        <w:rPr>
          <w:color w:val="auto"/>
          <w:sz w:val="20"/>
          <w:szCs w:val="20"/>
        </w:rPr>
        <w:t>and/</w:t>
      </w:r>
      <w:r w:rsidR="00B1504C" w:rsidRPr="009979BF">
        <w:rPr>
          <w:color w:val="auto"/>
          <w:sz w:val="20"/>
          <w:szCs w:val="20"/>
        </w:rPr>
        <w:t xml:space="preserve">or </w:t>
      </w:r>
      <w:r w:rsidR="000231CD" w:rsidRPr="009979BF">
        <w:rPr>
          <w:color w:val="auto"/>
          <w:sz w:val="20"/>
          <w:szCs w:val="20"/>
        </w:rPr>
        <w:t xml:space="preserve">positive </w:t>
      </w:r>
      <w:r w:rsidR="00B1504C" w:rsidRPr="009979BF">
        <w:rPr>
          <w:color w:val="auto"/>
          <w:sz w:val="20"/>
          <w:szCs w:val="20"/>
        </w:rPr>
        <w:t>NAAT</w:t>
      </w:r>
      <w:r w:rsidR="006C40D1" w:rsidRPr="009979BF">
        <w:rPr>
          <w:color w:val="auto"/>
          <w:sz w:val="20"/>
          <w:szCs w:val="20"/>
        </w:rPr>
        <w:t>)</w:t>
      </w:r>
      <w:r w:rsidR="00B1504C" w:rsidRPr="009979BF">
        <w:rPr>
          <w:color w:val="auto"/>
          <w:sz w:val="20"/>
          <w:szCs w:val="20"/>
        </w:rPr>
        <w:t xml:space="preserve">; CT </w:t>
      </w:r>
      <w:r w:rsidR="006C40D1" w:rsidRPr="009979BF">
        <w:rPr>
          <w:color w:val="auto"/>
          <w:sz w:val="20"/>
          <w:szCs w:val="20"/>
        </w:rPr>
        <w:t>(</w:t>
      </w:r>
      <w:r w:rsidR="00B1504C" w:rsidRPr="009979BF">
        <w:rPr>
          <w:color w:val="auto"/>
          <w:sz w:val="20"/>
          <w:szCs w:val="20"/>
        </w:rPr>
        <w:t>positive NAAT</w:t>
      </w:r>
      <w:r w:rsidR="006C40D1" w:rsidRPr="009979BF">
        <w:rPr>
          <w:color w:val="auto"/>
          <w:sz w:val="20"/>
          <w:szCs w:val="20"/>
        </w:rPr>
        <w:t>)</w:t>
      </w:r>
      <w:r w:rsidR="00B1504C" w:rsidRPr="009979BF">
        <w:rPr>
          <w:color w:val="auto"/>
          <w:sz w:val="20"/>
          <w:szCs w:val="20"/>
        </w:rPr>
        <w:t xml:space="preserve">; </w:t>
      </w:r>
      <w:r w:rsidR="004C7196" w:rsidRPr="009979BF">
        <w:rPr>
          <w:color w:val="auto"/>
          <w:sz w:val="20"/>
          <w:szCs w:val="20"/>
        </w:rPr>
        <w:t>NAD</w:t>
      </w:r>
      <w:r w:rsidR="006C40D1" w:rsidRPr="009979BF">
        <w:rPr>
          <w:color w:val="auto"/>
          <w:sz w:val="20"/>
          <w:szCs w:val="20"/>
        </w:rPr>
        <w:t xml:space="preserve"> (</w:t>
      </w:r>
      <w:r w:rsidR="000231CD" w:rsidRPr="009979BF">
        <w:rPr>
          <w:color w:val="auto"/>
          <w:sz w:val="20"/>
          <w:szCs w:val="20"/>
        </w:rPr>
        <w:t xml:space="preserve">no urethritis on microscopy </w:t>
      </w:r>
      <w:r w:rsidR="00B1504C" w:rsidRPr="009979BF">
        <w:rPr>
          <w:color w:val="auto"/>
          <w:sz w:val="20"/>
          <w:szCs w:val="20"/>
        </w:rPr>
        <w:t>and CT/NG NAATs negative</w:t>
      </w:r>
      <w:r w:rsidR="006C40D1" w:rsidRPr="009979BF">
        <w:rPr>
          <w:color w:val="auto"/>
          <w:sz w:val="20"/>
          <w:szCs w:val="20"/>
        </w:rPr>
        <w:t>)</w:t>
      </w:r>
      <w:r w:rsidR="00B1504C" w:rsidRPr="009979BF">
        <w:rPr>
          <w:color w:val="auto"/>
          <w:sz w:val="20"/>
          <w:szCs w:val="20"/>
        </w:rPr>
        <w:t>.</w:t>
      </w:r>
    </w:p>
    <w:p w14:paraId="42342736" w14:textId="77777777" w:rsidR="00B1504C" w:rsidRPr="009979BF" w:rsidRDefault="00B1504C">
      <w:pPr>
        <w:spacing w:line="360" w:lineRule="auto"/>
        <w:jc w:val="both"/>
        <w:rPr>
          <w:color w:val="auto"/>
          <w:sz w:val="20"/>
          <w:szCs w:val="20"/>
        </w:rPr>
      </w:pPr>
    </w:p>
    <w:p w14:paraId="65D12A2B" w14:textId="77777777" w:rsidR="00B1504C" w:rsidRPr="009979BF" w:rsidRDefault="00B907B3" w:rsidP="00EC3FF3">
      <w:pPr>
        <w:spacing w:line="360" w:lineRule="auto"/>
        <w:jc w:val="both"/>
        <w:rPr>
          <w:b/>
          <w:color w:val="auto"/>
          <w:sz w:val="20"/>
          <w:szCs w:val="20"/>
        </w:rPr>
      </w:pPr>
      <w:r w:rsidRPr="009979BF">
        <w:rPr>
          <w:b/>
          <w:color w:val="auto"/>
          <w:sz w:val="20"/>
          <w:szCs w:val="20"/>
        </w:rPr>
        <w:t>Questionnaire design</w:t>
      </w:r>
    </w:p>
    <w:p w14:paraId="244B8E83" w14:textId="77777777" w:rsidR="00F21EFE" w:rsidRPr="009979BF" w:rsidRDefault="00B907B3" w:rsidP="00FA2FEA">
      <w:pPr>
        <w:spacing w:line="360" w:lineRule="auto"/>
        <w:rPr>
          <w:color w:val="auto"/>
          <w:sz w:val="20"/>
          <w:szCs w:val="20"/>
        </w:rPr>
      </w:pPr>
      <w:r w:rsidRPr="009979BF">
        <w:rPr>
          <w:color w:val="auto"/>
          <w:sz w:val="20"/>
          <w:szCs w:val="20"/>
        </w:rPr>
        <w:t>At both baseline and FU-1 CASIs, the</w:t>
      </w:r>
      <w:r w:rsidRPr="009979BF">
        <w:rPr>
          <w:rFonts w:cs="Tahoma"/>
          <w:color w:val="auto"/>
          <w:sz w:val="20"/>
          <w:szCs w:val="20"/>
        </w:rPr>
        <w:t xml:space="preserve"> EQ-5D-5L, </w:t>
      </w:r>
      <w:r w:rsidRPr="009979BF">
        <w:rPr>
          <w:color w:val="auto"/>
          <w:sz w:val="20"/>
          <w:szCs w:val="20"/>
        </w:rPr>
        <w:t xml:space="preserve">a generic measure of HRQoL </w:t>
      </w:r>
      <w:r w:rsidRPr="009979BF">
        <w:rPr>
          <w:rFonts w:cs="Tahoma"/>
          <w:color w:val="auto"/>
          <w:sz w:val="20"/>
          <w:szCs w:val="20"/>
        </w:rPr>
        <w:fldChar w:fldCharType="begin" w:fldLock="1"/>
      </w:r>
      <w:r w:rsidRPr="009979BF">
        <w:rPr>
          <w:rFonts w:cs="Tahoma"/>
          <w:color w:val="auto"/>
          <w:sz w:val="20"/>
          <w:szCs w:val="20"/>
        </w:rPr>
        <w:instrText>ADDIN CSL_CITATION { "citationItems" : [ { "id" : "ITEM-1", "itemData" : { "DOI" : "10.1007/s11136-011-9903-x", "ISSN" : "1573-2649", "PMID" : "21479777", "abstract" : "PURPOSE This article introduces the new 5-level EQ-5D (EQ-5D-5L) health status measure. METHODS EQ-5D currently measures health using three levels of severity in five dimensions. A EuroQol Group task force was established to find ways of improving the instrument's sensitivity and reducing ceiling effects by increasing the number of severity levels. The study was performed in the United Kingdom and Spain. Severity labels for 5 levels in each dimension were identified using response scaling. Focus groups were used to investigate the face and content validity of the new versions, including hypothetical health states generated from those versions. RESULTS Selecting labels at approximately the 25th, 50th, and 75th centiles produced two alternative 5-level versions. Focus group work showed a slight preference for the wording 'slight-moderate-severe' problems, with anchors of 'no problems' and 'unable to do' in the EQ-5D functional dimensions. Similar wording was used in the Pain/Discomfort and Anxiety/Depression dimensions. Hypothetical health states were well understood though participants stressed the need for the internal coherence of health states. CONCLUSIONS A 5-level version of the EQ-5D has been developed by the EuroQol Group. Further testing is required to determine whether the new version improves sensitivity and reduces ceiling effects.", "author" : [ { "dropping-particle" : "", "family" : "Herdman", "given" : "M", "non-dropping-particle" : "", "parse-names" : false, "suffix" : "" }, { "dropping-particle" : "", "family" : "Gudex", "given" : "C", "non-dropping-particle" : "", "parse-names" : false, "suffix" : "" }, { "dropping-particle" : "", "family" : "Lloyd", "given" : "A", "non-dropping-particle" : "", "parse-names" : false, "suffix" : "" }, { "dropping-particle" : "", "family" : "Janssen", "given" : "Mf", "non-dropping-particle" : "", "parse-names" : false, "suffix" : "" }, { "dropping-particle" : "", "family" : "Kind", "given" : "P", "non-dropping-particle" : "", "parse-names" : false, "suffix" : "" }, { "dropping-particle" : "", "family" : "Parkin", "given" : "D", "non-dropping-particle" : "", "parse-names" : false, "suffix" : "" }, { "dropping-particle" : "", "family" : "Bonsel", "given" : "G", "non-dropping-particle" : "", "parse-names" : false, "suffix" : "" }, { "dropping-particle" : "", "family" : "Badia", "given" : "X", "non-dropping-particle" : "", "parse-names" : false, "suffix" : "" } ], "container-title" : "Quality of life research : an international journal of quality of life aspects of treatment, care and rehabilitation", "id" : "ITEM-1", "issue" : "10", "issued" : { "date-parts" : [ [ "2011", "12" ] ] }, "page" : "1727-36", "title" : "Development and preliminary testing of the new five-level version of EQ-5D (EQ-5D-5L).", "type" : "article-journal", "volume" : "20" }, "uris" : [ "http://www.mendeley.com/documents/?uuid=525a12e0-487a-34ca-829f-d7f8f065873b" ] } ], "mendeley" : { "formattedCitation" : "[23]", "plainTextFormattedCitation" : "[23]", "previouslyFormattedCitation" : "[23]" }, "properties" : { "noteIndex" : 0 }, "schema" : "https://github.com/citation-style-language/schema/raw/master/csl-citation.json" }</w:instrText>
      </w:r>
      <w:r w:rsidRPr="009979BF">
        <w:rPr>
          <w:rFonts w:cs="Tahoma"/>
          <w:color w:val="auto"/>
          <w:sz w:val="20"/>
          <w:szCs w:val="20"/>
        </w:rPr>
        <w:fldChar w:fldCharType="separate"/>
      </w:r>
      <w:r w:rsidRPr="009979BF">
        <w:rPr>
          <w:rFonts w:cs="Tahoma"/>
          <w:noProof/>
          <w:color w:val="auto"/>
          <w:sz w:val="20"/>
          <w:szCs w:val="20"/>
        </w:rPr>
        <w:t>[23]</w:t>
      </w:r>
      <w:r w:rsidRPr="009979BF">
        <w:rPr>
          <w:rFonts w:cs="Tahoma"/>
          <w:color w:val="auto"/>
          <w:sz w:val="20"/>
          <w:szCs w:val="20"/>
        </w:rPr>
        <w:fldChar w:fldCharType="end"/>
      </w:r>
      <w:r w:rsidRPr="009979BF">
        <w:rPr>
          <w:rFonts w:cs="Tahoma"/>
          <w:color w:val="auto"/>
          <w:sz w:val="20"/>
          <w:szCs w:val="20"/>
        </w:rPr>
        <w:t xml:space="preserve">, </w:t>
      </w:r>
      <w:r w:rsidRPr="009979BF">
        <w:rPr>
          <w:color w:val="auto"/>
          <w:sz w:val="20"/>
          <w:szCs w:val="20"/>
        </w:rPr>
        <w:t xml:space="preserve">and the Rosenberg Self-Esteem Scale (RSES) </w:t>
      </w:r>
      <w:r w:rsidRPr="009979BF">
        <w:rPr>
          <w:color w:val="auto"/>
          <w:sz w:val="20"/>
          <w:szCs w:val="20"/>
        </w:rPr>
        <w:fldChar w:fldCharType="begin" w:fldLock="1"/>
      </w:r>
      <w:r w:rsidRPr="009979BF">
        <w:rPr>
          <w:color w:val="auto"/>
          <w:sz w:val="20"/>
          <w:szCs w:val="20"/>
        </w:rPr>
        <w:instrText>ADDIN CSL_CITATION { "citationItems" : [ { "id" : "ITEM-1", "itemData" : { "DOI" : "10.1126/science.148.3671.804", "ISSN" : "0036-8075", "author" : [ { "dropping-particle" : "", "family" : "Petersen", "given" : "W.", "non-dropping-particle" : "", "parse-names" : false, "suffix" : "" } ], "container-title" : "Science", "id" : "ITEM-1", "issue" : "3671", "issued" : { "date-parts" : [ [ "1965", "5", "7" ] ] }, "page" : "804-804", "title" : "Society and the Adolescent Self-Image. Morris Rosenberg. Princeton University Press, Princeton, N.J., 1965. xii + 326 pp. $6.50", "type" : "article-journal", "volume" : "148" }, "uris" : [ "http://www.mendeley.com/documents/?uuid=1bfc9cf4-7aca-36ec-a8f1-f6a870181a1e" ] } ], "mendeley" : { "formattedCitation" : "[24]", "plainTextFormattedCitation" : "[24]", "previouslyFormattedCitation" : "[24]" }, "properties" : { "noteIndex" : 0 }, "schema" : "https://github.com/citation-style-language/schema/raw/master/csl-citation.json" }</w:instrText>
      </w:r>
      <w:r w:rsidRPr="009979BF">
        <w:rPr>
          <w:color w:val="auto"/>
          <w:sz w:val="20"/>
          <w:szCs w:val="20"/>
        </w:rPr>
        <w:fldChar w:fldCharType="separate"/>
      </w:r>
      <w:r w:rsidRPr="009979BF">
        <w:rPr>
          <w:noProof/>
          <w:color w:val="auto"/>
          <w:sz w:val="20"/>
          <w:szCs w:val="20"/>
        </w:rPr>
        <w:t>[24]</w:t>
      </w:r>
      <w:r w:rsidRPr="009979BF">
        <w:rPr>
          <w:color w:val="auto"/>
          <w:sz w:val="20"/>
          <w:szCs w:val="20"/>
        </w:rPr>
        <w:fldChar w:fldCharType="end"/>
      </w:r>
      <w:r w:rsidRPr="009979BF">
        <w:rPr>
          <w:color w:val="auto"/>
          <w:sz w:val="20"/>
          <w:szCs w:val="20"/>
        </w:rPr>
        <w:t xml:space="preserve">, a measure of potential stigmatising effects of screening for STIs, were used. </w:t>
      </w:r>
      <w:r w:rsidR="00C45E5C" w:rsidRPr="009979BF">
        <w:rPr>
          <w:rFonts w:cs="Times New Roman"/>
          <w:color w:val="auto"/>
          <w:sz w:val="20"/>
          <w:szCs w:val="20"/>
          <w:shd w:val="clear" w:color="auto" w:fill="auto"/>
        </w:rPr>
        <w:t xml:space="preserve">The EQ-5D-5L is the preferred utility measure recommended by the UK National Institute for Health and Clinical Excellence [22] and has five dimensions: mobility, self-care, usual activities, pain/discomfort and anxiety/depression. Weighted UK preference values are linked to the self-reported health state scores for a 0–1 Index value, where 0 is death and 1 is perfect health. </w:t>
      </w:r>
      <w:r w:rsidRPr="009979BF">
        <w:rPr>
          <w:color w:val="auto"/>
          <w:sz w:val="20"/>
          <w:szCs w:val="20"/>
        </w:rPr>
        <w:t xml:space="preserve">The RSES is widely used in social science research to measure self esteem; it uses a scale of 0-30 where a score less than 15 may indicate low self esteem, 15-25 normal self-esteem and 25-30 high self-esteem. </w:t>
      </w:r>
    </w:p>
    <w:p w14:paraId="01A6F7BC" w14:textId="77777777" w:rsidR="00A67E90" w:rsidRPr="009979BF" w:rsidRDefault="00A67E90" w:rsidP="00EC3FF3">
      <w:pPr>
        <w:spacing w:line="360" w:lineRule="auto"/>
        <w:jc w:val="both"/>
        <w:rPr>
          <w:color w:val="auto"/>
          <w:sz w:val="20"/>
          <w:szCs w:val="20"/>
        </w:rPr>
      </w:pPr>
    </w:p>
    <w:p w14:paraId="7D7A86FD" w14:textId="77777777" w:rsidR="009D5E39" w:rsidRPr="009979BF" w:rsidRDefault="00B907B3" w:rsidP="00EC3FF3">
      <w:pPr>
        <w:spacing w:line="360" w:lineRule="auto"/>
        <w:rPr>
          <w:color w:val="auto"/>
          <w:sz w:val="20"/>
          <w:szCs w:val="20"/>
        </w:rPr>
      </w:pPr>
      <w:r w:rsidRPr="009979BF">
        <w:rPr>
          <w:color w:val="auto"/>
          <w:sz w:val="20"/>
          <w:szCs w:val="20"/>
        </w:rPr>
        <w:t xml:space="preserve">In addition, the baseline CASI included the Multidimensional Scale of Perceived Social Support (MSPSS) </w:t>
      </w:r>
      <w:r w:rsidRPr="009979BF">
        <w:rPr>
          <w:color w:val="auto"/>
          <w:sz w:val="20"/>
          <w:szCs w:val="20"/>
        </w:rPr>
        <w:fldChar w:fldCharType="begin" w:fldLock="1"/>
      </w:r>
      <w:r w:rsidRPr="009979BF">
        <w:rPr>
          <w:color w:val="auto"/>
          <w:sz w:val="20"/>
          <w:szCs w:val="20"/>
        </w:rPr>
        <w:instrText>ADDIN CSL_CITATION { "citationItems" : [ { "id" : "ITEM-1", "itemData" : { "DOI" : "10.1207/s15327752jpa5201_2", "ISSN" : "0022-3891", "author" : [ { "dropping-particle" : "", "family" : "Zimet", "given" : "Gregory D.", "non-dropping-particle" : "", "parse-names" : false, "suffix" : "" }, { "dropping-particle" : "", "family" : "Dahlem", "given" : "Nancy W.", "non-dropping-particle" : "", "parse-names" : false, "suffix" : "" }, { "dropping-particle" : "", "family" : "Zimet", "given" : "Sara G.", "non-dropping-particle" : "", "parse-names" : false, "suffix" : "" }, { "dropping-particle" : "", "family" : "Farley", "given" : "Gordon K.", "non-dropping-particle" : "", "parse-names" : false, "suffix" : "" } ], "container-title" : "Journal of Personality Assessment", "id" : "ITEM-1", "issue" : "1", "issued" : { "date-parts" : [ [ "1988", "3" ] ] }, "page" : "30-41", "title" : "The Multidimensional Scale of Perceived Social Support", "type" : "article-journal", "volume" : "52" }, "uris" : [ "http://www.mendeley.com/documents/?uuid=b30d4a16-f64e-3710-b0a7-a1eb2bcef773" ] } ], "mendeley" : { "formattedCitation" : "[25]", "plainTextFormattedCitation" : "[25]", "previouslyFormattedCitation" : "[25]" }, "properties" : { "noteIndex" : 0 }, "schema" : "https://github.com/citation-style-language/schema/raw/master/csl-citation.json" }</w:instrText>
      </w:r>
      <w:r w:rsidRPr="009979BF">
        <w:rPr>
          <w:color w:val="auto"/>
          <w:sz w:val="20"/>
          <w:szCs w:val="20"/>
        </w:rPr>
        <w:fldChar w:fldCharType="separate"/>
      </w:r>
      <w:r w:rsidRPr="009979BF">
        <w:rPr>
          <w:noProof/>
          <w:color w:val="auto"/>
          <w:sz w:val="20"/>
          <w:szCs w:val="20"/>
        </w:rPr>
        <w:t>[25]</w:t>
      </w:r>
      <w:r w:rsidRPr="009979BF">
        <w:rPr>
          <w:color w:val="auto"/>
          <w:sz w:val="20"/>
          <w:szCs w:val="20"/>
        </w:rPr>
        <w:fldChar w:fldCharType="end"/>
      </w:r>
      <w:r w:rsidRPr="009979BF">
        <w:rPr>
          <w:color w:val="auto"/>
          <w:sz w:val="20"/>
          <w:szCs w:val="20"/>
        </w:rPr>
        <w:t xml:space="preserve"> to assess coping resources. The MSPSS is widely used to assess perceived social support and consists of three domains: family, friends, and significant others.</w:t>
      </w:r>
      <w:r w:rsidRPr="009979BF">
        <w:rPr>
          <w:rStyle w:val="lsc"/>
          <w:color w:val="auto"/>
          <w:sz w:val="20"/>
          <w:szCs w:val="20"/>
        </w:rPr>
        <w:t xml:space="preserve"> Mean MSPSS scores</w:t>
      </w:r>
      <w:r w:rsidRPr="009979BF">
        <w:rPr>
          <w:color w:val="auto"/>
          <w:sz w:val="20"/>
          <w:szCs w:val="20"/>
        </w:rPr>
        <w:t xml:space="preserve"> from 1- 2.9 may be considered low support; 3- 5 moderate support and  5.1- 7 high support </w:t>
      </w:r>
      <w:r w:rsidRPr="009979BF">
        <w:rPr>
          <w:color w:val="auto"/>
          <w:sz w:val="20"/>
          <w:szCs w:val="20"/>
        </w:rPr>
        <w:fldChar w:fldCharType="begin" w:fldLock="1"/>
      </w:r>
      <w:r w:rsidRPr="009979BF">
        <w:rPr>
          <w:color w:val="auto"/>
          <w:sz w:val="20"/>
          <w:szCs w:val="20"/>
        </w:rPr>
        <w:instrText>ADDIN CSL_CITATION { "citationItems" : [ { "id" : "ITEM-1", "itemData" : { "author" : [ { "dropping-particle" : "", "family" : "Zimet", "given" : "Gregory", "non-dropping-particle" : "", "parse-names" : false, "suffix" : "" } ], "id" : "ITEM-1", "issued" : { "date-parts" : [ [ "2016", "12", "9" ] ] }, "title" : "Multidimensional Scale of Perceived Social Support (MSPSS) - Scale Items and Scoring Information", "type" : "book" }, "uris" : [ "http://www.mendeley.com/documents/?uuid=bdf2097a-cb49-4ca5-961f-2480355797dc" ] } ], "mendeley" : { "formattedCitation" : "[26]", "plainTextFormattedCitation" : "[26]", "previouslyFormattedCitation" : "[26]" }, "properties" : { "noteIndex" : 0 }, "schema" : "https://github.com/citation-style-language/schema/raw/master/csl-citation.json" }</w:instrText>
      </w:r>
      <w:r w:rsidRPr="009979BF">
        <w:rPr>
          <w:color w:val="auto"/>
          <w:sz w:val="20"/>
          <w:szCs w:val="20"/>
        </w:rPr>
        <w:fldChar w:fldCharType="separate"/>
      </w:r>
      <w:r w:rsidRPr="009979BF">
        <w:rPr>
          <w:noProof/>
          <w:color w:val="auto"/>
          <w:sz w:val="20"/>
          <w:szCs w:val="20"/>
        </w:rPr>
        <w:t>[26]</w:t>
      </w:r>
      <w:r w:rsidRPr="009979BF">
        <w:rPr>
          <w:color w:val="auto"/>
          <w:sz w:val="20"/>
          <w:szCs w:val="20"/>
        </w:rPr>
        <w:fldChar w:fldCharType="end"/>
      </w:r>
      <w:r w:rsidRPr="009979BF">
        <w:rPr>
          <w:color w:val="auto"/>
          <w:sz w:val="20"/>
          <w:szCs w:val="20"/>
        </w:rPr>
        <w:t xml:space="preserve">. </w:t>
      </w:r>
    </w:p>
    <w:p w14:paraId="609991BE" w14:textId="77777777" w:rsidR="00BF0EB1" w:rsidRPr="009979BF" w:rsidRDefault="00BF0EB1" w:rsidP="00EC3FF3">
      <w:pPr>
        <w:spacing w:line="360" w:lineRule="auto"/>
        <w:jc w:val="both"/>
        <w:rPr>
          <w:color w:val="auto"/>
          <w:sz w:val="20"/>
          <w:szCs w:val="20"/>
        </w:rPr>
      </w:pPr>
    </w:p>
    <w:p w14:paraId="7E7918BC" w14:textId="77777777" w:rsidR="00055015" w:rsidRPr="009979BF" w:rsidRDefault="00C45E5C" w:rsidP="00EC3FF3">
      <w:pPr>
        <w:spacing w:line="360" w:lineRule="auto"/>
        <w:jc w:val="both"/>
        <w:rPr>
          <w:color w:val="auto"/>
          <w:sz w:val="20"/>
          <w:szCs w:val="20"/>
        </w:rPr>
      </w:pPr>
      <w:r w:rsidRPr="009979BF">
        <w:rPr>
          <w:color w:val="auto"/>
          <w:sz w:val="20"/>
          <w:szCs w:val="20"/>
        </w:rPr>
        <w:t xml:space="preserve">We collected data on sociodemographics in the baseline CASI and current relationship status in both the baseline and FU-1 CASI. In the FU-1 CASI we included </w:t>
      </w:r>
      <w:r w:rsidRPr="009979BF">
        <w:rPr>
          <w:rFonts w:cs="Tahoma"/>
          <w:color w:val="auto"/>
          <w:sz w:val="20"/>
          <w:szCs w:val="20"/>
        </w:rPr>
        <w:t xml:space="preserve">a panel of questions previously developed to assess impact of CT diagnosis in women </w:t>
      </w:r>
      <w:r w:rsidR="00B907B3" w:rsidRPr="009979BF">
        <w:rPr>
          <w:rFonts w:cs="Tahoma"/>
          <w:color w:val="auto"/>
          <w:sz w:val="20"/>
          <w:szCs w:val="20"/>
        </w:rPr>
        <w:fldChar w:fldCharType="begin" w:fldLock="1"/>
      </w:r>
      <w:r w:rsidR="008D4440" w:rsidRPr="009979BF">
        <w:rPr>
          <w:rFonts w:cs="Tahoma"/>
          <w:color w:val="auto"/>
          <w:sz w:val="20"/>
          <w:szCs w:val="20"/>
        </w:rPr>
        <w:instrText>ADDIN CSL_CITATION { "citationItems" : [ { "id" : "ITEM-1", "itemData" : { "DOI" : "10.1097/OLQ.0b013e31822b0bed", "ISSN" : "1537-4521", "PMID" : "21992975", "abstract" : "BACKGROUND Few data exist on potential harms of chlamydia screening. We assessed the psychosocial impact of receiving a positive Chlamydia trachomatis test result. METHODS We prospectively studied women \u226516 years of age undergoing chlamydia testing in 2 Midwestern family planning clinics. We surveyed women at baseline and about 1 month after receiving test results, using 9 validated psychosocial scales/subscales and chlamydia-specific questions. Changes in scale scores were calculated for each woman. Mean percent changes in scores for chlamydia-positive and -negative women were compared using a t test. RESULTS We enrolled 1807 women (response rate, 84%). Of the 1688 women with test results, 149 (8.8%) tested positive. At follow-up, chlamydia-positive women (n = 71) had a 75% increase in anxiety about sexual aspects of their life on the Multidimensional Sexual Self-Concept Questionnaire (P &lt; 0.001), significantly greater than the 26% increase among 280 randomly selected chlamydia-negative women (P = 0.02). There were no differences for the other 8 scales/subscales, including general measures of anxiety, depression, and self-esteem. Chlamydia-positive women were more likely than chlamydia-negative women to be \"concerned about chlamydia\" (80% vs. 40%, P &lt; 0.001) and to report breaking up with a main partner (33% vs. 11%, P &lt; 0.001) at follow-up. Women testing positive reported a range of chlamydia-specific concerns. CONCLUSIONS Chlamydia-positive women had significant increases in anxiety about sex and concern about chlamydia, but did not have marked changes in more general measures of psychosocial well-being about 1 month after diagnosis. Chlamydia diagnoses were associated with some disruption of relationships with main partners. Chlamydia-specific concerns may guide counseling messages to minimize psychosocial impact.", "author" : [ { "dropping-particle" : "", "family" : "Gottlieb", "given" : "Sami L", "non-dropping-particle" : "", "parse-names" : false, "suffix" : "" }, { "dropping-particle" : "", "family" : "Stoner", "given" : "Bradley P", "non-dropping-particle" : "", "parse-names" : false, "suffix" : "" }, { "dropping-particle" : "", "family" : "Zaidi", "given" : "Akbar A", "non-dropping-particle" : "", "parse-names" : false, "suffix" : "" }, { "dropping-particle" : "", "family" : "Buckel", "given" : "Christina", "non-dropping-particle" : "", "parse-names" : false, "suffix" : "" }, { "dropping-particle" : "", "family" : "Tran", "given" : "Molly", "non-dropping-particle" : "", "parse-names" : false, "suffix" : "" }, { "dropping-particle" : "", "family" : "Leichliter", "given" : "Jami S", "non-dropping-particle" : "", "parse-names" : false, "suffix" : "" }, { "dropping-particle" : "", "family" : "Berman", "given" : "Stuart M", "non-dropping-particle" : "", "parse-names" : false, "suffix" : "" }, { "dropping-particle" : "", "family" : "Markowitz", "given" : "Lauri E", "non-dropping-particle" : "", "parse-names" : false, "suffix" : "" } ], "container-title" : "Sexually transmitted diseases", "id" : "ITEM-1", "issue" : "11", "issued" : { "date-parts" : [ [ "2011", "11" ] ] }, "note" : "women only", "page" : "1004-11", "title" : "A prospective study of the psychosocial impact of a positive Chlamydia trachomatis laboratory test.", "type" : "article-journal", "volume" : "38" }, "uris" : [ "http://www.mendeley.com/documents/?uuid=08d3b6f4-5ecf-3bfe-aa68-034e9fcb713b" ] } ], "mendeley" : { "formattedCitation" : "[13]", "plainTextFormattedCitation" : "[13]", "previouslyFormattedCitation" : "[13]" }, "properties" : { "noteIndex" : 0 }, "schema" : "https://github.com/citation-style-language/schema/raw/master/csl-citation.json" }</w:instrText>
      </w:r>
      <w:r w:rsidR="00B907B3" w:rsidRPr="009979BF">
        <w:rPr>
          <w:rFonts w:cs="Tahoma"/>
          <w:color w:val="auto"/>
          <w:sz w:val="20"/>
          <w:szCs w:val="20"/>
        </w:rPr>
        <w:fldChar w:fldCharType="separate"/>
      </w:r>
      <w:r w:rsidRPr="009979BF">
        <w:rPr>
          <w:rFonts w:cs="Tahoma"/>
          <w:noProof/>
          <w:color w:val="auto"/>
          <w:sz w:val="20"/>
          <w:szCs w:val="20"/>
        </w:rPr>
        <w:t>[13]</w:t>
      </w:r>
      <w:r w:rsidR="00B907B3" w:rsidRPr="009979BF">
        <w:rPr>
          <w:rFonts w:cs="Tahoma"/>
          <w:color w:val="auto"/>
          <w:sz w:val="20"/>
          <w:szCs w:val="20"/>
        </w:rPr>
        <w:fldChar w:fldCharType="end"/>
      </w:r>
      <w:r w:rsidRPr="009979BF">
        <w:rPr>
          <w:rFonts w:cs="Tahoma"/>
          <w:color w:val="auto"/>
          <w:sz w:val="20"/>
          <w:szCs w:val="20"/>
        </w:rPr>
        <w:t>, which we modified for use in men by removing a pregnancy-related question.</w:t>
      </w:r>
      <w:r w:rsidRPr="009979BF">
        <w:rPr>
          <w:color w:val="auto"/>
          <w:sz w:val="20"/>
          <w:szCs w:val="20"/>
        </w:rPr>
        <w:t xml:space="preserve"> </w:t>
      </w:r>
      <w:r w:rsidRPr="009979BF">
        <w:rPr>
          <w:rFonts w:cs="Tahoma"/>
          <w:color w:val="auto"/>
          <w:sz w:val="20"/>
          <w:szCs w:val="20"/>
        </w:rPr>
        <w:t xml:space="preserve">Participants </w:t>
      </w:r>
      <w:r w:rsidRPr="009979BF">
        <w:rPr>
          <w:color w:val="auto"/>
          <w:sz w:val="20"/>
          <w:szCs w:val="20"/>
        </w:rPr>
        <w:t>were asked to indicate acceptability of the CASIs (free-text response) at baseline and FU-1. (Supplementary Appendices 1., 2. and 3.)</w:t>
      </w:r>
    </w:p>
    <w:p w14:paraId="06B6E806" w14:textId="77777777" w:rsidR="00161922" w:rsidRPr="009979BF" w:rsidRDefault="00161922" w:rsidP="00EC3FF3">
      <w:pPr>
        <w:spacing w:line="360" w:lineRule="auto"/>
        <w:rPr>
          <w:rFonts w:cs="Tahoma"/>
          <w:color w:val="auto"/>
          <w:spacing w:val="-3"/>
          <w:sz w:val="20"/>
          <w:szCs w:val="20"/>
        </w:rPr>
      </w:pPr>
    </w:p>
    <w:p w14:paraId="31EFEE3F" w14:textId="77777777" w:rsidR="00887CD3" w:rsidRPr="009979BF" w:rsidRDefault="00887CD3" w:rsidP="00EC3FF3">
      <w:pPr>
        <w:spacing w:line="360" w:lineRule="auto"/>
        <w:rPr>
          <w:rFonts w:cs="Tahoma"/>
          <w:b/>
          <w:color w:val="auto"/>
          <w:spacing w:val="-3"/>
          <w:sz w:val="20"/>
          <w:szCs w:val="20"/>
        </w:rPr>
      </w:pPr>
      <w:r w:rsidRPr="009979BF">
        <w:rPr>
          <w:rFonts w:cs="Tahoma"/>
          <w:b/>
          <w:color w:val="auto"/>
          <w:spacing w:val="-3"/>
          <w:sz w:val="20"/>
          <w:szCs w:val="20"/>
        </w:rPr>
        <w:t>Patient and Public Involvement</w:t>
      </w:r>
    </w:p>
    <w:p w14:paraId="5C93A5FA" w14:textId="77777777" w:rsidR="00887CD3" w:rsidRPr="009979BF" w:rsidRDefault="00887CD3" w:rsidP="00EC3FF3">
      <w:pPr>
        <w:spacing w:line="360" w:lineRule="auto"/>
        <w:rPr>
          <w:rFonts w:cs="Tahoma"/>
          <w:color w:val="auto"/>
          <w:spacing w:val="-3"/>
          <w:sz w:val="20"/>
          <w:szCs w:val="20"/>
        </w:rPr>
      </w:pPr>
      <w:r w:rsidRPr="009979BF">
        <w:rPr>
          <w:rFonts w:ascii="Segoe UI" w:hAnsi="Segoe UI" w:cs="Segoe UI"/>
          <w:color w:val="212121"/>
          <w:sz w:val="19"/>
          <w:szCs w:val="19"/>
        </w:rPr>
        <w:t>There was no formal patient and public involvement</w:t>
      </w:r>
      <w:r w:rsidR="00660C8B" w:rsidRPr="009979BF">
        <w:rPr>
          <w:rFonts w:ascii="Segoe UI" w:hAnsi="Segoe UI" w:cs="Segoe UI"/>
          <w:color w:val="212121"/>
          <w:sz w:val="19"/>
          <w:szCs w:val="19"/>
        </w:rPr>
        <w:t xml:space="preserve"> </w:t>
      </w:r>
      <w:r w:rsidRPr="009979BF">
        <w:rPr>
          <w:rFonts w:ascii="Segoe UI" w:hAnsi="Segoe UI" w:cs="Segoe UI"/>
          <w:color w:val="212121"/>
          <w:sz w:val="19"/>
          <w:szCs w:val="19"/>
        </w:rPr>
        <w:t>informing the research question or study procedures. Clinician experiences with patients diagnosed with non-specific genital infection informed the need for investigation of the potential harms resulting from this diagnosis. The results have been disseminated via the study groups' community advisory group (formed after the research was planned and implemented).  </w:t>
      </w:r>
    </w:p>
    <w:p w14:paraId="27533F6A" w14:textId="77777777" w:rsidR="00887CD3" w:rsidRPr="009979BF" w:rsidRDefault="00887CD3" w:rsidP="00EC3FF3">
      <w:pPr>
        <w:spacing w:line="360" w:lineRule="auto"/>
        <w:rPr>
          <w:rFonts w:cs="Tahoma"/>
          <w:color w:val="auto"/>
          <w:spacing w:val="-3"/>
          <w:sz w:val="20"/>
          <w:szCs w:val="20"/>
        </w:rPr>
      </w:pPr>
    </w:p>
    <w:p w14:paraId="3FB485F2" w14:textId="77777777" w:rsidR="00401FA8" w:rsidRPr="009979BF" w:rsidRDefault="00FA4DFC" w:rsidP="00EC3FF3">
      <w:pPr>
        <w:spacing w:line="360" w:lineRule="auto"/>
        <w:jc w:val="both"/>
        <w:rPr>
          <w:b/>
          <w:color w:val="auto"/>
          <w:sz w:val="20"/>
          <w:szCs w:val="20"/>
        </w:rPr>
      </w:pPr>
      <w:r w:rsidRPr="009979BF">
        <w:rPr>
          <w:b/>
          <w:color w:val="auto"/>
          <w:sz w:val="20"/>
          <w:szCs w:val="20"/>
        </w:rPr>
        <w:t>Sample size</w:t>
      </w:r>
    </w:p>
    <w:p w14:paraId="0B8376D9" w14:textId="77777777" w:rsidR="009979BF" w:rsidRPr="009979BF" w:rsidRDefault="005A05F1">
      <w:pPr>
        <w:spacing w:line="360" w:lineRule="auto"/>
        <w:jc w:val="both"/>
        <w:rPr>
          <w:color w:val="auto"/>
          <w:sz w:val="20"/>
          <w:szCs w:val="20"/>
        </w:rPr>
      </w:pPr>
      <w:r w:rsidRPr="009979BF">
        <w:rPr>
          <w:color w:val="auto"/>
          <w:sz w:val="20"/>
          <w:szCs w:val="20"/>
        </w:rPr>
        <w:t>As this was a feasibility study with no precedent</w:t>
      </w:r>
      <w:r w:rsidR="00D5412D" w:rsidRPr="009979BF">
        <w:rPr>
          <w:color w:val="auto"/>
          <w:sz w:val="20"/>
          <w:szCs w:val="20"/>
        </w:rPr>
        <w:t>,</w:t>
      </w:r>
      <w:r w:rsidRPr="009979BF">
        <w:rPr>
          <w:color w:val="auto"/>
          <w:sz w:val="20"/>
          <w:szCs w:val="20"/>
        </w:rPr>
        <w:t xml:space="preserve"> no formal sample size could be </w:t>
      </w:r>
      <w:r w:rsidR="008E4571" w:rsidRPr="009979BF">
        <w:rPr>
          <w:color w:val="auto"/>
          <w:sz w:val="20"/>
          <w:szCs w:val="20"/>
        </w:rPr>
        <w:t>calculated</w:t>
      </w:r>
      <w:r w:rsidRPr="009979BF">
        <w:rPr>
          <w:color w:val="auto"/>
          <w:sz w:val="20"/>
          <w:szCs w:val="20"/>
        </w:rPr>
        <w:t>. We</w:t>
      </w:r>
      <w:r w:rsidR="00825BCE" w:rsidRPr="009979BF">
        <w:rPr>
          <w:color w:val="auto"/>
          <w:sz w:val="20"/>
          <w:szCs w:val="20"/>
        </w:rPr>
        <w:t xml:space="preserve"> </w:t>
      </w:r>
      <w:r w:rsidR="00A6192B" w:rsidRPr="009979BF">
        <w:rPr>
          <w:color w:val="auto"/>
          <w:sz w:val="20"/>
          <w:szCs w:val="20"/>
        </w:rPr>
        <w:t xml:space="preserve">planned </w:t>
      </w:r>
      <w:r w:rsidR="00825BCE" w:rsidRPr="009979BF">
        <w:rPr>
          <w:color w:val="auto"/>
          <w:sz w:val="20"/>
          <w:szCs w:val="20"/>
        </w:rPr>
        <w:t>to approach 100 patients</w:t>
      </w:r>
      <w:r w:rsidR="00DB6A14" w:rsidRPr="009979BF">
        <w:rPr>
          <w:color w:val="auto"/>
          <w:sz w:val="20"/>
          <w:szCs w:val="20"/>
        </w:rPr>
        <w:t xml:space="preserve"> at </w:t>
      </w:r>
      <w:r w:rsidR="00A876E9" w:rsidRPr="009979BF">
        <w:rPr>
          <w:color w:val="auto"/>
          <w:sz w:val="20"/>
          <w:szCs w:val="20"/>
        </w:rPr>
        <w:t>b</w:t>
      </w:r>
      <w:r w:rsidR="007303ED" w:rsidRPr="009979BF">
        <w:rPr>
          <w:color w:val="auto"/>
          <w:sz w:val="20"/>
          <w:szCs w:val="20"/>
        </w:rPr>
        <w:t>aseline</w:t>
      </w:r>
      <w:r w:rsidR="00825BCE" w:rsidRPr="009979BF">
        <w:rPr>
          <w:color w:val="auto"/>
          <w:sz w:val="20"/>
          <w:szCs w:val="20"/>
        </w:rPr>
        <w:t xml:space="preserve"> as a convenience target, and assuming approximately </w:t>
      </w:r>
      <w:r w:rsidR="007A0A2F" w:rsidRPr="009979BF">
        <w:rPr>
          <w:color w:val="auto"/>
          <w:sz w:val="20"/>
          <w:szCs w:val="20"/>
        </w:rPr>
        <w:t xml:space="preserve">50% </w:t>
      </w:r>
      <w:r w:rsidR="00255C6E" w:rsidRPr="009979BF">
        <w:rPr>
          <w:color w:val="auto"/>
          <w:sz w:val="20"/>
          <w:szCs w:val="20"/>
        </w:rPr>
        <w:t>refusal</w:t>
      </w:r>
      <w:r w:rsidR="007A0A2F" w:rsidRPr="009979BF">
        <w:rPr>
          <w:color w:val="auto"/>
          <w:sz w:val="20"/>
          <w:szCs w:val="20"/>
        </w:rPr>
        <w:t xml:space="preserve">, </w:t>
      </w:r>
      <w:r w:rsidR="00513E3A" w:rsidRPr="009979BF">
        <w:rPr>
          <w:color w:val="auto"/>
          <w:sz w:val="20"/>
          <w:szCs w:val="20"/>
        </w:rPr>
        <w:t xml:space="preserve">we </w:t>
      </w:r>
      <w:r w:rsidR="007A0A2F" w:rsidRPr="009979BF">
        <w:rPr>
          <w:color w:val="auto"/>
          <w:sz w:val="20"/>
          <w:szCs w:val="20"/>
        </w:rPr>
        <w:t>expected 50-60</w:t>
      </w:r>
      <w:r w:rsidR="00825BCE" w:rsidRPr="009979BF">
        <w:rPr>
          <w:color w:val="auto"/>
          <w:sz w:val="20"/>
          <w:szCs w:val="20"/>
        </w:rPr>
        <w:t xml:space="preserve"> </w:t>
      </w:r>
      <w:r w:rsidR="00513E3A" w:rsidRPr="009979BF">
        <w:rPr>
          <w:color w:val="auto"/>
          <w:sz w:val="20"/>
          <w:szCs w:val="20"/>
        </w:rPr>
        <w:t xml:space="preserve">patients to be </w:t>
      </w:r>
      <w:r w:rsidR="003A5304" w:rsidRPr="009979BF">
        <w:rPr>
          <w:color w:val="auto"/>
          <w:sz w:val="20"/>
          <w:szCs w:val="20"/>
        </w:rPr>
        <w:t>enrolled</w:t>
      </w:r>
      <w:r w:rsidR="00391E47" w:rsidRPr="009979BF">
        <w:rPr>
          <w:color w:val="auto"/>
          <w:sz w:val="20"/>
          <w:szCs w:val="20"/>
        </w:rPr>
        <w:t xml:space="preserve"> and </w:t>
      </w:r>
      <w:r w:rsidR="00825BCE" w:rsidRPr="009979BF">
        <w:rPr>
          <w:color w:val="auto"/>
          <w:sz w:val="20"/>
          <w:szCs w:val="20"/>
        </w:rPr>
        <w:t xml:space="preserve">estimated </w:t>
      </w:r>
      <w:r w:rsidR="00B4330B" w:rsidRPr="009979BF">
        <w:rPr>
          <w:color w:val="auto"/>
          <w:sz w:val="20"/>
          <w:szCs w:val="20"/>
        </w:rPr>
        <w:t>~</w:t>
      </w:r>
      <w:r w:rsidR="00B02826" w:rsidRPr="009979BF">
        <w:rPr>
          <w:color w:val="auto"/>
          <w:sz w:val="20"/>
          <w:szCs w:val="20"/>
        </w:rPr>
        <w:t>50% attrition</w:t>
      </w:r>
      <w:r w:rsidR="00391E47" w:rsidRPr="009979BF">
        <w:rPr>
          <w:color w:val="auto"/>
          <w:sz w:val="20"/>
          <w:szCs w:val="20"/>
        </w:rPr>
        <w:t xml:space="preserve"> at each follow-up. </w:t>
      </w:r>
    </w:p>
    <w:p w14:paraId="4D7325D1" w14:textId="77777777" w:rsidR="0010467B" w:rsidRPr="009979BF" w:rsidRDefault="0010467B">
      <w:pPr>
        <w:spacing w:line="360" w:lineRule="auto"/>
        <w:rPr>
          <w:b/>
          <w:color w:val="auto"/>
          <w:sz w:val="20"/>
          <w:szCs w:val="20"/>
        </w:rPr>
      </w:pPr>
    </w:p>
    <w:p w14:paraId="557EAB9A" w14:textId="77777777" w:rsidR="0010467B" w:rsidRPr="009979BF" w:rsidRDefault="00052D96">
      <w:pPr>
        <w:spacing w:line="360" w:lineRule="auto"/>
        <w:jc w:val="both"/>
        <w:rPr>
          <w:b/>
          <w:color w:val="auto"/>
          <w:sz w:val="20"/>
          <w:szCs w:val="20"/>
        </w:rPr>
      </w:pPr>
      <w:r w:rsidRPr="009979BF">
        <w:rPr>
          <w:b/>
          <w:color w:val="auto"/>
          <w:sz w:val="20"/>
          <w:szCs w:val="20"/>
        </w:rPr>
        <w:t xml:space="preserve">Outcome measures </w:t>
      </w:r>
    </w:p>
    <w:p w14:paraId="778A0344" w14:textId="77777777" w:rsidR="00847A46" w:rsidRPr="009979BF" w:rsidRDefault="002A4802">
      <w:pPr>
        <w:spacing w:line="360" w:lineRule="auto"/>
        <w:jc w:val="both"/>
        <w:rPr>
          <w:rFonts w:cs="ArialMT"/>
          <w:color w:val="auto"/>
          <w:sz w:val="20"/>
          <w:szCs w:val="20"/>
        </w:rPr>
      </w:pPr>
      <w:r w:rsidRPr="009979BF">
        <w:rPr>
          <w:i/>
          <w:color w:val="auto"/>
          <w:sz w:val="20"/>
          <w:szCs w:val="20"/>
        </w:rPr>
        <w:lastRenderedPageBreak/>
        <w:t>Primary outcome:</w:t>
      </w:r>
      <w:r w:rsidRPr="009979BF">
        <w:rPr>
          <w:color w:val="auto"/>
          <w:sz w:val="20"/>
          <w:szCs w:val="20"/>
        </w:rPr>
        <w:t xml:space="preserve"> </w:t>
      </w:r>
      <w:r w:rsidR="00E42D3B" w:rsidRPr="009979BF">
        <w:rPr>
          <w:color w:val="auto"/>
          <w:sz w:val="20"/>
          <w:szCs w:val="20"/>
        </w:rPr>
        <w:t xml:space="preserve"> </w:t>
      </w:r>
      <w:r w:rsidR="00847A46" w:rsidRPr="009979BF">
        <w:rPr>
          <w:rFonts w:cs="ArialMT"/>
          <w:color w:val="auto"/>
          <w:sz w:val="20"/>
          <w:szCs w:val="20"/>
        </w:rPr>
        <w:t xml:space="preserve">Qualitative and quantitative process data on recruitment and retention rates at </w:t>
      </w:r>
      <w:r w:rsidR="00BB60CB" w:rsidRPr="009979BF">
        <w:rPr>
          <w:rFonts w:cs="ArialMT"/>
          <w:color w:val="auto"/>
          <w:sz w:val="20"/>
          <w:szCs w:val="20"/>
        </w:rPr>
        <w:t>b</w:t>
      </w:r>
      <w:r w:rsidR="00847A46" w:rsidRPr="009979BF">
        <w:rPr>
          <w:rFonts w:cs="ArialMT"/>
          <w:color w:val="auto"/>
          <w:sz w:val="20"/>
          <w:szCs w:val="20"/>
        </w:rPr>
        <w:t xml:space="preserve">aseline and </w:t>
      </w:r>
      <w:r w:rsidR="00BB60CB" w:rsidRPr="009979BF">
        <w:rPr>
          <w:rFonts w:cs="ArialMT"/>
          <w:color w:val="auto"/>
          <w:sz w:val="20"/>
          <w:szCs w:val="20"/>
        </w:rPr>
        <w:t xml:space="preserve">follow-up </w:t>
      </w:r>
      <w:r w:rsidR="00847A46" w:rsidRPr="009979BF">
        <w:rPr>
          <w:rFonts w:cs="ArialMT"/>
          <w:color w:val="auto"/>
          <w:sz w:val="20"/>
          <w:szCs w:val="20"/>
        </w:rPr>
        <w:t>to inform on feasibility</w:t>
      </w:r>
      <w:r w:rsidR="000E13DC" w:rsidRPr="009979BF">
        <w:rPr>
          <w:rFonts w:cs="ArialMT"/>
          <w:color w:val="auto"/>
          <w:sz w:val="20"/>
          <w:szCs w:val="20"/>
        </w:rPr>
        <w:t xml:space="preserve"> of study design</w:t>
      </w:r>
      <w:r w:rsidR="00847A46" w:rsidRPr="009979BF">
        <w:rPr>
          <w:rFonts w:cs="ArialMT"/>
          <w:color w:val="auto"/>
          <w:sz w:val="20"/>
          <w:szCs w:val="20"/>
        </w:rPr>
        <w:t xml:space="preserve">. Evaluation of potential relevance of questions validated in other populations for men diagnosed with </w:t>
      </w:r>
      <w:r w:rsidR="00847A46" w:rsidRPr="009979BF">
        <w:rPr>
          <w:color w:val="auto"/>
          <w:sz w:val="20"/>
          <w:szCs w:val="20"/>
        </w:rPr>
        <w:t>NSGI.</w:t>
      </w:r>
    </w:p>
    <w:p w14:paraId="04AC3D1F" w14:textId="77777777" w:rsidR="0010467B" w:rsidRPr="009979BF" w:rsidRDefault="0010467B">
      <w:pPr>
        <w:spacing w:line="360" w:lineRule="auto"/>
        <w:jc w:val="both"/>
        <w:rPr>
          <w:rFonts w:cs="Tahoma"/>
          <w:color w:val="auto"/>
          <w:sz w:val="20"/>
          <w:szCs w:val="20"/>
        </w:rPr>
      </w:pPr>
    </w:p>
    <w:p w14:paraId="5EB173A6" w14:textId="77777777" w:rsidR="002A4802" w:rsidRPr="009979BF" w:rsidRDefault="00B907B3">
      <w:pPr>
        <w:spacing w:line="360" w:lineRule="auto"/>
        <w:jc w:val="both"/>
        <w:rPr>
          <w:rFonts w:cs="Tahoma"/>
          <w:i/>
          <w:color w:val="auto"/>
          <w:sz w:val="20"/>
          <w:szCs w:val="20"/>
        </w:rPr>
      </w:pPr>
      <w:r w:rsidRPr="009979BF">
        <w:rPr>
          <w:rFonts w:cs="Tahoma"/>
          <w:i/>
          <w:color w:val="auto"/>
          <w:sz w:val="20"/>
          <w:szCs w:val="20"/>
        </w:rPr>
        <w:t>Secondary outcomes:</w:t>
      </w:r>
    </w:p>
    <w:p w14:paraId="58AE99A5" w14:textId="77777777" w:rsidR="00AE3C01" w:rsidRPr="009979BF" w:rsidRDefault="00B907B3">
      <w:pPr>
        <w:spacing w:line="360" w:lineRule="auto"/>
        <w:rPr>
          <w:color w:val="auto"/>
          <w:sz w:val="20"/>
          <w:szCs w:val="20"/>
        </w:rPr>
      </w:pPr>
      <w:r w:rsidRPr="009979BF">
        <w:rPr>
          <w:color w:val="auto"/>
          <w:sz w:val="20"/>
          <w:szCs w:val="20"/>
        </w:rPr>
        <w:t xml:space="preserve">Percentage change from baseline to FU-1 in </w:t>
      </w:r>
      <w:r w:rsidR="00FA0526" w:rsidRPr="009979BF">
        <w:rPr>
          <w:color w:val="auto"/>
          <w:sz w:val="20"/>
          <w:szCs w:val="20"/>
        </w:rPr>
        <w:t xml:space="preserve">mean </w:t>
      </w:r>
      <w:r w:rsidR="00FA0526" w:rsidRPr="009979BF">
        <w:rPr>
          <w:rFonts w:cs="Tahoma"/>
          <w:color w:val="auto"/>
          <w:sz w:val="20"/>
          <w:szCs w:val="20"/>
        </w:rPr>
        <w:t>EQ-5D-5L Index value</w:t>
      </w:r>
      <w:r w:rsidRPr="009979BF">
        <w:rPr>
          <w:rFonts w:cs="Tahoma"/>
          <w:color w:val="auto"/>
          <w:sz w:val="20"/>
          <w:szCs w:val="20"/>
        </w:rPr>
        <w:t xml:space="preserve">, and mean </w:t>
      </w:r>
      <w:r w:rsidRPr="009979BF">
        <w:rPr>
          <w:color w:val="auto"/>
          <w:sz w:val="20"/>
          <w:szCs w:val="20"/>
        </w:rPr>
        <w:t>RSES</w:t>
      </w:r>
      <w:r w:rsidRPr="009979BF">
        <w:rPr>
          <w:rFonts w:cs="Tahoma"/>
          <w:color w:val="auto"/>
          <w:sz w:val="20"/>
          <w:szCs w:val="20"/>
        </w:rPr>
        <w:t xml:space="preserve"> value</w:t>
      </w:r>
      <w:r w:rsidRPr="009979BF">
        <w:rPr>
          <w:color w:val="auto"/>
          <w:sz w:val="20"/>
          <w:szCs w:val="20"/>
        </w:rPr>
        <w:t xml:space="preserve"> in men diagnosed with CT, NG, NSGI or NAD.</w:t>
      </w:r>
      <w:r w:rsidR="00AE09A2" w:rsidRPr="009979BF">
        <w:rPr>
          <w:color w:val="auto"/>
          <w:sz w:val="20"/>
          <w:szCs w:val="20"/>
        </w:rPr>
        <w:t xml:space="preserve"> </w:t>
      </w:r>
    </w:p>
    <w:p w14:paraId="3D492FD3" w14:textId="77777777" w:rsidR="00AE3C01" w:rsidRPr="009979BF" w:rsidRDefault="00AE3C01">
      <w:pPr>
        <w:spacing w:line="360" w:lineRule="auto"/>
        <w:rPr>
          <w:color w:val="auto"/>
          <w:sz w:val="20"/>
          <w:szCs w:val="20"/>
        </w:rPr>
      </w:pPr>
    </w:p>
    <w:p w14:paraId="3BBC862C" w14:textId="77777777" w:rsidR="00AE09A2" w:rsidRPr="009979BF" w:rsidRDefault="00AE09A2">
      <w:pPr>
        <w:spacing w:line="360" w:lineRule="auto"/>
        <w:rPr>
          <w:rFonts w:cs="Segoe UI"/>
          <w:color w:val="auto"/>
          <w:sz w:val="20"/>
          <w:szCs w:val="20"/>
        </w:rPr>
      </w:pPr>
      <w:r w:rsidRPr="009979BF">
        <w:rPr>
          <w:rFonts w:cs="Segoe UI"/>
          <w:color w:val="auto"/>
          <w:sz w:val="20"/>
          <w:szCs w:val="20"/>
        </w:rPr>
        <w:t>We did not have prior expectations about different impacts of these diagnoses,</w:t>
      </w:r>
      <w:r w:rsidR="000E13DC" w:rsidRPr="009979BF">
        <w:rPr>
          <w:rFonts w:cs="Segoe UI"/>
          <w:color w:val="auto"/>
          <w:sz w:val="20"/>
          <w:szCs w:val="20"/>
        </w:rPr>
        <w:t xml:space="preserve"> and as</w:t>
      </w:r>
      <w:r w:rsidRPr="009979BF">
        <w:rPr>
          <w:rFonts w:cs="Segoe UI"/>
          <w:color w:val="auto"/>
          <w:sz w:val="20"/>
          <w:szCs w:val="20"/>
        </w:rPr>
        <w:t xml:space="preserve"> there are no studies comparing the impact of CT to NG or NSGI in men, this was exploratory. We were interested in investigating whether NSGI was perceived as a benign diagnosis or whether it elicited negative psychosocial impacts which have been reported in men diagnosed with STIs such as C</w:t>
      </w:r>
      <w:r w:rsidR="00766515" w:rsidRPr="009979BF">
        <w:rPr>
          <w:rFonts w:cs="Segoe UI"/>
          <w:color w:val="auto"/>
          <w:sz w:val="20"/>
          <w:szCs w:val="20"/>
        </w:rPr>
        <w:t xml:space="preserve">T </w:t>
      </w:r>
      <w:r w:rsidR="00B907B3" w:rsidRPr="009979BF">
        <w:rPr>
          <w:rFonts w:cs="Segoe UI"/>
          <w:color w:val="auto"/>
          <w:sz w:val="20"/>
          <w:szCs w:val="20"/>
        </w:rPr>
        <w:fldChar w:fldCharType="begin" w:fldLock="1"/>
      </w:r>
      <w:r w:rsidR="008D4440" w:rsidRPr="009979BF">
        <w:rPr>
          <w:rFonts w:cs="Segoe UI"/>
          <w:color w:val="auto"/>
          <w:sz w:val="20"/>
          <w:szCs w:val="20"/>
        </w:rPr>
        <w:instrText>ADDIN CSL_CITATION { "citationItems" : [ { "id" : "ITEM-1", "itemData" : { "ISSN" : "0264-0325", "PMID" : "10076643", "abstract" : "This study considers aspects of the experiences of a group of people attending a sexual health clinic and receiving the diagnosis of a sexually transmitted infection (STI). The study was conducted in the form of action research using a qualitative approach. Participants consisted of eight attenders at a sexual health clinic who had been diagnosed with a sexually transmitted infection. Counselling skills and techniques were used throughout semi-structured interviews to explore participants' feelings about these issues. Thematic analysis was used to generate themes of importance to the participants. Some people who had been to a sexual health clinic and received a diagnosis of a sexually transmitted infection were found to experience feelings of anxiety, stigma and isolation. This study is of value to all those working in the field of sexual health with an interest in understanding the issues that are important to the client group.", "author" : [ { "dropping-particle" : "", "family" : "Holgate", "given" : "H S", "non-dropping-particle" : "", "parse-names" : false, "suffix" : "" }, { "dropping-particle" : "", "family" : "Longman", "given" : "C", "non-dropping-particle" : "", "parse-names" : false, "suffix" : "" } ], "container-title" : "Journal of the Royal Society of Health", "id" : "ITEM-1", "issue" : "2", "issued" : { "date-parts" : [ [ "1998", "4" ] ] }, "page" : "94-6", "title" : "Some peoples' psychological experiences of attending a sexual health clinic and having a sexually transmitted infection.", "type" : "article-journal", "volume" : "118" }, "uris" : [ "http://www.mendeley.com/documents/?uuid=63713af5-a21e-30d3-9210-20b769f6023a" ] } ], "mendeley" : { "formattedCitation" : "[10]", "plainTextFormattedCitation" : "[10]", "previouslyFormattedCitation" : "[10]" }, "properties" : { "noteIndex" : 0 }, "schema" : "https://github.com/citation-style-language/schema/raw/master/csl-citation.json" }</w:instrText>
      </w:r>
      <w:r w:rsidR="00B907B3" w:rsidRPr="009979BF">
        <w:rPr>
          <w:rFonts w:cs="Segoe UI"/>
          <w:color w:val="auto"/>
          <w:sz w:val="20"/>
          <w:szCs w:val="20"/>
        </w:rPr>
        <w:fldChar w:fldCharType="separate"/>
      </w:r>
      <w:r w:rsidR="004B4B35" w:rsidRPr="009979BF">
        <w:rPr>
          <w:rFonts w:cs="Segoe UI"/>
          <w:noProof/>
          <w:color w:val="auto"/>
          <w:sz w:val="20"/>
          <w:szCs w:val="20"/>
        </w:rPr>
        <w:t>[10]</w:t>
      </w:r>
      <w:r w:rsidR="00B907B3" w:rsidRPr="009979BF">
        <w:rPr>
          <w:rFonts w:cs="Segoe UI"/>
          <w:color w:val="auto"/>
          <w:sz w:val="20"/>
          <w:szCs w:val="20"/>
        </w:rPr>
        <w:fldChar w:fldCharType="end"/>
      </w:r>
      <w:r w:rsidR="00766515" w:rsidRPr="009979BF">
        <w:rPr>
          <w:rFonts w:cs="Segoe UI"/>
          <w:color w:val="auto"/>
          <w:sz w:val="20"/>
          <w:szCs w:val="20"/>
        </w:rPr>
        <w:t>.</w:t>
      </w:r>
    </w:p>
    <w:p w14:paraId="4A741BA1" w14:textId="77777777" w:rsidR="00F1435B" w:rsidRPr="009979BF" w:rsidRDefault="00F1435B">
      <w:pPr>
        <w:spacing w:line="360" w:lineRule="auto"/>
        <w:jc w:val="both"/>
        <w:rPr>
          <w:rFonts w:cs="ArialMT"/>
          <w:color w:val="auto"/>
          <w:sz w:val="20"/>
          <w:szCs w:val="20"/>
        </w:rPr>
      </w:pPr>
    </w:p>
    <w:p w14:paraId="6354BA91" w14:textId="77777777" w:rsidR="002550D3" w:rsidRPr="009979BF" w:rsidRDefault="00C45E5C">
      <w:pPr>
        <w:spacing w:line="360" w:lineRule="auto"/>
        <w:jc w:val="both"/>
        <w:rPr>
          <w:b/>
          <w:color w:val="auto"/>
          <w:sz w:val="20"/>
          <w:szCs w:val="20"/>
        </w:rPr>
      </w:pPr>
      <w:r w:rsidRPr="009979BF">
        <w:rPr>
          <w:b/>
          <w:color w:val="auto"/>
          <w:sz w:val="20"/>
          <w:szCs w:val="20"/>
        </w:rPr>
        <w:t xml:space="preserve">Data analysis </w:t>
      </w:r>
    </w:p>
    <w:p w14:paraId="448626AA" w14:textId="77777777" w:rsidR="00C63F81" w:rsidRPr="009979BF" w:rsidRDefault="00B907B3">
      <w:pPr>
        <w:spacing w:line="360" w:lineRule="auto"/>
        <w:jc w:val="both"/>
        <w:rPr>
          <w:i/>
          <w:color w:val="auto"/>
          <w:sz w:val="20"/>
          <w:szCs w:val="20"/>
        </w:rPr>
      </w:pPr>
      <w:r w:rsidRPr="009979BF">
        <w:rPr>
          <w:i/>
          <w:color w:val="auto"/>
          <w:sz w:val="20"/>
          <w:szCs w:val="20"/>
        </w:rPr>
        <w:t xml:space="preserve">Questionnaire data: </w:t>
      </w:r>
    </w:p>
    <w:p w14:paraId="6986275D" w14:textId="77777777" w:rsidR="008A109C" w:rsidRPr="009979BF" w:rsidRDefault="00B907B3" w:rsidP="00F1435B">
      <w:pPr>
        <w:spacing w:line="360" w:lineRule="auto"/>
        <w:rPr>
          <w:color w:val="auto"/>
          <w:sz w:val="20"/>
          <w:szCs w:val="20"/>
        </w:rPr>
      </w:pPr>
      <w:r w:rsidRPr="009979BF">
        <w:rPr>
          <w:color w:val="auto"/>
          <w:sz w:val="20"/>
          <w:szCs w:val="20"/>
        </w:rPr>
        <w:t xml:space="preserve">For all eligible men, RSES score, MSPSS score, and </w:t>
      </w:r>
      <w:r w:rsidR="00FA0526" w:rsidRPr="009979BF">
        <w:rPr>
          <w:color w:val="auto"/>
          <w:sz w:val="20"/>
          <w:szCs w:val="20"/>
        </w:rPr>
        <w:t>EQ-5D-5L Index value</w:t>
      </w:r>
      <w:r w:rsidRPr="009979BF">
        <w:rPr>
          <w:color w:val="auto"/>
          <w:sz w:val="20"/>
          <w:szCs w:val="20"/>
        </w:rPr>
        <w:t xml:space="preserve"> were calculated according to published methods </w:t>
      </w:r>
      <w:r w:rsidRPr="009979BF">
        <w:rPr>
          <w:color w:val="auto"/>
          <w:sz w:val="20"/>
          <w:szCs w:val="20"/>
        </w:rPr>
        <w:fldChar w:fldCharType="begin" w:fldLock="1"/>
      </w:r>
      <w:r w:rsidRPr="009979BF">
        <w:rPr>
          <w:color w:val="auto"/>
          <w:sz w:val="20"/>
          <w:szCs w:val="20"/>
        </w:rPr>
        <w:instrText>ADDIN CSL_CITATION { "citationItems" : [ { "id" : "ITEM-1", "itemData" : { "DOI" : "10.1126/science.148.3671.804", "ISSN" : "0036-8075", "author" : [ { "dropping-particle" : "", "family" : "Petersen", "given" : "W.", "non-dropping-particle" : "", "parse-names" : false, "suffix" : "" } ], "container-title" : "Science", "id" : "ITEM-1", "issue" : "3671", "issued" : { "date-parts" : [ [ "1965", "5", "7" ] ] }, "page" : "804-804", "title" : "Society and the Adolescent Self-Image. Morris Rosenberg. Princeton University Press, Princeton, N.J., 1965. xii + 326 pp. $6.50", "type" : "article-journal", "volume" : "148" }, "uris" : [ "http://www.mendeley.com/documents/?uuid=1bfc9cf4-7aca-36ec-a8f1-f6a870181a1e" ] } ], "mendeley" : { "formattedCitation" : "[24]", "plainTextFormattedCitation" : "[24]", "previouslyFormattedCitation" : "[24]" }, "properties" : { "noteIndex" : 0 }, "schema" : "https://github.com/citation-style-language/schema/raw/master/csl-citation.json" }</w:instrText>
      </w:r>
      <w:r w:rsidRPr="009979BF">
        <w:rPr>
          <w:color w:val="auto"/>
          <w:sz w:val="20"/>
          <w:szCs w:val="20"/>
        </w:rPr>
        <w:fldChar w:fldCharType="separate"/>
      </w:r>
      <w:r w:rsidRPr="009979BF">
        <w:rPr>
          <w:noProof/>
          <w:color w:val="auto"/>
          <w:sz w:val="20"/>
          <w:szCs w:val="20"/>
        </w:rPr>
        <w:t>[24]</w:t>
      </w:r>
      <w:r w:rsidRPr="009979BF">
        <w:rPr>
          <w:color w:val="auto"/>
          <w:sz w:val="20"/>
          <w:szCs w:val="20"/>
        </w:rPr>
        <w:fldChar w:fldCharType="end"/>
      </w:r>
      <w:r w:rsidRPr="009979BF">
        <w:rPr>
          <w:color w:val="auto"/>
          <w:sz w:val="20"/>
          <w:szCs w:val="20"/>
        </w:rPr>
        <w:fldChar w:fldCharType="begin" w:fldLock="1"/>
      </w:r>
      <w:r w:rsidRPr="009979BF">
        <w:rPr>
          <w:color w:val="auto"/>
          <w:sz w:val="20"/>
          <w:szCs w:val="20"/>
        </w:rPr>
        <w:instrText>ADDIN CSL_CITATION { "citationItems" : [ { "id" : "ITEM-1", "itemData" : { "DOI" : "10.1007/s11136-011-9903-x", "ISSN" : "1573-2649", "PMID" : "21479777", "abstract" : "PURPOSE This article introduces the new 5-level EQ-5D (EQ-5D-5L) health status measure. METHODS EQ-5D currently measures health using three levels of severity in five dimensions. A EuroQol Group task force was established to find ways of improving the instrument's sensitivity and reducing ceiling effects by increasing the number of severity levels. The study was performed in the United Kingdom and Spain. Severity labels for 5 levels in each dimension were identified using response scaling. Focus groups were used to investigate the face and content validity of the new versions, including hypothetical health states generated from those versions. RESULTS Selecting labels at approximately the 25th, 50th, and 75th centiles produced two alternative 5-level versions. Focus group work showed a slight preference for the wording 'slight-moderate-severe' problems, with anchors of 'no problems' and 'unable to do' in the EQ-5D functional dimensions. Similar wording was used in the Pain/Discomfort and Anxiety/Depression dimensions. Hypothetical health states were well understood though participants stressed the need for the internal coherence of health states. CONCLUSIONS A 5-level version of the EQ-5D has been developed by the EuroQol Group. Further testing is required to determine whether the new version improves sensitivity and reduces ceiling effects.", "author" : [ { "dropping-particle" : "", "family" : "Herdman", "given" : "M", "non-dropping-particle" : "", "parse-names" : false, "suffix" : "" }, { "dropping-particle" : "", "family" : "Gudex", "given" : "C", "non-dropping-particle" : "", "parse-names" : false, "suffix" : "" }, { "dropping-particle" : "", "family" : "Lloyd", "given" : "A", "non-dropping-particle" : "", "parse-names" : false, "suffix" : "" }, { "dropping-particle" : "", "family" : "Janssen", "given" : "Mf", "non-dropping-particle" : "", "parse-names" : false, "suffix" : "" }, { "dropping-particle" : "", "family" : "Kind", "given" : "P", "non-dropping-particle" : "", "parse-names" : false, "suffix" : "" }, { "dropping-particle" : "", "family" : "Parkin", "given" : "D", "non-dropping-particle" : "", "parse-names" : false, "suffix" : "" }, { "dropping-particle" : "", "family" : "Bonsel", "given" : "G", "non-dropping-particle" : "", "parse-names" : false, "suffix" : "" }, { "dropping-particle" : "", "family" : "Badia", "given" : "X", "non-dropping-particle" : "", "parse-names" : false, "suffix" : "" } ], "container-title" : "Quality of life research : an international journal of quality of life aspects of treatment, care and rehabilitation", "id" : "ITEM-1", "issue" : "10", "issued" : { "date-parts" : [ [ "2011", "12" ] ] }, "page" : "1727-36", "title" : "Development and preliminary testing of the new five-level version of EQ-5D (EQ-5D-5L).", "type" : "article-journal", "volume" : "20" }, "uris" : [ "http://www.mendeley.com/documents/?uuid=525a12e0-487a-34ca-829f-d7f8f065873b" ] } ], "mendeley" : { "formattedCitation" : "[23]", "plainTextFormattedCitation" : "[23]", "previouslyFormattedCitation" : "[23]" }, "properties" : { "noteIndex" : 0 }, "schema" : "https://github.com/citation-style-language/schema/raw/master/csl-citation.json" }</w:instrText>
      </w:r>
      <w:r w:rsidRPr="009979BF">
        <w:rPr>
          <w:color w:val="auto"/>
          <w:sz w:val="20"/>
          <w:szCs w:val="20"/>
        </w:rPr>
        <w:fldChar w:fldCharType="separate"/>
      </w:r>
      <w:r w:rsidRPr="009979BF">
        <w:rPr>
          <w:noProof/>
          <w:color w:val="auto"/>
          <w:sz w:val="20"/>
          <w:szCs w:val="20"/>
        </w:rPr>
        <w:t>[23]</w:t>
      </w:r>
      <w:r w:rsidRPr="009979BF">
        <w:rPr>
          <w:color w:val="auto"/>
          <w:sz w:val="20"/>
          <w:szCs w:val="20"/>
        </w:rPr>
        <w:fldChar w:fldCharType="end"/>
      </w:r>
      <w:r w:rsidRPr="009979BF">
        <w:rPr>
          <w:color w:val="auto"/>
          <w:sz w:val="20"/>
          <w:szCs w:val="20"/>
        </w:rPr>
        <w:fldChar w:fldCharType="begin" w:fldLock="1"/>
      </w:r>
      <w:r w:rsidRPr="009979BF">
        <w:rPr>
          <w:color w:val="auto"/>
          <w:sz w:val="20"/>
          <w:szCs w:val="20"/>
        </w:rPr>
        <w:instrText>ADDIN CSL_CITATION { "citationItems" : [ { "id" : "ITEM-1", "itemData" : { "DOI" : "10.1207/s15327752jpa5201_2", "ISSN" : "0022-3891", "author" : [ { "dropping-particle" : "", "family" : "Zimet", "given" : "Gregory D.", "non-dropping-particle" : "", "parse-names" : false, "suffix" : "" }, { "dropping-particle" : "", "family" : "Dahlem", "given" : "Nancy W.", "non-dropping-particle" : "", "parse-names" : false, "suffix" : "" }, { "dropping-particle" : "", "family" : "Zimet", "given" : "Sara G.", "non-dropping-particle" : "", "parse-names" : false, "suffix" : "" }, { "dropping-particle" : "", "family" : "Farley", "given" : "Gordon K.", "non-dropping-particle" : "", "parse-names" : false, "suffix" : "" } ], "container-title" : "Journal of Personality Assessment", "id" : "ITEM-1", "issue" : "1", "issued" : { "date-parts" : [ [ "1988", "3" ] ] }, "page" : "30-41", "title" : "The Multidimensional Scale of Perceived Social Support", "type" : "article-journal", "volume" : "52" }, "uris" : [ "http://www.mendeley.com/documents/?uuid=b30d4a16-f64e-3710-b0a7-a1eb2bcef773" ] } ], "mendeley" : { "formattedCitation" : "[25]", "plainTextFormattedCitation" : "[25]", "previouslyFormattedCitation" : "[25]" }, "properties" : { "noteIndex" : 0 }, "schema" : "https://github.com/citation-style-language/schema/raw/master/csl-citation.json" }</w:instrText>
      </w:r>
      <w:r w:rsidRPr="009979BF">
        <w:rPr>
          <w:color w:val="auto"/>
          <w:sz w:val="20"/>
          <w:szCs w:val="20"/>
        </w:rPr>
        <w:fldChar w:fldCharType="separate"/>
      </w:r>
      <w:r w:rsidRPr="009979BF">
        <w:rPr>
          <w:noProof/>
          <w:color w:val="auto"/>
          <w:sz w:val="20"/>
          <w:szCs w:val="20"/>
        </w:rPr>
        <w:t>[25]</w:t>
      </w:r>
      <w:r w:rsidRPr="009979BF">
        <w:rPr>
          <w:color w:val="auto"/>
          <w:sz w:val="20"/>
          <w:szCs w:val="20"/>
        </w:rPr>
        <w:fldChar w:fldCharType="end"/>
      </w:r>
      <w:r w:rsidRPr="009979BF">
        <w:rPr>
          <w:color w:val="auto"/>
          <w:sz w:val="20"/>
          <w:szCs w:val="20"/>
        </w:rPr>
        <w:fldChar w:fldCharType="begin" w:fldLock="1"/>
      </w:r>
      <w:r w:rsidRPr="009979BF">
        <w:rPr>
          <w:color w:val="auto"/>
          <w:sz w:val="20"/>
          <w:szCs w:val="20"/>
        </w:rPr>
        <w:instrText>ADDIN CSL_CITATION { "citationItems" : [ { "id" : "ITEM-1", "itemData" : { "ISSN" : "0025-7079", "PMID" : "9366889", "abstract" : "OBJECTIVES It has become increasingly common for preference-based measures of health-related quality of life to be used in the evaluation of different health-care interventions. For one such measure, The EuroQol, designed to be used for these purposes, it was necessary to derive a single index value for each of the 243 health states it generates. The problem was that it was virtually impossible to generate direct valuations for all of these states, and thus it was necessary to find a procedure that allows the valuations of all EuroQol states to be interpolated from direct valuations on a subset of these. METHODS In a recent study, direct valuations were elicited for 42 EuroQol health states (using the time trade-off method) from a representative sample of the UK population. This article reports on the methodology that was adopted to build up a \"tariff\" of EuroQol values from this data. RESULTS A parsimonious model that fits the data well was defined as one in which valuations were explained in terms of the level of severity associated with each dimension, an intercept associated with any move away from full health, and a term that picked up whether any dimension in the state was at its most severe level. CONCLUSIONS The model presented in this article appears to predict the values of the states for which there are direct observations and, thus, can be used to interpolate values for the states for which no direct observations exist.", "author" : [ { "dropping-particle" : "", "family" : "Dolan", "given" : "P", "non-dropping-particle" : "", "parse-names" : false, "suffix" : "" } ], "container-title" : "Medical care", "id" : "ITEM-1", "issue" : "11", "issued" : { "date-parts" : [ [ "1997", "11" ] ] }, "page" : "1095-108", "title" : "Modeling valuations for EuroQol health states.", "type" : "article-journal", "volume" : "35" }, "uris" : [ "http://www.mendeley.com/documents/?uuid=9d0ddd47-c505-3796-9923-54be4b0bf620" ] } ], "mendeley" : { "formattedCitation" : "[27]", "plainTextFormattedCitation" : "[27]", "previouslyFormattedCitation" : "[27]" }, "properties" : { "noteIndex" : 0 }, "schema" : "https://github.com/citation-style-language/schema/raw/master/csl-citation.json" }</w:instrText>
      </w:r>
      <w:r w:rsidRPr="009979BF">
        <w:rPr>
          <w:color w:val="auto"/>
          <w:sz w:val="20"/>
          <w:szCs w:val="20"/>
        </w:rPr>
        <w:fldChar w:fldCharType="separate"/>
      </w:r>
      <w:r w:rsidRPr="009979BF">
        <w:rPr>
          <w:noProof/>
          <w:color w:val="auto"/>
          <w:sz w:val="20"/>
          <w:szCs w:val="20"/>
        </w:rPr>
        <w:t>[27]</w:t>
      </w:r>
      <w:r w:rsidRPr="009979BF">
        <w:rPr>
          <w:color w:val="auto"/>
          <w:sz w:val="20"/>
          <w:szCs w:val="20"/>
        </w:rPr>
        <w:fldChar w:fldCharType="end"/>
      </w:r>
      <w:r w:rsidRPr="009979BF">
        <w:rPr>
          <w:color w:val="auto"/>
          <w:sz w:val="20"/>
          <w:szCs w:val="20"/>
        </w:rPr>
        <w:t>.</w:t>
      </w:r>
    </w:p>
    <w:p w14:paraId="5AA1124B" w14:textId="77777777" w:rsidR="008A109C" w:rsidRPr="009979BF" w:rsidRDefault="008A109C" w:rsidP="00F1435B">
      <w:pPr>
        <w:spacing w:line="360" w:lineRule="auto"/>
        <w:rPr>
          <w:color w:val="auto"/>
          <w:sz w:val="20"/>
          <w:szCs w:val="20"/>
        </w:rPr>
      </w:pPr>
    </w:p>
    <w:p w14:paraId="7047BC95" w14:textId="77777777" w:rsidR="00F1435B" w:rsidRPr="009979BF" w:rsidRDefault="00B907B3" w:rsidP="00902713">
      <w:pPr>
        <w:spacing w:line="360" w:lineRule="auto"/>
        <w:jc w:val="both"/>
        <w:rPr>
          <w:color w:val="auto"/>
          <w:sz w:val="20"/>
          <w:szCs w:val="20"/>
        </w:rPr>
      </w:pPr>
      <w:r w:rsidRPr="009979BF">
        <w:rPr>
          <w:color w:val="auto"/>
          <w:sz w:val="20"/>
          <w:szCs w:val="20"/>
        </w:rPr>
        <w:t xml:space="preserve">For men in each diagnostic category, paired t-tests were used to compare mean values for the </w:t>
      </w:r>
      <w:r w:rsidR="00FA0526" w:rsidRPr="009979BF">
        <w:rPr>
          <w:color w:val="auto"/>
          <w:sz w:val="20"/>
          <w:szCs w:val="20"/>
        </w:rPr>
        <w:t>EQ-5D-5L Index,</w:t>
      </w:r>
      <w:r w:rsidRPr="009979BF">
        <w:rPr>
          <w:color w:val="auto"/>
          <w:sz w:val="20"/>
          <w:szCs w:val="20"/>
        </w:rPr>
        <w:t xml:space="preserve"> RSES and MSPSS at baseline, and to compare differences in mean values for EQ-5D-5L Index and RSES score, from baseline to follow-up.</w:t>
      </w:r>
    </w:p>
    <w:p w14:paraId="0B1A8B34" w14:textId="77777777" w:rsidR="00F1435B" w:rsidRPr="009979BF" w:rsidRDefault="00F1435B" w:rsidP="00902713">
      <w:pPr>
        <w:spacing w:line="360" w:lineRule="auto"/>
        <w:jc w:val="both"/>
        <w:rPr>
          <w:color w:val="auto"/>
          <w:sz w:val="20"/>
          <w:szCs w:val="20"/>
        </w:rPr>
      </w:pPr>
    </w:p>
    <w:p w14:paraId="145B1319" w14:textId="77777777" w:rsidR="00B02826" w:rsidRPr="009979BF" w:rsidRDefault="003D3406">
      <w:pPr>
        <w:spacing w:line="360" w:lineRule="auto"/>
        <w:jc w:val="both"/>
        <w:rPr>
          <w:color w:val="auto"/>
          <w:sz w:val="20"/>
          <w:szCs w:val="20"/>
        </w:rPr>
      </w:pPr>
      <w:r w:rsidRPr="009979BF">
        <w:rPr>
          <w:color w:val="auto"/>
          <w:sz w:val="20"/>
          <w:szCs w:val="20"/>
        </w:rPr>
        <w:t>To test for non-response bias, we compared sociodemographic data of those who completed both baseline and follow-up to those who were lost to follow-up (LTFU)</w:t>
      </w:r>
      <w:r w:rsidR="003A44D4" w:rsidRPr="009979BF">
        <w:rPr>
          <w:color w:val="auto"/>
          <w:sz w:val="20"/>
          <w:szCs w:val="20"/>
        </w:rPr>
        <w:t>,</w:t>
      </w:r>
      <w:r w:rsidRPr="009979BF">
        <w:rPr>
          <w:color w:val="auto"/>
          <w:sz w:val="20"/>
          <w:szCs w:val="20"/>
        </w:rPr>
        <w:t xml:space="preserve"> using Pearson’s Chi</w:t>
      </w:r>
      <w:r w:rsidRPr="009979BF">
        <w:rPr>
          <w:color w:val="auto"/>
          <w:sz w:val="20"/>
          <w:szCs w:val="20"/>
          <w:vertAlign w:val="superscript"/>
        </w:rPr>
        <w:t>2</w:t>
      </w:r>
      <w:r w:rsidRPr="009979BF">
        <w:rPr>
          <w:color w:val="auto"/>
          <w:sz w:val="20"/>
          <w:szCs w:val="20"/>
        </w:rPr>
        <w:t xml:space="preserve"> tests and Kruskal-Wallis tests. </w:t>
      </w:r>
      <w:r w:rsidR="000112BC" w:rsidRPr="009979BF">
        <w:rPr>
          <w:color w:val="auto"/>
          <w:sz w:val="20"/>
          <w:szCs w:val="20"/>
        </w:rPr>
        <w:t>Statistical signifi</w:t>
      </w:r>
      <w:r w:rsidR="00B86945" w:rsidRPr="009979BF">
        <w:rPr>
          <w:color w:val="auto"/>
          <w:sz w:val="20"/>
          <w:szCs w:val="20"/>
        </w:rPr>
        <w:t>cance was set at p&lt;0.05</w:t>
      </w:r>
      <w:r w:rsidR="00794DB9" w:rsidRPr="009979BF">
        <w:rPr>
          <w:color w:val="auto"/>
          <w:sz w:val="20"/>
          <w:szCs w:val="20"/>
        </w:rPr>
        <w:t>. S</w:t>
      </w:r>
      <w:r w:rsidR="00B02826" w:rsidRPr="009979BF">
        <w:rPr>
          <w:color w:val="auto"/>
          <w:sz w:val="20"/>
          <w:szCs w:val="20"/>
        </w:rPr>
        <w:t>tatistical analysis was carried out using STATA version 13.1 (StataCorp, 2015).</w:t>
      </w:r>
    </w:p>
    <w:p w14:paraId="04F86B52" w14:textId="77777777" w:rsidR="00A60C78" w:rsidRPr="009979BF" w:rsidRDefault="00A60C78">
      <w:pPr>
        <w:spacing w:line="360" w:lineRule="auto"/>
        <w:rPr>
          <w:color w:val="auto"/>
          <w:sz w:val="20"/>
          <w:szCs w:val="20"/>
        </w:rPr>
      </w:pPr>
    </w:p>
    <w:p w14:paraId="4939D5F8" w14:textId="77777777" w:rsidR="006A633A" w:rsidRPr="009979BF" w:rsidRDefault="00AC3122">
      <w:pPr>
        <w:spacing w:line="360" w:lineRule="auto"/>
        <w:jc w:val="both"/>
        <w:rPr>
          <w:color w:val="auto"/>
          <w:sz w:val="20"/>
          <w:szCs w:val="20"/>
        </w:rPr>
      </w:pPr>
      <w:r w:rsidRPr="009979BF">
        <w:rPr>
          <w:i/>
          <w:color w:val="auto"/>
          <w:sz w:val="20"/>
          <w:szCs w:val="20"/>
        </w:rPr>
        <w:t>Qualitative data</w:t>
      </w:r>
      <w:r w:rsidR="002F4564" w:rsidRPr="009979BF">
        <w:rPr>
          <w:i/>
          <w:color w:val="auto"/>
          <w:sz w:val="20"/>
          <w:szCs w:val="20"/>
        </w:rPr>
        <w:t>:</w:t>
      </w:r>
      <w:r w:rsidR="0024663D" w:rsidRPr="009979BF">
        <w:rPr>
          <w:i/>
          <w:color w:val="auto"/>
          <w:sz w:val="20"/>
          <w:szCs w:val="20"/>
        </w:rPr>
        <w:t xml:space="preserve"> </w:t>
      </w:r>
      <w:r w:rsidR="0024663D" w:rsidRPr="009979BF">
        <w:rPr>
          <w:color w:val="auto"/>
          <w:sz w:val="20"/>
          <w:szCs w:val="20"/>
        </w:rPr>
        <w:t xml:space="preserve"> </w:t>
      </w:r>
      <w:r w:rsidR="00607B29" w:rsidRPr="009979BF">
        <w:rPr>
          <w:color w:val="auto"/>
          <w:sz w:val="20"/>
          <w:szCs w:val="20"/>
        </w:rPr>
        <w:t xml:space="preserve">Audio recordings were </w:t>
      </w:r>
      <w:r w:rsidR="0024663D" w:rsidRPr="009979BF">
        <w:rPr>
          <w:color w:val="auto"/>
          <w:sz w:val="20"/>
          <w:szCs w:val="20"/>
        </w:rPr>
        <w:t xml:space="preserve">transcribed </w:t>
      </w:r>
      <w:r w:rsidR="00607B29" w:rsidRPr="009979BF">
        <w:rPr>
          <w:color w:val="auto"/>
          <w:sz w:val="20"/>
          <w:szCs w:val="20"/>
        </w:rPr>
        <w:t xml:space="preserve">and transcripts </w:t>
      </w:r>
      <w:r w:rsidR="0041725E" w:rsidRPr="009979BF">
        <w:rPr>
          <w:color w:val="auto"/>
          <w:sz w:val="20"/>
          <w:szCs w:val="20"/>
        </w:rPr>
        <w:t xml:space="preserve">checked </w:t>
      </w:r>
      <w:r w:rsidR="00607B29" w:rsidRPr="009979BF">
        <w:rPr>
          <w:color w:val="auto"/>
          <w:sz w:val="20"/>
          <w:szCs w:val="20"/>
        </w:rPr>
        <w:t xml:space="preserve">for accuracy against the recording. </w:t>
      </w:r>
      <w:r w:rsidR="00055015" w:rsidRPr="009979BF">
        <w:rPr>
          <w:color w:val="auto"/>
          <w:sz w:val="20"/>
          <w:szCs w:val="20"/>
        </w:rPr>
        <w:t>C</w:t>
      </w:r>
      <w:r w:rsidR="00B02826" w:rsidRPr="009979BF">
        <w:rPr>
          <w:color w:val="auto"/>
          <w:sz w:val="20"/>
          <w:szCs w:val="20"/>
        </w:rPr>
        <w:t>lean</w:t>
      </w:r>
      <w:r w:rsidR="00055015" w:rsidRPr="009979BF">
        <w:rPr>
          <w:color w:val="auto"/>
          <w:sz w:val="20"/>
          <w:szCs w:val="20"/>
        </w:rPr>
        <w:t>ed</w:t>
      </w:r>
      <w:r w:rsidR="00607B29" w:rsidRPr="009979BF">
        <w:rPr>
          <w:color w:val="auto"/>
          <w:sz w:val="20"/>
          <w:szCs w:val="20"/>
        </w:rPr>
        <w:t xml:space="preserve"> transcripts were </w:t>
      </w:r>
      <w:r w:rsidR="00055015" w:rsidRPr="009979BF">
        <w:rPr>
          <w:color w:val="auto"/>
          <w:sz w:val="20"/>
          <w:szCs w:val="20"/>
        </w:rPr>
        <w:t xml:space="preserve">then </w:t>
      </w:r>
      <w:r w:rsidR="00607B29" w:rsidRPr="009979BF">
        <w:rPr>
          <w:color w:val="auto"/>
          <w:sz w:val="20"/>
          <w:szCs w:val="20"/>
        </w:rPr>
        <w:t>imported into NVivo (Version 10, 2012)</w:t>
      </w:r>
      <w:r w:rsidR="00B02826" w:rsidRPr="009979BF">
        <w:rPr>
          <w:color w:val="auto"/>
          <w:sz w:val="20"/>
          <w:szCs w:val="20"/>
        </w:rPr>
        <w:t xml:space="preserve"> for analysis</w:t>
      </w:r>
      <w:r w:rsidR="00FF565E" w:rsidRPr="009979BF">
        <w:rPr>
          <w:color w:val="auto"/>
          <w:sz w:val="20"/>
          <w:szCs w:val="20"/>
        </w:rPr>
        <w:t>.</w:t>
      </w:r>
      <w:r w:rsidR="00607B29" w:rsidRPr="009979BF">
        <w:rPr>
          <w:color w:val="auto"/>
          <w:sz w:val="20"/>
          <w:szCs w:val="20"/>
        </w:rPr>
        <w:t xml:space="preserve"> </w:t>
      </w:r>
      <w:r w:rsidR="00A876E9" w:rsidRPr="009979BF">
        <w:rPr>
          <w:color w:val="auto"/>
          <w:sz w:val="20"/>
          <w:szCs w:val="20"/>
        </w:rPr>
        <w:t xml:space="preserve">Two researchers </w:t>
      </w:r>
      <w:r w:rsidR="00094B77" w:rsidRPr="009979BF">
        <w:rPr>
          <w:color w:val="auto"/>
          <w:sz w:val="20"/>
          <w:szCs w:val="20"/>
        </w:rPr>
        <w:t xml:space="preserve">assigned themes to text </w:t>
      </w:r>
      <w:r w:rsidR="00D64B48" w:rsidRPr="009979BF">
        <w:rPr>
          <w:color w:val="auto"/>
          <w:sz w:val="20"/>
          <w:szCs w:val="20"/>
        </w:rPr>
        <w:t>independently</w:t>
      </w:r>
      <w:r w:rsidR="00FF565E" w:rsidRPr="009979BF">
        <w:rPr>
          <w:color w:val="auto"/>
          <w:sz w:val="20"/>
          <w:szCs w:val="20"/>
        </w:rPr>
        <w:t>, with discrepancies resolved</w:t>
      </w:r>
      <w:r w:rsidR="004C1649" w:rsidRPr="009979BF">
        <w:rPr>
          <w:color w:val="auto"/>
          <w:sz w:val="20"/>
          <w:szCs w:val="20"/>
        </w:rPr>
        <w:t xml:space="preserve"> by consensus</w:t>
      </w:r>
      <w:r w:rsidR="00FF565E" w:rsidRPr="009979BF">
        <w:rPr>
          <w:color w:val="auto"/>
          <w:sz w:val="20"/>
          <w:szCs w:val="20"/>
        </w:rPr>
        <w:t xml:space="preserve"> before </w:t>
      </w:r>
      <w:r w:rsidR="00CB2150" w:rsidRPr="009979BF">
        <w:rPr>
          <w:color w:val="auto"/>
          <w:sz w:val="20"/>
          <w:szCs w:val="20"/>
        </w:rPr>
        <w:t xml:space="preserve">reporting </w:t>
      </w:r>
      <w:r w:rsidR="00FF565E" w:rsidRPr="009979BF">
        <w:rPr>
          <w:color w:val="auto"/>
          <w:sz w:val="20"/>
          <w:szCs w:val="20"/>
        </w:rPr>
        <w:t xml:space="preserve">final themes. </w:t>
      </w:r>
      <w:r w:rsidR="00CE120B" w:rsidRPr="009979BF">
        <w:rPr>
          <w:color w:val="auto"/>
          <w:sz w:val="20"/>
          <w:szCs w:val="20"/>
        </w:rPr>
        <w:t xml:space="preserve">All names of participants presented here are pseudonyms. </w:t>
      </w:r>
    </w:p>
    <w:p w14:paraId="4AD2793D" w14:textId="77777777" w:rsidR="005733E8" w:rsidRPr="009979BF" w:rsidRDefault="005733E8">
      <w:pPr>
        <w:spacing w:line="360" w:lineRule="auto"/>
        <w:rPr>
          <w:color w:val="auto"/>
          <w:sz w:val="20"/>
          <w:szCs w:val="20"/>
        </w:rPr>
      </w:pPr>
    </w:p>
    <w:p w14:paraId="0781F374" w14:textId="77777777" w:rsidR="005733E8" w:rsidRPr="009979BF" w:rsidRDefault="0037758D">
      <w:pPr>
        <w:spacing w:line="360" w:lineRule="auto"/>
        <w:jc w:val="both"/>
        <w:rPr>
          <w:b/>
          <w:color w:val="auto"/>
          <w:sz w:val="20"/>
          <w:szCs w:val="20"/>
        </w:rPr>
      </w:pPr>
      <w:r w:rsidRPr="009979BF">
        <w:rPr>
          <w:b/>
          <w:color w:val="auto"/>
          <w:sz w:val="20"/>
          <w:szCs w:val="20"/>
        </w:rPr>
        <w:t xml:space="preserve">RESULTS </w:t>
      </w:r>
    </w:p>
    <w:p w14:paraId="1F6557E6" w14:textId="77777777" w:rsidR="004D7F1C" w:rsidRPr="009979BF" w:rsidRDefault="00B4330B">
      <w:pPr>
        <w:spacing w:line="360" w:lineRule="auto"/>
        <w:jc w:val="both"/>
        <w:rPr>
          <w:color w:val="auto"/>
          <w:sz w:val="20"/>
          <w:szCs w:val="20"/>
        </w:rPr>
      </w:pPr>
      <w:r w:rsidRPr="009979BF">
        <w:rPr>
          <w:color w:val="auto"/>
          <w:sz w:val="20"/>
          <w:szCs w:val="20"/>
        </w:rPr>
        <w:t>We approached 8</w:t>
      </w:r>
      <w:r w:rsidR="00A622C7" w:rsidRPr="009979BF">
        <w:rPr>
          <w:color w:val="auto"/>
          <w:sz w:val="20"/>
          <w:szCs w:val="20"/>
        </w:rPr>
        <w:t>0</w:t>
      </w:r>
      <w:r w:rsidRPr="009979BF">
        <w:rPr>
          <w:color w:val="auto"/>
          <w:sz w:val="20"/>
          <w:szCs w:val="20"/>
        </w:rPr>
        <w:t xml:space="preserve"> patients, of </w:t>
      </w:r>
      <w:r w:rsidR="000112BC" w:rsidRPr="009979BF">
        <w:rPr>
          <w:color w:val="auto"/>
          <w:sz w:val="20"/>
          <w:szCs w:val="20"/>
        </w:rPr>
        <w:t xml:space="preserve">whom </w:t>
      </w:r>
      <w:r w:rsidR="002E5692" w:rsidRPr="009979BF">
        <w:rPr>
          <w:color w:val="auto"/>
          <w:sz w:val="20"/>
          <w:szCs w:val="20"/>
        </w:rPr>
        <w:t>6</w:t>
      </w:r>
      <w:r w:rsidR="00A622C7" w:rsidRPr="009979BF">
        <w:rPr>
          <w:color w:val="auto"/>
          <w:sz w:val="20"/>
          <w:szCs w:val="20"/>
        </w:rPr>
        <w:t>0</w:t>
      </w:r>
      <w:r w:rsidR="002E5692" w:rsidRPr="009979BF">
        <w:rPr>
          <w:color w:val="auto"/>
          <w:sz w:val="20"/>
          <w:szCs w:val="20"/>
        </w:rPr>
        <w:t xml:space="preserve"> </w:t>
      </w:r>
      <w:r w:rsidRPr="009979BF">
        <w:rPr>
          <w:color w:val="auto"/>
          <w:sz w:val="20"/>
          <w:szCs w:val="20"/>
        </w:rPr>
        <w:t xml:space="preserve">(75%) </w:t>
      </w:r>
      <w:r w:rsidR="00847A46" w:rsidRPr="009979BF">
        <w:rPr>
          <w:color w:val="auto"/>
          <w:sz w:val="20"/>
          <w:szCs w:val="20"/>
        </w:rPr>
        <w:t>enrolled</w:t>
      </w:r>
      <w:r w:rsidR="002E5692" w:rsidRPr="009979BF">
        <w:rPr>
          <w:color w:val="auto"/>
          <w:sz w:val="20"/>
          <w:szCs w:val="20"/>
        </w:rPr>
        <w:t xml:space="preserve"> and comple</w:t>
      </w:r>
      <w:r w:rsidRPr="009979BF">
        <w:rPr>
          <w:color w:val="auto"/>
          <w:sz w:val="20"/>
          <w:szCs w:val="20"/>
        </w:rPr>
        <w:t>ted the baseline CASI</w:t>
      </w:r>
      <w:r w:rsidR="006F0959" w:rsidRPr="009979BF">
        <w:rPr>
          <w:color w:val="auto"/>
          <w:sz w:val="20"/>
          <w:szCs w:val="20"/>
        </w:rPr>
        <w:t>.</w:t>
      </w:r>
      <w:r w:rsidR="002E5692" w:rsidRPr="009979BF">
        <w:rPr>
          <w:color w:val="auto"/>
          <w:sz w:val="20"/>
          <w:szCs w:val="20"/>
        </w:rPr>
        <w:t xml:space="preserve"> 46 (7</w:t>
      </w:r>
      <w:r w:rsidR="00A622C7" w:rsidRPr="009979BF">
        <w:rPr>
          <w:color w:val="auto"/>
          <w:sz w:val="20"/>
          <w:szCs w:val="20"/>
        </w:rPr>
        <w:t>6</w:t>
      </w:r>
      <w:r w:rsidR="002E5692" w:rsidRPr="009979BF">
        <w:rPr>
          <w:color w:val="auto"/>
          <w:sz w:val="20"/>
          <w:szCs w:val="20"/>
        </w:rPr>
        <w:t>.</w:t>
      </w:r>
      <w:r w:rsidR="00A622C7" w:rsidRPr="009979BF">
        <w:rPr>
          <w:color w:val="auto"/>
          <w:sz w:val="20"/>
          <w:szCs w:val="20"/>
        </w:rPr>
        <w:t>6</w:t>
      </w:r>
      <w:r w:rsidR="002E5692" w:rsidRPr="009979BF">
        <w:rPr>
          <w:color w:val="auto"/>
          <w:sz w:val="20"/>
          <w:szCs w:val="20"/>
        </w:rPr>
        <w:t>%) were eligible for f</w:t>
      </w:r>
      <w:r w:rsidR="006F0959" w:rsidRPr="009979BF">
        <w:rPr>
          <w:color w:val="auto"/>
          <w:sz w:val="20"/>
          <w:szCs w:val="20"/>
        </w:rPr>
        <w:t>ollow-up;</w:t>
      </w:r>
      <w:r w:rsidRPr="009979BF">
        <w:rPr>
          <w:color w:val="auto"/>
          <w:sz w:val="20"/>
          <w:szCs w:val="20"/>
        </w:rPr>
        <w:t xml:space="preserve"> of these</w:t>
      </w:r>
      <w:r w:rsidR="002E5692" w:rsidRPr="009979BF">
        <w:rPr>
          <w:color w:val="auto"/>
          <w:sz w:val="20"/>
          <w:szCs w:val="20"/>
        </w:rPr>
        <w:t xml:space="preserve">, 11 (23.9%) completed the FU-1 CASI, and 3 </w:t>
      </w:r>
      <w:r w:rsidR="00FF391A" w:rsidRPr="009979BF">
        <w:rPr>
          <w:color w:val="auto"/>
          <w:sz w:val="20"/>
          <w:szCs w:val="20"/>
        </w:rPr>
        <w:t>of these</w:t>
      </w:r>
      <w:r w:rsidR="00A622C7" w:rsidRPr="009979BF">
        <w:rPr>
          <w:color w:val="auto"/>
          <w:sz w:val="20"/>
          <w:szCs w:val="20"/>
        </w:rPr>
        <w:t xml:space="preserve"> </w:t>
      </w:r>
      <w:r w:rsidR="002E5692" w:rsidRPr="009979BF">
        <w:rPr>
          <w:color w:val="auto"/>
          <w:sz w:val="20"/>
          <w:szCs w:val="20"/>
        </w:rPr>
        <w:t xml:space="preserve">(27.3%) completed FU-2 </w:t>
      </w:r>
      <w:r w:rsidR="00157F9B" w:rsidRPr="009979BF">
        <w:rPr>
          <w:color w:val="auto"/>
          <w:sz w:val="20"/>
          <w:szCs w:val="20"/>
        </w:rPr>
        <w:t>(Figure 2.)</w:t>
      </w:r>
      <w:r w:rsidR="008A109C" w:rsidRPr="009979BF">
        <w:rPr>
          <w:color w:val="auto"/>
          <w:sz w:val="20"/>
          <w:szCs w:val="20"/>
        </w:rPr>
        <w:t xml:space="preserve"> </w:t>
      </w:r>
      <w:r w:rsidR="004D7F1C" w:rsidRPr="009979BF">
        <w:rPr>
          <w:color w:val="auto"/>
          <w:sz w:val="20"/>
          <w:szCs w:val="20"/>
        </w:rPr>
        <w:t>Final diagnoses among all eligible participants (n=46) were</w:t>
      </w:r>
      <w:r w:rsidR="00524749" w:rsidRPr="009979BF">
        <w:rPr>
          <w:color w:val="auto"/>
          <w:sz w:val="20"/>
          <w:szCs w:val="20"/>
        </w:rPr>
        <w:t>:</w:t>
      </w:r>
      <w:r w:rsidR="004D7F1C" w:rsidRPr="009979BF">
        <w:rPr>
          <w:color w:val="auto"/>
          <w:sz w:val="20"/>
          <w:szCs w:val="20"/>
        </w:rPr>
        <w:t xml:space="preserve"> CT, 7 (15.2%); NG, 2 (4.3%); NSGI, 23 (50%); NAD, 14 (30.4%)</w:t>
      </w:r>
      <w:r w:rsidR="00940509" w:rsidRPr="009979BF">
        <w:rPr>
          <w:color w:val="auto"/>
          <w:sz w:val="20"/>
          <w:szCs w:val="20"/>
        </w:rPr>
        <w:t>,</w:t>
      </w:r>
      <w:r w:rsidR="004D7F1C" w:rsidRPr="009979BF">
        <w:rPr>
          <w:color w:val="auto"/>
          <w:sz w:val="20"/>
          <w:szCs w:val="20"/>
        </w:rPr>
        <w:t xml:space="preserve"> and among participants who completed FU-1 (n=11) were CT, 4 (36.4%); NSGI, 4 (36.4%); NAD, 3 (27.3%). None of the participants diagnosed with NG completed FU-1. Two participants with </w:t>
      </w:r>
      <w:r w:rsidR="004D7F1C" w:rsidRPr="009979BF">
        <w:rPr>
          <w:color w:val="auto"/>
          <w:sz w:val="20"/>
          <w:szCs w:val="20"/>
        </w:rPr>
        <w:lastRenderedPageBreak/>
        <w:t>NSGI and one with NAD completed FU-2. Clinical records indicated that all participants were notified of their CT/NG NAAT diagnosis within 7 days of completing baseline.</w:t>
      </w:r>
    </w:p>
    <w:p w14:paraId="0DE9D339" w14:textId="77777777" w:rsidR="009E08A3" w:rsidRPr="009979BF" w:rsidRDefault="009E08A3">
      <w:pPr>
        <w:spacing w:line="360" w:lineRule="auto"/>
        <w:jc w:val="both"/>
        <w:rPr>
          <w:color w:val="auto"/>
          <w:sz w:val="20"/>
          <w:szCs w:val="20"/>
        </w:rPr>
      </w:pPr>
    </w:p>
    <w:p w14:paraId="5E58DBD1" w14:textId="77777777" w:rsidR="009E08A3" w:rsidRPr="009979BF" w:rsidRDefault="009E08A3">
      <w:pPr>
        <w:spacing w:line="360" w:lineRule="auto"/>
        <w:rPr>
          <w:rFonts w:cs="Segoe UI"/>
          <w:color w:val="auto"/>
          <w:sz w:val="20"/>
          <w:szCs w:val="20"/>
        </w:rPr>
      </w:pPr>
      <w:r w:rsidRPr="009979BF">
        <w:rPr>
          <w:rFonts w:cs="Segoe UI"/>
          <w:color w:val="auto"/>
          <w:sz w:val="20"/>
          <w:szCs w:val="20"/>
        </w:rPr>
        <w:t>Men who reported urethral symptoms but had no abnormalities on urethral sample testing and negative CT and NG results (categorised as NAD) had a variety of non-STI causes for their symptoms diagnosed</w:t>
      </w:r>
      <w:r w:rsidR="00940509" w:rsidRPr="009979BF">
        <w:rPr>
          <w:rFonts w:cs="Segoe UI"/>
          <w:color w:val="auto"/>
          <w:sz w:val="20"/>
          <w:szCs w:val="20"/>
        </w:rPr>
        <w:t>,</w:t>
      </w:r>
      <w:r w:rsidRPr="009979BF">
        <w:rPr>
          <w:rFonts w:cs="Segoe UI"/>
          <w:color w:val="auto"/>
          <w:sz w:val="20"/>
          <w:szCs w:val="20"/>
        </w:rPr>
        <w:t xml:space="preserve"> including irritant or </w:t>
      </w:r>
      <w:r w:rsidR="007F5405" w:rsidRPr="009979BF">
        <w:rPr>
          <w:rFonts w:cs="Segoe UI"/>
          <w:i/>
          <w:color w:val="auto"/>
          <w:sz w:val="20"/>
          <w:szCs w:val="20"/>
        </w:rPr>
        <w:t>Candida</w:t>
      </w:r>
      <w:r w:rsidRPr="009979BF">
        <w:rPr>
          <w:rFonts w:cs="Segoe UI"/>
          <w:i/>
          <w:color w:val="auto"/>
          <w:sz w:val="20"/>
          <w:szCs w:val="20"/>
        </w:rPr>
        <w:t xml:space="preserve"> </w:t>
      </w:r>
      <w:r w:rsidRPr="009979BF">
        <w:rPr>
          <w:rFonts w:cs="Segoe UI"/>
          <w:color w:val="auto"/>
          <w:sz w:val="20"/>
          <w:szCs w:val="20"/>
        </w:rPr>
        <w:t>balanitis, lower urinary tract symptoms</w:t>
      </w:r>
      <w:r w:rsidR="00940509" w:rsidRPr="009979BF">
        <w:rPr>
          <w:rFonts w:cs="Segoe UI"/>
          <w:color w:val="auto"/>
          <w:sz w:val="20"/>
          <w:szCs w:val="20"/>
        </w:rPr>
        <w:t xml:space="preserve"> which were</w:t>
      </w:r>
      <w:r w:rsidRPr="009979BF">
        <w:rPr>
          <w:rFonts w:cs="Segoe UI"/>
          <w:color w:val="auto"/>
          <w:sz w:val="20"/>
          <w:szCs w:val="20"/>
        </w:rPr>
        <w:t xml:space="preserve"> likely prostatic in origin, </w:t>
      </w:r>
      <w:r w:rsidR="00940509" w:rsidRPr="009979BF">
        <w:rPr>
          <w:rFonts w:cs="Segoe UI"/>
          <w:color w:val="auto"/>
          <w:sz w:val="20"/>
          <w:szCs w:val="20"/>
        </w:rPr>
        <w:t xml:space="preserve">non-infectious genital </w:t>
      </w:r>
      <w:r w:rsidRPr="009979BF">
        <w:rPr>
          <w:rFonts w:cs="Segoe UI"/>
          <w:color w:val="auto"/>
          <w:sz w:val="20"/>
          <w:szCs w:val="20"/>
        </w:rPr>
        <w:t>pain syndromes, and symptoms secondary</w:t>
      </w:r>
      <w:r w:rsidR="00940509" w:rsidRPr="009979BF">
        <w:rPr>
          <w:rFonts w:cs="Segoe UI"/>
          <w:color w:val="auto"/>
          <w:sz w:val="20"/>
          <w:szCs w:val="20"/>
        </w:rPr>
        <w:t xml:space="preserve"> to </w:t>
      </w:r>
      <w:r w:rsidRPr="009979BF">
        <w:rPr>
          <w:rFonts w:cs="Segoe UI"/>
          <w:color w:val="auto"/>
          <w:sz w:val="20"/>
          <w:szCs w:val="20"/>
        </w:rPr>
        <w:t xml:space="preserve">urethral trauma. </w:t>
      </w:r>
    </w:p>
    <w:p w14:paraId="11F5BDEA" w14:textId="77777777" w:rsidR="004D7F1C" w:rsidRPr="009979BF" w:rsidRDefault="004D7F1C">
      <w:pPr>
        <w:spacing w:line="360" w:lineRule="auto"/>
        <w:jc w:val="both"/>
        <w:rPr>
          <w:color w:val="auto"/>
          <w:sz w:val="20"/>
          <w:szCs w:val="20"/>
        </w:rPr>
      </w:pPr>
    </w:p>
    <w:p w14:paraId="1B837D72" w14:textId="77777777" w:rsidR="00540C49" w:rsidRPr="009979BF" w:rsidRDefault="004D7F1C">
      <w:pPr>
        <w:spacing w:line="360" w:lineRule="auto"/>
        <w:jc w:val="both"/>
        <w:rPr>
          <w:color w:val="auto"/>
          <w:sz w:val="20"/>
          <w:szCs w:val="20"/>
        </w:rPr>
      </w:pPr>
      <w:r w:rsidRPr="009979BF">
        <w:rPr>
          <w:color w:val="auto"/>
          <w:sz w:val="20"/>
          <w:szCs w:val="20"/>
        </w:rPr>
        <w:t xml:space="preserve">Participants’ sociodemographic factors at baseline are presented in Table 1. </w:t>
      </w:r>
      <w:r w:rsidR="00BE59AC" w:rsidRPr="009979BF">
        <w:rPr>
          <w:color w:val="auto"/>
          <w:sz w:val="20"/>
          <w:szCs w:val="20"/>
        </w:rPr>
        <w:t>Most</w:t>
      </w:r>
      <w:r w:rsidR="00B53677" w:rsidRPr="009979BF">
        <w:rPr>
          <w:color w:val="auto"/>
          <w:sz w:val="20"/>
          <w:szCs w:val="20"/>
        </w:rPr>
        <w:t xml:space="preserve"> </w:t>
      </w:r>
      <w:r w:rsidR="002E5692" w:rsidRPr="009979BF">
        <w:rPr>
          <w:color w:val="auto"/>
          <w:sz w:val="20"/>
          <w:szCs w:val="20"/>
        </w:rPr>
        <w:t>were between 25-35 years old</w:t>
      </w:r>
      <w:r w:rsidR="00B53677" w:rsidRPr="009979BF">
        <w:rPr>
          <w:color w:val="auto"/>
          <w:sz w:val="20"/>
          <w:szCs w:val="20"/>
        </w:rPr>
        <w:t xml:space="preserve"> (60.9%)</w:t>
      </w:r>
      <w:r w:rsidR="00940509" w:rsidRPr="009979BF">
        <w:rPr>
          <w:color w:val="auto"/>
          <w:sz w:val="20"/>
          <w:szCs w:val="20"/>
        </w:rPr>
        <w:t>,</w:t>
      </w:r>
      <w:r w:rsidR="002E5692" w:rsidRPr="009979BF">
        <w:rPr>
          <w:color w:val="auto"/>
          <w:sz w:val="20"/>
          <w:szCs w:val="20"/>
        </w:rPr>
        <w:t xml:space="preserve"> </w:t>
      </w:r>
      <w:r w:rsidR="00B53677" w:rsidRPr="009979BF">
        <w:rPr>
          <w:color w:val="auto"/>
          <w:sz w:val="20"/>
          <w:szCs w:val="20"/>
        </w:rPr>
        <w:t xml:space="preserve">and </w:t>
      </w:r>
      <w:r w:rsidRPr="009979BF">
        <w:rPr>
          <w:color w:val="auto"/>
          <w:sz w:val="20"/>
          <w:szCs w:val="20"/>
        </w:rPr>
        <w:t xml:space="preserve">over half reported their ethnicity as non-White (52.2%). 80.4% </w:t>
      </w:r>
      <w:r w:rsidR="00B53677" w:rsidRPr="009979BF">
        <w:rPr>
          <w:color w:val="auto"/>
          <w:sz w:val="20"/>
          <w:szCs w:val="20"/>
        </w:rPr>
        <w:t>indicated they were not in a relationship</w:t>
      </w:r>
      <w:r w:rsidRPr="009979BF">
        <w:rPr>
          <w:color w:val="auto"/>
          <w:sz w:val="20"/>
          <w:szCs w:val="20"/>
        </w:rPr>
        <w:t xml:space="preserve"> and many had previously been diagnosed with STIs </w:t>
      </w:r>
      <w:r w:rsidR="002E5692" w:rsidRPr="009979BF">
        <w:rPr>
          <w:color w:val="auto"/>
          <w:sz w:val="20"/>
          <w:szCs w:val="20"/>
        </w:rPr>
        <w:t>(</w:t>
      </w:r>
      <w:r w:rsidR="00CD7C47" w:rsidRPr="009979BF">
        <w:rPr>
          <w:color w:val="auto"/>
          <w:sz w:val="20"/>
          <w:szCs w:val="20"/>
        </w:rPr>
        <w:t>30.4% N</w:t>
      </w:r>
      <w:r w:rsidR="00307CAB" w:rsidRPr="009979BF">
        <w:rPr>
          <w:color w:val="auto"/>
          <w:sz w:val="20"/>
          <w:szCs w:val="20"/>
        </w:rPr>
        <w:t>GU</w:t>
      </w:r>
      <w:r w:rsidR="00CD7C47" w:rsidRPr="009979BF">
        <w:rPr>
          <w:color w:val="auto"/>
          <w:sz w:val="20"/>
          <w:szCs w:val="20"/>
        </w:rPr>
        <w:t xml:space="preserve">, </w:t>
      </w:r>
      <w:r w:rsidR="002E5692" w:rsidRPr="009979BF">
        <w:rPr>
          <w:color w:val="auto"/>
          <w:sz w:val="20"/>
          <w:szCs w:val="20"/>
        </w:rPr>
        <w:t xml:space="preserve">28.3% CT, </w:t>
      </w:r>
      <w:r w:rsidR="00CD7C47" w:rsidRPr="009979BF">
        <w:rPr>
          <w:color w:val="auto"/>
          <w:sz w:val="20"/>
          <w:szCs w:val="20"/>
        </w:rPr>
        <w:t>13.0% genital herpes or warts and</w:t>
      </w:r>
      <w:r w:rsidR="00CD7C47" w:rsidRPr="009979BF" w:rsidDel="00CD7C47">
        <w:rPr>
          <w:color w:val="auto"/>
          <w:sz w:val="20"/>
          <w:szCs w:val="20"/>
        </w:rPr>
        <w:t xml:space="preserve"> </w:t>
      </w:r>
      <w:r w:rsidR="002E5692" w:rsidRPr="009979BF">
        <w:rPr>
          <w:color w:val="auto"/>
          <w:sz w:val="20"/>
          <w:szCs w:val="20"/>
        </w:rPr>
        <w:t xml:space="preserve">8.7% NG). </w:t>
      </w:r>
    </w:p>
    <w:p w14:paraId="1E70442D" w14:textId="77777777" w:rsidR="00540C49" w:rsidRPr="009979BF" w:rsidRDefault="00540C49">
      <w:pPr>
        <w:spacing w:line="360" w:lineRule="auto"/>
        <w:jc w:val="both"/>
        <w:rPr>
          <w:color w:val="auto"/>
          <w:sz w:val="20"/>
          <w:szCs w:val="20"/>
        </w:rPr>
      </w:pPr>
    </w:p>
    <w:p w14:paraId="53F429F2" w14:textId="77777777" w:rsidR="00335958" w:rsidRPr="009979BF" w:rsidRDefault="00B86945">
      <w:pPr>
        <w:spacing w:line="360" w:lineRule="auto"/>
        <w:jc w:val="both"/>
        <w:rPr>
          <w:b/>
          <w:color w:val="auto"/>
          <w:sz w:val="20"/>
          <w:szCs w:val="20"/>
        </w:rPr>
      </w:pPr>
      <w:r w:rsidRPr="009979BF">
        <w:rPr>
          <w:color w:val="auto"/>
          <w:sz w:val="20"/>
          <w:szCs w:val="20"/>
        </w:rPr>
        <w:t>Pearson’s Chi</w:t>
      </w:r>
      <w:r w:rsidRPr="009979BF">
        <w:rPr>
          <w:color w:val="auto"/>
          <w:sz w:val="20"/>
          <w:szCs w:val="20"/>
          <w:vertAlign w:val="superscript"/>
        </w:rPr>
        <w:t>2</w:t>
      </w:r>
      <w:r w:rsidRPr="009979BF">
        <w:rPr>
          <w:color w:val="auto"/>
          <w:sz w:val="20"/>
          <w:szCs w:val="20"/>
        </w:rPr>
        <w:t xml:space="preserve"> tests and Kruskal-Wallis test results for non-response bias were not statistically significant so we assumed data were missing at random. </w:t>
      </w:r>
      <w:r w:rsidR="00B53677" w:rsidRPr="009979BF">
        <w:rPr>
          <w:color w:val="auto"/>
          <w:sz w:val="20"/>
          <w:szCs w:val="20"/>
        </w:rPr>
        <w:t>We compared participants who completed FU-1 to those LTFU by</w:t>
      </w:r>
      <w:r w:rsidR="00540C49" w:rsidRPr="009979BF">
        <w:rPr>
          <w:color w:val="auto"/>
          <w:sz w:val="20"/>
          <w:szCs w:val="20"/>
        </w:rPr>
        <w:t xml:space="preserve"> employment, age, education, e</w:t>
      </w:r>
      <w:r w:rsidR="00B53677" w:rsidRPr="009979BF">
        <w:rPr>
          <w:color w:val="auto"/>
          <w:sz w:val="20"/>
          <w:szCs w:val="20"/>
        </w:rPr>
        <w:t xml:space="preserve">thnicity, and current relationship status; none of these </w:t>
      </w:r>
      <w:r w:rsidR="0015651A" w:rsidRPr="009979BF">
        <w:rPr>
          <w:color w:val="auto"/>
          <w:sz w:val="20"/>
          <w:szCs w:val="20"/>
        </w:rPr>
        <w:t xml:space="preserve">comparisons </w:t>
      </w:r>
      <w:r w:rsidR="00B53677" w:rsidRPr="009979BF">
        <w:rPr>
          <w:color w:val="auto"/>
          <w:sz w:val="20"/>
          <w:szCs w:val="20"/>
        </w:rPr>
        <w:t xml:space="preserve">showed </w:t>
      </w:r>
      <w:r w:rsidR="0096625D" w:rsidRPr="009979BF">
        <w:rPr>
          <w:color w:val="auto"/>
          <w:sz w:val="20"/>
          <w:szCs w:val="20"/>
        </w:rPr>
        <w:t>significant differences</w:t>
      </w:r>
      <w:r w:rsidR="00B53677" w:rsidRPr="009979BF">
        <w:rPr>
          <w:color w:val="auto"/>
          <w:sz w:val="20"/>
          <w:szCs w:val="20"/>
        </w:rPr>
        <w:t>.</w:t>
      </w:r>
    </w:p>
    <w:p w14:paraId="58F9FA36" w14:textId="77777777" w:rsidR="00975228" w:rsidRPr="009979BF" w:rsidRDefault="00975228">
      <w:pPr>
        <w:spacing w:after="120" w:line="360" w:lineRule="auto"/>
        <w:rPr>
          <w:b/>
          <w:color w:val="auto"/>
          <w:sz w:val="20"/>
          <w:szCs w:val="20"/>
        </w:rPr>
      </w:pPr>
    </w:p>
    <w:p w14:paraId="0900C688" w14:textId="77777777" w:rsidR="00975228" w:rsidRPr="009979BF" w:rsidRDefault="00505025" w:rsidP="004662F3">
      <w:pPr>
        <w:spacing w:after="120" w:line="360" w:lineRule="auto"/>
        <w:rPr>
          <w:b/>
          <w:color w:val="auto"/>
          <w:sz w:val="20"/>
          <w:szCs w:val="20"/>
        </w:rPr>
      </w:pPr>
      <w:r w:rsidRPr="009979BF">
        <w:rPr>
          <w:b/>
          <w:color w:val="auto"/>
          <w:sz w:val="20"/>
          <w:szCs w:val="20"/>
        </w:rPr>
        <w:t>Process evaluation</w:t>
      </w:r>
    </w:p>
    <w:p w14:paraId="7DCD0BDF" w14:textId="77777777" w:rsidR="004662F3" w:rsidRPr="009979BF" w:rsidRDefault="00893942" w:rsidP="004662F3">
      <w:pPr>
        <w:spacing w:after="120" w:line="360" w:lineRule="auto"/>
        <w:rPr>
          <w:rFonts w:cs="Segoe UI"/>
          <w:color w:val="auto"/>
          <w:sz w:val="20"/>
          <w:szCs w:val="20"/>
        </w:rPr>
      </w:pPr>
      <w:r w:rsidRPr="009979BF">
        <w:rPr>
          <w:color w:val="auto"/>
          <w:sz w:val="20"/>
          <w:szCs w:val="20"/>
        </w:rPr>
        <w:t xml:space="preserve">All patients who completed the baseline CASI did so </w:t>
      </w:r>
      <w:r w:rsidRPr="009979BF">
        <w:rPr>
          <w:rFonts w:cs="Segoe UI"/>
          <w:color w:val="auto"/>
          <w:sz w:val="20"/>
          <w:szCs w:val="20"/>
        </w:rPr>
        <w:t xml:space="preserve">using the Study tablet device in a private room in the clinic. </w:t>
      </w:r>
      <w:r w:rsidR="005E3321" w:rsidRPr="009979BF">
        <w:rPr>
          <w:color w:val="auto"/>
          <w:sz w:val="20"/>
          <w:szCs w:val="20"/>
        </w:rPr>
        <w:t xml:space="preserve">Participants completed the baseline CASI in about 5 minutes. </w:t>
      </w:r>
      <w:r w:rsidRPr="009979BF">
        <w:rPr>
          <w:rFonts w:cs="Segoe UI"/>
          <w:color w:val="auto"/>
          <w:sz w:val="20"/>
          <w:szCs w:val="20"/>
        </w:rPr>
        <w:t>All participants completed the follow-up CASI at home on a participant</w:t>
      </w:r>
      <w:r w:rsidR="00AD33AA" w:rsidRPr="009979BF">
        <w:rPr>
          <w:rFonts w:cs="Segoe UI"/>
          <w:color w:val="auto"/>
          <w:sz w:val="20"/>
          <w:szCs w:val="20"/>
        </w:rPr>
        <w:t>-</w:t>
      </w:r>
      <w:r w:rsidRPr="009979BF">
        <w:rPr>
          <w:rFonts w:cs="Segoe UI"/>
          <w:color w:val="auto"/>
          <w:sz w:val="20"/>
          <w:szCs w:val="20"/>
        </w:rPr>
        <w:t xml:space="preserve">owned device. </w:t>
      </w:r>
    </w:p>
    <w:p w14:paraId="3E4D5A41" w14:textId="77777777" w:rsidR="00F1435B" w:rsidRPr="009979BF" w:rsidRDefault="00F1435B" w:rsidP="004662F3">
      <w:pPr>
        <w:spacing w:after="120" w:line="360" w:lineRule="auto"/>
        <w:rPr>
          <w:color w:val="auto"/>
          <w:sz w:val="20"/>
          <w:szCs w:val="20"/>
        </w:rPr>
      </w:pPr>
    </w:p>
    <w:p w14:paraId="388C4D59" w14:textId="77777777" w:rsidR="00F1435B" w:rsidRPr="009979BF" w:rsidRDefault="00505025" w:rsidP="004662F3">
      <w:pPr>
        <w:spacing w:after="120" w:line="360" w:lineRule="auto"/>
        <w:rPr>
          <w:color w:val="auto"/>
          <w:sz w:val="20"/>
          <w:szCs w:val="20"/>
        </w:rPr>
      </w:pPr>
      <w:r w:rsidRPr="009979BF">
        <w:rPr>
          <w:color w:val="auto"/>
          <w:sz w:val="20"/>
          <w:szCs w:val="20"/>
        </w:rPr>
        <w:t>CASI feedba</w:t>
      </w:r>
      <w:r w:rsidR="009E4B2E" w:rsidRPr="009979BF">
        <w:rPr>
          <w:color w:val="auto"/>
          <w:sz w:val="20"/>
          <w:szCs w:val="20"/>
        </w:rPr>
        <w:t>ck suggested good acceptability:</w:t>
      </w:r>
      <w:r w:rsidRPr="009979BF">
        <w:rPr>
          <w:color w:val="auto"/>
          <w:sz w:val="20"/>
          <w:szCs w:val="20"/>
        </w:rPr>
        <w:t xml:space="preserve"> of the total </w:t>
      </w:r>
      <w:r w:rsidR="009E4B2E" w:rsidRPr="009979BF">
        <w:rPr>
          <w:color w:val="auto"/>
          <w:sz w:val="20"/>
          <w:szCs w:val="20"/>
        </w:rPr>
        <w:t xml:space="preserve">60 </w:t>
      </w:r>
      <w:r w:rsidR="00164748" w:rsidRPr="009979BF">
        <w:rPr>
          <w:color w:val="auto"/>
          <w:sz w:val="20"/>
          <w:szCs w:val="20"/>
        </w:rPr>
        <w:t>who completed</w:t>
      </w:r>
      <w:r w:rsidR="00094B77" w:rsidRPr="009979BF">
        <w:rPr>
          <w:color w:val="auto"/>
          <w:sz w:val="20"/>
          <w:szCs w:val="20"/>
        </w:rPr>
        <w:t xml:space="preserve"> the Baseline CASI, 81.7%</w:t>
      </w:r>
      <w:r w:rsidRPr="009979BF">
        <w:rPr>
          <w:color w:val="auto"/>
          <w:sz w:val="20"/>
          <w:szCs w:val="20"/>
        </w:rPr>
        <w:t xml:space="preserve"> </w:t>
      </w:r>
      <w:r w:rsidR="00094B77" w:rsidRPr="009979BF">
        <w:rPr>
          <w:color w:val="auto"/>
          <w:sz w:val="20"/>
          <w:szCs w:val="20"/>
        </w:rPr>
        <w:t xml:space="preserve">left feedback, of </w:t>
      </w:r>
      <w:r w:rsidR="00551822" w:rsidRPr="009979BF">
        <w:rPr>
          <w:color w:val="auto"/>
          <w:sz w:val="20"/>
          <w:szCs w:val="20"/>
        </w:rPr>
        <w:t xml:space="preserve">whom </w:t>
      </w:r>
      <w:r w:rsidR="00094B77" w:rsidRPr="009979BF">
        <w:rPr>
          <w:color w:val="auto"/>
          <w:sz w:val="20"/>
          <w:szCs w:val="20"/>
        </w:rPr>
        <w:t>73.5%</w:t>
      </w:r>
      <w:r w:rsidRPr="009979BF">
        <w:rPr>
          <w:color w:val="auto"/>
          <w:sz w:val="20"/>
          <w:szCs w:val="20"/>
        </w:rPr>
        <w:t xml:space="preserve"> reported that the questionnaire was “fine” or “very good” in a free-text box at the end of the questionnaire. </w:t>
      </w:r>
    </w:p>
    <w:p w14:paraId="79803216" w14:textId="77777777" w:rsidR="00F1435B" w:rsidRPr="009979BF" w:rsidRDefault="00F1435B" w:rsidP="004662F3">
      <w:pPr>
        <w:spacing w:after="120" w:line="360" w:lineRule="auto"/>
        <w:rPr>
          <w:color w:val="auto"/>
          <w:sz w:val="20"/>
          <w:szCs w:val="20"/>
        </w:rPr>
      </w:pPr>
    </w:p>
    <w:p w14:paraId="460E5F44" w14:textId="77777777" w:rsidR="009F5A3E" w:rsidRPr="009979BF" w:rsidRDefault="00505025" w:rsidP="004662F3">
      <w:pPr>
        <w:spacing w:line="360" w:lineRule="auto"/>
        <w:jc w:val="both"/>
        <w:rPr>
          <w:color w:val="auto"/>
          <w:sz w:val="20"/>
          <w:szCs w:val="20"/>
        </w:rPr>
      </w:pPr>
      <w:r w:rsidRPr="009979BF">
        <w:rPr>
          <w:color w:val="auto"/>
          <w:sz w:val="20"/>
          <w:szCs w:val="20"/>
        </w:rPr>
        <w:t>Participant</w:t>
      </w:r>
      <w:r w:rsidR="005F261A" w:rsidRPr="009979BF">
        <w:rPr>
          <w:color w:val="auto"/>
          <w:sz w:val="20"/>
          <w:szCs w:val="20"/>
        </w:rPr>
        <w:t>s</w:t>
      </w:r>
      <w:r w:rsidRPr="009979BF">
        <w:rPr>
          <w:color w:val="auto"/>
          <w:sz w:val="20"/>
          <w:szCs w:val="20"/>
        </w:rPr>
        <w:t xml:space="preserve"> </w:t>
      </w:r>
      <w:r w:rsidR="005F261A" w:rsidRPr="009979BF">
        <w:rPr>
          <w:color w:val="auto"/>
          <w:sz w:val="20"/>
          <w:szCs w:val="20"/>
        </w:rPr>
        <w:t>suggested</w:t>
      </w:r>
      <w:r w:rsidR="00495B40" w:rsidRPr="009979BF">
        <w:rPr>
          <w:color w:val="auto"/>
          <w:sz w:val="20"/>
          <w:szCs w:val="20"/>
        </w:rPr>
        <w:t xml:space="preserve"> </w:t>
      </w:r>
      <w:r w:rsidR="005F261A" w:rsidRPr="009979BF">
        <w:rPr>
          <w:color w:val="auto"/>
          <w:sz w:val="20"/>
          <w:szCs w:val="20"/>
        </w:rPr>
        <w:t xml:space="preserve">improvements to the study </w:t>
      </w:r>
      <w:r w:rsidR="00361CFB" w:rsidRPr="009979BF">
        <w:rPr>
          <w:color w:val="auto"/>
          <w:sz w:val="20"/>
          <w:szCs w:val="20"/>
        </w:rPr>
        <w:t xml:space="preserve">during </w:t>
      </w:r>
      <w:r w:rsidR="005F261A" w:rsidRPr="009979BF">
        <w:rPr>
          <w:color w:val="auto"/>
          <w:sz w:val="20"/>
          <w:szCs w:val="20"/>
        </w:rPr>
        <w:t>qualitative interviews:</w:t>
      </w:r>
      <w:r w:rsidR="0068412D" w:rsidRPr="009979BF">
        <w:rPr>
          <w:color w:val="auto"/>
          <w:sz w:val="20"/>
          <w:szCs w:val="20"/>
        </w:rPr>
        <w:t xml:space="preserve"> </w:t>
      </w:r>
      <w:r w:rsidR="00361CFB" w:rsidRPr="009979BF">
        <w:rPr>
          <w:color w:val="auto"/>
          <w:sz w:val="20"/>
          <w:szCs w:val="20"/>
        </w:rPr>
        <w:t xml:space="preserve">to </w:t>
      </w:r>
      <w:r w:rsidR="0068412D" w:rsidRPr="009979BF">
        <w:rPr>
          <w:color w:val="auto"/>
          <w:sz w:val="20"/>
          <w:szCs w:val="20"/>
        </w:rPr>
        <w:t>use</w:t>
      </w:r>
      <w:r w:rsidR="002C0A01" w:rsidRPr="009979BF">
        <w:rPr>
          <w:color w:val="auto"/>
          <w:sz w:val="20"/>
          <w:szCs w:val="20"/>
        </w:rPr>
        <w:t xml:space="preserve"> </w:t>
      </w:r>
      <w:r w:rsidR="00361CFB" w:rsidRPr="009979BF">
        <w:rPr>
          <w:color w:val="auto"/>
          <w:sz w:val="20"/>
          <w:szCs w:val="20"/>
        </w:rPr>
        <w:t xml:space="preserve">the </w:t>
      </w:r>
      <w:r w:rsidR="006F0959" w:rsidRPr="009979BF">
        <w:rPr>
          <w:color w:val="auto"/>
          <w:sz w:val="20"/>
          <w:szCs w:val="20"/>
        </w:rPr>
        <w:t>research</w:t>
      </w:r>
      <w:r w:rsidR="00495B40" w:rsidRPr="009979BF">
        <w:rPr>
          <w:color w:val="auto"/>
          <w:sz w:val="20"/>
          <w:szCs w:val="20"/>
        </w:rPr>
        <w:t xml:space="preserve"> as a tool for health promotion</w:t>
      </w:r>
      <w:r w:rsidR="00CD7C47" w:rsidRPr="009979BF">
        <w:rPr>
          <w:color w:val="auto"/>
          <w:sz w:val="20"/>
          <w:szCs w:val="20"/>
        </w:rPr>
        <w:t xml:space="preserve"> and</w:t>
      </w:r>
      <w:r w:rsidR="00361CFB" w:rsidRPr="009979BF">
        <w:rPr>
          <w:color w:val="auto"/>
          <w:sz w:val="20"/>
          <w:szCs w:val="20"/>
        </w:rPr>
        <w:t xml:space="preserve"> to </w:t>
      </w:r>
      <w:r w:rsidR="00AA3086" w:rsidRPr="009979BF">
        <w:rPr>
          <w:color w:val="auto"/>
          <w:sz w:val="20"/>
          <w:szCs w:val="20"/>
        </w:rPr>
        <w:t xml:space="preserve">make </w:t>
      </w:r>
      <w:r w:rsidR="002C0A01" w:rsidRPr="009979BF">
        <w:rPr>
          <w:color w:val="auto"/>
          <w:sz w:val="20"/>
          <w:szCs w:val="20"/>
        </w:rPr>
        <w:t xml:space="preserve">CASI </w:t>
      </w:r>
      <w:r w:rsidRPr="009979BF">
        <w:rPr>
          <w:color w:val="auto"/>
          <w:sz w:val="20"/>
          <w:szCs w:val="20"/>
        </w:rPr>
        <w:t xml:space="preserve">questions more </w:t>
      </w:r>
      <w:r w:rsidR="00361CFB" w:rsidRPr="009979BF">
        <w:rPr>
          <w:color w:val="auto"/>
          <w:sz w:val="20"/>
          <w:szCs w:val="20"/>
        </w:rPr>
        <w:t xml:space="preserve">clearly </w:t>
      </w:r>
      <w:r w:rsidRPr="009979BF">
        <w:rPr>
          <w:color w:val="auto"/>
          <w:sz w:val="20"/>
          <w:szCs w:val="20"/>
        </w:rPr>
        <w:t xml:space="preserve">relevant to sexual health. </w:t>
      </w:r>
      <w:r w:rsidR="009F5A3E" w:rsidRPr="009979BF">
        <w:rPr>
          <w:color w:val="auto"/>
          <w:sz w:val="20"/>
          <w:szCs w:val="20"/>
        </w:rPr>
        <w:t>Insight into LTFU was provided by one partic</w:t>
      </w:r>
      <w:r w:rsidR="00EB1D35" w:rsidRPr="009979BF">
        <w:rPr>
          <w:color w:val="auto"/>
          <w:sz w:val="20"/>
          <w:szCs w:val="20"/>
        </w:rPr>
        <w:t xml:space="preserve">ipant, who </w:t>
      </w:r>
      <w:r w:rsidR="00AA3086" w:rsidRPr="009979BF">
        <w:rPr>
          <w:color w:val="auto"/>
          <w:sz w:val="20"/>
          <w:szCs w:val="20"/>
        </w:rPr>
        <w:t>said</w:t>
      </w:r>
      <w:r w:rsidR="00EB1D35" w:rsidRPr="009979BF">
        <w:rPr>
          <w:color w:val="auto"/>
          <w:sz w:val="20"/>
          <w:szCs w:val="20"/>
        </w:rPr>
        <w:t xml:space="preserve"> he might</w:t>
      </w:r>
      <w:r w:rsidR="009F5A3E" w:rsidRPr="009979BF">
        <w:rPr>
          <w:color w:val="auto"/>
          <w:sz w:val="20"/>
          <w:szCs w:val="20"/>
        </w:rPr>
        <w:t xml:space="preserve"> not have continued with the study if he had received a positive STI diagnosis: </w:t>
      </w:r>
      <w:r w:rsidR="00094B77" w:rsidRPr="009979BF">
        <w:rPr>
          <w:color w:val="auto"/>
          <w:sz w:val="20"/>
          <w:szCs w:val="20"/>
        </w:rPr>
        <w:t>“</w:t>
      </w:r>
      <w:r w:rsidR="009F5A3E" w:rsidRPr="009979BF">
        <w:rPr>
          <w:i/>
          <w:color w:val="auto"/>
          <w:sz w:val="20"/>
          <w:szCs w:val="20"/>
        </w:rPr>
        <w:t xml:space="preserve">I reckon if my tests had not come back the way I wanted them to, I probably wouldn’t have done this last </w:t>
      </w:r>
      <w:r w:rsidR="006F0959" w:rsidRPr="009979BF">
        <w:rPr>
          <w:i/>
          <w:color w:val="auto"/>
          <w:sz w:val="20"/>
          <w:szCs w:val="20"/>
        </w:rPr>
        <w:t>[follow-up]</w:t>
      </w:r>
      <w:r w:rsidR="009F5A3E" w:rsidRPr="009979BF">
        <w:rPr>
          <w:i/>
          <w:color w:val="auto"/>
          <w:sz w:val="20"/>
          <w:szCs w:val="20"/>
        </w:rPr>
        <w:t xml:space="preserve">. … I might’ve still said, </w:t>
      </w:r>
      <w:r w:rsidR="00EB1D35" w:rsidRPr="009979BF">
        <w:rPr>
          <w:i/>
          <w:color w:val="auto"/>
          <w:sz w:val="20"/>
          <w:szCs w:val="20"/>
        </w:rPr>
        <w:t>‘</w:t>
      </w:r>
      <w:r w:rsidR="009F5A3E" w:rsidRPr="009979BF">
        <w:rPr>
          <w:i/>
          <w:color w:val="auto"/>
          <w:sz w:val="20"/>
          <w:szCs w:val="20"/>
        </w:rPr>
        <w:t>Yes, let’s do it.</w:t>
      </w:r>
      <w:r w:rsidR="00EB1D35" w:rsidRPr="009979BF">
        <w:rPr>
          <w:i/>
          <w:color w:val="auto"/>
          <w:sz w:val="20"/>
          <w:szCs w:val="20"/>
        </w:rPr>
        <w:t>’</w:t>
      </w:r>
      <w:r w:rsidR="009F5A3E" w:rsidRPr="009979BF">
        <w:rPr>
          <w:i/>
          <w:color w:val="auto"/>
          <w:sz w:val="20"/>
          <w:szCs w:val="20"/>
        </w:rPr>
        <w:t xml:space="preserve">  I don’t know </w:t>
      </w:r>
      <w:r w:rsidR="006F0959" w:rsidRPr="009979BF">
        <w:rPr>
          <w:i/>
          <w:color w:val="auto"/>
          <w:sz w:val="20"/>
          <w:szCs w:val="20"/>
        </w:rPr>
        <w:t>but I…</w:t>
      </w:r>
      <w:r w:rsidR="009F5A3E" w:rsidRPr="009979BF">
        <w:rPr>
          <w:i/>
          <w:color w:val="auto"/>
          <w:sz w:val="20"/>
          <w:szCs w:val="20"/>
        </w:rPr>
        <w:t xml:space="preserve"> Just sitting here, thinking about it now, I probably wouldn’t complet</w:t>
      </w:r>
      <w:r w:rsidR="00094B77" w:rsidRPr="009979BF">
        <w:rPr>
          <w:i/>
          <w:color w:val="auto"/>
          <w:sz w:val="20"/>
          <w:szCs w:val="20"/>
        </w:rPr>
        <w:t>e the rest of it.”</w:t>
      </w:r>
      <w:r w:rsidR="00EB1D35" w:rsidRPr="009979BF">
        <w:rPr>
          <w:i/>
          <w:color w:val="auto"/>
          <w:sz w:val="20"/>
          <w:szCs w:val="20"/>
        </w:rPr>
        <w:t xml:space="preserve"> </w:t>
      </w:r>
      <w:r w:rsidR="00EB1D35" w:rsidRPr="009979BF">
        <w:rPr>
          <w:color w:val="auto"/>
          <w:sz w:val="20"/>
          <w:szCs w:val="20"/>
        </w:rPr>
        <w:t>(Lucas,</w:t>
      </w:r>
      <w:r w:rsidR="005F1D23" w:rsidRPr="009979BF">
        <w:rPr>
          <w:color w:val="auto"/>
          <w:sz w:val="20"/>
          <w:szCs w:val="20"/>
        </w:rPr>
        <w:t xml:space="preserve"> </w:t>
      </w:r>
      <w:r w:rsidR="00EB1D35" w:rsidRPr="009979BF">
        <w:rPr>
          <w:color w:val="auto"/>
          <w:sz w:val="20"/>
          <w:szCs w:val="20"/>
        </w:rPr>
        <w:t>NAD diagnosis).</w:t>
      </w:r>
    </w:p>
    <w:p w14:paraId="3069957C" w14:textId="77777777" w:rsidR="00F3024F" w:rsidRPr="009979BF" w:rsidRDefault="00F3024F" w:rsidP="004662F3">
      <w:pPr>
        <w:spacing w:line="360" w:lineRule="auto"/>
        <w:jc w:val="both"/>
        <w:rPr>
          <w:color w:val="auto"/>
          <w:sz w:val="20"/>
          <w:szCs w:val="20"/>
        </w:rPr>
      </w:pPr>
    </w:p>
    <w:p w14:paraId="5D989175" w14:textId="77777777" w:rsidR="00BE59AC" w:rsidRPr="009979BF" w:rsidRDefault="00BE59AC" w:rsidP="004662F3">
      <w:pPr>
        <w:spacing w:line="360" w:lineRule="auto"/>
        <w:jc w:val="both"/>
        <w:rPr>
          <w:color w:val="auto"/>
          <w:sz w:val="20"/>
          <w:szCs w:val="20"/>
        </w:rPr>
      </w:pPr>
      <w:r w:rsidRPr="009979BF">
        <w:rPr>
          <w:b/>
          <w:color w:val="auto"/>
          <w:sz w:val="20"/>
          <w:szCs w:val="20"/>
        </w:rPr>
        <w:t>CASI analysis</w:t>
      </w:r>
    </w:p>
    <w:p w14:paraId="4111266C" w14:textId="77777777" w:rsidR="00A400E1" w:rsidRPr="009979BF" w:rsidRDefault="00361CFB" w:rsidP="004662F3">
      <w:pPr>
        <w:spacing w:line="360" w:lineRule="auto"/>
        <w:jc w:val="both"/>
        <w:rPr>
          <w:color w:val="auto"/>
          <w:sz w:val="20"/>
          <w:szCs w:val="20"/>
        </w:rPr>
      </w:pPr>
      <w:r w:rsidRPr="009979BF">
        <w:rPr>
          <w:color w:val="auto"/>
          <w:sz w:val="20"/>
          <w:szCs w:val="20"/>
        </w:rPr>
        <w:lastRenderedPageBreak/>
        <w:t>D</w:t>
      </w:r>
      <w:r w:rsidR="00BE59AC" w:rsidRPr="009979BF">
        <w:rPr>
          <w:color w:val="auto"/>
          <w:sz w:val="20"/>
          <w:szCs w:val="20"/>
        </w:rPr>
        <w:t>istribution</w:t>
      </w:r>
      <w:r w:rsidRPr="009979BF">
        <w:rPr>
          <w:color w:val="auto"/>
          <w:sz w:val="20"/>
          <w:szCs w:val="20"/>
        </w:rPr>
        <w:t>s</w:t>
      </w:r>
      <w:r w:rsidR="00BE59AC" w:rsidRPr="009979BF">
        <w:rPr>
          <w:color w:val="auto"/>
          <w:sz w:val="20"/>
          <w:szCs w:val="20"/>
        </w:rPr>
        <w:t xml:space="preserve"> of participants’ psychosocial scores at baseline by final diagnosis are shown in </w:t>
      </w:r>
      <w:r w:rsidR="00E95505" w:rsidRPr="009979BF">
        <w:rPr>
          <w:color w:val="auto"/>
          <w:sz w:val="20"/>
          <w:szCs w:val="20"/>
        </w:rPr>
        <w:t>Table 2</w:t>
      </w:r>
      <w:r w:rsidR="00BE59AC" w:rsidRPr="009979BF">
        <w:rPr>
          <w:color w:val="auto"/>
          <w:sz w:val="20"/>
          <w:szCs w:val="20"/>
        </w:rPr>
        <w:t>.</w:t>
      </w:r>
      <w:r w:rsidR="005731E5" w:rsidRPr="009979BF" w:rsidDel="005731E5">
        <w:rPr>
          <w:color w:val="auto"/>
          <w:sz w:val="20"/>
          <w:szCs w:val="20"/>
        </w:rPr>
        <w:t xml:space="preserve"> </w:t>
      </w:r>
      <w:r w:rsidR="007E311C" w:rsidRPr="009979BF">
        <w:rPr>
          <w:color w:val="auto"/>
          <w:sz w:val="20"/>
          <w:szCs w:val="20"/>
        </w:rPr>
        <w:t xml:space="preserve">At baseline </w:t>
      </w:r>
      <w:r w:rsidR="00AC6217" w:rsidRPr="009979BF">
        <w:rPr>
          <w:color w:val="auto"/>
          <w:sz w:val="20"/>
          <w:szCs w:val="20"/>
        </w:rPr>
        <w:t xml:space="preserve">(Table 2a) </w:t>
      </w:r>
      <w:r w:rsidR="007E311C" w:rsidRPr="009979BF">
        <w:rPr>
          <w:color w:val="auto"/>
          <w:sz w:val="20"/>
          <w:szCs w:val="20"/>
        </w:rPr>
        <w:t>p</w:t>
      </w:r>
      <w:r w:rsidR="00BE59AC" w:rsidRPr="009979BF">
        <w:rPr>
          <w:color w:val="auto"/>
          <w:sz w:val="20"/>
          <w:szCs w:val="20"/>
        </w:rPr>
        <w:t xml:space="preserve">articipants </w:t>
      </w:r>
      <w:r w:rsidR="007E311C" w:rsidRPr="009979BF">
        <w:rPr>
          <w:color w:val="auto"/>
          <w:sz w:val="20"/>
          <w:szCs w:val="20"/>
        </w:rPr>
        <w:t>ultimately diagnosed with</w:t>
      </w:r>
      <w:r w:rsidR="00BE59AC" w:rsidRPr="009979BF">
        <w:rPr>
          <w:color w:val="auto"/>
          <w:sz w:val="20"/>
          <w:szCs w:val="20"/>
        </w:rPr>
        <w:t xml:space="preserve"> NG had </w:t>
      </w:r>
      <w:r w:rsidR="004747FD" w:rsidRPr="009979BF">
        <w:rPr>
          <w:color w:val="auto"/>
          <w:sz w:val="20"/>
          <w:szCs w:val="20"/>
        </w:rPr>
        <w:t xml:space="preserve">significantly </w:t>
      </w:r>
      <w:r w:rsidR="00BE59AC" w:rsidRPr="009979BF">
        <w:rPr>
          <w:color w:val="auto"/>
          <w:sz w:val="20"/>
          <w:szCs w:val="20"/>
        </w:rPr>
        <w:t xml:space="preserve">lower </w:t>
      </w:r>
      <w:r w:rsidR="004747FD" w:rsidRPr="009979BF">
        <w:rPr>
          <w:color w:val="auto"/>
          <w:sz w:val="20"/>
          <w:szCs w:val="20"/>
        </w:rPr>
        <w:t xml:space="preserve">(p≤0.050) </w:t>
      </w:r>
      <w:r w:rsidR="00BE59AC" w:rsidRPr="009979BF">
        <w:rPr>
          <w:color w:val="auto"/>
          <w:sz w:val="20"/>
          <w:szCs w:val="20"/>
        </w:rPr>
        <w:t xml:space="preserve">mean </w:t>
      </w:r>
      <w:r w:rsidR="00E30119" w:rsidRPr="009979BF">
        <w:rPr>
          <w:color w:val="auto"/>
          <w:sz w:val="20"/>
          <w:szCs w:val="20"/>
        </w:rPr>
        <w:t>MSPSS</w:t>
      </w:r>
      <w:r w:rsidR="00E30119" w:rsidRPr="009979BF" w:rsidDel="00E30119">
        <w:rPr>
          <w:color w:val="auto"/>
          <w:sz w:val="20"/>
          <w:szCs w:val="20"/>
        </w:rPr>
        <w:t xml:space="preserve"> </w:t>
      </w:r>
      <w:r w:rsidR="00BE59AC" w:rsidRPr="009979BF">
        <w:rPr>
          <w:color w:val="auto"/>
          <w:sz w:val="20"/>
          <w:szCs w:val="20"/>
        </w:rPr>
        <w:t xml:space="preserve">scores (indicating lower social support), compared to men </w:t>
      </w:r>
      <w:r w:rsidR="00607957" w:rsidRPr="009979BF">
        <w:rPr>
          <w:color w:val="auto"/>
          <w:sz w:val="20"/>
          <w:szCs w:val="20"/>
        </w:rPr>
        <w:t>ultimately diagnosed with</w:t>
      </w:r>
      <w:r w:rsidR="00BE59AC" w:rsidRPr="009979BF">
        <w:rPr>
          <w:color w:val="auto"/>
          <w:sz w:val="20"/>
          <w:szCs w:val="20"/>
        </w:rPr>
        <w:t xml:space="preserve"> NSGI or NAD</w:t>
      </w:r>
      <w:r w:rsidR="00940509" w:rsidRPr="009979BF">
        <w:rPr>
          <w:color w:val="auto"/>
          <w:sz w:val="20"/>
          <w:szCs w:val="20"/>
        </w:rPr>
        <w:t>,</w:t>
      </w:r>
      <w:r w:rsidR="00A400E1" w:rsidRPr="009979BF">
        <w:rPr>
          <w:color w:val="auto"/>
          <w:sz w:val="20"/>
          <w:szCs w:val="20"/>
        </w:rPr>
        <w:t xml:space="preserve"> as well as </w:t>
      </w:r>
      <w:r w:rsidR="004747FD" w:rsidRPr="009979BF">
        <w:rPr>
          <w:color w:val="auto"/>
          <w:sz w:val="20"/>
          <w:szCs w:val="20"/>
        </w:rPr>
        <w:t>lower scores as compared to those diagnosed with CT</w:t>
      </w:r>
      <w:r w:rsidR="00A400E1" w:rsidRPr="009979BF">
        <w:rPr>
          <w:color w:val="auto"/>
          <w:sz w:val="20"/>
          <w:szCs w:val="20"/>
        </w:rPr>
        <w:t xml:space="preserve"> (p=0.059)</w:t>
      </w:r>
      <w:r w:rsidR="004747FD" w:rsidRPr="009979BF">
        <w:rPr>
          <w:color w:val="auto"/>
          <w:sz w:val="20"/>
          <w:szCs w:val="20"/>
        </w:rPr>
        <w:t xml:space="preserve">. Participants with NG also had </w:t>
      </w:r>
      <w:r w:rsidR="00793119" w:rsidRPr="009979BF">
        <w:rPr>
          <w:color w:val="auto"/>
          <w:sz w:val="20"/>
          <w:szCs w:val="20"/>
        </w:rPr>
        <w:t xml:space="preserve">lower mean </w:t>
      </w:r>
      <w:r w:rsidR="00E30119" w:rsidRPr="009979BF">
        <w:rPr>
          <w:color w:val="auto"/>
          <w:sz w:val="20"/>
          <w:szCs w:val="20"/>
        </w:rPr>
        <w:t>RSES</w:t>
      </w:r>
      <w:r w:rsidR="00E30119" w:rsidRPr="009979BF" w:rsidDel="00E30119">
        <w:rPr>
          <w:color w:val="auto"/>
          <w:sz w:val="20"/>
          <w:szCs w:val="20"/>
        </w:rPr>
        <w:t xml:space="preserve"> </w:t>
      </w:r>
      <w:r w:rsidR="00793119" w:rsidRPr="009979BF">
        <w:rPr>
          <w:color w:val="auto"/>
          <w:sz w:val="20"/>
          <w:szCs w:val="20"/>
        </w:rPr>
        <w:t xml:space="preserve">scores (indicating lower self-esteem) </w:t>
      </w:r>
      <w:r w:rsidR="004747FD" w:rsidRPr="009979BF">
        <w:rPr>
          <w:color w:val="auto"/>
          <w:sz w:val="20"/>
          <w:szCs w:val="20"/>
        </w:rPr>
        <w:t xml:space="preserve">at baseline </w:t>
      </w:r>
      <w:r w:rsidR="00793119" w:rsidRPr="009979BF">
        <w:rPr>
          <w:color w:val="auto"/>
          <w:sz w:val="20"/>
          <w:szCs w:val="20"/>
        </w:rPr>
        <w:t>as compared to those with NSGI (p=0.03</w:t>
      </w:r>
      <w:r w:rsidR="00F21EFE" w:rsidRPr="009979BF">
        <w:rPr>
          <w:color w:val="auto"/>
          <w:sz w:val="20"/>
          <w:szCs w:val="20"/>
        </w:rPr>
        <w:t>5</w:t>
      </w:r>
      <w:r w:rsidR="00793119" w:rsidRPr="009979BF">
        <w:rPr>
          <w:color w:val="auto"/>
          <w:sz w:val="20"/>
          <w:szCs w:val="20"/>
        </w:rPr>
        <w:t xml:space="preserve">). </w:t>
      </w:r>
      <w:r w:rsidR="00B907B3" w:rsidRPr="009979BF">
        <w:rPr>
          <w:color w:val="auto"/>
          <w:sz w:val="20"/>
          <w:szCs w:val="20"/>
        </w:rPr>
        <w:t>EQ-5D-5L Index value</w:t>
      </w:r>
      <w:r w:rsidR="008620FA" w:rsidRPr="009979BF">
        <w:rPr>
          <w:color w:val="auto"/>
          <w:sz w:val="20"/>
          <w:szCs w:val="20"/>
        </w:rPr>
        <w:t xml:space="preserve"> at baseline did not vary significantly between diagnosis groups. </w:t>
      </w:r>
    </w:p>
    <w:p w14:paraId="49FBCCCF" w14:textId="77777777" w:rsidR="00A400E1" w:rsidRPr="009979BF" w:rsidRDefault="00A400E1">
      <w:pPr>
        <w:spacing w:line="360" w:lineRule="auto"/>
        <w:jc w:val="both"/>
        <w:rPr>
          <w:color w:val="auto"/>
          <w:sz w:val="20"/>
          <w:szCs w:val="20"/>
        </w:rPr>
      </w:pPr>
    </w:p>
    <w:p w14:paraId="5BECF74A" w14:textId="77777777" w:rsidR="00F21EFE" w:rsidRPr="009979BF" w:rsidRDefault="00C45E5C" w:rsidP="00F21EFE">
      <w:pPr>
        <w:spacing w:line="360" w:lineRule="auto"/>
        <w:jc w:val="both"/>
        <w:rPr>
          <w:color w:val="auto"/>
          <w:sz w:val="20"/>
          <w:szCs w:val="20"/>
        </w:rPr>
      </w:pPr>
      <w:r w:rsidRPr="009979BF">
        <w:rPr>
          <w:color w:val="auto"/>
          <w:sz w:val="20"/>
          <w:szCs w:val="20"/>
        </w:rPr>
        <w:t xml:space="preserve">We found men with NSGI and CT showed a significant increase in mean EQ-5D-5L Index value (indicating better HRQoL) between baseline and FU-1 (+17% (p=0.006) and +219% (p=0.005), respectively) (Table 2b). There was no change in mean EQ-5D-5L Index value for men diagnosed with NAD. </w:t>
      </w:r>
      <w:r w:rsidR="00030160" w:rsidRPr="009979BF">
        <w:rPr>
          <w:sz w:val="20"/>
          <w:szCs w:val="20"/>
        </w:rPr>
        <w:t>In contrast, we found decreases in mean RSES scores from baseline to FU-1 in men with NSGI (-30%, p=0.05).</w:t>
      </w:r>
      <w:r w:rsidR="0058044F" w:rsidRPr="009979BF">
        <w:rPr>
          <w:color w:val="auto"/>
          <w:sz w:val="20"/>
          <w:szCs w:val="20"/>
        </w:rPr>
        <w:tab/>
      </w:r>
    </w:p>
    <w:p w14:paraId="2CD7C6C6" w14:textId="77777777" w:rsidR="00BE59AC" w:rsidRPr="009979BF" w:rsidRDefault="00BE59AC" w:rsidP="00FA2FEA">
      <w:pPr>
        <w:spacing w:line="360" w:lineRule="auto"/>
        <w:jc w:val="both"/>
        <w:rPr>
          <w:color w:val="auto"/>
          <w:sz w:val="20"/>
          <w:szCs w:val="20"/>
        </w:rPr>
      </w:pPr>
    </w:p>
    <w:p w14:paraId="6CF15B31" w14:textId="77777777" w:rsidR="00BE59AC" w:rsidRPr="009979BF" w:rsidRDefault="00BE59AC">
      <w:pPr>
        <w:spacing w:line="360" w:lineRule="auto"/>
        <w:jc w:val="both"/>
        <w:rPr>
          <w:color w:val="auto"/>
          <w:sz w:val="20"/>
          <w:szCs w:val="20"/>
        </w:rPr>
      </w:pPr>
      <w:r w:rsidRPr="009979BF">
        <w:rPr>
          <w:color w:val="auto"/>
          <w:sz w:val="20"/>
          <w:szCs w:val="20"/>
        </w:rPr>
        <w:t xml:space="preserve">Participants who reported that they had been diagnosed with an infection </w:t>
      </w:r>
      <w:r w:rsidR="00607957" w:rsidRPr="009979BF">
        <w:rPr>
          <w:color w:val="auto"/>
          <w:sz w:val="20"/>
          <w:szCs w:val="20"/>
        </w:rPr>
        <w:t xml:space="preserve">(n=5, 4 with a final diagnosis of CT and 1 with NSGI) </w:t>
      </w:r>
      <w:r w:rsidRPr="009979BF">
        <w:rPr>
          <w:color w:val="auto"/>
          <w:sz w:val="20"/>
          <w:szCs w:val="20"/>
        </w:rPr>
        <w:t xml:space="preserve">completed a panel of questions in the FU-1 CASI to assess their feelings about their diagnosis. All participants reported that they were 'not worried as it is curable' and did not think the diagnosis would change how their friends thought about them, but only one participant (diagnosed with CT) reported he had talked to his friends about his diagnosis. All participants reported concern that they might get the infection again, and the majority of those with a CT diagnosis </w:t>
      </w:r>
      <w:r w:rsidR="00CD2731" w:rsidRPr="009979BF">
        <w:rPr>
          <w:color w:val="auto"/>
          <w:sz w:val="20"/>
          <w:szCs w:val="20"/>
        </w:rPr>
        <w:t xml:space="preserve">(75%) </w:t>
      </w:r>
      <w:r w:rsidRPr="009979BF">
        <w:rPr>
          <w:color w:val="auto"/>
          <w:sz w:val="20"/>
          <w:szCs w:val="20"/>
        </w:rPr>
        <w:t xml:space="preserve">reported concern about exposure to other STIs, feeling “dirty” and embarrassed, being scared to tell their partners about their diagnosis and </w:t>
      </w:r>
      <w:r w:rsidR="005F1D23" w:rsidRPr="009979BF">
        <w:rPr>
          <w:color w:val="auto"/>
          <w:sz w:val="20"/>
          <w:szCs w:val="20"/>
        </w:rPr>
        <w:t xml:space="preserve">worried </w:t>
      </w:r>
      <w:r w:rsidRPr="009979BF">
        <w:rPr>
          <w:color w:val="auto"/>
          <w:sz w:val="20"/>
          <w:szCs w:val="20"/>
        </w:rPr>
        <w:t xml:space="preserve">that their partners </w:t>
      </w:r>
      <w:r w:rsidR="00F35B6C" w:rsidRPr="009979BF">
        <w:rPr>
          <w:color w:val="auto"/>
          <w:sz w:val="20"/>
          <w:szCs w:val="20"/>
        </w:rPr>
        <w:t xml:space="preserve">thought </w:t>
      </w:r>
      <w:r w:rsidRPr="009979BF">
        <w:rPr>
          <w:color w:val="auto"/>
          <w:sz w:val="20"/>
          <w:szCs w:val="20"/>
        </w:rPr>
        <w:t xml:space="preserve">they </w:t>
      </w:r>
      <w:r w:rsidR="00607957" w:rsidRPr="009979BF">
        <w:rPr>
          <w:color w:val="auto"/>
          <w:sz w:val="20"/>
          <w:szCs w:val="20"/>
        </w:rPr>
        <w:t>had been unfaithful.</w:t>
      </w:r>
      <w:r w:rsidRPr="009979BF">
        <w:rPr>
          <w:color w:val="auto"/>
          <w:sz w:val="20"/>
          <w:szCs w:val="20"/>
        </w:rPr>
        <w:t xml:space="preserve"> </w:t>
      </w:r>
    </w:p>
    <w:p w14:paraId="024448A9" w14:textId="77777777" w:rsidR="00E10F2B" w:rsidRPr="009979BF" w:rsidRDefault="00E10F2B">
      <w:pPr>
        <w:spacing w:line="360" w:lineRule="auto"/>
        <w:jc w:val="both"/>
        <w:rPr>
          <w:color w:val="auto"/>
          <w:sz w:val="20"/>
          <w:szCs w:val="20"/>
        </w:rPr>
      </w:pPr>
    </w:p>
    <w:p w14:paraId="10A43791" w14:textId="77777777" w:rsidR="00D012CB" w:rsidRPr="009979BF" w:rsidRDefault="007F7B2F">
      <w:pPr>
        <w:spacing w:line="360" w:lineRule="auto"/>
        <w:rPr>
          <w:color w:val="auto"/>
          <w:sz w:val="20"/>
          <w:szCs w:val="20"/>
        </w:rPr>
      </w:pPr>
      <w:r w:rsidRPr="009979BF">
        <w:rPr>
          <w:b/>
          <w:color w:val="auto"/>
          <w:sz w:val="20"/>
          <w:szCs w:val="20"/>
        </w:rPr>
        <w:t>Q</w:t>
      </w:r>
      <w:r w:rsidR="00905DAC" w:rsidRPr="009979BF">
        <w:rPr>
          <w:b/>
          <w:color w:val="auto"/>
          <w:sz w:val="20"/>
          <w:szCs w:val="20"/>
        </w:rPr>
        <w:t xml:space="preserve">ualitative </w:t>
      </w:r>
      <w:r w:rsidR="00D012CB" w:rsidRPr="009979BF">
        <w:rPr>
          <w:b/>
          <w:color w:val="auto"/>
          <w:sz w:val="20"/>
          <w:szCs w:val="20"/>
        </w:rPr>
        <w:t>analysis</w:t>
      </w:r>
    </w:p>
    <w:p w14:paraId="06F463B0" w14:textId="77777777" w:rsidR="0010467B" w:rsidRPr="009979BF" w:rsidRDefault="006824C5">
      <w:pPr>
        <w:spacing w:line="360" w:lineRule="auto"/>
        <w:jc w:val="both"/>
        <w:rPr>
          <w:color w:val="auto"/>
          <w:sz w:val="20"/>
          <w:szCs w:val="20"/>
        </w:rPr>
      </w:pPr>
      <w:r w:rsidRPr="009979BF">
        <w:rPr>
          <w:color w:val="auto"/>
          <w:sz w:val="20"/>
          <w:szCs w:val="20"/>
        </w:rPr>
        <w:t>In interviews, p</w:t>
      </w:r>
      <w:r w:rsidR="008E31B3" w:rsidRPr="009979BF">
        <w:rPr>
          <w:color w:val="auto"/>
          <w:sz w:val="20"/>
          <w:szCs w:val="20"/>
        </w:rPr>
        <w:t>articipant</w:t>
      </w:r>
      <w:r w:rsidR="00E04515" w:rsidRPr="009979BF">
        <w:rPr>
          <w:color w:val="auto"/>
          <w:sz w:val="20"/>
          <w:szCs w:val="20"/>
        </w:rPr>
        <w:t xml:space="preserve">s </w:t>
      </w:r>
      <w:r w:rsidR="00B716EE" w:rsidRPr="009979BF">
        <w:rPr>
          <w:color w:val="auto"/>
          <w:sz w:val="20"/>
          <w:szCs w:val="20"/>
        </w:rPr>
        <w:t xml:space="preserve">compared </w:t>
      </w:r>
      <w:r w:rsidR="00E04515" w:rsidRPr="009979BF">
        <w:rPr>
          <w:color w:val="auto"/>
          <w:sz w:val="20"/>
          <w:szCs w:val="20"/>
        </w:rPr>
        <w:t xml:space="preserve">different </w:t>
      </w:r>
      <w:r w:rsidR="00B716EE" w:rsidRPr="009979BF">
        <w:rPr>
          <w:color w:val="auto"/>
          <w:sz w:val="20"/>
          <w:szCs w:val="20"/>
        </w:rPr>
        <w:t>STIs</w:t>
      </w:r>
      <w:r w:rsidR="008E31B3" w:rsidRPr="009979BF">
        <w:rPr>
          <w:color w:val="auto"/>
          <w:sz w:val="20"/>
          <w:szCs w:val="20"/>
        </w:rPr>
        <w:t xml:space="preserve"> as a way to contextualise their level of concern about their </w:t>
      </w:r>
      <w:r w:rsidR="00E04515" w:rsidRPr="009979BF">
        <w:rPr>
          <w:color w:val="auto"/>
          <w:sz w:val="20"/>
          <w:szCs w:val="20"/>
        </w:rPr>
        <w:t xml:space="preserve">own </w:t>
      </w:r>
      <w:r w:rsidR="008E31B3" w:rsidRPr="009979BF">
        <w:rPr>
          <w:color w:val="auto"/>
          <w:sz w:val="20"/>
          <w:szCs w:val="20"/>
        </w:rPr>
        <w:t xml:space="preserve">diagnosis. </w:t>
      </w:r>
      <w:r w:rsidR="002531CE" w:rsidRPr="009979BF">
        <w:rPr>
          <w:color w:val="auto"/>
          <w:sz w:val="20"/>
          <w:szCs w:val="20"/>
        </w:rPr>
        <w:t xml:space="preserve">For one participant, his </w:t>
      </w:r>
      <w:r w:rsidR="00E04515" w:rsidRPr="009979BF">
        <w:rPr>
          <w:color w:val="auto"/>
          <w:sz w:val="20"/>
          <w:szCs w:val="20"/>
        </w:rPr>
        <w:t>main concern</w:t>
      </w:r>
      <w:r w:rsidR="002531CE" w:rsidRPr="009979BF">
        <w:rPr>
          <w:color w:val="auto"/>
          <w:sz w:val="20"/>
          <w:szCs w:val="20"/>
        </w:rPr>
        <w:t xml:space="preserve"> </w:t>
      </w:r>
      <w:r w:rsidR="00E04515" w:rsidRPr="009979BF">
        <w:rPr>
          <w:color w:val="auto"/>
          <w:sz w:val="20"/>
          <w:szCs w:val="20"/>
        </w:rPr>
        <w:t>was</w:t>
      </w:r>
      <w:r w:rsidR="001A1663" w:rsidRPr="009979BF">
        <w:rPr>
          <w:color w:val="auto"/>
          <w:sz w:val="20"/>
          <w:szCs w:val="20"/>
        </w:rPr>
        <w:t xml:space="preserve"> </w:t>
      </w:r>
      <w:r w:rsidR="002531CE" w:rsidRPr="009979BF">
        <w:rPr>
          <w:color w:val="auto"/>
          <w:sz w:val="20"/>
          <w:szCs w:val="20"/>
        </w:rPr>
        <w:t xml:space="preserve">the possibility of being diagnosed with HIV: </w:t>
      </w:r>
      <w:r w:rsidR="002531CE" w:rsidRPr="009979BF">
        <w:rPr>
          <w:i/>
          <w:color w:val="auto"/>
          <w:sz w:val="20"/>
          <w:szCs w:val="20"/>
        </w:rPr>
        <w:t xml:space="preserve">“Look, to be honest with you, the key one everyone really wants to know about is HIV … all the other </w:t>
      </w:r>
      <w:r w:rsidR="00AB6C0D" w:rsidRPr="009979BF">
        <w:rPr>
          <w:i/>
          <w:color w:val="auto"/>
          <w:sz w:val="20"/>
          <w:szCs w:val="20"/>
        </w:rPr>
        <w:t>ones are treatable quite easily</w:t>
      </w:r>
      <w:r w:rsidR="002531CE" w:rsidRPr="009979BF">
        <w:rPr>
          <w:i/>
          <w:color w:val="auto"/>
          <w:sz w:val="20"/>
          <w:szCs w:val="20"/>
        </w:rPr>
        <w:t>…”</w:t>
      </w:r>
      <w:r w:rsidR="002531CE" w:rsidRPr="009979BF">
        <w:rPr>
          <w:color w:val="auto"/>
          <w:sz w:val="20"/>
          <w:szCs w:val="20"/>
        </w:rPr>
        <w:t xml:space="preserve"> (Lucas,</w:t>
      </w:r>
      <w:r w:rsidR="005F1D23" w:rsidRPr="009979BF">
        <w:rPr>
          <w:color w:val="auto"/>
          <w:sz w:val="20"/>
          <w:szCs w:val="20"/>
        </w:rPr>
        <w:t xml:space="preserve"> </w:t>
      </w:r>
      <w:r w:rsidR="002531CE" w:rsidRPr="009979BF">
        <w:rPr>
          <w:color w:val="auto"/>
          <w:sz w:val="20"/>
          <w:szCs w:val="20"/>
        </w:rPr>
        <w:t xml:space="preserve">NAD diagnosis). </w:t>
      </w:r>
      <w:r w:rsidR="00604E87" w:rsidRPr="009979BF">
        <w:rPr>
          <w:color w:val="auto"/>
          <w:sz w:val="20"/>
          <w:szCs w:val="20"/>
        </w:rPr>
        <w:t>T</w:t>
      </w:r>
      <w:r w:rsidR="00BE7230" w:rsidRPr="009979BF">
        <w:rPr>
          <w:color w:val="auto"/>
          <w:sz w:val="20"/>
          <w:szCs w:val="20"/>
        </w:rPr>
        <w:t xml:space="preserve">here were several points within the interviews where </w:t>
      </w:r>
      <w:r w:rsidR="006A2054" w:rsidRPr="009979BF">
        <w:rPr>
          <w:color w:val="auto"/>
          <w:sz w:val="20"/>
          <w:szCs w:val="20"/>
        </w:rPr>
        <w:t xml:space="preserve">participants </w:t>
      </w:r>
      <w:r w:rsidR="00F35B6C" w:rsidRPr="009979BF">
        <w:rPr>
          <w:color w:val="auto"/>
          <w:sz w:val="20"/>
          <w:szCs w:val="20"/>
        </w:rPr>
        <w:t xml:space="preserve">expressed </w:t>
      </w:r>
      <w:r w:rsidR="00BE7230" w:rsidRPr="009979BF">
        <w:rPr>
          <w:color w:val="auto"/>
          <w:sz w:val="20"/>
          <w:szCs w:val="20"/>
        </w:rPr>
        <w:t>concern</w:t>
      </w:r>
      <w:r w:rsidR="00604E87" w:rsidRPr="009979BF">
        <w:rPr>
          <w:color w:val="auto"/>
          <w:sz w:val="20"/>
          <w:szCs w:val="20"/>
        </w:rPr>
        <w:t xml:space="preserve"> </w:t>
      </w:r>
      <w:r w:rsidR="00F35B6C" w:rsidRPr="009979BF">
        <w:rPr>
          <w:color w:val="auto"/>
          <w:sz w:val="20"/>
          <w:szCs w:val="20"/>
        </w:rPr>
        <w:t xml:space="preserve">at </w:t>
      </w:r>
      <w:r w:rsidR="002531CE" w:rsidRPr="009979BF">
        <w:rPr>
          <w:color w:val="auto"/>
          <w:sz w:val="20"/>
          <w:szCs w:val="20"/>
        </w:rPr>
        <w:t xml:space="preserve">being diagnosed with an infection they did </w:t>
      </w:r>
      <w:r w:rsidR="00604E87" w:rsidRPr="009979BF">
        <w:rPr>
          <w:color w:val="auto"/>
          <w:sz w:val="20"/>
          <w:szCs w:val="20"/>
        </w:rPr>
        <w:t>not</w:t>
      </w:r>
      <w:r w:rsidR="00BE7230" w:rsidRPr="009979BF">
        <w:rPr>
          <w:color w:val="auto"/>
          <w:sz w:val="20"/>
          <w:szCs w:val="20"/>
        </w:rPr>
        <w:t xml:space="preserve"> </w:t>
      </w:r>
      <w:r w:rsidR="00FA0875" w:rsidRPr="009979BF">
        <w:rPr>
          <w:color w:val="auto"/>
          <w:sz w:val="20"/>
          <w:szCs w:val="20"/>
        </w:rPr>
        <w:t>know about</w:t>
      </w:r>
      <w:r w:rsidR="002531CE" w:rsidRPr="009979BF">
        <w:rPr>
          <w:color w:val="auto"/>
          <w:sz w:val="20"/>
          <w:szCs w:val="20"/>
        </w:rPr>
        <w:t xml:space="preserve">, </w:t>
      </w:r>
      <w:r w:rsidR="00B716EE" w:rsidRPr="009979BF">
        <w:rPr>
          <w:color w:val="auto"/>
          <w:sz w:val="20"/>
          <w:szCs w:val="20"/>
        </w:rPr>
        <w:t>indicating that non-specific diagnoses</w:t>
      </w:r>
      <w:r w:rsidR="002531CE" w:rsidRPr="009979BF">
        <w:rPr>
          <w:color w:val="auto"/>
          <w:sz w:val="20"/>
          <w:szCs w:val="20"/>
        </w:rPr>
        <w:t xml:space="preserve"> may </w:t>
      </w:r>
      <w:r w:rsidR="00E04515" w:rsidRPr="009979BF">
        <w:rPr>
          <w:color w:val="auto"/>
          <w:sz w:val="20"/>
          <w:szCs w:val="20"/>
        </w:rPr>
        <w:t>cause negative impact</w:t>
      </w:r>
      <w:r w:rsidR="002531CE" w:rsidRPr="009979BF">
        <w:rPr>
          <w:color w:val="auto"/>
          <w:sz w:val="20"/>
          <w:szCs w:val="20"/>
        </w:rPr>
        <w:t xml:space="preserve">: </w:t>
      </w:r>
      <w:r w:rsidR="006A2054" w:rsidRPr="009979BF">
        <w:rPr>
          <w:color w:val="auto"/>
          <w:sz w:val="20"/>
          <w:szCs w:val="20"/>
        </w:rPr>
        <w:t>“</w:t>
      </w:r>
      <w:r w:rsidR="00FA0875" w:rsidRPr="009979BF">
        <w:rPr>
          <w:rFonts w:cs="Times New Roman"/>
          <w:i/>
          <w:color w:val="auto"/>
          <w:sz w:val="20"/>
          <w:szCs w:val="20"/>
          <w:lang w:val="en-ZA" w:eastAsia="en-ZA"/>
        </w:rPr>
        <w:t xml:space="preserve">…to be honest, I’m a little bit worried about </w:t>
      </w:r>
      <w:r w:rsidR="008A3185" w:rsidRPr="009979BF">
        <w:rPr>
          <w:rFonts w:cs="Times New Roman"/>
          <w:i/>
          <w:color w:val="auto"/>
          <w:sz w:val="20"/>
          <w:szCs w:val="20"/>
          <w:lang w:val="en-ZA" w:eastAsia="en-ZA"/>
        </w:rPr>
        <w:t>this because</w:t>
      </w:r>
      <w:r w:rsidR="00FA0875" w:rsidRPr="009979BF">
        <w:rPr>
          <w:rFonts w:cs="Times New Roman"/>
          <w:i/>
          <w:color w:val="auto"/>
          <w:sz w:val="20"/>
          <w:szCs w:val="20"/>
          <w:lang w:val="en-ZA" w:eastAsia="en-ZA"/>
        </w:rPr>
        <w:t xml:space="preserve"> there is no name of the new bacteria, so we don’t know if it’s</w:t>
      </w:r>
      <w:r w:rsidR="00E04515" w:rsidRPr="009979BF">
        <w:rPr>
          <w:rFonts w:cs="Times New Roman"/>
          <w:i/>
          <w:color w:val="auto"/>
          <w:sz w:val="20"/>
          <w:szCs w:val="20"/>
          <w:lang w:val="en-ZA" w:eastAsia="en-ZA"/>
        </w:rPr>
        <w:t xml:space="preserve"> d</w:t>
      </w:r>
      <w:r w:rsidR="00825B36" w:rsidRPr="009979BF">
        <w:rPr>
          <w:rFonts w:cs="Times New Roman"/>
          <w:i/>
          <w:color w:val="auto"/>
          <w:sz w:val="20"/>
          <w:szCs w:val="20"/>
          <w:lang w:val="en-ZA" w:eastAsia="en-ZA"/>
        </w:rPr>
        <w:t>angerous or not</w:t>
      </w:r>
      <w:r w:rsidR="00E04515" w:rsidRPr="009979BF">
        <w:rPr>
          <w:rFonts w:cs="Times New Roman"/>
          <w:i/>
          <w:color w:val="auto"/>
          <w:sz w:val="20"/>
          <w:szCs w:val="20"/>
          <w:lang w:val="en-ZA" w:eastAsia="en-ZA"/>
        </w:rPr>
        <w:t>..</w:t>
      </w:r>
      <w:r w:rsidR="00FA0875" w:rsidRPr="009979BF">
        <w:rPr>
          <w:rFonts w:cs="Times New Roman"/>
          <w:i/>
          <w:color w:val="auto"/>
          <w:sz w:val="20"/>
          <w:szCs w:val="20"/>
          <w:lang w:val="en-ZA" w:eastAsia="en-ZA"/>
        </w:rPr>
        <w:t>.</w:t>
      </w:r>
      <w:r w:rsidR="006A2054" w:rsidRPr="009979BF">
        <w:rPr>
          <w:rFonts w:cs="Times New Roman"/>
          <w:i/>
          <w:color w:val="auto"/>
          <w:sz w:val="20"/>
          <w:szCs w:val="20"/>
          <w:lang w:val="en-ZA" w:eastAsia="en-ZA"/>
        </w:rPr>
        <w:t>”</w:t>
      </w:r>
      <w:r w:rsidR="00FA0875" w:rsidRPr="009979BF">
        <w:rPr>
          <w:rFonts w:cs="Times New Roman"/>
          <w:i/>
          <w:color w:val="auto"/>
          <w:sz w:val="20"/>
          <w:szCs w:val="20"/>
          <w:lang w:val="en-ZA" w:eastAsia="en-ZA"/>
        </w:rPr>
        <w:t xml:space="preserve"> </w:t>
      </w:r>
      <w:r w:rsidR="00FA0875" w:rsidRPr="009979BF">
        <w:rPr>
          <w:rFonts w:cs="Times New Roman"/>
          <w:color w:val="auto"/>
          <w:sz w:val="20"/>
          <w:szCs w:val="20"/>
          <w:lang w:val="en-ZA" w:eastAsia="en-ZA"/>
        </w:rPr>
        <w:t>(</w:t>
      </w:r>
      <w:r w:rsidR="00FE538D" w:rsidRPr="009979BF">
        <w:rPr>
          <w:rFonts w:cs="Times New Roman"/>
          <w:color w:val="auto"/>
          <w:sz w:val="20"/>
          <w:szCs w:val="20"/>
          <w:lang w:val="en-ZA" w:eastAsia="en-ZA"/>
        </w:rPr>
        <w:t>Liam</w:t>
      </w:r>
      <w:r w:rsidR="00CE120B" w:rsidRPr="009979BF">
        <w:rPr>
          <w:rFonts w:cs="Times New Roman"/>
          <w:color w:val="auto"/>
          <w:sz w:val="20"/>
          <w:szCs w:val="20"/>
          <w:lang w:val="en-ZA" w:eastAsia="en-ZA"/>
        </w:rPr>
        <w:t>,</w:t>
      </w:r>
      <w:r w:rsidR="00D64B48" w:rsidRPr="009979BF">
        <w:rPr>
          <w:rFonts w:cs="Times New Roman"/>
          <w:color w:val="auto"/>
          <w:sz w:val="20"/>
          <w:szCs w:val="20"/>
          <w:lang w:val="en-ZA" w:eastAsia="en-ZA"/>
        </w:rPr>
        <w:t xml:space="preserve"> NSGI diagnosis</w:t>
      </w:r>
      <w:r w:rsidR="00FA0875" w:rsidRPr="009979BF">
        <w:rPr>
          <w:rFonts w:cs="Times New Roman"/>
          <w:color w:val="auto"/>
          <w:sz w:val="20"/>
          <w:szCs w:val="20"/>
          <w:lang w:val="en-ZA" w:eastAsia="en-ZA"/>
        </w:rPr>
        <w:t>)</w:t>
      </w:r>
      <w:r w:rsidR="004D2F75" w:rsidRPr="009979BF">
        <w:rPr>
          <w:rFonts w:cs="Times New Roman"/>
          <w:color w:val="auto"/>
          <w:sz w:val="20"/>
          <w:szCs w:val="20"/>
          <w:lang w:val="en-ZA" w:eastAsia="en-ZA"/>
        </w:rPr>
        <w:t>.</w:t>
      </w:r>
    </w:p>
    <w:p w14:paraId="68A10F48" w14:textId="77777777" w:rsidR="0010467B" w:rsidRPr="009979BF" w:rsidRDefault="0010467B">
      <w:pPr>
        <w:spacing w:line="360" w:lineRule="auto"/>
        <w:rPr>
          <w:color w:val="auto"/>
          <w:sz w:val="20"/>
          <w:szCs w:val="20"/>
        </w:rPr>
      </w:pPr>
    </w:p>
    <w:p w14:paraId="05D42DC7" w14:textId="77777777" w:rsidR="0068412D" w:rsidRPr="009979BF" w:rsidRDefault="008E31B3">
      <w:pPr>
        <w:spacing w:line="360" w:lineRule="auto"/>
        <w:jc w:val="both"/>
        <w:rPr>
          <w:color w:val="auto"/>
          <w:sz w:val="20"/>
          <w:szCs w:val="20"/>
        </w:rPr>
      </w:pPr>
      <w:r w:rsidRPr="009979BF">
        <w:rPr>
          <w:color w:val="auto"/>
          <w:sz w:val="20"/>
          <w:szCs w:val="20"/>
        </w:rPr>
        <w:t xml:space="preserve">Among the two </w:t>
      </w:r>
      <w:r w:rsidR="00C6581D" w:rsidRPr="009979BF">
        <w:rPr>
          <w:color w:val="auto"/>
          <w:sz w:val="20"/>
          <w:szCs w:val="20"/>
        </w:rPr>
        <w:t xml:space="preserve">interview </w:t>
      </w:r>
      <w:r w:rsidRPr="009979BF">
        <w:rPr>
          <w:color w:val="auto"/>
          <w:sz w:val="20"/>
          <w:szCs w:val="20"/>
        </w:rPr>
        <w:t>participants diagnosed with NSGI, o</w:t>
      </w:r>
      <w:r w:rsidR="00CF3477" w:rsidRPr="009979BF">
        <w:rPr>
          <w:color w:val="auto"/>
          <w:sz w:val="20"/>
          <w:szCs w:val="20"/>
        </w:rPr>
        <w:t xml:space="preserve">ne </w:t>
      </w:r>
      <w:r w:rsidR="00C6581D" w:rsidRPr="009979BF">
        <w:rPr>
          <w:color w:val="auto"/>
          <w:sz w:val="20"/>
          <w:szCs w:val="20"/>
        </w:rPr>
        <w:t>described</w:t>
      </w:r>
      <w:r w:rsidRPr="009979BF">
        <w:rPr>
          <w:color w:val="auto"/>
          <w:sz w:val="20"/>
          <w:szCs w:val="20"/>
        </w:rPr>
        <w:t xml:space="preserve"> </w:t>
      </w:r>
      <w:r w:rsidR="00CF3477" w:rsidRPr="009979BF">
        <w:rPr>
          <w:color w:val="auto"/>
          <w:sz w:val="20"/>
          <w:szCs w:val="20"/>
        </w:rPr>
        <w:t>anxiety</w:t>
      </w:r>
      <w:r w:rsidR="00EE76AE" w:rsidRPr="009979BF">
        <w:rPr>
          <w:color w:val="auto"/>
          <w:sz w:val="20"/>
          <w:szCs w:val="20"/>
        </w:rPr>
        <w:t xml:space="preserve"> </w:t>
      </w:r>
      <w:r w:rsidR="00C6581D" w:rsidRPr="009979BF">
        <w:rPr>
          <w:color w:val="auto"/>
          <w:sz w:val="20"/>
          <w:szCs w:val="20"/>
        </w:rPr>
        <w:t>following</w:t>
      </w:r>
      <w:r w:rsidR="00982EDF" w:rsidRPr="009979BF">
        <w:rPr>
          <w:color w:val="auto"/>
          <w:sz w:val="20"/>
          <w:szCs w:val="20"/>
        </w:rPr>
        <w:t xml:space="preserve"> his</w:t>
      </w:r>
      <w:r w:rsidR="00CF3477" w:rsidRPr="009979BF">
        <w:rPr>
          <w:color w:val="auto"/>
          <w:sz w:val="20"/>
          <w:szCs w:val="20"/>
        </w:rPr>
        <w:t xml:space="preserve"> </w:t>
      </w:r>
      <w:r w:rsidR="008A3185" w:rsidRPr="009979BF">
        <w:rPr>
          <w:color w:val="auto"/>
          <w:sz w:val="20"/>
          <w:szCs w:val="20"/>
        </w:rPr>
        <w:t xml:space="preserve">presumptive </w:t>
      </w:r>
      <w:r w:rsidR="0068412D" w:rsidRPr="009979BF">
        <w:rPr>
          <w:color w:val="auto"/>
          <w:sz w:val="20"/>
          <w:szCs w:val="20"/>
        </w:rPr>
        <w:t xml:space="preserve">CT </w:t>
      </w:r>
      <w:r w:rsidR="00FA4DFC" w:rsidRPr="009979BF">
        <w:rPr>
          <w:color w:val="auto"/>
          <w:sz w:val="20"/>
          <w:szCs w:val="20"/>
        </w:rPr>
        <w:t>diagnosis</w:t>
      </w:r>
      <w:r w:rsidR="00AE518E" w:rsidRPr="009979BF">
        <w:rPr>
          <w:color w:val="auto"/>
          <w:sz w:val="20"/>
          <w:szCs w:val="20"/>
        </w:rPr>
        <w:t xml:space="preserve"> </w:t>
      </w:r>
      <w:r w:rsidR="001E318D" w:rsidRPr="009979BF">
        <w:rPr>
          <w:color w:val="auto"/>
          <w:sz w:val="20"/>
          <w:szCs w:val="20"/>
        </w:rPr>
        <w:t>in clinic</w:t>
      </w:r>
      <w:r w:rsidRPr="009979BF">
        <w:rPr>
          <w:color w:val="auto"/>
          <w:sz w:val="20"/>
          <w:szCs w:val="20"/>
        </w:rPr>
        <w:t>.</w:t>
      </w:r>
      <w:r w:rsidR="00982EDF" w:rsidRPr="009979BF">
        <w:rPr>
          <w:color w:val="auto"/>
          <w:sz w:val="20"/>
          <w:szCs w:val="20"/>
        </w:rPr>
        <w:t xml:space="preserve"> </w:t>
      </w:r>
      <w:r w:rsidRPr="009979BF">
        <w:rPr>
          <w:color w:val="auto"/>
          <w:sz w:val="20"/>
          <w:szCs w:val="20"/>
        </w:rPr>
        <w:t xml:space="preserve">He </w:t>
      </w:r>
      <w:r w:rsidR="00AE518E" w:rsidRPr="009979BF">
        <w:rPr>
          <w:color w:val="auto"/>
          <w:sz w:val="20"/>
          <w:szCs w:val="20"/>
        </w:rPr>
        <w:t>was in a long-term monogamous relationship and so</w:t>
      </w:r>
      <w:r w:rsidR="00982EDF" w:rsidRPr="009979BF">
        <w:rPr>
          <w:color w:val="auto"/>
          <w:sz w:val="20"/>
          <w:szCs w:val="20"/>
        </w:rPr>
        <w:t xml:space="preserve"> was not expecting</w:t>
      </w:r>
      <w:r w:rsidR="00BE7230" w:rsidRPr="009979BF">
        <w:rPr>
          <w:color w:val="auto"/>
          <w:sz w:val="20"/>
          <w:szCs w:val="20"/>
        </w:rPr>
        <w:t xml:space="preserve"> </w:t>
      </w:r>
      <w:r w:rsidRPr="009979BF">
        <w:rPr>
          <w:color w:val="auto"/>
          <w:sz w:val="20"/>
          <w:szCs w:val="20"/>
        </w:rPr>
        <w:t>an STI diagnosis</w:t>
      </w:r>
      <w:r w:rsidR="002300EE" w:rsidRPr="009979BF">
        <w:rPr>
          <w:color w:val="auto"/>
          <w:sz w:val="20"/>
          <w:szCs w:val="20"/>
        </w:rPr>
        <w:t xml:space="preserve">: </w:t>
      </w:r>
      <w:r w:rsidR="006A2054" w:rsidRPr="009979BF">
        <w:rPr>
          <w:rFonts w:cs="Times New Roman"/>
          <w:i/>
          <w:color w:val="auto"/>
          <w:sz w:val="20"/>
          <w:szCs w:val="20"/>
          <w:lang w:val="en-ZA" w:eastAsia="en-ZA"/>
        </w:rPr>
        <w:t>“</w:t>
      </w:r>
      <w:r w:rsidR="00C25A49" w:rsidRPr="009979BF">
        <w:rPr>
          <w:rFonts w:cs="Times New Roman"/>
          <w:i/>
          <w:color w:val="auto"/>
          <w:sz w:val="20"/>
          <w:szCs w:val="20"/>
          <w:lang w:val="en-ZA" w:eastAsia="en-ZA"/>
        </w:rPr>
        <w:t>My heart’s</w:t>
      </w:r>
      <w:r w:rsidR="0032621B" w:rsidRPr="009979BF">
        <w:rPr>
          <w:rFonts w:cs="Times New Roman"/>
          <w:i/>
          <w:color w:val="auto"/>
          <w:sz w:val="20"/>
          <w:szCs w:val="20"/>
          <w:lang w:val="en-ZA" w:eastAsia="en-ZA"/>
        </w:rPr>
        <w:t xml:space="preserve"> </w:t>
      </w:r>
      <w:r w:rsidR="00C25A49" w:rsidRPr="009979BF">
        <w:rPr>
          <w:rFonts w:cs="Times New Roman"/>
          <w:i/>
          <w:color w:val="auto"/>
          <w:sz w:val="20"/>
          <w:szCs w:val="20"/>
          <w:lang w:val="en-ZA" w:eastAsia="en-ZA"/>
        </w:rPr>
        <w:t xml:space="preserve">racing. I’m thinking, </w:t>
      </w:r>
      <w:r w:rsidR="006A2054" w:rsidRPr="009979BF">
        <w:rPr>
          <w:rFonts w:cs="Times New Roman"/>
          <w:i/>
          <w:color w:val="auto"/>
          <w:sz w:val="20"/>
          <w:szCs w:val="20"/>
          <w:lang w:val="en-ZA" w:eastAsia="en-ZA"/>
        </w:rPr>
        <w:t>‘</w:t>
      </w:r>
      <w:r w:rsidR="00C25A49" w:rsidRPr="009979BF">
        <w:rPr>
          <w:rFonts w:cs="Times New Roman"/>
          <w:i/>
          <w:color w:val="auto"/>
          <w:sz w:val="20"/>
          <w:szCs w:val="20"/>
          <w:lang w:val="en-ZA" w:eastAsia="en-ZA"/>
        </w:rPr>
        <w:t>but how, I can’t</w:t>
      </w:r>
      <w:r w:rsidR="00A92907" w:rsidRPr="009979BF">
        <w:rPr>
          <w:rFonts w:cs="Times New Roman"/>
          <w:i/>
          <w:color w:val="auto"/>
          <w:sz w:val="20"/>
          <w:szCs w:val="20"/>
          <w:lang w:val="en-ZA" w:eastAsia="en-ZA"/>
        </w:rPr>
        <w:t>.</w:t>
      </w:r>
      <w:r w:rsidR="006A2054" w:rsidRPr="009979BF">
        <w:rPr>
          <w:rFonts w:cs="Times New Roman"/>
          <w:i/>
          <w:color w:val="auto"/>
          <w:sz w:val="20"/>
          <w:szCs w:val="20"/>
          <w:lang w:val="en-ZA" w:eastAsia="en-ZA"/>
        </w:rPr>
        <w:t>’</w:t>
      </w:r>
      <w:r w:rsidR="00C25A49" w:rsidRPr="009979BF">
        <w:rPr>
          <w:rFonts w:cs="Times New Roman"/>
          <w:i/>
          <w:color w:val="auto"/>
          <w:sz w:val="20"/>
          <w:szCs w:val="20"/>
          <w:lang w:val="en-ZA" w:eastAsia="en-ZA"/>
        </w:rPr>
        <w:t xml:space="preserve"> </w:t>
      </w:r>
      <w:r w:rsidR="008A3185" w:rsidRPr="009979BF">
        <w:rPr>
          <w:rFonts w:cs="Times New Roman"/>
          <w:i/>
          <w:color w:val="auto"/>
          <w:sz w:val="20"/>
          <w:szCs w:val="20"/>
          <w:lang w:val="en-ZA" w:eastAsia="en-ZA"/>
        </w:rPr>
        <w:t xml:space="preserve">… </w:t>
      </w:r>
      <w:r w:rsidR="00C25A49" w:rsidRPr="009979BF">
        <w:rPr>
          <w:rFonts w:cs="Times New Roman"/>
          <w:i/>
          <w:color w:val="auto"/>
          <w:sz w:val="20"/>
          <w:szCs w:val="20"/>
          <w:lang w:val="en-ZA" w:eastAsia="en-ZA"/>
        </w:rPr>
        <w:t>I just had a lot of thoughts in m</w:t>
      </w:r>
      <w:r w:rsidR="00C6581D" w:rsidRPr="009979BF">
        <w:rPr>
          <w:rFonts w:cs="Times New Roman"/>
          <w:i/>
          <w:color w:val="auto"/>
          <w:sz w:val="20"/>
          <w:szCs w:val="20"/>
          <w:lang w:val="en-ZA" w:eastAsia="en-ZA"/>
        </w:rPr>
        <w:t xml:space="preserve">y head. … And I told </w:t>
      </w:r>
      <w:r w:rsidR="00AE518E" w:rsidRPr="009979BF">
        <w:rPr>
          <w:rFonts w:cs="Times New Roman"/>
          <w:i/>
          <w:color w:val="auto"/>
          <w:sz w:val="20"/>
          <w:szCs w:val="20"/>
          <w:lang w:val="en-ZA" w:eastAsia="en-ZA"/>
        </w:rPr>
        <w:t>[the doctor]</w:t>
      </w:r>
      <w:r w:rsidR="00C6581D" w:rsidRPr="009979BF">
        <w:rPr>
          <w:rFonts w:cs="Times New Roman"/>
          <w:i/>
          <w:color w:val="auto"/>
          <w:sz w:val="20"/>
          <w:szCs w:val="20"/>
          <w:lang w:val="en-ZA" w:eastAsia="en-ZA"/>
        </w:rPr>
        <w:t xml:space="preserve">, </w:t>
      </w:r>
      <w:r w:rsidR="006A2054" w:rsidRPr="009979BF">
        <w:rPr>
          <w:rFonts w:cs="Times New Roman"/>
          <w:i/>
          <w:color w:val="auto"/>
          <w:sz w:val="20"/>
          <w:szCs w:val="20"/>
          <w:lang w:val="en-ZA" w:eastAsia="en-ZA"/>
        </w:rPr>
        <w:t>‘</w:t>
      </w:r>
      <w:r w:rsidR="00C25A49" w:rsidRPr="009979BF">
        <w:rPr>
          <w:rFonts w:cs="Times New Roman"/>
          <w:i/>
          <w:color w:val="auto"/>
          <w:sz w:val="20"/>
          <w:szCs w:val="20"/>
          <w:lang w:val="en-ZA" w:eastAsia="en-ZA"/>
        </w:rPr>
        <w:t>I can’t. I don’t know how I would have this.</w:t>
      </w:r>
      <w:r w:rsidR="006A2054" w:rsidRPr="009979BF">
        <w:rPr>
          <w:rFonts w:cs="Times New Roman"/>
          <w:i/>
          <w:color w:val="auto"/>
          <w:sz w:val="20"/>
          <w:szCs w:val="20"/>
          <w:lang w:val="en-ZA" w:eastAsia="en-ZA"/>
        </w:rPr>
        <w:t>’</w:t>
      </w:r>
      <w:r w:rsidR="00C25A49" w:rsidRPr="009979BF">
        <w:rPr>
          <w:rFonts w:cs="Times New Roman"/>
          <w:i/>
          <w:color w:val="auto"/>
          <w:sz w:val="20"/>
          <w:szCs w:val="20"/>
          <w:lang w:val="en-ZA" w:eastAsia="en-ZA"/>
        </w:rPr>
        <w:t xml:space="preserve"> He’s saying, </w:t>
      </w:r>
      <w:r w:rsidR="006A2054" w:rsidRPr="009979BF">
        <w:rPr>
          <w:rFonts w:cs="Times New Roman"/>
          <w:i/>
          <w:color w:val="auto"/>
          <w:sz w:val="20"/>
          <w:szCs w:val="20"/>
          <w:lang w:val="en-ZA" w:eastAsia="en-ZA"/>
        </w:rPr>
        <w:t>‘</w:t>
      </w:r>
      <w:r w:rsidR="00C25A49" w:rsidRPr="009979BF">
        <w:rPr>
          <w:rFonts w:cs="Times New Roman"/>
          <w:i/>
          <w:color w:val="auto"/>
          <w:sz w:val="20"/>
          <w:szCs w:val="20"/>
          <w:lang w:val="en-ZA" w:eastAsia="en-ZA"/>
        </w:rPr>
        <w:t>Well, whatever you have, it’s sexually transmitted.</w:t>
      </w:r>
      <w:r w:rsidR="006A2054" w:rsidRPr="009979BF">
        <w:rPr>
          <w:rFonts w:cs="Times New Roman"/>
          <w:i/>
          <w:color w:val="auto"/>
          <w:sz w:val="20"/>
          <w:szCs w:val="20"/>
          <w:lang w:val="en-ZA" w:eastAsia="en-ZA"/>
        </w:rPr>
        <w:t>’</w:t>
      </w:r>
      <w:r w:rsidR="00C25A49" w:rsidRPr="009979BF">
        <w:rPr>
          <w:rFonts w:cs="Times New Roman"/>
          <w:i/>
          <w:color w:val="auto"/>
          <w:sz w:val="20"/>
          <w:szCs w:val="20"/>
          <w:lang w:val="en-ZA" w:eastAsia="en-ZA"/>
        </w:rPr>
        <w:t xml:space="preserve"> I said, </w:t>
      </w:r>
      <w:r w:rsidR="006A2054" w:rsidRPr="009979BF">
        <w:rPr>
          <w:rFonts w:cs="Times New Roman"/>
          <w:i/>
          <w:color w:val="auto"/>
          <w:sz w:val="20"/>
          <w:szCs w:val="20"/>
          <w:lang w:val="en-ZA" w:eastAsia="en-ZA"/>
        </w:rPr>
        <w:t>‘</w:t>
      </w:r>
      <w:r w:rsidR="00C25A49" w:rsidRPr="009979BF">
        <w:rPr>
          <w:rFonts w:cs="Times New Roman"/>
          <w:i/>
          <w:color w:val="auto"/>
          <w:sz w:val="20"/>
          <w:szCs w:val="20"/>
          <w:lang w:val="en-ZA" w:eastAsia="en-ZA"/>
        </w:rPr>
        <w:t>But it can’t be.</w:t>
      </w:r>
      <w:r w:rsidR="006A2054" w:rsidRPr="009979BF">
        <w:rPr>
          <w:rFonts w:cs="Times New Roman"/>
          <w:i/>
          <w:color w:val="auto"/>
          <w:sz w:val="20"/>
          <w:szCs w:val="20"/>
          <w:lang w:val="en-ZA" w:eastAsia="en-ZA"/>
        </w:rPr>
        <w:t>’</w:t>
      </w:r>
      <w:r w:rsidR="00C25A49" w:rsidRPr="009979BF">
        <w:rPr>
          <w:rFonts w:cs="Times New Roman"/>
          <w:i/>
          <w:color w:val="auto"/>
          <w:sz w:val="20"/>
          <w:szCs w:val="20"/>
          <w:lang w:val="en-ZA" w:eastAsia="en-ZA"/>
        </w:rPr>
        <w:t xml:space="preserve"> So of course I start getting things in my head.</w:t>
      </w:r>
      <w:r w:rsidR="006A2054" w:rsidRPr="009979BF">
        <w:rPr>
          <w:rFonts w:cs="Times New Roman"/>
          <w:i/>
          <w:color w:val="auto"/>
          <w:sz w:val="20"/>
          <w:szCs w:val="20"/>
          <w:lang w:val="en-ZA" w:eastAsia="en-ZA"/>
        </w:rPr>
        <w:t>”</w:t>
      </w:r>
      <w:r w:rsidR="00441951" w:rsidRPr="009979BF">
        <w:rPr>
          <w:rFonts w:cs="Times New Roman"/>
          <w:i/>
          <w:color w:val="auto"/>
          <w:sz w:val="20"/>
          <w:szCs w:val="20"/>
          <w:lang w:val="en-ZA" w:eastAsia="en-ZA"/>
        </w:rPr>
        <w:t xml:space="preserve"> </w:t>
      </w:r>
      <w:r w:rsidR="00C25A49" w:rsidRPr="009979BF">
        <w:rPr>
          <w:rFonts w:cs="Times New Roman"/>
          <w:color w:val="auto"/>
          <w:sz w:val="20"/>
          <w:szCs w:val="20"/>
          <w:lang w:val="en-ZA" w:eastAsia="en-ZA"/>
        </w:rPr>
        <w:t>(</w:t>
      </w:r>
      <w:r w:rsidR="00FE538D" w:rsidRPr="009979BF">
        <w:rPr>
          <w:rFonts w:cs="Times New Roman"/>
          <w:color w:val="auto"/>
          <w:sz w:val="20"/>
          <w:szCs w:val="20"/>
          <w:lang w:val="en-ZA" w:eastAsia="en-ZA"/>
        </w:rPr>
        <w:t>Jacob</w:t>
      </w:r>
      <w:r w:rsidR="00A86B89" w:rsidRPr="009979BF">
        <w:rPr>
          <w:rFonts w:cs="Times New Roman"/>
          <w:color w:val="auto"/>
          <w:sz w:val="20"/>
          <w:szCs w:val="20"/>
          <w:lang w:val="en-ZA" w:eastAsia="en-ZA"/>
        </w:rPr>
        <w:t>, NSGI diagnosis</w:t>
      </w:r>
      <w:r w:rsidR="00E73A4B" w:rsidRPr="009979BF">
        <w:rPr>
          <w:color w:val="auto"/>
          <w:sz w:val="20"/>
          <w:szCs w:val="20"/>
        </w:rPr>
        <w:t>)</w:t>
      </w:r>
      <w:r w:rsidR="003F1FAA" w:rsidRPr="009979BF">
        <w:rPr>
          <w:color w:val="auto"/>
          <w:sz w:val="20"/>
          <w:szCs w:val="20"/>
        </w:rPr>
        <w:t>.</w:t>
      </w:r>
      <w:r w:rsidR="002531CE" w:rsidRPr="009979BF">
        <w:rPr>
          <w:color w:val="auto"/>
          <w:sz w:val="20"/>
          <w:szCs w:val="20"/>
        </w:rPr>
        <w:t xml:space="preserve"> </w:t>
      </w:r>
      <w:r w:rsidR="0068412D" w:rsidRPr="009979BF">
        <w:rPr>
          <w:color w:val="auto"/>
          <w:sz w:val="20"/>
          <w:szCs w:val="20"/>
        </w:rPr>
        <w:t>(</w:t>
      </w:r>
      <w:r w:rsidR="005A67A2" w:rsidRPr="009979BF">
        <w:rPr>
          <w:color w:val="auto"/>
          <w:sz w:val="20"/>
          <w:szCs w:val="20"/>
        </w:rPr>
        <w:t>Supplementary Appendi</w:t>
      </w:r>
      <w:r w:rsidR="00A84AEF" w:rsidRPr="009979BF">
        <w:rPr>
          <w:color w:val="auto"/>
          <w:sz w:val="20"/>
          <w:szCs w:val="20"/>
        </w:rPr>
        <w:t>x 4.)</w:t>
      </w:r>
    </w:p>
    <w:p w14:paraId="37ECDEFF" w14:textId="77777777" w:rsidR="00887CD3" w:rsidRPr="009979BF" w:rsidRDefault="00887CD3">
      <w:pPr>
        <w:spacing w:line="360" w:lineRule="auto"/>
        <w:rPr>
          <w:color w:val="auto"/>
          <w:sz w:val="20"/>
          <w:szCs w:val="20"/>
        </w:rPr>
      </w:pPr>
    </w:p>
    <w:p w14:paraId="15339CDA" w14:textId="77777777" w:rsidR="00B1482D" w:rsidRPr="009979BF" w:rsidRDefault="000429DD">
      <w:pPr>
        <w:spacing w:after="120" w:line="360" w:lineRule="auto"/>
        <w:rPr>
          <w:b/>
          <w:color w:val="auto"/>
          <w:sz w:val="20"/>
          <w:szCs w:val="20"/>
        </w:rPr>
      </w:pPr>
      <w:r w:rsidRPr="009979BF">
        <w:rPr>
          <w:b/>
          <w:color w:val="auto"/>
          <w:sz w:val="20"/>
          <w:szCs w:val="20"/>
        </w:rPr>
        <w:t xml:space="preserve">DISCUSSION </w:t>
      </w:r>
    </w:p>
    <w:p w14:paraId="78152438" w14:textId="77777777" w:rsidR="004F6B59" w:rsidRPr="009979BF" w:rsidRDefault="00C45E5C" w:rsidP="004776E6">
      <w:pPr>
        <w:spacing w:line="360" w:lineRule="auto"/>
        <w:rPr>
          <w:color w:val="000000"/>
          <w:sz w:val="20"/>
          <w:szCs w:val="20"/>
        </w:rPr>
      </w:pPr>
      <w:r w:rsidRPr="009979BF">
        <w:rPr>
          <w:color w:val="auto"/>
          <w:sz w:val="20"/>
          <w:szCs w:val="20"/>
        </w:rPr>
        <w:lastRenderedPageBreak/>
        <w:t>In this small observational feasibility study we assessed patient reported self-esteem and HRQoL using validated scales in heterosexual men presenting to SHCs with urethral symptoms, before undergoing STI testing, and after receiving all test results. This is the first study to investigate the HRQoL and psychosocial impact of a curable STI diagnosis in symptomatic men attending SHCs, using validated scales, and is</w:t>
      </w:r>
      <w:r w:rsidRPr="009979BF">
        <w:rPr>
          <w:color w:val="000000"/>
          <w:sz w:val="20"/>
          <w:szCs w:val="20"/>
        </w:rPr>
        <w:t xml:space="preserve"> one of the few available with data on STIs and EQ-5D-5L </w:t>
      </w:r>
      <w:r w:rsidR="00B907B3" w:rsidRPr="009979BF">
        <w:rPr>
          <w:color w:val="000000"/>
          <w:sz w:val="20"/>
          <w:szCs w:val="20"/>
        </w:rPr>
        <w:fldChar w:fldCharType="begin" w:fldLock="1"/>
      </w:r>
      <w:r w:rsidR="008D4440" w:rsidRPr="009979BF">
        <w:rPr>
          <w:color w:val="000000"/>
          <w:sz w:val="20"/>
          <w:szCs w:val="20"/>
        </w:rPr>
        <w:instrText>ADDIN CSL_CITATION { "citationItems" : [ { "id" : "ITEM-1", "itemData" : { "author" : [ { "dropping-particle" : "", "family" : "NICE.", "given" : "", "non-dropping-particle" : "", "parse-names" : false, "suffix" : "" } ], "id" : "ITEM-1", "issued" : { "date-parts" : [ [ "2013" ] ] }, "title" : "National Institute of Clinical Excellence Guide to the methods of technology appraisal 2013.", "type" : "article-journal" }, "uris" : [ "http://www.mendeley.com/documents/?uuid=81dbf2b1-1952-31d2-89e5-5c0360a30288" ] } ], "mendeley" : { "formattedCitation" : "[28]", "plainTextFormattedCitation" : "[28]", "previouslyFormattedCitation" : "[28]" }, "properties" : { "noteIndex" : 0 }, "schema" : "https://github.com/citation-style-language/schema/raw/master/csl-citation.json" }</w:instrText>
      </w:r>
      <w:r w:rsidR="00B907B3" w:rsidRPr="009979BF">
        <w:rPr>
          <w:color w:val="000000"/>
          <w:sz w:val="20"/>
          <w:szCs w:val="20"/>
        </w:rPr>
        <w:fldChar w:fldCharType="separate"/>
      </w:r>
      <w:r w:rsidRPr="009979BF">
        <w:rPr>
          <w:noProof/>
          <w:color w:val="000000"/>
          <w:sz w:val="20"/>
          <w:szCs w:val="20"/>
        </w:rPr>
        <w:t>[28]</w:t>
      </w:r>
      <w:r w:rsidR="00B907B3" w:rsidRPr="009979BF">
        <w:rPr>
          <w:color w:val="000000"/>
          <w:sz w:val="20"/>
          <w:szCs w:val="20"/>
        </w:rPr>
        <w:fldChar w:fldCharType="end"/>
      </w:r>
      <w:r w:rsidRPr="009979BF">
        <w:rPr>
          <w:color w:val="000000"/>
          <w:sz w:val="20"/>
          <w:szCs w:val="20"/>
        </w:rPr>
        <w:t xml:space="preserve">. </w:t>
      </w:r>
    </w:p>
    <w:p w14:paraId="5E1B6E0E" w14:textId="77777777" w:rsidR="003B7EA9" w:rsidRPr="009979BF" w:rsidRDefault="003B7EA9" w:rsidP="00902713">
      <w:pPr>
        <w:spacing w:line="360" w:lineRule="auto"/>
        <w:jc w:val="both"/>
        <w:rPr>
          <w:color w:val="auto"/>
          <w:sz w:val="20"/>
          <w:szCs w:val="20"/>
        </w:rPr>
      </w:pPr>
    </w:p>
    <w:p w14:paraId="5D59F6B6" w14:textId="77777777" w:rsidR="000F604F" w:rsidRPr="009979BF" w:rsidRDefault="000F604F" w:rsidP="000F604F">
      <w:pPr>
        <w:spacing w:line="360" w:lineRule="auto"/>
        <w:jc w:val="both"/>
        <w:rPr>
          <w:rFonts w:cs="Times New Roman"/>
          <w:color w:val="auto"/>
          <w:sz w:val="20"/>
          <w:szCs w:val="20"/>
        </w:rPr>
      </w:pPr>
      <w:r w:rsidRPr="009979BF">
        <w:rPr>
          <w:color w:val="auto"/>
          <w:sz w:val="20"/>
          <w:szCs w:val="20"/>
        </w:rPr>
        <w:t>We found increased EQ-5D-5L Index value (indicating increased HRQoL) in men diagnosed with NSGI or CT from baseline to FU-1</w:t>
      </w:r>
      <w:r w:rsidRPr="009979BF">
        <w:rPr>
          <w:rFonts w:cs="Times New Roman"/>
          <w:color w:val="auto"/>
          <w:sz w:val="20"/>
          <w:szCs w:val="20"/>
        </w:rPr>
        <w:t xml:space="preserve">. </w:t>
      </w:r>
      <w:r w:rsidRPr="009979BF">
        <w:rPr>
          <w:color w:val="auto"/>
          <w:sz w:val="20"/>
          <w:szCs w:val="20"/>
        </w:rPr>
        <w:t>P</w:t>
      </w:r>
      <w:r w:rsidRPr="009979BF">
        <w:rPr>
          <w:rFonts w:cs="Times New Roman"/>
          <w:color w:val="auto"/>
          <w:sz w:val="20"/>
          <w:szCs w:val="20"/>
        </w:rPr>
        <w:t xml:space="preserve">ublished </w:t>
      </w:r>
      <w:r w:rsidRPr="009979BF">
        <w:rPr>
          <w:rStyle w:val="CommentReference"/>
          <w:sz w:val="20"/>
          <w:szCs w:val="20"/>
        </w:rPr>
        <w:annotationRef/>
      </w:r>
      <w:r w:rsidRPr="009979BF">
        <w:rPr>
          <w:rFonts w:cs="Times New Roman"/>
          <w:color w:val="auto"/>
          <w:sz w:val="20"/>
          <w:szCs w:val="20"/>
        </w:rPr>
        <w:t>studies have reported that some</w:t>
      </w:r>
      <w:r w:rsidRPr="009979BF">
        <w:rPr>
          <w:color w:val="auto"/>
          <w:sz w:val="20"/>
          <w:szCs w:val="20"/>
        </w:rPr>
        <w:t xml:space="preserve"> men diagnosed with CT reported a lack of concern regarding the diagnosis as they perceive CT as a relatively minor infection</w:t>
      </w:r>
      <w:r w:rsidR="006F23EA" w:rsidRPr="009979BF">
        <w:rPr>
          <w:color w:val="auto"/>
          <w:sz w:val="20"/>
          <w:szCs w:val="20"/>
        </w:rPr>
        <w:t xml:space="preserve"> </w:t>
      </w:r>
      <w:r w:rsidR="00B907B3" w:rsidRPr="009979BF">
        <w:rPr>
          <w:color w:val="auto"/>
          <w:sz w:val="20"/>
          <w:szCs w:val="20"/>
        </w:rPr>
        <w:fldChar w:fldCharType="begin" w:fldLock="1"/>
      </w:r>
      <w:r w:rsidR="006F23EA" w:rsidRPr="009979BF">
        <w:rPr>
          <w:color w:val="auto"/>
          <w:sz w:val="20"/>
          <w:szCs w:val="20"/>
        </w:rPr>
        <w:instrText>ADDIN CSL_CITATION { "citationItems" : [ { "id" : "ITEM-1", "itemData" : { "ISSN" : "1368-4973", "PMID" : "14573831", "abstract" : "OBJECTIVES To explore men's and women's accounts of chlamydia testing, with a view to understanding sex differences in attitudes and in behaviours of public health importance. METHODS Semistructured interviews with 24 heterosexual patients (12 men; 12 women) diagnosed with genital chlamydia infection, at a large sexual health clinic in central London were transcribed and analysed using qualitative thematic analysis. RESULTS Participants' expressions revealed important sex differences. Women felt anxious about their future reproductive health, feared stigmatisation, and blamed themselves for contracting chlamydia; whereas men generally reported less concern, were unwilling to disclose their condition to sexual partners, and some men projected attributions of blame onto their partners. Delays in seeking care appeared to be related to perceptions of chlamydia as a relatively minor infection, particularly in men. CONCLUSIONS Health promotion needs to reflect sex and age differences, emphasising the negative consequences of delayed clinic attendance and exposure to repeat infections. For health professionals to respond appropriately and effectively to increasing numbers of chlamydia infections, there is a need to understand men's avoidant attitudes and behaviours in relation to sexual and reproductive health.", "author" : [ { "dropping-particle" : "", "family" : "Darroch", "given" : "J", "non-dropping-particle" : "", "parse-names" : false, "suffix" : "" }, { "dropping-particle" : "", "family" : "Myers", "given" : "L", "non-dropping-particle" : "", "parse-names" : false, "suffix" : "" }, { "dropping-particle" : "", "family" : "Cassell", "given" : "J", "non-dropping-particle" : "", "parse-names" : false, "suffix" : "" } ], "container-title" : "Sexually transmitted infections", "id" : "ITEM-1", "issue" : "5", "issued" : { "date-parts" : [ [ "2003", "10" ] ] }, "note" : "women and men qualitative", "page" : "372-3", "title" : "Sex differences in the experience of testing positive for genital chlamydia infection: a qualitative study with implications for public health and for a national screening programme.", "type" : "article-journal", "volume" : "79" }, "uris" : [ "http://www.mendeley.com/documents/?uuid=ac30572a-46ca-3208-87df-347896c74808" ] }, { "id" : "ITEM-2", "itemData" : { "ISSN" : "0264-0325", "PMID" : "10076643", "abstract" : "This study considers aspects of the experiences of a group of people attending a sexual health clinic and receiving the diagnosis of a sexually transmitted infection (STI). The study was conducted in the form of action research using a qualitative approach. Participants consisted of eight attenders at a sexual health clinic who had been diagnosed with a sexually transmitted infection. Counselling skills and techniques were used throughout semi-structured interviews to explore participants' feelings about these issues. Thematic analysis was used to generate themes of importance to the participants. Some people who had been to a sexual health clinic and received a diagnosis of a sexually transmitted infection were found to experience feelings of anxiety, stigma and isolation. This study is of value to all those working in the field of sexual health with an interest in understanding the issues that are important to the client group.", "author" : [ { "dropping-particle" : "", "family" : "Holgate", "given" : "H S", "non-dropping-particle" : "", "parse-names" : false, "suffix" : "" }, { "dropping-particle" : "", "family" : "Longman", "given" : "C", "non-dropping-particle" : "", "parse-names" : false, "suffix" : "" } ], "container-title" : "Journal of the Royal Society of Health", "id" : "ITEM-2", "issue" : "2", "issued" : { "date-parts" : [ [ "1998", "4" ] ] }, "page" : "94-6", "title" : "Some peoples' psychological experiences of attending a sexual health clinic and having a sexually transmitted infection.", "type" : "article-journal", "volume" : "118" }, "uris" : [ "http://www.mendeley.com/documents/?uuid=63713af5-a21e-30d3-9210-20b769f6023a" ] }, { "id" : "ITEM-3", "itemData" : { "ISSN" : "0960-1643", "PMID" : "16882376", "abstract" : "BACKGROUND Urogenital Chlamydia trachomatis infections are widespread, and each year many tests are performed in general practice. AIM First, to quantify the magnitude of stigmatization, problems related to partner, and anxiety of infertility among men and women tested for C. trachomatis in general practice. Second, to investigate the effect of a C. trachomatis test result on planned future condom use. DESIGN OF STUDY Comparative cross-sectional study. SETTING General practices in Aarhus County, Denmark. METHOD Men and women tested for C. trachomatis in general practice were given a questionnaire about feelings of stigmatization, fear of partner's reaction, fear of future infertility and other psychosocial side effects related to being infected or not infected with C. trachomatis. RESULTS A total of 277 participated in the study. The response rates were 61% (82/135) and 54% (195/365) among infected and non-infected individuals, respectively. Among the infected individuals 32% (9/28) of the men's partners and 35% (19/54) of the women's partners were upset about the test result, 9% (5/54) of the women and 11% (3/28) of the men split with their partner, 59% (32/54) of the women and 54% (15/28) of the men expressed nervousness about infertility, and 91% (19/21) of the women but only 56% (5/9) of the men said that they would use a condom more often in the future. All these figures were significantly lower for both men and women having C. trachomatis negative test results. CONCLUSION A chlamydia test affects the individual in terms of sexuality, relation to partner, reproduction, and future contraceptive strategy. The influence is highest among women and individuals with a positive test result. These findings should be taken into account in screening programmes targeting young women and men.", "author" : [ { "dropping-particle" : "", "family" : "Kangas", "given" : "Ida", "non-dropping-particle" : "", "parse-names" : false, "suffix" : "" }, { "dropping-particle" : "", "family" : "Andersen", "given" : "Berit", "non-dropping-particle" : "", "parse-names" : false, "suffix" : "" }, { "dropping-particle" : "", "family" : "Olesen", "given" : "Frede", "non-dropping-particle" : "", "parse-names" : false, "suffix" : "" }, { "dropping-particle" : "", "family" : "M\u00f8ller", "given" : "Jens K", "non-dropping-particle" : "", "parse-names" : false, "suffix" : "" }, { "dropping-particle" : "", "family" : "\u00d8stergaard", "given" : "Lars", "non-dropping-particle" : "", "parse-names" : false, "suffix" : "" } ], "container-title" : "The British journal of general practice : the journal of the Royal College of General Practitioners", "id" : "ITEM-3", "issue" : "529", "issued" : { "date-parts" : [ [ "2006", "8" ] ] }, "page" : "587-93", "title" : "Psychosocial impact of Chlamydia trachomatis testing in general practice.", "type" : "article-journal", "volume" : "56" }, "uris" : [ "http://www.mendeley.com/documents/?uuid=a11b307f-ea7e-3796-92ce-0e597c86b72b" ] }, { "id" : "ITEM-4", "itemData" : { "DOI" : "10.1186/1471-2458-6-106", "ISSN" : "1471-2458", "PMID" : "16638147", "abstract" : "BACKGROUND The advent of urine testing for Chlamydia trachomatis has raised the possibility of large-scale screening for this sexually transmitted infection, which is now the most common in the United Kingdom. The purpose of this study was to investigate the effect of an invitation to be screened for chlamydia and of receiving a negative result on levels of anxiety, depression and self-esteem. METHODS 19,773 men and women aged 16 to 39 years, selected at random from 27 general practices in two large city areas (Bristol and Birmingham) were invited by post to send home-collected urine samples or vulvo-vaginal swabs for chlamydia testing. Questionnaires enquiring about anxiety, depression and self-esteem were sent to random samples of those offered screening: one month before the dispatch of invitations; when participants returned samples; and after receiving a negative result. RESULTS Home screening was associated with an overall reduction in anxiety scores. An invitation to participate did not increase anxiety levels. Anxiety scores in men were lower after receiving the invitation than at baseline. Amongst women anxiety was reduced after receipt of negative test results. Neither depression nor self-esteem scores were affected by screening. CONCLUSION Postal screening for chlamydia does not appear to have a negative impact on overall psychological well-being and can lead to a decrease in anxiety levels among respondents. There is, however, a clear difference between men and women in when this reduction occurs.", "author" : [ { "dropping-particle" : "", "family" : "Campbell", "given" : "Rona", "non-dropping-particle" : "", "parse-names" : false, "suffix" : "" }, { "dropping-particle" : "", "family" : "Mills", "given" : "Nicola", "non-dropping-particle" : "", "parse-names" : false, "suffix" : "" }, { "dropping-particle" : "", "family" : "Sanford", "given" : "Emma", "non-dropping-particle" : "", "parse-names" : false, "suffix" : "" }, { "dropping-particle" : "", "family" : "Graham", "given" : "Anna", "non-dropping-particle" : "", "parse-names" : false, "suffix" : "" }, { "dropping-particle" : "", "family" : "Low", "given" : "Nicola", "non-dropping-particle" : "", "parse-names" : false, "suffix" : "" }, { "dropping-particle" : "", "family" : "Peters", "given" : "Tim J", "non-dropping-particle" : "", "parse-names" : false, "suffix" : "" }, { "dropping-particle" : "", "family" : "Chlamydia Screening Studies (ClaSS) Group", "given" : "", "non-dropping-particle" : "", "parse-names" : false, "suffix" : "" } ], "container-title" : "BMC public health", "id" : "ITEM-4", "issued" : { "date-parts" : [ [ "2006" ] ] }, "note" : "women and men quantitative", "page" : "106", "title" : "Does population screening for Chlamydia trachomatis raise anxiety among those tested? Findings from a population based chlamydia screening study.", "type" : "article-journal", "volume" : "6" }, "uris" : [ "http://www.mendeley.com/documents/?uuid=65b89839-c53f-3c9a-9ff4-38e6cb56dbc9" ] } ], "mendeley" : { "formattedCitation" : "[8,10,14,29]", "plainTextFormattedCitation" : "[8,10,14,29]" }, "properties" : { "noteIndex" : 0 }, "schema" : "https://github.com/citation-style-language/schema/raw/master/csl-citation.json" }</w:instrText>
      </w:r>
      <w:r w:rsidR="00B907B3" w:rsidRPr="009979BF">
        <w:rPr>
          <w:color w:val="auto"/>
          <w:sz w:val="20"/>
          <w:szCs w:val="20"/>
        </w:rPr>
        <w:fldChar w:fldCharType="separate"/>
      </w:r>
      <w:r w:rsidR="006F23EA" w:rsidRPr="009979BF">
        <w:rPr>
          <w:noProof/>
          <w:color w:val="auto"/>
          <w:sz w:val="20"/>
          <w:szCs w:val="20"/>
        </w:rPr>
        <w:t>[8,10,14,29]</w:t>
      </w:r>
      <w:r w:rsidR="00B907B3" w:rsidRPr="009979BF">
        <w:rPr>
          <w:color w:val="auto"/>
          <w:sz w:val="20"/>
          <w:szCs w:val="20"/>
        </w:rPr>
        <w:fldChar w:fldCharType="end"/>
      </w:r>
      <w:r w:rsidR="006F23EA" w:rsidRPr="009979BF">
        <w:rPr>
          <w:color w:val="auto"/>
          <w:sz w:val="20"/>
          <w:szCs w:val="20"/>
        </w:rPr>
        <w:t xml:space="preserve">  </w:t>
      </w:r>
      <w:r w:rsidRPr="009979BF">
        <w:rPr>
          <w:color w:val="auto"/>
          <w:sz w:val="20"/>
          <w:szCs w:val="20"/>
        </w:rPr>
        <w:t>This was supported by one of our qualitative interview participants.  The increases we found in the EQ-5D-5L Index value</w:t>
      </w:r>
      <w:r w:rsidRPr="009979BF">
        <w:rPr>
          <w:rFonts w:cs="Times New Roman"/>
          <w:color w:val="auto"/>
          <w:sz w:val="20"/>
          <w:szCs w:val="20"/>
        </w:rPr>
        <w:t xml:space="preserve"> may reflect decreases in the anxiety and pain/discomfort domains of the scale from just prior to consultation at baseline to </w:t>
      </w:r>
      <w:r w:rsidRPr="009979BF">
        <w:rPr>
          <w:rFonts w:cs="Tahoma"/>
          <w:color w:val="auto"/>
          <w:spacing w:val="-3"/>
          <w:sz w:val="20"/>
          <w:szCs w:val="20"/>
        </w:rPr>
        <w:t>receipt of all test results in FU-1.</w:t>
      </w:r>
      <w:r w:rsidRPr="009979BF">
        <w:rPr>
          <w:rFonts w:cs="Times New Roman"/>
          <w:color w:val="auto"/>
          <w:sz w:val="20"/>
          <w:szCs w:val="20"/>
        </w:rPr>
        <w:t xml:space="preserve"> Shoveller </w:t>
      </w:r>
      <w:r w:rsidRPr="009979BF">
        <w:rPr>
          <w:rFonts w:cs="Times New Roman"/>
          <w:i/>
          <w:color w:val="auto"/>
          <w:sz w:val="20"/>
          <w:szCs w:val="20"/>
        </w:rPr>
        <w:t xml:space="preserve">et al. </w:t>
      </w:r>
      <w:r w:rsidRPr="009979BF">
        <w:rPr>
          <w:rFonts w:cs="Times New Roman"/>
          <w:color w:val="auto"/>
          <w:sz w:val="20"/>
          <w:szCs w:val="20"/>
        </w:rPr>
        <w:t xml:space="preserve">reported that the majority of men diagnosed with an STI in SHCs had </w:t>
      </w:r>
      <w:r w:rsidRPr="009979BF">
        <w:rPr>
          <w:color w:val="auto"/>
          <w:sz w:val="20"/>
          <w:szCs w:val="20"/>
        </w:rPr>
        <w:t xml:space="preserve">reported feeling anxious waiting for potentially bad news </w:t>
      </w:r>
      <w:r w:rsidR="00B907B3" w:rsidRPr="009979BF">
        <w:rPr>
          <w:color w:val="auto"/>
          <w:sz w:val="20"/>
          <w:szCs w:val="20"/>
        </w:rPr>
        <w:fldChar w:fldCharType="begin" w:fldLock="1"/>
      </w:r>
      <w:r w:rsidR="006F23EA" w:rsidRPr="009979BF">
        <w:rPr>
          <w:color w:val="auto"/>
          <w:sz w:val="20"/>
          <w:szCs w:val="20"/>
        </w:rPr>
        <w:instrText>ADDIN CSL_CITATION { "citationItems" : [ { "id" : "ITEM-1", "itemData" : { "DOI" : "10.1111/j.1467-9566.2009.01222.x", "ISSN" : "01419889", "author" : [ { "dropping-particle" : "", "family" : "Shoveller", "given" : "Jean A.", "non-dropping-particle" : "", "parse-names" : false, "suffix" : "" }, { "dropping-particle" : "", "family" : "Knight", "given" : "Rod", "non-dropping-particle" : "", "parse-names" : false, "suffix" : "" }, { "dropping-particle" : "", "family" : "Johnson", "given" : "Joy", "non-dropping-particle" : "", "parse-names" : false, "suffix" : "" }, { "dropping-particle" : "", "family" : "Oliffe", "given" : "John L.", "non-dropping-particle" : "", "parse-names" : false, "suffix" : "" }, { "dropping-particle" : "", "family" : "Goldenberg", "given" : "Shira", "non-dropping-particle" : "", "parse-names" : false, "suffix" : "" } ], "container-title" : "Sociology of Health &amp; Illness", "id" : "ITEM-1", "issue" : "1", "issued" : { "date-parts" : [ [ "2010", "1" ] ] }, "page" : "57-73", "publisher" : "Blackwell Publishing Ltd", "title" : "\u2018Not the swab!\u2019 Young men\u2019s experiences with STI testing", "type" : "article-journal", "volume" : "32" }, "uris" : [ "http://www.mendeley.com/documents/?uuid=e782f050-109d-300e-89a6-66a4058138a9" ] } ], "mendeley" : { "formattedCitation" : "[30]", "plainTextFormattedCitation" : "[30]", "previouslyFormattedCitation" : "[31]" }, "properties" : { "noteIndex" : 0 }, "schema" : "https://github.com/citation-style-language/schema/raw/master/csl-citation.json" }</w:instrText>
      </w:r>
      <w:r w:rsidR="00B907B3" w:rsidRPr="009979BF">
        <w:rPr>
          <w:color w:val="auto"/>
          <w:sz w:val="20"/>
          <w:szCs w:val="20"/>
        </w:rPr>
        <w:fldChar w:fldCharType="separate"/>
      </w:r>
      <w:r w:rsidR="006F23EA" w:rsidRPr="009979BF">
        <w:rPr>
          <w:noProof/>
          <w:color w:val="auto"/>
          <w:sz w:val="20"/>
          <w:szCs w:val="20"/>
        </w:rPr>
        <w:t>[30]</w:t>
      </w:r>
      <w:r w:rsidR="00B907B3" w:rsidRPr="009979BF">
        <w:rPr>
          <w:color w:val="auto"/>
          <w:sz w:val="20"/>
          <w:szCs w:val="20"/>
        </w:rPr>
        <w:fldChar w:fldCharType="end"/>
      </w:r>
      <w:r w:rsidRPr="009979BF">
        <w:rPr>
          <w:color w:val="auto"/>
          <w:sz w:val="20"/>
          <w:szCs w:val="20"/>
        </w:rPr>
        <w:t>, and so</w:t>
      </w:r>
      <w:r w:rsidRPr="009979BF">
        <w:rPr>
          <w:rFonts w:cs="Times New Roman"/>
          <w:color w:val="auto"/>
          <w:sz w:val="20"/>
          <w:szCs w:val="20"/>
        </w:rPr>
        <w:t xml:space="preserve"> this finding may reflect that men found relief following treatment and explanation of their symptoms, and receiving negative results for more serious infections such as HIV. Due to our small sample size we were unable to find significant associations between participant satisfaction with their clinic visit and relief from symptoms and infection status in our CASI FU-1 data.  </w:t>
      </w:r>
    </w:p>
    <w:p w14:paraId="5F5A85F9" w14:textId="77777777" w:rsidR="000F604F" w:rsidRPr="009979BF" w:rsidRDefault="000F604F" w:rsidP="000F604F">
      <w:pPr>
        <w:spacing w:line="360" w:lineRule="auto"/>
        <w:jc w:val="both"/>
        <w:rPr>
          <w:rFonts w:cs="Times New Roman"/>
          <w:color w:val="auto"/>
          <w:sz w:val="20"/>
          <w:szCs w:val="20"/>
        </w:rPr>
      </w:pPr>
    </w:p>
    <w:p w14:paraId="2ED283D7" w14:textId="77777777" w:rsidR="00F74A0A" w:rsidRPr="009979BF" w:rsidRDefault="000F604F">
      <w:pPr>
        <w:spacing w:line="360" w:lineRule="auto"/>
        <w:jc w:val="both"/>
        <w:rPr>
          <w:rFonts w:cs="Times New Roman"/>
          <w:color w:val="auto"/>
          <w:sz w:val="20"/>
          <w:szCs w:val="20"/>
        </w:rPr>
      </w:pPr>
      <w:r w:rsidRPr="009979BF">
        <w:rPr>
          <w:color w:val="auto"/>
          <w:sz w:val="20"/>
          <w:szCs w:val="20"/>
        </w:rPr>
        <w:t>Furthermore, in men diagnosed with NSGI, we found decreased mean RSES score (indicating decreased self-esteem) f</w:t>
      </w:r>
      <w:r w:rsidR="00C45E5C" w:rsidRPr="009979BF">
        <w:rPr>
          <w:color w:val="auto"/>
          <w:sz w:val="20"/>
          <w:szCs w:val="20"/>
        </w:rPr>
        <w:t>rom baseline to approximately one week after receiving all STI test results</w:t>
      </w:r>
      <w:r w:rsidRPr="009979BF">
        <w:rPr>
          <w:color w:val="auto"/>
          <w:sz w:val="20"/>
          <w:szCs w:val="20"/>
        </w:rPr>
        <w:t xml:space="preserve">. </w:t>
      </w:r>
      <w:r w:rsidR="00C45E5C" w:rsidRPr="009979BF">
        <w:rPr>
          <w:color w:val="auto"/>
          <w:sz w:val="20"/>
          <w:szCs w:val="20"/>
        </w:rPr>
        <w:t>These</w:t>
      </w:r>
      <w:r w:rsidR="00C45E5C" w:rsidRPr="009979BF">
        <w:rPr>
          <w:rFonts w:cs="Times New Roman"/>
          <w:color w:val="auto"/>
          <w:sz w:val="20"/>
          <w:szCs w:val="20"/>
        </w:rPr>
        <w:t xml:space="preserve"> findings support data from previous qualitative studies where men diagnosed with an STI in an SHC reported negative psychosocial impacts including </w:t>
      </w:r>
      <w:r w:rsidR="008D4440" w:rsidRPr="009979BF">
        <w:rPr>
          <w:rFonts w:cs="Times New Roman"/>
          <w:color w:val="auto"/>
          <w:sz w:val="20"/>
          <w:szCs w:val="20"/>
        </w:rPr>
        <w:t>stigma; anxiety;</w:t>
      </w:r>
      <w:r w:rsidR="00C45E5C" w:rsidRPr="009979BF">
        <w:rPr>
          <w:rFonts w:cs="Times New Roman"/>
          <w:color w:val="auto"/>
          <w:sz w:val="20"/>
          <w:szCs w:val="20"/>
        </w:rPr>
        <w:t xml:space="preserve"> </w:t>
      </w:r>
      <w:r w:rsidR="008D4440" w:rsidRPr="009979BF">
        <w:rPr>
          <w:rFonts w:cs="Times New Roman"/>
          <w:color w:val="auto"/>
          <w:sz w:val="20"/>
          <w:szCs w:val="20"/>
        </w:rPr>
        <w:t>shame; isolation;</w:t>
      </w:r>
      <w:r w:rsidR="00C45E5C" w:rsidRPr="009979BF">
        <w:rPr>
          <w:rFonts w:cs="Times New Roman"/>
          <w:color w:val="auto"/>
          <w:sz w:val="20"/>
          <w:szCs w:val="20"/>
        </w:rPr>
        <w:t xml:space="preserve"> c</w:t>
      </w:r>
      <w:r w:rsidR="008D4440" w:rsidRPr="009979BF">
        <w:rPr>
          <w:rFonts w:cs="Times New Roman"/>
          <w:color w:val="auto"/>
          <w:sz w:val="20"/>
          <w:szCs w:val="20"/>
        </w:rPr>
        <w:t>oncerns regarding relationships; a loss of social status; vulnerability;</w:t>
      </w:r>
      <w:r w:rsidR="008D4440" w:rsidRPr="009979BF">
        <w:rPr>
          <w:color w:val="auto"/>
          <w:sz w:val="20"/>
          <w:szCs w:val="20"/>
        </w:rPr>
        <w:t xml:space="preserve"> a lack of privacy</w:t>
      </w:r>
      <w:r w:rsidR="008D4440" w:rsidRPr="009979BF">
        <w:rPr>
          <w:rFonts w:cs="Times New Roman"/>
          <w:color w:val="auto"/>
          <w:sz w:val="20"/>
          <w:szCs w:val="20"/>
        </w:rPr>
        <w:t xml:space="preserve"> and</w:t>
      </w:r>
      <w:r w:rsidR="00C45E5C" w:rsidRPr="009979BF">
        <w:rPr>
          <w:rFonts w:cs="Times New Roman"/>
          <w:color w:val="auto"/>
          <w:sz w:val="20"/>
          <w:szCs w:val="20"/>
        </w:rPr>
        <w:t xml:space="preserve"> </w:t>
      </w:r>
      <w:r w:rsidR="008D4440" w:rsidRPr="009979BF">
        <w:rPr>
          <w:rFonts w:cs="Times New Roman"/>
          <w:color w:val="auto"/>
          <w:sz w:val="20"/>
          <w:szCs w:val="20"/>
        </w:rPr>
        <w:t xml:space="preserve">fear of STI testing, particularly urethral swab testing </w:t>
      </w:r>
      <w:r w:rsidR="00B907B3" w:rsidRPr="009979BF">
        <w:rPr>
          <w:rFonts w:cs="Times New Roman"/>
          <w:color w:val="auto"/>
          <w:sz w:val="20"/>
          <w:szCs w:val="20"/>
        </w:rPr>
        <w:fldChar w:fldCharType="begin" w:fldLock="1"/>
      </w:r>
      <w:r w:rsidR="006F23EA" w:rsidRPr="009979BF">
        <w:rPr>
          <w:rFonts w:cs="Times New Roman"/>
          <w:color w:val="auto"/>
          <w:sz w:val="20"/>
          <w:szCs w:val="20"/>
        </w:rPr>
        <w:instrText>ADDIN CSL_CITATION { "citationItems" : [ { "id" : "ITEM-1", "itemData" : { "ISSN" : "1368-4973", "PMID" : "14573831", "abstract" : "OBJECTIVES To explore men's and women's accounts of chlamydia testing, with a view to understanding sex differences in attitudes and in behaviours of public health importance. METHODS Semistructured interviews with 24 heterosexual patients (12 men; 12 women) diagnosed with genital chlamydia infection, at a large sexual health clinic in central London were transcribed and analysed using qualitative thematic analysis. RESULTS Participants' expressions revealed important sex differences. Women felt anxious about their future reproductive health, feared stigmatisation, and blamed themselves for contracting chlamydia; whereas men generally reported less concern, were unwilling to disclose their condition to sexual partners, and some men projected attributions of blame onto their partners. Delays in seeking care appeared to be related to perceptions of chlamydia as a relatively minor infection, particularly in men. CONCLUSIONS Health promotion needs to reflect sex and age differences, emphasising the negative consequences of delayed clinic attendance and exposure to repeat infections. For health professionals to respond appropriately and effectively to increasing numbers of chlamydia infections, there is a need to understand men's avoidant attitudes and behaviours in relation to sexual and reproductive health.", "author" : [ { "dropping-particle" : "", "family" : "Darroch", "given" : "J", "non-dropping-particle" : "", "parse-names" : false, "suffix" : "" }, { "dropping-particle" : "", "family" : "Myers", "given" : "L", "non-dropping-particle" : "", "parse-names" : false, "suffix" : "" }, { "dropping-particle" : "", "family" : "Cassell", "given" : "J", "non-dropping-particle" : "", "parse-names" : false, "suffix" : "" } ], "container-title" : "Sexually transmitted infections", "id" : "ITEM-1", "issue" : "5", "issued" : { "date-parts" : [ [ "2003", "10" ] ] }, "note" : "women and men qualitative", "page" : "372-3", "title" : "Sex differences in the experience of testing positive for genital chlamydia infection: a qualitative study with implications for public health and for a national screening programme.", "type" : "article-journal", "volume" : "79" }, "uris" : [ "http://www.mendeley.com/documents/?uuid=ac30572a-46ca-3208-87df-347896c74808" ] }, { "id" : "ITEM-2", "itemData" : { "ISSN" : "0264-0325", "PMID" : "10076643", "abstract" : "This study considers aspects of the experiences of a group of people attending a sexual health clinic and receiving the diagnosis of a sexually transmitted infection (STI). The study was conducted in the form of action research using a qualitative approach. Participants consisted of eight attenders at a sexual health clinic who had been diagnosed with a sexually transmitted infection. Counselling skills and techniques were used throughout semi-structured interviews to explore participants' feelings about these issues. Thematic analysis was used to generate themes of importance to the participants. Some people who had been to a sexual health clinic and received a diagnosis of a sexually transmitted infection were found to experience feelings of anxiety, stigma and isolation. This study is of value to all those working in the field of sexual health with an interest in understanding the issues that are important to the client group.", "author" : [ { "dropping-particle" : "", "family" : "Holgate", "given" : "H S", "non-dropping-particle" : "", "parse-names" : false, "suffix" : "" }, { "dropping-particle" : "", "family" : "Longman", "given" : "C", "non-dropping-particle" : "", "parse-names" : false, "suffix" : "" } ], "container-title" : "Journal of the Royal Society of Health", "id" : "ITEM-2", "issue" : "2", "issued" : { "date-parts" : [ [ "1998", "4" ] ] }, "page" : "94-6", "title" : "Some peoples' psychological experiences of attending a sexual health clinic and having a sexually transmitted infection.", "type" : "article-journal", "volume" : "118" }, "uris" : [ "http://www.mendeley.com/documents/?uuid=63713af5-a21e-30d3-9210-20b769f6023a" ] }, { "id" : "ITEM-3", "itemData" : { "DOI" : "10.1177/1359105306069098", "ISSN" : "1359-1053", "PMID" : "17158837", "abstract" : "A gap in the literature regarding understanding of people's health care seeking behaviours in relation to sexually transmitted infections is identified. Employing both deductive and inductive methods, 10 patients (five female, five male) were interviewed to explore the psychosocial, motivational and attitudinal factors associated with attendance at a Genito-Urinary Medicine (GUM) clinic in a close-knit community in the north of England. Seven stigma-related themes were identified as salient issues surrounding perceptions of sexual health screening and included: (1)prejudice surrounding STIs; (2)fear of exposure; (3)isolation; (4)reluctance to attend; (5)contamination; (6)relationship issues; and (7)perceived invulnerability. Within these themes distinct gender differences were identified. Implications for the theory of planned behaviour (TPB) are discussed against the factors identified.", "author" : [ { "dropping-particle" : "", "family" : "Mulholland", "given" : "Ellen", "non-dropping-particle" : "", "parse-names" : false, "suffix" : "" }, { "dropping-particle" : "", "family" : "Wersch", "given" : "Anna", "non-dropping-particle" : "Van", "parse-names" : false, "suffix" : "" } ], "container-title" : "Journal of health psychology", "id" : "ITEM-3", "issue" : "1", "issued" : { "date-parts" : [ [ "2007", "1" ] ] }, "page" : "17-31", "title" : "Stigma, sexually transmitted infections and attendance at the GUM Clinic: an exploratory study with implications for the theory of planned behaviour.", "type" : "article-journal", "volume" : "12" }, "uris" : [ "http://www.mendeley.com/documents/?uuid=f3370123-34a8-3f6c-959f-e8c6b6c57612" ] }, { "id" : "ITEM-4", "itemData" : { "DOI" : "10.1080/01460860600677577", "ISSN" : "0146-0862", "PMID" : "16772237", "abstract" : "CONTEXT Risky sexual behaviors among adolescent males put them at risk for sexually transmitted diseases, HIV/AIDS, and unplanned fatherhood, yet few facilities in the United States provide focused sexual and reproductive health services to these young men. A general acknowledgement exists that the development of such services is needed, yet there is little research to guide providers in making existing services more attractive to young males and in developing new sexual health services for this population. OBJECTIVES This research aimed to explore attitudes and perceptions of urban black male adolescents regarding the availability of and access to reproductive healthcare. METHODS Eighteen black male adolescents participated in three focus group discussions held in a central New Jersey city. Transcripts of the discussions were analyzed using the constant comparative method. Resulting categories were grouped into themes, which reflected the adolescents' perceptions and experiences. Member checks were used to verify findings. RESULTS The adolescents felt that obtaining sexual health services was a stressful experience fraught with both internal and external barriers. Internal barriers included a fear of stigma and a loss of social status, shame, and embarrassment. External barriers included disrespectful providers, a lack of privacy/confidentiality, and challenges in accessing and negotiating the healthcare system. The young males described an idealized clinic environment as informal, welcoming, and respectful. DISCUSSION AND CONCLUSIONS Providers should focus on improving the quality of care in existing clinics, particularly in the areas of access, privacy, and confidentiality, and on developing adolescent-friendly clinics focusing on male services. Adolescents should be encouraged to visit clinics prior to an acute need for services. There also is a need for providers who are comfortable with and able to communicate with male adolescents.", "author" : [ { "dropping-particle" : "", "family" : "Lindberg", "given" : "Claire", "non-dropping-particle" : "", "parse-names" : false, "suffix" : "" }, { "dropping-particle" : "", "family" : "Lewis-Spruill", "given" : "Carolyn", "non-dropping-particle" : "", "parse-names" : false, "suffix" : "" }, { "dropping-particle" : "", "family" : "Crownover", "given" : "Rodney", "non-dropping-particle" : "", "parse-names" : false, "suffix" : "" } ], "container-title" : "Issues in comprehensive pediatric nursing", "id" : "ITEM-4", "issue" : "2", "issued" : { "date-parts" : [ [ "2006", "1", "10" ] ] }, "page" : "73-88", "title" : "Barriers to sexual and reproductive health care: urban male adolescents speak out.", "type" : "article-journal", "volume" : "29" }, "uris" : [ "http://www.mendeley.com/documents/?uuid=dd35c6ca-3ad0-34d2-8de8-d4b56829768c" ] }, { "id" : "ITEM-5", "itemData" : { "DOI" : "10.1111/j.1467-9566.2009.01222.x", "ISSN" : "01419889", "author" : [ { "dropping-particle" : "", "family" : "Shoveller", "given" : "Jean A.", "non-dropping-particle" : "", "parse-names" : false, "suffix" : "" }, { "dropping-particle" : "", "family" : "Knight", "given" : "Rod", "non-dropping-particle" : "", "parse-names" : false, "suffix" : "" }, { "dropping-particle" : "", "family" : "Johnson", "given" : "Joy", "non-dropping-particle" : "", "parse-names" : false, "suffix" : "" }, { "dropping-particle" : "", "family" : "Oliffe", "given" : "John L.", "non-dropping-particle" : "", "parse-names" : false, "suffix" : "" }, { "dropping-particle" : "", "family" : "Goldenberg", "given" : "Shira", "non-dropping-particle" : "", "parse-names" : false, "suffix" : "" } ], "container-title" : "Sociology of Health &amp; Illness", "id" : "ITEM-5", "issue" : "1", "issued" : { "date-parts" : [ [ "2010", "1" ] ] }, "page" : "57-73", "publisher" : "Blackwell Publishing Ltd", "title" : "\u2018Not the swab!\u2019 Young men\u2019s experiences with STI testing", "type" : "article-journal", "volume" : "32" }, "uris" : [ "http://www.mendeley.com/documents/?uuid=e782f050-109d-300e-89a6-66a4058138a9" ] } ], "mendeley" : { "formattedCitation" : "[8,10,30\u201332]", "plainTextFormattedCitation" : "[8,10,30\u201332]", "previouslyFormattedCitation" : "[8,10,29\u201331]" }, "properties" : { "noteIndex" : 0 }, "schema" : "https://github.com/citation-style-language/schema/raw/master/csl-citation.json" }</w:instrText>
      </w:r>
      <w:r w:rsidR="00B907B3" w:rsidRPr="009979BF">
        <w:rPr>
          <w:rFonts w:cs="Times New Roman"/>
          <w:color w:val="auto"/>
          <w:sz w:val="20"/>
          <w:szCs w:val="20"/>
        </w:rPr>
        <w:fldChar w:fldCharType="separate"/>
      </w:r>
      <w:r w:rsidR="006F23EA" w:rsidRPr="009979BF">
        <w:rPr>
          <w:rFonts w:cs="Times New Roman"/>
          <w:noProof/>
          <w:color w:val="auto"/>
          <w:sz w:val="20"/>
          <w:szCs w:val="20"/>
        </w:rPr>
        <w:t>[8,10,30–32]</w:t>
      </w:r>
      <w:r w:rsidR="00B907B3" w:rsidRPr="009979BF">
        <w:rPr>
          <w:rFonts w:cs="Times New Roman"/>
          <w:color w:val="auto"/>
          <w:sz w:val="20"/>
          <w:szCs w:val="20"/>
        </w:rPr>
        <w:fldChar w:fldCharType="end"/>
      </w:r>
      <w:r w:rsidR="008D4440" w:rsidRPr="009979BF">
        <w:rPr>
          <w:rFonts w:cs="Times New Roman"/>
          <w:color w:val="auto"/>
          <w:sz w:val="20"/>
          <w:szCs w:val="20"/>
        </w:rPr>
        <w:t xml:space="preserve">. </w:t>
      </w:r>
      <w:r w:rsidR="00F916D9" w:rsidRPr="009979BF">
        <w:rPr>
          <w:rFonts w:cs="Times New Roman"/>
          <w:color w:val="auto"/>
          <w:sz w:val="20"/>
          <w:szCs w:val="20"/>
        </w:rPr>
        <w:t>We did not find a decrease in self</w:t>
      </w:r>
      <w:r w:rsidR="00FA2FEA" w:rsidRPr="009979BF">
        <w:rPr>
          <w:rFonts w:cs="Times New Roman"/>
          <w:color w:val="auto"/>
          <w:sz w:val="20"/>
          <w:szCs w:val="20"/>
        </w:rPr>
        <w:t>-</w:t>
      </w:r>
      <w:r w:rsidR="00F916D9" w:rsidRPr="009979BF">
        <w:rPr>
          <w:rFonts w:cs="Times New Roman"/>
          <w:color w:val="auto"/>
          <w:sz w:val="20"/>
          <w:szCs w:val="20"/>
        </w:rPr>
        <w:t>esteem in men diagnosed with CT which might suggest that NSGI is perceived differentl</w:t>
      </w:r>
      <w:r w:rsidR="00F74A0A" w:rsidRPr="009979BF">
        <w:rPr>
          <w:rFonts w:cs="Times New Roman"/>
          <w:color w:val="auto"/>
          <w:sz w:val="20"/>
          <w:szCs w:val="20"/>
        </w:rPr>
        <w:t>y to CT</w:t>
      </w:r>
      <w:r w:rsidR="00FA0526" w:rsidRPr="009979BF">
        <w:rPr>
          <w:rFonts w:cs="Times New Roman"/>
          <w:color w:val="auto"/>
          <w:sz w:val="20"/>
          <w:szCs w:val="20"/>
        </w:rPr>
        <w:t>.</w:t>
      </w:r>
      <w:r w:rsidR="00B907B3" w:rsidRPr="009979BF">
        <w:rPr>
          <w:color w:val="auto"/>
          <w:sz w:val="20"/>
          <w:szCs w:val="20"/>
        </w:rPr>
        <w:t xml:space="preserve"> </w:t>
      </w:r>
      <w:r w:rsidR="00B907B3" w:rsidRPr="009979BF">
        <w:rPr>
          <w:rFonts w:cs="Times New Roman"/>
          <w:color w:val="auto"/>
          <w:sz w:val="20"/>
          <w:szCs w:val="20"/>
        </w:rPr>
        <w:t xml:space="preserve">In our qualitative interviews </w:t>
      </w:r>
      <w:r w:rsidR="00B907B3" w:rsidRPr="009979BF">
        <w:rPr>
          <w:color w:val="auto"/>
          <w:sz w:val="20"/>
          <w:szCs w:val="20"/>
        </w:rPr>
        <w:t>participants with NSGI reported concerns regarding the uncertainty of the diagnosis, and fear of the impact of a possible STI diagnosis on their relationships; these factor</w:t>
      </w:r>
      <w:r w:rsidR="00FA0526" w:rsidRPr="009979BF">
        <w:rPr>
          <w:color w:val="auto"/>
          <w:sz w:val="20"/>
          <w:szCs w:val="20"/>
        </w:rPr>
        <w:t>s may be important in the observed decreased self-esteem in these men.</w:t>
      </w:r>
    </w:p>
    <w:p w14:paraId="5D189589" w14:textId="77777777" w:rsidR="00386FE6" w:rsidRPr="009979BF" w:rsidRDefault="00386FE6">
      <w:pPr>
        <w:widowControl w:val="0"/>
        <w:autoSpaceDE w:val="0"/>
        <w:autoSpaceDN w:val="0"/>
        <w:adjustRightInd w:val="0"/>
        <w:spacing w:line="360" w:lineRule="auto"/>
        <w:jc w:val="both"/>
        <w:rPr>
          <w:color w:val="auto"/>
          <w:sz w:val="20"/>
          <w:szCs w:val="20"/>
        </w:rPr>
      </w:pPr>
    </w:p>
    <w:p w14:paraId="132D9F16" w14:textId="77777777" w:rsidR="00646B11" w:rsidRPr="009979BF" w:rsidRDefault="00B907B3">
      <w:pPr>
        <w:widowControl w:val="0"/>
        <w:autoSpaceDE w:val="0"/>
        <w:autoSpaceDN w:val="0"/>
        <w:adjustRightInd w:val="0"/>
        <w:spacing w:line="360" w:lineRule="auto"/>
        <w:jc w:val="both"/>
        <w:rPr>
          <w:rFonts w:cs="Times New Roman"/>
          <w:b/>
          <w:color w:val="auto"/>
          <w:sz w:val="20"/>
          <w:szCs w:val="20"/>
        </w:rPr>
      </w:pPr>
      <w:r w:rsidRPr="009979BF">
        <w:rPr>
          <w:rFonts w:cs="Times New Roman"/>
          <w:b/>
          <w:color w:val="auto"/>
          <w:sz w:val="20"/>
          <w:szCs w:val="20"/>
        </w:rPr>
        <w:t>Limitations</w:t>
      </w:r>
    </w:p>
    <w:p w14:paraId="583CBB33" w14:textId="77777777" w:rsidR="000F604F" w:rsidRPr="009979BF" w:rsidRDefault="000F604F" w:rsidP="000F604F">
      <w:pPr>
        <w:spacing w:line="360" w:lineRule="auto"/>
        <w:rPr>
          <w:color w:val="auto"/>
          <w:sz w:val="20"/>
          <w:szCs w:val="20"/>
        </w:rPr>
      </w:pPr>
      <w:r w:rsidRPr="009979BF">
        <w:rPr>
          <w:color w:val="auto"/>
          <w:sz w:val="20"/>
          <w:szCs w:val="20"/>
        </w:rPr>
        <w:t xml:space="preserve">Our choice of HRQoL tool, the EQ-5D-5L, may not be sensitive enough to detect impacts caused by the diagnosis of CT, NG or NSGI, which are unlikely to cause </w:t>
      </w:r>
      <w:r w:rsidRPr="009979BF">
        <w:rPr>
          <w:color w:val="000000"/>
          <w:sz w:val="20"/>
          <w:szCs w:val="20"/>
        </w:rPr>
        <w:t xml:space="preserve">problems in at least two of the five domains: mobility, and self-care. Studies investigating HRQoL </w:t>
      </w:r>
      <w:r w:rsidRPr="009979BF">
        <w:rPr>
          <w:color w:val="auto"/>
          <w:sz w:val="20"/>
          <w:szCs w:val="20"/>
        </w:rPr>
        <w:t xml:space="preserve">and sexual health have found few significant differences with comparator groups using generic QoL instruments alone </w:t>
      </w:r>
      <w:r w:rsidR="00B907B3" w:rsidRPr="009979BF">
        <w:rPr>
          <w:color w:val="auto"/>
          <w:sz w:val="20"/>
          <w:szCs w:val="20"/>
        </w:rPr>
        <w:fldChar w:fldCharType="begin" w:fldLock="1"/>
      </w:r>
      <w:r w:rsidRPr="009979BF">
        <w:rPr>
          <w:color w:val="auto"/>
          <w:sz w:val="20"/>
          <w:szCs w:val="20"/>
        </w:rPr>
        <w:instrText>ADDIN CSL_CITATION { "citationItems" : [ { "id" : "ITEM-1", "itemData" : { "DOI" : "10.1097/OLQ.0000000000000407", "ISSN" : "1537-4521", "PMID" : "26859802", "abstract" : "BACKGROUND Most economic evaluations of interventions to prevent or control curable sexually transmitted infections (STIs), such as chlamydia, have focused on the longer-term health impacts avoided. However, there is a range of qualitative evidence suggesting that those who think that they might have an STI and/or undergo testing can experience impacts on their quality of life (QoL) at the testing and diagnosis stage. A systematic review was undertaken to identify and evaluate studies that have measured QoL and sexual health for women undergoing testing and screening for chlamydia. METHODS A systematic review was conducted, with searches of 5 electronic databases up to the end of August 2013. Data on study characteristics, methods, and results were extracted using a standard template, and a narrative synthesis was undertaken. RESULTS Eight studies measuring QoL and sexual health were included. The included studies measured a variety of aspects of QoL and sexual health, with a focus on psychosocial well-being. A range of validated tools were used to measure health and QoL, and \"bespoke\" questions were also developed. Few significant differences were found with comparator groups using generic instruments, but some impacts were found using bespoke questions. CONCLUSIONS Although researchers have begun to examine the relationships between QoL and sexual health, there are limitations associated with the evidence available. There is, thus, a need for further research exploring sexual health and QoL for patients undergoing testing and screening for curable STIs, with a focus on analyzing the most appropriate methodological approaches in this context.", "author" : [ { "dropping-particle" : "", "family" : "Jackson", "given" : "Louise J", "non-dropping-particle" : "", "parse-names" : false, "suffix" : "" }, { "dropping-particle" : "", "family" : "Roberts", "given" : "Tracy E", "non-dropping-particle" : "", "parse-names" : false, "suffix" : "" } ], "container-title" : "Sexually transmitted diseases", "id" : "ITEM-1", "issue" : "3", "issued" : { "date-parts" : [ [ "2016", "3" ] ] }, "page" : "152-64", "title" : "Measuring Health and Quality of Life for Women Undergoing Testing and Screening for Chlamydia: A Systematic Review.", "type" : "article-journal", "volume" : "43" }, "uris" : [ "http://www.mendeley.com/documents/?uuid=eb0ba4ce-f4c2-3314-bce6-c692ad302314" ] } ], "mendeley" : { "formattedCitation" : "[33]", "plainTextFormattedCitation" : "[33]", "previouslyFormattedCitation" : "[33]" }, "properties" : { "noteIndex" : 0 }, "schema" : "https://github.com/citation-style-language/schema/raw/master/csl-citation.json" }</w:instrText>
      </w:r>
      <w:r w:rsidR="00B907B3" w:rsidRPr="009979BF">
        <w:rPr>
          <w:color w:val="auto"/>
          <w:sz w:val="20"/>
          <w:szCs w:val="20"/>
        </w:rPr>
        <w:fldChar w:fldCharType="separate"/>
      </w:r>
      <w:r w:rsidRPr="009979BF">
        <w:rPr>
          <w:noProof/>
          <w:color w:val="auto"/>
          <w:sz w:val="20"/>
          <w:szCs w:val="20"/>
        </w:rPr>
        <w:t>[33]</w:t>
      </w:r>
      <w:r w:rsidR="00B907B3" w:rsidRPr="009979BF">
        <w:rPr>
          <w:color w:val="auto"/>
          <w:sz w:val="20"/>
          <w:szCs w:val="20"/>
        </w:rPr>
        <w:fldChar w:fldCharType="end"/>
      </w:r>
      <w:r w:rsidRPr="009979BF">
        <w:rPr>
          <w:color w:val="auto"/>
          <w:sz w:val="20"/>
          <w:szCs w:val="20"/>
        </w:rPr>
        <w:t xml:space="preserve">. STI-specific HRQoL and psychosocial impact tools have been developed for genital herpes and genital warts </w:t>
      </w:r>
      <w:r w:rsidR="00B907B3" w:rsidRPr="009979BF">
        <w:rPr>
          <w:color w:val="auto"/>
          <w:sz w:val="20"/>
          <w:szCs w:val="20"/>
        </w:rPr>
        <w:fldChar w:fldCharType="begin" w:fldLock="1"/>
      </w:r>
      <w:r w:rsidRPr="009979BF">
        <w:rPr>
          <w:color w:val="auto"/>
          <w:sz w:val="20"/>
          <w:szCs w:val="20"/>
        </w:rPr>
        <w:instrText>ADDIN CSL_CITATION { "citationItems" : [ { "id" : "ITEM-1", "itemData" : { "DOI" : "10.1111/j.1524-4733.2008.00424.x", "ISSN" : "1524-4733", "PMID" : "18647252", "abstract" : "OBJECTIVE To develop measures of the day-to-day symptomatic and functional impact of recurrent genital herpes (RGH) outbreaks. The Herpes Outbreak Impact Questionnaire (HOIQ) and the Herpes Symptom Checklist (HSC) were designed to be acceptable to clinical professionals and to reflect patients' experience. METHODS Scale content was derived via literature review and interviews with RGH patients and physicians. Questionnaires were assessed for face/content validity in the UK and the language checked for acceptability in the United States. The US measures were assessed for face/content validity with patients. Scaling/psychometric properties were determined via web survey. Participants completed the questionnaires twice during an outbreak, with 24 to 72 hours between administrations. RESULTS Respondents found the questionnaires relevant and easy to understand and complete. Application of Rasch analysis resulted in the removal of two HOIQ items. Both scales were found to be unidimensional. Item stability testing for the HOIQ indicated that the measure is reproducible. Internal consistency was good (alpha: time 1 = 0.87, time 2 = 0.91). Discriminative validity was demonstrated by the measure's ability to distinguish between individuals who differed by self-reported severity of outbreak. The HOIQ and HSC were both responsive to change over time. CONCLUSIONS The HSC and the HOIQ can determine the impact of a herpes outbreak effectively. They are designed to be used daily during such outbreaks and to determine the effectiveness of RGH treatment.", "author" : [ { "dropping-particle" : "", "family" : "Doward", "given" : "Lynda C", "non-dropping-particle" : "", "parse-names" : false, "suffix" : "" }, { "dropping-particle" : "", "family" : "McKenna", "given" : "Stephen P", "non-dropping-particle" : "", "parse-names" : false, "suffix" : "" }, { "dropping-particle" : "", "family" : "Meads", "given" : "David M", "non-dropping-particle" : "", "parse-names" : false, "suffix" : "" }, { "dropping-particle" : "", "family" : "Kahler", "given" : "Kristijan", "non-dropping-particle" : "", "parse-names" : false, "suffix" : "" }, { "dropping-particle" : "", "family" : "Frech", "given" : "Feride", "non-dropping-particle" : "", "parse-names" : false, "suffix" : "" } ], "container-title" : "Value in health : the journal of the International Society for Pharmacoeconomics and Outcomes Research", "id" : "ITEM-1", "issue" : "1", "issued" : { "date-parts" : [ [ "0" ] ] }, "page" : "139-45", "title" : "The development of the Herpes Symptom Checklist and the Herpes Outbreak Impact Questionnaire.", "type" : "article-journal", "volume" : "12" }, "uris" : [ "http://www.mendeley.com/documents/?uuid=29ae405d-7798-30df-a5e8-90058812866a" ] }, { "id" : "ITEM-2", "itemData" : { "DOI" : "10.1186/1477-7525-3-24", "ISSN" : "1477-7525", "PMID" : "15817127", "abstract" : "BACKGROUND Anogenital warts are the most easily recognized sign of genital Human Papilloma Virus infection. The objective was to develop a short, valid and reliable questionnaire to measure Health Related Quality of Life (HRQL) in patients with anogenital warts. METHODS First a literature review was performed to identify relevant papers describing the impact of anogenital warts in HRQL; second the main domains were identified by some experts in a focus group, and third in-depth-semi-structured interviews were conducted in patients with anogenital warts to identify the initial set of items. A qualitative reduction of the initial set of items was performed based on the mean scoring of the experts for the three scales: clarity, frequency and importance. The initial questionnaire was pilot tested in 135 patients. Rasch analysis was performed with the results of the questionnaire in order to refine the instrument. Spearman's correlation was calculated between the initial questionnaire and the reduced version. Additionally the measurement properties (validity and reliability) of the resulting final questionnaire were tested and compared using standard procedures (Cronbach's Alpha and item-total correlation). RESULTS the main domains identified as affected in patient's life were: sexual, colleagues and partner relationships. After a proper qualitative reduction the initial set of 134 items was reduced to 22. The questionnaire was pilot tested in 135 patients and two dimensions were identified after the multifactorial analysis: emotional dimension and sexual activity dimension. As a result of the Rasch analysis the questionnaire was reduced to 10 items. High correlation was found between the initial and the reduced version for the two dimensions. Cronbach's alpha values were acceptable (0.86). CONCLUSION The initial 22 items questionnaire was reduced by Rasch analysis to a version of 10 items, with two dimensions: emotional and sexual. The results suggest the adequacy of the 10 items to evaluate HRQL of patients with anogenital warts in a valid and reliable way.", "author" : [ { "dropping-particle" : "", "family" : "Badia", "given" : "Xavier", "non-dropping-particle" : "", "parse-names" : false, "suffix" : "" }, { "dropping-particle" : "", "family" : "Colombo", "given" : "Jose Antonio", "non-dropping-particle" : "", "parse-names" : false, "suffix" : "" }, { "dropping-particle" : "", "family" : "Lara", "given" : "Nuria", "non-dropping-particle" : "", "parse-names" : false, "suffix" : "" }, { "dropping-particle" : "", "family" : "Llorens", "given" : "M Angels", "non-dropping-particle" : "", "parse-names" : false, "suffix" : "" }, { "dropping-particle" : "", "family" : "Olmos", "given" : "Luis", "non-dropping-particle" : "", "parse-names" : false, "suffix" : "" }, { "dropping-particle" : "", "family" : "Sainz de los Terreros", "given" : "Miguel", "non-dropping-particle" : "", "parse-names" : false, "suffix" : "" }, { "dropping-particle" : "", "family" : "Varela", "given" : "Jose Antonio", "non-dropping-particle" : "", "parse-names" : false, "suffix" : "" }, { "dropping-particle" : "", "family" : "Vilata", "given" : "Juan Jose", "non-dropping-particle" : "", "parse-names" : false, "suffix" : "" } ], "container-title" : "Health and quality of life outcomes", "id" : "ITEM-2", "issue" : "1", "issued" : { "date-parts" : [ [ "2005", "4", "7" ] ] }, "page" : "24", "title" : "Combination of qualitative and quantitative methods for developing a new Health Related Quality of Life measure for patients with anogenital warts.", "type" : "article-journal", "volume" : "3" }, "uris" : [ "http://www.mendeley.com/documents/?uuid=c575017d-7a55-37b1-8d4e-ca1349e80ccc" ] }, { "id" : "ITEM-3", "itemData" : { "DOI" : "10.1185/03007990903238786", "ISSN" : "1473-4877", "PMID" : "19739938", "abstract" : "OBJECTIVE A comprehensive questionnaire designed to assess the full spectrum of potential human papillomavirus (HPV)-related psychosocial effects in women does not exist. The HPV Impact Profile (HIP) was developed to determine the psychosocial impact of HPV infection and related interventions. RESEARCH DESIGN AND METHODS Draft instrument items and domains were developed using a literature review and cognitive debriefing interviews with women who had experienced HPV-related conditions. An importance rating questionnaire guided item ranking and reduction. A draft questionnaire was pilot-tested for comprehension and ease of completion. Psychometric evaluation of the final HIP was conducted in a survey of 583 women. Data quality, item acceptability, scale acceptability, reliability, and discriminate construct validity were assessed. OUTCOME MEASURE The final HIP contained 29 items rated on a 0-10 point discretized visual analog scales grouped into seven hypothesized domains. RESULTS Total HIP scores ranged from 0 (no impact) to 100 (worst impact). Data quality was high, with missing data for items ranging from 0 to 0.7% and over 99% of the scores were computable. Cronbach's alpha ranged from 0.64 to 0.90 and was &gt; or =0.7 for 5/7 domains. Discriminant construct validity was demonstrated. Appropriate modifications could potentially be made to improve some aspects of the HIP, including modification to include other HPV diseases such as head and neck, anal, and vulvovaginal cancers and HPV disease in men. CONCLUSIONS The disease-specific HIP has favorable reliability and construct validity and a good ability to discriminate among disease severity.", "author" : [ { "dropping-particle" : "", "family" : "Mast", "given" : "T Christopher", "non-dropping-particle" : "", "parse-names" : false, "suffix" : "" }, { "dropping-particle" : "", "family" : "Zhu", "given" : "Xingshu", "non-dropping-particle" : "", "parse-names" : false, "suffix" : "" }, { "dropping-particle" : "", "family" : "Demuro-Mercon", "given" : "Carla", "non-dropping-particle" : "", "parse-names" : false, "suffix" : "" }, { "dropping-particle" : "", "family" : "Cummings", "given" : "Holly W", "non-dropping-particle" : "", "parse-names" : false, "suffix" : "" }, { "dropping-particle" : "", "family" : "Sings", "given" : "Heather L", "non-dropping-particle" : "", "parse-names" : false, "suffix" : "" }, { "dropping-particle" : "", "family" : "Ferris", "given" : "Daron G", "non-dropping-particle" : "", "parse-names" : false, "suffix" : "" } ], "container-title" : "Current medical research and opinion", "id" : "ITEM-3", "issue" : "11", "issued" : { "date-parts" : [ [ "2009", "11", "9" ] ] }, "page" : "2609-19", "title" : "Development and psychometric properties of the HPV Impact Profile (HIP) to assess the psychosocial burden of HPV.", "type" : "article-journal", "volume" : "25" }, "uris" : [ "http://www.mendeley.com/documents/?uuid=01b8da17-eb84-3a70-95d9-374108c2b9d4" ] } ], "mendeley" : { "formattedCitation" : "[34\u201336]", "plainTextFormattedCitation" : "[34\u201336]", "previouslyFormattedCitation" : "[34\u201336]" }, "properties" : { "noteIndex" : 0 }, "schema" : "https://github.com/citation-style-language/schema/raw/master/csl-citation.json" }</w:instrText>
      </w:r>
      <w:r w:rsidR="00B907B3" w:rsidRPr="009979BF">
        <w:rPr>
          <w:color w:val="auto"/>
          <w:sz w:val="20"/>
          <w:szCs w:val="20"/>
        </w:rPr>
        <w:fldChar w:fldCharType="separate"/>
      </w:r>
      <w:r w:rsidRPr="009979BF">
        <w:rPr>
          <w:noProof/>
          <w:color w:val="auto"/>
          <w:sz w:val="20"/>
          <w:szCs w:val="20"/>
        </w:rPr>
        <w:t>[34–36]</w:t>
      </w:r>
      <w:r w:rsidR="00B907B3" w:rsidRPr="009979BF">
        <w:rPr>
          <w:color w:val="auto"/>
          <w:sz w:val="20"/>
          <w:szCs w:val="20"/>
        </w:rPr>
        <w:fldChar w:fldCharType="end"/>
      </w:r>
      <w:r w:rsidRPr="009979BF">
        <w:rPr>
          <w:color w:val="auto"/>
          <w:sz w:val="20"/>
          <w:szCs w:val="20"/>
        </w:rPr>
        <w:t xml:space="preserve"> and several studies have now also combined both EQ-5D-5L and STI-specific tools </w:t>
      </w:r>
      <w:r w:rsidR="00B907B3" w:rsidRPr="009979BF">
        <w:rPr>
          <w:color w:val="auto"/>
          <w:sz w:val="20"/>
          <w:szCs w:val="20"/>
        </w:rPr>
        <w:fldChar w:fldCharType="begin" w:fldLock="1"/>
      </w:r>
      <w:r w:rsidRPr="009979BF">
        <w:rPr>
          <w:color w:val="auto"/>
          <w:sz w:val="20"/>
          <w:szCs w:val="20"/>
        </w:rPr>
        <w:instrText>ADDIN CSL_CITATION { "citationItems" : [ { "id" : "ITEM-1", "itemData" : { "DOI" : "10.1186/1471-2458-13-1065", "ISSN" : "1471-2458", "PMID" : "24215264", "abstract" : "BACKGROUND Data on the psychosocial burden of human papillomavirus (HPV)-related diseases other than cervical cancer are scarce. The objectives of this study were to measure and compare the psychosocial burden and the impact on health-related quality of life (HRQoL) of HPV-related lower genital tract diseases and genital warts (GW) using several generic and disease-specific instruments. METHODS Overall, 842 individuals with normal cervical cytology (n = 241), borderline nuclear abnormalities and/or mild dyskaryosis (n = 23), cervical intraepithelial neoplasia (CIN)1 (n = 84), CIN2/3 (n = 203), vulval intraepithelial neoplasia (VIN)2/3 (n = 43), GW (n = 186) and a history of GW (non-current) (n = 62) were included. The generic European Quality of Life Index Version 5D (EQ-5D) questionnaire was completed by patients with GW and VIN2/3. Sexual functioning was evaluated using the Change in Sexual Functioning Questionnaire (CSFQ). Psychosocial impact was measured in women using the HPV Impact Profile (HIP) questionnaire. HRQoL was assessed using a GW-specific questionnaire, the Cuestionario Especifico en Condilomas Acuminados (CECA) (completed by patients with GW and history of GW). For each instrument, scores were compared between groups using the Student's t-test. In addition, utility loss due to GW and VIN2/3 was evaluated by comparing mean EQ-5D scores weighted by age and sex with the UK general population normal values. RESULTS A significant psychosocial impact was found in women diagnosed with HPV-related genital diseases, particularly in those with GW. The health state of younger adults with GW was significantly impaired compared with UK normal values (mean EQ-5D index score 0.86 vs 0.94, p &lt; 0.001 for 18-24-year-olds; 0.87 vs 0.93, p = 0.030 for 25-34-year-olds). VIN2/3 was found to have a significant negative impact on sexual functioning, and women with VIN2/3 had a highly impaired health state compared with women in the UK general population (weighted mean EQ-5D index score 0.72 vs 0.89, p &lt; 0.001; weighted mean Visual Analogue Scale score 62 vs 85, p &lt; 0.001). CONCLUSIONS HPV-related lower genital tract lesions and GW significantly impair psychosocial wellbeing and HRQoL. The psychosocial aspects of HPV-related diseases need to be considered when evaluating the potential benefit of HPV vaccination.", "author" : [ { "dropping-particle" : "", "family" : "Dominiak-Felden", "given" : "G\u00e9raldine", "non-dropping-particle" : "", "parse-names" : false, "suffix" : "" }, { "dropping-particle" : "", "family" : "Cohet", "given" : "Catherine", "non-dropping-particle" : "", "parse-names" : false, "suffix" : "" }, { "dropping-particle" : "", "family" : "Atrux-Tallau", "given" : "Samantha", "non-dropping-particle" : "", "parse-names" : false, "suffix" : "" }, { "dropping-particle" : "", "family" : "Gilet", "given" : "H\u00e9l\u00e8ne", "non-dropping-particle" : "", "parse-names" : false, "suffix" : "" }, { "dropping-particle" : "", "family" : "Tristram", "given" : "Amanda", "non-dropping-particle" : "", "parse-names" : false, "suffix" : "" }, { "dropping-particle" : "", "family" : "Fiander", "given" : "Alison", "non-dropping-particle" : "", "parse-names" : false, "suffix" : "" } ], "container-title" : "BMC public health", "id" : "ITEM-1", "issued" : { "date-parts" : [ [ "2013" ] ] }, "page" : "1065", "title" : "Impact of human papillomavirus-related genital diseases on quality of life and psychosocial wellbeing: results of an observational, health-related quality of life study in the UK.", "type" : "article-journal", "volume" : "13" }, "uris" : [ "http://www.mendeley.com/documents/?uuid=105ae081-8085-3551-a6b8-d3f9f973a097" ] }, { "id" : "ITEM-2", "itemData" : { "DOI" : "10.1097/OLQ.0b013e3182215512", "ISSN" : "1537-4521", "PMID" : "21934571", "abstract" : "BACKGROUND The burden of anogenital warts will be a determining factor when making decisions about the type of human papillomavirus (HPV) vaccine to be used (bivalent or quadrivalent) and whether to vaccinate males. We conducted a multicenter prospective study to (1) describe the impact of anogenital warts on quality of life and (2) estimate the quality-adjusted life-years (QALYs) lost due to anogenital warts. METHODS Between September 2006 and February 2008, 272 patients with a first or recurrent episode of anogenital warts were recruited from the clinical practices of 42 physicians across Canada. Quality of life was measured at recruitment, and 2 and 6 months later with the EuroQol, Short Form-12, short Spielberg State-Trait Anxiety Inventory, and HPV impact profile. The duration of an episode and QALYs lost due to anogenital warts were estimated among 51 incident cases recruited within 90 days of disease onset. RESULTS Anogenital warts had a significant impact on the quality of life. This negative impact was similar for first and recurrent episodes, and lasted as long as lesions persisted. Anogenital warts had the greatest negative impact on usual activities, pain/discomfort, and anxiety/depression, and on self-image, sexual activity, and partner issues and possible transmission. The median duration of a first anogenital wart episode amongst incident cases was 125 days and resulted in QALYs lost of 0.017 to 0.041, which is equivalent to 6 to 15 days of healthy life lost. CONCLUSIONS The burden of anogenital warts is substantial and should be considered by physicians and public health officials when making recommendations about HPV vaccination..", "author" : [ { "dropping-particle" : "", "family" : "Drolet", "given" : "M\u00e9lanie", "non-dropping-particle" : "", "parse-names" : false, "suffix" : "" }, { "dropping-particle" : "", "family" : "Brisson", "given" : "Marc", "non-dropping-particle" : "", "parse-names" : false, "suffix" : "" }, { "dropping-particle" : "", "family" : "Maunsell", "given" : "Elizabeth", "non-dropping-particle" : "", "parse-names" : false, "suffix" : "" }, { "dropping-particle" : "", "family" : "Franco", "given" : "Eduardo L", "non-dropping-particle" : "", "parse-names" : false, "suffix" : "" }, { "dropping-particle" : "", "family" : "Coutl\u00e9e", "given" : "Fran\u00e7ois", "non-dropping-particle" : "", "parse-names" : false, "suffix" : "" }, { "dropping-particle" : "", "family" : "Ferenczy", "given" : "Alex", "non-dropping-particle" : "", "parse-names" : false, "suffix" : "" }, { "dropping-particle" : "", "family" : "Ratnam", "given" : "Sam", "non-dropping-particle" : "", "parse-names" : false, "suffix" : "" }, { "dropping-particle" : "", "family" : "Fisher", "given" : "William", "non-dropping-particle" : "", "parse-names" : false, "suffix" : "" }, { "dropping-particle" : "", "family" : "Mansi", "given" : "James A", "non-dropping-particle" : "", "parse-names" : false, "suffix" : "" } ], "container-title" : "Sexually transmitted diseases", "id" : "ITEM-2", "issue" : "10", "issued" : { "date-parts" : [ [ "2011", "10" ] ] }, "page" : "949-56", "title" : "The impact of anogenital warts on health-related quality of life: a 6-month prospective study.", "type" : "article-journal", "volume" : "38" }, "uris" : [ "http://www.mendeley.com/documents/?uuid=82f9a006-ad2c-391a-9995-8381effc7741" ] }, { "id" : "ITEM-3", "itemData" : { "DOI" : "10.1177/0956462414526706", "ISSN" : "1758-1052", "PMID" : "24671715", "abstract" : "To assess gender-specific impact of genital warts on health-related quality of life (HRQoL), and to explore to what extent sexual characteristics and clinical symptoms influenced the impact on emotional and sexual well-being of both sexes. We conducted a survey of sexual and clinical characteristics from persons diagnosed with genital warts at STI clinics. HRQoL was measured using two measurement tools: 1) the generic EQ-5D; and 2) the genital warts-specific CECA-10 including an emotional well-being and a sexual activity dimension. The EQ-5D scores were compared with scores of the general population. Descriptive analyses were used to explore characteristics associated with HRQoL scores stratified for gender. The HRQoL-measurement tools showed that genital warts have especially an emotional impact. The impact of genital warts on HRQoL was greater for women than for men. In addition, the CECA-10 showed that in women the impact of genital warts on sexual activity was influenced by age, relationship status and number of warts. No related factors were seen in men. Genital warts have a greater impact on women than on men. In women, sexual and clinical factors influenced the impact of genital warts on well-being, whereas in men no such factors were found.", "author" : [ { "dropping-particle" : "", "family" : "Vriend", "given" : "Henrike J", "non-dropping-particle" : "", "parse-names" : false, "suffix" : "" }, { "dropping-particle" : "", "family" : "Nieuwkerk", "given" : "Pythia T", "non-dropping-particle" : "", "parse-names" : false, "suffix" : "" }, { "dropping-particle" : "", "family" : "Sande", "given" : "Marianne A B", "non-dropping-particle" : "van der", "parse-names" : false, "suffix" : "" } ], "container-title" : "International journal of STD &amp; AIDS", "id" : "ITEM-3", "issue" : "13", "issued" : { "date-parts" : [ [ "2014", "11" ] ] }, "page" : "949-55", "title" : "Impact of genital warts on emotional and sexual well-being differs by gender.", "type" : "article-journal", "volume" : "25" }, "uris" : [ "http://www.mendeley.com/documents/?uuid=f458402d-13aa-4dc7-a399-60746a1b9e7c" ] }, { "id" : "ITEM-4", "itemData" : { "DOI" : "10.1136/sti.2007.029512", "ISSN" : "1472-3263", "PMID" : "18339658", "abstract" : "OBJECTIVES One of the two new human papillomavirus (HPV) vaccines protects against HPV types 6 and 11, which cause over 95% of genital warts, in addition to protecting against HPV types 16 and 18. In anticipation of HPV vaccine implementation, the impact of genital warts on health-related quality of life (HRQoL) was measured to assess the potential benefits of the quadrivalent over the bivalent vaccine. METHODS Genitourinary medicine clinic patients aged 18 years and older with a current diagnosis of genital warts were eligible; 81 consented and were interviewed by a member of the research team. A generic HRQoL questionnaire, the EQ-5D (comprising EQ-5D index and EQ visual analogue scale (VAS) scores) and a disease-specific HRQoL instrument, the CECA10, were administered. Previously established UK population norms were used as a control group for EQ-5D comparisons. RESULTS Cases (with genital warts) had lower EQ VAS and EQ-5D index scores than controls. After adjusting for age a mean difference between cases and controls 30 years of age and under (n = 70) of 13.9 points (95% CI 9.9 to 17.6, p&lt;0.001) for the EQ VAS and 0.039 points (95% CI 0.005 to 0.068, p = 0.02) on the EQ-5D index (also adjusted for sex) was observed. The difference between cases and controls for the EQ VAS was especially notable in young women. CONCLUSIONS Genital warts are associated with a significant detriment to HRQoL. The potential added benefit of preventing most cases of genital warts by HPV vaccination should be considered in decisions about which HPV vaccine to implement in the United Kingdom.", "author" : [ { "dropping-particle" : "", "family" : "Woodhall", "given" : "S", "non-dropping-particle" : "", "parse-names" : false, "suffix" : "" }, { "dropping-particle" : "", "family" : "Ramsey", "given" : "T", "non-dropping-particle" : "", "parse-names" : false, "suffix" : "" }, { "dropping-particle" : "", "family" : "Cai", "given" : "C", "non-dropping-particle" : "", "parse-names" : false, "suffix" : "" }, { "dropping-particle" : "", "family" : "Crouch", "given" : "S", "non-dropping-particle" : "", "parse-names" : false, "suffix" : "" }, { "dropping-particle" : "", "family" : "Jit", "given" : "M", "non-dropping-particle" : "", "parse-names" : false, "suffix" : "" }, { "dropping-particle" : "", "family" : "Birks", "given" : "Y", "non-dropping-particle" : "", "parse-names" : false, "suffix" : "" }, { "dropping-particle" : "", "family" : "Edmunds", "given" : "W J", "non-dropping-particle" : "", "parse-names" : false, "suffix" : "" }, { "dropping-particle" : "", "family" : "Newton", "given" : "R", "non-dropping-particle" : "", "parse-names" : false, "suffix" : "" }, { "dropping-particle" : "", "family" : "Lacey", "given" : "C J N", "non-dropping-particle" : "", "parse-names" : false, "suffix" : "" } ], "container-title" : "Sexually transmitted infections", "id" : "ITEM-4", "issue" : "3", "issued" : { "date-parts" : [ [ "2008", "6" ] ] }, "page" : "161-6", "title" : "Estimation of the impact of genital warts on health-related quality of life.", "type" : "article-journal", "volume" : "84" }, "uris" : [ "http://www.mendeley.com/documents/?uuid=3b1829ba-4684-38dc-a77f-0248acacb7f0" ] } ], "mendeley" : { "formattedCitation" : "[37\u201340]", "plainTextFormattedCitation" : "[37\u201340]", "previouslyFormattedCitation" : "[37\u201340]" }, "properties" : { "noteIndex" : 0 }, "schema" : "https://github.com/citation-style-language/schema/raw/master/csl-citation.json" }</w:instrText>
      </w:r>
      <w:r w:rsidR="00B907B3" w:rsidRPr="009979BF">
        <w:rPr>
          <w:color w:val="auto"/>
          <w:sz w:val="20"/>
          <w:szCs w:val="20"/>
        </w:rPr>
        <w:fldChar w:fldCharType="separate"/>
      </w:r>
      <w:r w:rsidRPr="009979BF">
        <w:rPr>
          <w:noProof/>
          <w:color w:val="auto"/>
          <w:sz w:val="20"/>
          <w:szCs w:val="20"/>
        </w:rPr>
        <w:t>[37–40]</w:t>
      </w:r>
      <w:r w:rsidR="00B907B3" w:rsidRPr="009979BF">
        <w:rPr>
          <w:color w:val="auto"/>
          <w:sz w:val="20"/>
          <w:szCs w:val="20"/>
        </w:rPr>
        <w:fldChar w:fldCharType="end"/>
      </w:r>
      <w:r w:rsidRPr="009979BF">
        <w:rPr>
          <w:color w:val="auto"/>
          <w:sz w:val="20"/>
          <w:szCs w:val="20"/>
        </w:rPr>
        <w:t>.</w:t>
      </w:r>
    </w:p>
    <w:p w14:paraId="2CE673D0" w14:textId="77777777" w:rsidR="000F604F" w:rsidRPr="009979BF" w:rsidRDefault="000F604F" w:rsidP="00902713">
      <w:pPr>
        <w:spacing w:line="360" w:lineRule="auto"/>
        <w:rPr>
          <w:rFonts w:cs="Times New Roman"/>
          <w:color w:val="auto"/>
          <w:sz w:val="20"/>
          <w:szCs w:val="20"/>
        </w:rPr>
      </w:pPr>
    </w:p>
    <w:p w14:paraId="1FF5B5B3" w14:textId="77777777" w:rsidR="00902713" w:rsidRPr="009979BF" w:rsidRDefault="00C45E5C" w:rsidP="00902713">
      <w:pPr>
        <w:spacing w:line="360" w:lineRule="auto"/>
        <w:rPr>
          <w:rFonts w:cs="Times New Roman"/>
          <w:color w:val="auto"/>
          <w:sz w:val="20"/>
          <w:szCs w:val="20"/>
        </w:rPr>
      </w:pPr>
      <w:r w:rsidRPr="009979BF">
        <w:rPr>
          <w:rFonts w:cs="Times New Roman"/>
          <w:color w:val="auto"/>
          <w:sz w:val="20"/>
          <w:szCs w:val="20"/>
        </w:rPr>
        <w:t xml:space="preserve">Our study did not include asymptomatic men, hence we cannot exclude the possibility that the negative impact on self-esteem observed with men was not related to being symptomatic or undergoing genital </w:t>
      </w:r>
      <w:r w:rsidRPr="009979BF">
        <w:rPr>
          <w:rFonts w:cs="Times New Roman"/>
          <w:color w:val="auto"/>
          <w:sz w:val="20"/>
          <w:szCs w:val="20"/>
        </w:rPr>
        <w:lastRenderedPageBreak/>
        <w:t xml:space="preserve">examination and a urethral swab </w:t>
      </w:r>
      <w:r w:rsidR="00B907B3" w:rsidRPr="009979BF">
        <w:rPr>
          <w:rFonts w:cs="Times New Roman"/>
          <w:color w:val="auto"/>
          <w:sz w:val="20"/>
          <w:szCs w:val="20"/>
        </w:rPr>
        <w:fldChar w:fldCharType="begin" w:fldLock="1"/>
      </w:r>
      <w:r w:rsidR="006F23EA" w:rsidRPr="009979BF">
        <w:rPr>
          <w:rFonts w:cs="Times New Roman"/>
          <w:color w:val="auto"/>
          <w:sz w:val="20"/>
          <w:szCs w:val="20"/>
        </w:rPr>
        <w:instrText>ADDIN CSL_CITATION { "citationItems" : [ { "id" : "ITEM-1", "itemData" : { "ISSN" : "0264-0325", "PMID" : "10076643", "abstract" : "This study considers aspects of the experiences of a group of people attending a sexual health clinic and receiving the diagnosis of a sexually transmitted infection (STI). The study was conducted in the form of action research using a qualitative approach. Participants consisted of eight attenders at a sexual health clinic who had been diagnosed with a sexually transmitted infection. Counselling skills and techniques were used throughout semi-structured interviews to explore participants' feelings about these issues. Thematic analysis was used to generate themes of importance to the participants. Some people who had been to a sexual health clinic and received a diagnosis of a sexually transmitted infection were found to experience feelings of anxiety, stigma and isolation. This study is of value to all those working in the field of sexual health with an interest in understanding the issues that are important to the client group.", "author" : [ { "dropping-particle" : "", "family" : "Holgate", "given" : "H S", "non-dropping-particle" : "", "parse-names" : false, "suffix" : "" }, { "dropping-particle" : "", "family" : "Longman", "given" : "C", "non-dropping-particle" : "", "parse-names" : false, "suffix" : "" } ], "container-title" : "Journal of the Royal Society of Health", "id" : "ITEM-1", "issue" : "2", "issued" : { "date-parts" : [ [ "1998", "4" ] ] }, "page" : "94-6", "title" : "Some peoples' psychological experiences of attending a sexual health clinic and having a sexually transmitted infection.", "type" : "article-journal", "volume" : "118" }, "uris" : [ "http://www.mendeley.com/documents/?uuid=63713af5-a21e-30d3-9210-20b769f6023a" ] }, { "id" : "ITEM-2", "itemData" : { "DOI" : "10.1080/01460860600677577", "ISSN" : "0146-0862", "PMID" : "16772237", "abstract" : "CONTEXT Risky sexual behaviors among adolescent males put them at risk for sexually transmitted diseases, HIV/AIDS, and unplanned fatherhood, yet few facilities in the United States provide focused sexual and reproductive health services to these young men. A general acknowledgement exists that the development of such services is needed, yet there is little research to guide providers in making existing services more attractive to young males and in developing new sexual health services for this population. OBJECTIVES This research aimed to explore attitudes and perceptions of urban black male adolescents regarding the availability of and access to reproductive healthcare. METHODS Eighteen black male adolescents participated in three focus group discussions held in a central New Jersey city. Transcripts of the discussions were analyzed using the constant comparative method. Resulting categories were grouped into themes, which reflected the adolescents' perceptions and experiences. Member checks were used to verify findings. RESULTS The adolescents felt that obtaining sexual health services was a stressful experience fraught with both internal and external barriers. Internal barriers included a fear of stigma and a loss of social status, shame, and embarrassment. External barriers included disrespectful providers, a lack of privacy/confidentiality, and challenges in accessing and negotiating the healthcare system. The young males described an idealized clinic environment as informal, welcoming, and respectful. DISCUSSION AND CONCLUSIONS Providers should focus on improving the quality of care in existing clinics, particularly in the areas of access, privacy, and confidentiality, and on developing adolescent-friendly clinics focusing on male services. Adolescents should be encouraged to visit clinics prior to an acute need for services. There also is a need for providers who are comfortable with and able to communicate with male adolescents.", "author" : [ { "dropping-particle" : "", "family" : "Lindberg", "given" : "Claire", "non-dropping-particle" : "", "parse-names" : false, "suffix" : "" }, { "dropping-particle" : "", "family" : "Lewis-Spruill", "given" : "Carolyn", "non-dropping-particle" : "", "parse-names" : false, "suffix" : "" }, { "dropping-particle" : "", "family" : "Crownover", "given" : "Rodney", "non-dropping-particle" : "", "parse-names" : false, "suffix" : "" } ], "container-title" : "Issues in comprehensive pediatric nursing", "id" : "ITEM-2", "issue" : "2", "issued" : { "date-parts" : [ [ "2006", "1", "10" ] ] }, "page" : "73-88", "title" : "Barriers to sexual and reproductive health care: urban male adolescents speak out.", "type" : "article-journal", "volume" : "29" }, "uris" : [ "http://www.mendeley.com/documents/?uuid=dd35c6ca-3ad0-34d2-8de8-d4b56829768c" ] }, { "id" : "ITEM-3", "itemData" : { "DOI" : "10.1111/j.1467-9566.2009.01222.x", "ISSN" : "01419889", "author" : [ { "dropping-particle" : "", "family" : "Shoveller", "given" : "Jean A.", "non-dropping-particle" : "", "parse-names" : false, "suffix" : "" }, { "dropping-particle" : "", "family" : "Knight", "given" : "Rod", "non-dropping-particle" : "", "parse-names" : false, "suffix" : "" }, { "dropping-particle" : "", "family" : "Johnson", "given" : "Joy", "non-dropping-particle" : "", "parse-names" : false, "suffix" : "" }, { "dropping-particle" : "", "family" : "Oliffe", "given" : "John L.", "non-dropping-particle" : "", "parse-names" : false, "suffix" : "" }, { "dropping-particle" : "", "family" : "Goldenberg", "given" : "Shira", "non-dropping-particle" : "", "parse-names" : false, "suffix" : "" } ], "container-title" : "Sociology of Health &amp; Illness", "id" : "ITEM-3", "issue" : "1", "issued" : { "date-parts" : [ [ "2010", "1" ] ] }, "page" : "57-73", "publisher" : "Blackwell Publishing Ltd", "title" : "\u2018Not the swab!\u2019 Young men\u2019s experiences with STI testing", "type" : "article-journal", "volume" : "32" }, "uris" : [ "http://www.mendeley.com/documents/?uuid=e782f050-109d-300e-89a6-66a4058138a9" ] } ], "mendeley" : { "formattedCitation" : "[10,30,32]", "plainTextFormattedCitation" : "[10,30,32]", "previouslyFormattedCitation" : "[10,30,31]" }, "properties" : { "noteIndex" : 0 }, "schema" : "https://github.com/citation-style-language/schema/raw/master/csl-citation.json" }</w:instrText>
      </w:r>
      <w:r w:rsidR="00B907B3" w:rsidRPr="009979BF">
        <w:rPr>
          <w:rFonts w:cs="Times New Roman"/>
          <w:color w:val="auto"/>
          <w:sz w:val="20"/>
          <w:szCs w:val="20"/>
        </w:rPr>
        <w:fldChar w:fldCharType="separate"/>
      </w:r>
      <w:r w:rsidR="006F23EA" w:rsidRPr="009979BF">
        <w:rPr>
          <w:rFonts w:cs="Times New Roman"/>
          <w:noProof/>
          <w:color w:val="auto"/>
          <w:sz w:val="20"/>
          <w:szCs w:val="20"/>
        </w:rPr>
        <w:t>[10,30,32]</w:t>
      </w:r>
      <w:r w:rsidR="00B907B3" w:rsidRPr="009979BF">
        <w:rPr>
          <w:rFonts w:cs="Times New Roman"/>
          <w:color w:val="auto"/>
          <w:sz w:val="20"/>
          <w:szCs w:val="20"/>
        </w:rPr>
        <w:fldChar w:fldCharType="end"/>
      </w:r>
      <w:r w:rsidRPr="009979BF">
        <w:rPr>
          <w:rFonts w:cs="Times New Roman"/>
          <w:color w:val="auto"/>
          <w:sz w:val="20"/>
          <w:szCs w:val="20"/>
        </w:rPr>
        <w:t xml:space="preserve">. </w:t>
      </w:r>
      <w:r w:rsidRPr="009979BF">
        <w:rPr>
          <w:rFonts w:cs="Segoe UI"/>
          <w:color w:val="auto"/>
          <w:sz w:val="20"/>
          <w:szCs w:val="20"/>
        </w:rPr>
        <w:t>We suggest that future studies consider including both symptomatic and asymptomatic men to better evaluate the impact of the experience of having symptoms, genital examination and invasive testing on psychosocial wellbeing and self-esteem.</w:t>
      </w:r>
      <w:r w:rsidRPr="009979BF">
        <w:rPr>
          <w:color w:val="auto"/>
          <w:sz w:val="20"/>
          <w:szCs w:val="20"/>
        </w:rPr>
        <w:t xml:space="preserve"> </w:t>
      </w:r>
    </w:p>
    <w:p w14:paraId="30486447" w14:textId="77777777" w:rsidR="00646B11" w:rsidRPr="009979BF" w:rsidRDefault="00646B11">
      <w:pPr>
        <w:spacing w:line="360" w:lineRule="auto"/>
        <w:rPr>
          <w:color w:val="auto"/>
          <w:sz w:val="20"/>
          <w:szCs w:val="20"/>
        </w:rPr>
      </w:pPr>
    </w:p>
    <w:p w14:paraId="643BBFDF" w14:textId="77777777" w:rsidR="004F6B59" w:rsidRPr="009979BF" w:rsidRDefault="004F6B59">
      <w:pPr>
        <w:spacing w:line="360" w:lineRule="auto"/>
        <w:jc w:val="both"/>
        <w:rPr>
          <w:color w:val="auto"/>
          <w:sz w:val="20"/>
          <w:szCs w:val="20"/>
        </w:rPr>
      </w:pPr>
      <w:r w:rsidRPr="009979BF">
        <w:rPr>
          <w:color w:val="auto"/>
          <w:sz w:val="20"/>
          <w:szCs w:val="20"/>
        </w:rPr>
        <w:t xml:space="preserve">Although the </w:t>
      </w:r>
      <w:r w:rsidR="00E30119" w:rsidRPr="009979BF">
        <w:rPr>
          <w:color w:val="auto"/>
          <w:sz w:val="20"/>
          <w:szCs w:val="20"/>
        </w:rPr>
        <w:t>RSES</w:t>
      </w:r>
      <w:r w:rsidR="00E30119" w:rsidRPr="009979BF" w:rsidDel="00E30119">
        <w:rPr>
          <w:color w:val="auto"/>
          <w:sz w:val="20"/>
          <w:szCs w:val="20"/>
        </w:rPr>
        <w:t xml:space="preserve"> </w:t>
      </w:r>
      <w:r w:rsidRPr="009979BF">
        <w:rPr>
          <w:color w:val="auto"/>
          <w:sz w:val="20"/>
          <w:szCs w:val="20"/>
        </w:rPr>
        <w:t>and the EQ-5D-5L scales we used in this study have been validated in men and women, the panel of questions used to assess men’s feelings about a diagnosis of CT or NSGI in the FU-1 CASI has not been validated in men, or for non-CT STI diagnoses. In addition, we assessed psychosocial and HRQoL impact at a single time-point, which does not measure durability of the observed decrease in self-esteem in this population, and data suggest</w:t>
      </w:r>
      <w:r w:rsidR="00B41672" w:rsidRPr="009979BF">
        <w:rPr>
          <w:color w:val="auto"/>
          <w:sz w:val="20"/>
          <w:szCs w:val="20"/>
        </w:rPr>
        <w:t xml:space="preserve"> psychosocial</w:t>
      </w:r>
      <w:r w:rsidRPr="009979BF">
        <w:rPr>
          <w:color w:val="auto"/>
          <w:sz w:val="20"/>
          <w:szCs w:val="20"/>
        </w:rPr>
        <w:t xml:space="preserve"> impact of STI diagnoses may decrease over time </w:t>
      </w:r>
      <w:r w:rsidR="00B907B3" w:rsidRPr="009979BF">
        <w:rPr>
          <w:color w:val="auto"/>
          <w:sz w:val="20"/>
          <w:szCs w:val="20"/>
        </w:rPr>
        <w:fldChar w:fldCharType="begin" w:fldLock="1"/>
      </w:r>
      <w:r w:rsidR="008D4440" w:rsidRPr="009979BF">
        <w:rPr>
          <w:color w:val="auto"/>
          <w:sz w:val="20"/>
          <w:szCs w:val="20"/>
        </w:rPr>
        <w:instrText>ADDIN CSL_CITATION { "citationItems" : [ { "id" : "ITEM-1", "itemData" : { "ISSN" : "0148-5717", "PMID" : "15480111", "abstract" : "BACKGROUND Although approximately 20% of the population has a genital herpes (HSV-2) infection, 80% of these infections are unrecognized or asymptomatic. Serologic identification of HSV-2 leads to recognition of infection, which could lead to behavioral changes that reduce transmission. However, there has been concern that HSV-2 testing among persons without symptoms will cause substantial psychosocial harm. GOAL The goal of this study was to assess the psychosocial impact of an HSV-2 diagnosis among individuals without a history of genital herpes attending a sexually transmitted disease (STD) clinic. STUDY We conducted a cohort study of persons with no history of genital herpes attending an STD clinic and seeking herpes testing. Two follow-up interviews were conducted 1 week and 3 months after persons received their test results. Serum was tested using HerpeSelect 2. Psychosocial morbidity was assessed at baseline and each follow up using a mental health score, sexual attitude score, and perception of genital herpes score. RESULTS Twenty-one percent (41 of 196) of participants tested positive for HSV-2 antibody. Among patients who were HSV-2-positive, there was no significant change in mental health score from baseline during either follow-up visit, nor was there any difference compared with persons who were HSV-2-negative. Patients who were HSV-2-positive did have a decline (P = 0.01) in their sexual attitude scores at the 1-week follow up compared with persons who were HSV-2-negative, indicating a decrease in positive sexual attitude, but this difference no longer remained at the 3-month follow up (P = 0.74). Patients who were HSV-2-positive viewed having genital herpes as significantly less traumatic than patients who were HSV-2-negative at both follow-up visits (P &lt;0.01). CONCLUSION There was no apparent lasting adverse psychosocial impact of detecting HSV-2 infection among individuals without a history of genital herpes seeking herpes testing at an STD clinic.", "author" : [ { "dropping-particle" : "", "family" : "Miyai", "given" : "Tomio", "non-dropping-particle" : "", "parse-names" : false, "suffix" : "" }, { "dropping-particle" : "", "family" : "Turner", "given" : "Katherine R", "non-dropping-particle" : "", "parse-names" : false, "suffix" : "" }, { "dropping-particle" : "", "family" : "Kent", "given" : "Charlotte K", "non-dropping-particle" : "", "parse-names" : false, "suffix" : "" }, { "dropping-particle" : "", "family" : "Klausner", "given" : "Jeffrey", "non-dropping-particle" : "", "parse-names" : false, "suffix" : "" } ], "container-title" : "Sexually transmitted diseases", "id" : "ITEM-1", "issue" : "9", "issued" : { "date-parts" : [ [ "2004", "9" ] ] }, "page" : "517-21", "title" : "The psychosocial impact of testing individuals with no history of genital herpes for herpes simplex virus type 2.", "type" : "article-journal", "volume" : "31" }, "uris" : [ "http://www.mendeley.com/documents/?uuid=ac2d02d4-9e55-3965-b717-4f68eaf707c0" ] } ], "mendeley" : { "formattedCitation" : "[41]", "plainTextFormattedCitation" : "[41]", "previouslyFormattedCitation" : "[41]" }, "properties" : { "noteIndex" : 0 }, "schema" : "https://github.com/citation-style-language/schema/raw/master/csl-citation.json" }</w:instrText>
      </w:r>
      <w:r w:rsidR="00B907B3" w:rsidRPr="009979BF">
        <w:rPr>
          <w:color w:val="auto"/>
          <w:sz w:val="20"/>
          <w:szCs w:val="20"/>
        </w:rPr>
        <w:fldChar w:fldCharType="separate"/>
      </w:r>
      <w:r w:rsidR="004B4B35" w:rsidRPr="009979BF">
        <w:rPr>
          <w:noProof/>
          <w:color w:val="auto"/>
          <w:sz w:val="20"/>
          <w:szCs w:val="20"/>
        </w:rPr>
        <w:t>[41]</w:t>
      </w:r>
      <w:r w:rsidR="00B907B3" w:rsidRPr="009979BF">
        <w:rPr>
          <w:color w:val="auto"/>
          <w:sz w:val="20"/>
          <w:szCs w:val="20"/>
        </w:rPr>
        <w:fldChar w:fldCharType="end"/>
      </w:r>
      <w:r w:rsidRPr="009979BF">
        <w:rPr>
          <w:color w:val="auto"/>
          <w:sz w:val="20"/>
          <w:szCs w:val="20"/>
        </w:rPr>
        <w:t xml:space="preserve">. </w:t>
      </w:r>
    </w:p>
    <w:p w14:paraId="633CC42C" w14:textId="77777777" w:rsidR="004F6B59" w:rsidRPr="009979BF" w:rsidRDefault="004F6B59" w:rsidP="004776E6">
      <w:pPr>
        <w:spacing w:line="360" w:lineRule="auto"/>
        <w:rPr>
          <w:color w:val="000000"/>
          <w:sz w:val="20"/>
          <w:szCs w:val="20"/>
        </w:rPr>
      </w:pPr>
    </w:p>
    <w:p w14:paraId="2D3EB6FC" w14:textId="77777777" w:rsidR="00A03473" w:rsidRPr="009979BF" w:rsidRDefault="00A03473" w:rsidP="00902713">
      <w:pPr>
        <w:spacing w:line="360" w:lineRule="auto"/>
        <w:rPr>
          <w:rFonts w:cs="Segoe UI"/>
          <w:color w:val="auto"/>
          <w:sz w:val="20"/>
          <w:szCs w:val="20"/>
        </w:rPr>
      </w:pPr>
      <w:r w:rsidRPr="009979BF">
        <w:rPr>
          <w:rFonts w:cs="Segoe UI"/>
          <w:color w:val="auto"/>
          <w:sz w:val="20"/>
          <w:szCs w:val="20"/>
        </w:rPr>
        <w:t xml:space="preserve">We received feedback from our participants that some of the wording of questions on our CASIs did not appear to be directly relevant to our study aims. Future studies should ensure that </w:t>
      </w:r>
      <w:r w:rsidRPr="009979BF">
        <w:rPr>
          <w:color w:val="auto"/>
          <w:sz w:val="20"/>
          <w:szCs w:val="20"/>
        </w:rPr>
        <w:t>data collection measures use terms that are clear and familiar to participants, possibly through development of questionnaires with focus groups. </w:t>
      </w:r>
      <w:r w:rsidRPr="009979BF">
        <w:rPr>
          <w:rFonts w:cs="Segoe UI"/>
          <w:color w:val="auto"/>
          <w:sz w:val="20"/>
          <w:szCs w:val="20"/>
        </w:rPr>
        <w:t xml:space="preserve">Some participants requested that future studies offer research participants material on health promotion, i.e. material on the infection they were diagnosed with and how to reduce risk of infection. </w:t>
      </w:r>
    </w:p>
    <w:p w14:paraId="59FEA3B5" w14:textId="77777777" w:rsidR="004F6B59" w:rsidRPr="009979BF" w:rsidRDefault="004F6B59" w:rsidP="00902713">
      <w:pPr>
        <w:spacing w:line="360" w:lineRule="auto"/>
        <w:jc w:val="both"/>
        <w:rPr>
          <w:color w:val="auto"/>
          <w:sz w:val="20"/>
          <w:szCs w:val="20"/>
        </w:rPr>
      </w:pPr>
    </w:p>
    <w:p w14:paraId="18DB3F82" w14:textId="77777777" w:rsidR="003D2E06" w:rsidRPr="009979BF" w:rsidRDefault="003D2E06" w:rsidP="00902713">
      <w:pPr>
        <w:spacing w:line="360" w:lineRule="auto"/>
        <w:rPr>
          <w:color w:val="auto"/>
          <w:sz w:val="20"/>
          <w:szCs w:val="20"/>
        </w:rPr>
      </w:pPr>
      <w:r w:rsidRPr="009979BF">
        <w:rPr>
          <w:rFonts w:cs="Segoe UI"/>
          <w:color w:val="auto"/>
          <w:sz w:val="20"/>
          <w:szCs w:val="20"/>
        </w:rPr>
        <w:t xml:space="preserve">Despite concerns that the target group of heterosexual men </w:t>
      </w:r>
      <w:r w:rsidR="00A84C18" w:rsidRPr="009979BF">
        <w:rPr>
          <w:rFonts w:cs="Segoe UI"/>
          <w:color w:val="auto"/>
          <w:sz w:val="20"/>
          <w:szCs w:val="20"/>
        </w:rPr>
        <w:t xml:space="preserve">attending SHCs </w:t>
      </w:r>
      <w:r w:rsidRPr="009979BF">
        <w:rPr>
          <w:rFonts w:cs="Segoe UI"/>
          <w:color w:val="auto"/>
          <w:sz w:val="20"/>
          <w:szCs w:val="20"/>
        </w:rPr>
        <w:t xml:space="preserve">would be </w:t>
      </w:r>
      <w:r w:rsidR="008952D6" w:rsidRPr="009979BF">
        <w:rPr>
          <w:rFonts w:cs="Segoe UI"/>
          <w:color w:val="auto"/>
          <w:sz w:val="20"/>
          <w:szCs w:val="20"/>
        </w:rPr>
        <w:t xml:space="preserve">difficult </w:t>
      </w:r>
      <w:r w:rsidRPr="009979BF">
        <w:rPr>
          <w:rFonts w:cs="Segoe UI"/>
          <w:color w:val="auto"/>
          <w:sz w:val="20"/>
          <w:szCs w:val="20"/>
        </w:rPr>
        <w:t xml:space="preserve">to recruit </w:t>
      </w:r>
      <w:r w:rsidR="00B907B3" w:rsidRPr="009979BF">
        <w:rPr>
          <w:rFonts w:cs="Segoe UI"/>
          <w:color w:val="auto"/>
          <w:sz w:val="20"/>
          <w:szCs w:val="20"/>
        </w:rPr>
        <w:fldChar w:fldCharType="begin" w:fldLock="1"/>
      </w:r>
      <w:r w:rsidR="008D4440" w:rsidRPr="009979BF">
        <w:rPr>
          <w:rFonts w:cs="Segoe UI"/>
          <w:color w:val="auto"/>
          <w:sz w:val="20"/>
          <w:szCs w:val="20"/>
        </w:rPr>
        <w:instrText>ADDIN CSL_CITATION { "citationItems" : [ { "id" : "ITEM-1", "itemData" : { "DOI" : "10.1016/j.jana.2010.10.009", "ISSN" : "1552-6917", "PMID" : "21216626", "author" : [ { "dropping-particle" : "", "family" : "Jones", "given" : "Sande Gracia", "non-dropping-particle" : "", "parse-names" : false, "suffix" : "" }, { "dropping-particle" : "", "family" : "Pat Patsdaughter", "given" : "Carol A", "non-dropping-particle" : "", "parse-names" : false, "suffix" : "" }, { "dropping-particle" : "", "family" : "Martinez Cardenas", "given" : "Vicente Manuel", "non-dropping-particle" : "", "parse-names" : false, "suffix" : "" } ], "container-title" : "The Journal of the Association of Nurses in AIDS Care : JANAC", "id" : "ITEM-1", "issue" : "4", "issued" : { "date-parts" : [ [ "2011" ] ] }, "page" : "320-9", "publisher" : "NIH Public Access", "title" : "Lessons from the viagra study: methodological challenges in recruitment of older and minority heterosexual men for research on sexual practices and risk behaviors.", "type" : "article-journal", "volume" : "22" }, "uris" : [ "http://www.mendeley.com/documents/?uuid=7e37c1d8-4e61-3381-a820-6dbce968ad95" ] } ], "mendeley" : { "formattedCitation" : "[42]", "plainTextFormattedCitation" : "[42]", "previouslyFormattedCitation" : "[42]" }, "properties" : { "noteIndex" : 0 }, "schema" : "https://github.com/citation-style-language/schema/raw/master/csl-citation.json" }</w:instrText>
      </w:r>
      <w:r w:rsidR="00B907B3" w:rsidRPr="009979BF">
        <w:rPr>
          <w:rFonts w:cs="Segoe UI"/>
          <w:color w:val="auto"/>
          <w:sz w:val="20"/>
          <w:szCs w:val="20"/>
        </w:rPr>
        <w:fldChar w:fldCharType="separate"/>
      </w:r>
      <w:r w:rsidR="004B4B35" w:rsidRPr="009979BF">
        <w:rPr>
          <w:rFonts w:cs="Segoe UI"/>
          <w:noProof/>
          <w:color w:val="auto"/>
          <w:sz w:val="20"/>
          <w:szCs w:val="20"/>
        </w:rPr>
        <w:t>[42]</w:t>
      </w:r>
      <w:r w:rsidR="00B907B3" w:rsidRPr="009979BF">
        <w:rPr>
          <w:rFonts w:cs="Segoe UI"/>
          <w:color w:val="auto"/>
          <w:sz w:val="20"/>
          <w:szCs w:val="20"/>
        </w:rPr>
        <w:fldChar w:fldCharType="end"/>
      </w:r>
      <w:r w:rsidRPr="009979BF">
        <w:rPr>
          <w:rFonts w:cs="Segoe UI"/>
          <w:color w:val="auto"/>
          <w:sz w:val="20"/>
          <w:szCs w:val="20"/>
        </w:rPr>
        <w:t>, we found 75% of men were happy to enrol in this study. This should encourage researchers to investigate views from this group re</w:t>
      </w:r>
      <w:r w:rsidR="00A84C18" w:rsidRPr="009979BF">
        <w:rPr>
          <w:rFonts w:cs="Segoe UI"/>
          <w:color w:val="auto"/>
          <w:sz w:val="20"/>
          <w:szCs w:val="20"/>
        </w:rPr>
        <w:t>garding</w:t>
      </w:r>
      <w:r w:rsidRPr="009979BF">
        <w:rPr>
          <w:rFonts w:cs="Segoe UI"/>
          <w:color w:val="auto"/>
          <w:sz w:val="20"/>
          <w:szCs w:val="20"/>
        </w:rPr>
        <w:t xml:space="preserve"> STI diagnosis and screening. A study </w:t>
      </w:r>
      <w:r w:rsidR="00A84C18" w:rsidRPr="009979BF">
        <w:rPr>
          <w:rFonts w:cs="Segoe UI"/>
          <w:color w:val="auto"/>
          <w:sz w:val="20"/>
          <w:szCs w:val="20"/>
        </w:rPr>
        <w:t xml:space="preserve">investigating the psychosocial experiences of patients attending a clinic, </w:t>
      </w:r>
      <w:r w:rsidRPr="009979BF">
        <w:rPr>
          <w:rFonts w:cs="Segoe UI"/>
          <w:color w:val="auto"/>
          <w:sz w:val="20"/>
          <w:szCs w:val="20"/>
        </w:rPr>
        <w:t>which recruited men and women diagnosed with an STI from a</w:t>
      </w:r>
      <w:r w:rsidR="009326FF" w:rsidRPr="009979BF">
        <w:rPr>
          <w:rFonts w:cs="Segoe UI"/>
          <w:color w:val="auto"/>
          <w:sz w:val="20"/>
          <w:szCs w:val="20"/>
        </w:rPr>
        <w:t>n</w:t>
      </w:r>
      <w:r w:rsidRPr="009979BF">
        <w:rPr>
          <w:rFonts w:cs="Segoe UI"/>
          <w:color w:val="auto"/>
          <w:sz w:val="20"/>
          <w:szCs w:val="20"/>
        </w:rPr>
        <w:t xml:space="preserve"> SHC</w:t>
      </w:r>
      <w:r w:rsidR="00A84C18" w:rsidRPr="009979BF">
        <w:rPr>
          <w:rFonts w:cs="Segoe UI"/>
          <w:color w:val="auto"/>
          <w:sz w:val="20"/>
          <w:szCs w:val="20"/>
        </w:rPr>
        <w:t>,</w:t>
      </w:r>
      <w:r w:rsidRPr="009979BF">
        <w:rPr>
          <w:rFonts w:cs="Segoe UI"/>
          <w:color w:val="auto"/>
          <w:sz w:val="20"/>
          <w:szCs w:val="20"/>
        </w:rPr>
        <w:t xml:space="preserve"> reported a recruitment rate of 33% </w:t>
      </w:r>
      <w:r w:rsidR="00B907B3" w:rsidRPr="009979BF">
        <w:rPr>
          <w:color w:val="auto"/>
          <w:sz w:val="20"/>
          <w:szCs w:val="20"/>
        </w:rPr>
        <w:fldChar w:fldCharType="begin" w:fldLock="1"/>
      </w:r>
      <w:r w:rsidR="006F23EA" w:rsidRPr="009979BF">
        <w:rPr>
          <w:color w:val="auto"/>
          <w:sz w:val="20"/>
          <w:szCs w:val="20"/>
        </w:rPr>
        <w:instrText>ADDIN CSL_CITATION { "citationItems" : [ { "id" : "ITEM-1", "itemData" : { "DOI" : "10.1177/1359105306069098", "ISSN" : "1359-1053", "PMID" : "17158837", "abstract" : "A gap in the literature regarding understanding of people's health care seeking behaviours in relation to sexually transmitted infections is identified. Employing both deductive and inductive methods, 10 patients (five female, five male) were interviewed to explore the psychosocial, motivational and attitudinal factors associated with attendance at a Genito-Urinary Medicine (GUM) clinic in a close-knit community in the north of England. Seven stigma-related themes were identified as salient issues surrounding perceptions of sexual health screening and included: (1)prejudice surrounding STIs; (2)fear of exposure; (3)isolation; (4)reluctance to attend; (5)contamination; (6)relationship issues; and (7)perceived invulnerability. Within these themes distinct gender differences were identified. Implications for the theory of planned behaviour (TPB) are discussed against the factors identified.", "author" : [ { "dropping-particle" : "", "family" : "Mulholland", "given" : "Ellen", "non-dropping-particle" : "", "parse-names" : false, "suffix" : "" }, { "dropping-particle" : "", "family" : "Wersch", "given" : "Anna", "non-dropping-particle" : "Van", "parse-names" : false, "suffix" : "" } ], "container-title" : "Journal of health psychology", "id" : "ITEM-1", "issue" : "1", "issued" : { "date-parts" : [ [ "2007", "1" ] ] }, "page" : "17-31", "title" : "Stigma, sexually transmitted infections and attendance at the GUM Clinic: an exploratory study with implications for the theory of planned behaviour.", "type" : "article-journal", "volume" : "12" }, "uris" : [ "http://www.mendeley.com/documents/?uuid=f3370123-34a8-3f6c-959f-e8c6b6c57612" ] } ], "mendeley" : { "formattedCitation" : "[31]", "plainTextFormattedCitation" : "[31]", "previouslyFormattedCitation" : "[29]" }, "properties" : { "noteIndex" : 0 }, "schema" : "https://github.com/citation-style-language/schema/raw/master/csl-citation.json" }</w:instrText>
      </w:r>
      <w:r w:rsidR="00B907B3" w:rsidRPr="009979BF">
        <w:rPr>
          <w:color w:val="auto"/>
          <w:sz w:val="20"/>
          <w:szCs w:val="20"/>
        </w:rPr>
        <w:fldChar w:fldCharType="separate"/>
      </w:r>
      <w:r w:rsidR="006F23EA" w:rsidRPr="009979BF">
        <w:rPr>
          <w:noProof/>
          <w:color w:val="auto"/>
          <w:sz w:val="20"/>
          <w:szCs w:val="20"/>
        </w:rPr>
        <w:t>[31]</w:t>
      </w:r>
      <w:r w:rsidR="00B907B3" w:rsidRPr="009979BF">
        <w:rPr>
          <w:color w:val="auto"/>
          <w:sz w:val="20"/>
          <w:szCs w:val="20"/>
        </w:rPr>
        <w:fldChar w:fldCharType="end"/>
      </w:r>
      <w:r w:rsidR="00C93EAF" w:rsidRPr="009979BF">
        <w:rPr>
          <w:color w:val="auto"/>
          <w:sz w:val="20"/>
          <w:szCs w:val="20"/>
        </w:rPr>
        <w:t xml:space="preserve"> and </w:t>
      </w:r>
      <w:r w:rsidRPr="009979BF">
        <w:rPr>
          <w:color w:val="auto"/>
          <w:sz w:val="20"/>
          <w:szCs w:val="20"/>
        </w:rPr>
        <w:t xml:space="preserve">involved </w:t>
      </w:r>
      <w:r w:rsidR="00A84C18" w:rsidRPr="009979BF">
        <w:rPr>
          <w:color w:val="auto"/>
          <w:sz w:val="20"/>
          <w:szCs w:val="20"/>
        </w:rPr>
        <w:t>ten</w:t>
      </w:r>
      <w:r w:rsidRPr="009979BF">
        <w:rPr>
          <w:color w:val="auto"/>
          <w:sz w:val="20"/>
          <w:szCs w:val="20"/>
        </w:rPr>
        <w:t xml:space="preserve"> interviews lasting between 20-45 minutes</w:t>
      </w:r>
      <w:r w:rsidR="00A84C18" w:rsidRPr="009979BF">
        <w:rPr>
          <w:color w:val="auto"/>
          <w:sz w:val="20"/>
          <w:szCs w:val="20"/>
        </w:rPr>
        <w:t xml:space="preserve"> each</w:t>
      </w:r>
      <w:r w:rsidRPr="009979BF">
        <w:rPr>
          <w:color w:val="auto"/>
          <w:sz w:val="20"/>
          <w:szCs w:val="20"/>
        </w:rPr>
        <w:t xml:space="preserve">. Our higher </w:t>
      </w:r>
      <w:r w:rsidR="00A84C18" w:rsidRPr="009979BF">
        <w:rPr>
          <w:color w:val="auto"/>
          <w:sz w:val="20"/>
          <w:szCs w:val="20"/>
        </w:rPr>
        <w:t xml:space="preserve">baseline </w:t>
      </w:r>
      <w:r w:rsidRPr="009979BF">
        <w:rPr>
          <w:color w:val="auto"/>
          <w:sz w:val="20"/>
          <w:szCs w:val="20"/>
        </w:rPr>
        <w:t>recruitment rate may be due to the use of CASI interviewing, fewer interviews, or</w:t>
      </w:r>
      <w:r w:rsidR="00A84C18" w:rsidRPr="009979BF">
        <w:rPr>
          <w:color w:val="auto"/>
          <w:sz w:val="20"/>
          <w:szCs w:val="20"/>
        </w:rPr>
        <w:t xml:space="preserve"> </w:t>
      </w:r>
      <w:r w:rsidRPr="009979BF">
        <w:rPr>
          <w:color w:val="auto"/>
          <w:sz w:val="20"/>
          <w:szCs w:val="20"/>
        </w:rPr>
        <w:t>because patients were recruited before they had any diagnosis made.</w:t>
      </w:r>
    </w:p>
    <w:p w14:paraId="2E200F28" w14:textId="77777777" w:rsidR="00335958" w:rsidRPr="009979BF" w:rsidRDefault="00335958">
      <w:pPr>
        <w:spacing w:line="360" w:lineRule="auto"/>
        <w:jc w:val="both"/>
        <w:rPr>
          <w:color w:val="auto"/>
          <w:sz w:val="20"/>
          <w:szCs w:val="20"/>
        </w:rPr>
      </w:pPr>
    </w:p>
    <w:p w14:paraId="1EF23C76" w14:textId="77777777" w:rsidR="003D2E06" w:rsidRPr="009979BF" w:rsidRDefault="003D2E06">
      <w:pPr>
        <w:spacing w:line="360" w:lineRule="auto"/>
        <w:rPr>
          <w:rFonts w:cs="Segoe UI"/>
          <w:color w:val="auto"/>
          <w:sz w:val="20"/>
          <w:szCs w:val="20"/>
        </w:rPr>
      </w:pPr>
      <w:r w:rsidRPr="009979BF">
        <w:rPr>
          <w:color w:val="auto"/>
          <w:sz w:val="20"/>
          <w:szCs w:val="20"/>
        </w:rPr>
        <w:t xml:space="preserve">One of the difficulties associated with conducting longitudinal studies is attrition. </w:t>
      </w:r>
      <w:r w:rsidR="00940509" w:rsidRPr="009979BF">
        <w:rPr>
          <w:color w:val="auto"/>
          <w:sz w:val="20"/>
          <w:szCs w:val="20"/>
        </w:rPr>
        <w:t>In our study, o</w:t>
      </w:r>
      <w:r w:rsidRPr="009979BF">
        <w:rPr>
          <w:color w:val="auto"/>
          <w:sz w:val="20"/>
          <w:szCs w:val="20"/>
        </w:rPr>
        <w:t xml:space="preserve">f those eligible for follow-up, </w:t>
      </w:r>
      <w:r w:rsidR="00940509" w:rsidRPr="009979BF">
        <w:rPr>
          <w:color w:val="auto"/>
          <w:sz w:val="20"/>
          <w:szCs w:val="20"/>
        </w:rPr>
        <w:t xml:space="preserve">24 % overall completed the follow-up CASI, </w:t>
      </w:r>
      <w:r w:rsidRPr="009979BF">
        <w:rPr>
          <w:color w:val="auto"/>
          <w:sz w:val="20"/>
          <w:szCs w:val="20"/>
        </w:rPr>
        <w:t>25% of those with a diagnosis of NSGI, CT or NG</w:t>
      </w:r>
      <w:r w:rsidR="00A84C18" w:rsidRPr="009979BF">
        <w:rPr>
          <w:color w:val="auto"/>
          <w:sz w:val="20"/>
          <w:szCs w:val="20"/>
        </w:rPr>
        <w:t>,</w:t>
      </w:r>
      <w:r w:rsidRPr="009979BF">
        <w:rPr>
          <w:color w:val="auto"/>
          <w:sz w:val="20"/>
          <w:szCs w:val="20"/>
        </w:rPr>
        <w:t xml:space="preserve"> and 21% of those with NAD. </w:t>
      </w:r>
      <w:r w:rsidR="00A84C18" w:rsidRPr="009979BF">
        <w:rPr>
          <w:color w:val="auto"/>
          <w:sz w:val="20"/>
          <w:szCs w:val="20"/>
        </w:rPr>
        <w:t>A longitudinal q</w:t>
      </w:r>
      <w:r w:rsidRPr="009979BF">
        <w:rPr>
          <w:color w:val="auto"/>
          <w:sz w:val="20"/>
          <w:szCs w:val="20"/>
        </w:rPr>
        <w:t xml:space="preserve">uestionnaire </w:t>
      </w:r>
      <w:r w:rsidR="00A84C18" w:rsidRPr="009979BF">
        <w:rPr>
          <w:color w:val="auto"/>
          <w:sz w:val="20"/>
          <w:szCs w:val="20"/>
        </w:rPr>
        <w:t xml:space="preserve">study </w:t>
      </w:r>
      <w:r w:rsidR="00A84C18" w:rsidRPr="009979BF">
        <w:rPr>
          <w:rFonts w:cs="Segoe UI"/>
          <w:color w:val="auto"/>
          <w:sz w:val="20"/>
          <w:szCs w:val="20"/>
        </w:rPr>
        <w:t>investigating community screening for CT</w:t>
      </w:r>
      <w:r w:rsidR="00A84C18" w:rsidRPr="009979BF">
        <w:rPr>
          <w:color w:val="auto"/>
          <w:sz w:val="20"/>
          <w:szCs w:val="20"/>
        </w:rPr>
        <w:t xml:space="preserve"> reported </w:t>
      </w:r>
      <w:r w:rsidRPr="009979BF">
        <w:rPr>
          <w:color w:val="auto"/>
          <w:sz w:val="20"/>
          <w:szCs w:val="20"/>
        </w:rPr>
        <w:t>f</w:t>
      </w:r>
      <w:r w:rsidRPr="009979BF">
        <w:rPr>
          <w:rFonts w:cs="Segoe UI"/>
          <w:color w:val="auto"/>
          <w:sz w:val="20"/>
          <w:szCs w:val="20"/>
        </w:rPr>
        <w:t>ollow-up rates of over 60% , however</w:t>
      </w:r>
      <w:r w:rsidR="00A84C18" w:rsidRPr="009979BF">
        <w:rPr>
          <w:rFonts w:cs="Segoe UI"/>
          <w:color w:val="auto"/>
          <w:sz w:val="20"/>
          <w:szCs w:val="20"/>
        </w:rPr>
        <w:t>,</w:t>
      </w:r>
      <w:r w:rsidRPr="009979BF">
        <w:rPr>
          <w:rFonts w:cs="Segoe UI"/>
          <w:color w:val="auto"/>
          <w:sz w:val="20"/>
          <w:szCs w:val="20"/>
        </w:rPr>
        <w:t xml:space="preserve"> eligibility for follow-up excluded those with positive STI test results, and</w:t>
      </w:r>
      <w:r w:rsidRPr="009979BF">
        <w:rPr>
          <w:color w:val="auto"/>
          <w:sz w:val="20"/>
          <w:szCs w:val="20"/>
        </w:rPr>
        <w:t xml:space="preserve"> 60% of the sample was female, reflecting </w:t>
      </w:r>
      <w:r w:rsidR="00A84C18" w:rsidRPr="009979BF">
        <w:rPr>
          <w:color w:val="auto"/>
          <w:sz w:val="20"/>
          <w:szCs w:val="20"/>
        </w:rPr>
        <w:t>the</w:t>
      </w:r>
      <w:r w:rsidRPr="009979BF">
        <w:rPr>
          <w:color w:val="auto"/>
          <w:sz w:val="20"/>
          <w:szCs w:val="20"/>
        </w:rPr>
        <w:t xml:space="preserve"> higher response rate amongst women </w:t>
      </w:r>
      <w:r w:rsidR="00B907B3" w:rsidRPr="009979BF">
        <w:rPr>
          <w:color w:val="auto"/>
          <w:sz w:val="20"/>
          <w:szCs w:val="20"/>
        </w:rPr>
        <w:fldChar w:fldCharType="begin" w:fldLock="1"/>
      </w:r>
      <w:r w:rsidR="008D4440" w:rsidRPr="009979BF">
        <w:rPr>
          <w:color w:val="auto"/>
          <w:sz w:val="20"/>
          <w:szCs w:val="20"/>
        </w:rPr>
        <w:instrText>ADDIN CSL_CITATION { "citationItems" : [ { "id" : "ITEM-1", "itemData" : { "DOI" : "10.1093/fampra/cml031", "ISSN" : "0263-2136", "PMID" : "16790452", "abstract" : "BACKGROUND Screening for Chlamydia trachomatis in selected health care settings is underway in the UK despite insufficient evidence about the personal impact of screening. OBJECTIVES To describe men and women's experiences of being screened for chlamydia as part of the Chlamydia Screening Studies (ClaSS) project, a population-based UK study of postal screening for chlamydia. METHODS We conducted in-depth interviews with 45 purposively sampled participants in the ClaSS project using a checklist of topics relating to their experiences of the screening process. Interviews were audio-tape recorded, transcribed verbatim and analysed using the constant comparison method. RESULTS Four main themes emerged: initial discomfort with screening arising from an unease with sexual health issues; anxiety, especially after receiving a positive test result, due to the fear of informing sexual partners, the risk of infertility and the possibility of having other undetected infections; women's concern about being stigmatised for having been infected with chlamydia, which affected how they felt about themselves and how they thought others would perceive them; and recognising the need to balance the harms of screening with the benefits. Despite some reported adverse effects, no one regretted their decision to be screened. CONCLUSIONS Public education and discussion of sexually transmitted infections should help to increase the acceptability of chlamydia screening and destigmatise a diagnosis of chlamydia. Those working in primary care settings are likely to become increasingly involved in chlamydia screening and so must be suitably trained to inform individuals of the potential adverse effects and to deal with their consequences.", "author" : [ { "dropping-particle" : "", "family" : "Mills", "given" : "Nicola", "non-dropping-particle" : "", "parse-names" : false, "suffix" : "" }, { "dropping-particle" : "", "family" : "Daker-White", "given" : "Gavin", "non-dropping-particle" : "", "parse-names" : false, "suffix" : "" }, { "dropping-particle" : "", "family" : "Graham", "given" : "Anna", "non-dropping-particle" : "", "parse-names" : false, "suffix" : "" }, { "dropping-particle" : "", "family" : "Campbell", "given" : "Rona", "non-dropping-particle" : "", "parse-names" : false, "suffix" : "" } ], "container-title" : "Family practice", "id" : "ITEM-1", "issue" : "5", "issued" : { "date-parts" : [ [ "2006", "10" ] ] }, "page" : "550-7", "title" : "Population screening for Chlamydia trachomatis infection in the UK: a qualitative study of the experiences of those screened.", "type" : "article-journal", "volume" : "23" }, "uris" : [ "http://www.mendeley.com/documents/?uuid=e676815f-a5c6-36ec-8b27-d68f08f1df77" ] } ], "mendeley" : { "formattedCitation" : "[12]", "plainTextFormattedCitation" : "[12]", "previouslyFormattedCitation" : "[12]" }, "properties" : { "noteIndex" : 0 }, "schema" : "https://github.com/citation-style-language/schema/raw/master/csl-citation.json" }</w:instrText>
      </w:r>
      <w:r w:rsidR="00B907B3" w:rsidRPr="009979BF">
        <w:rPr>
          <w:color w:val="auto"/>
          <w:sz w:val="20"/>
          <w:szCs w:val="20"/>
        </w:rPr>
        <w:fldChar w:fldCharType="separate"/>
      </w:r>
      <w:r w:rsidR="004B4B35" w:rsidRPr="009979BF">
        <w:rPr>
          <w:noProof/>
          <w:color w:val="auto"/>
          <w:sz w:val="20"/>
          <w:szCs w:val="20"/>
        </w:rPr>
        <w:t>[12]</w:t>
      </w:r>
      <w:r w:rsidR="00B907B3" w:rsidRPr="009979BF">
        <w:rPr>
          <w:color w:val="auto"/>
          <w:sz w:val="20"/>
          <w:szCs w:val="20"/>
        </w:rPr>
        <w:fldChar w:fldCharType="end"/>
      </w:r>
      <w:r w:rsidR="00A84C18" w:rsidRPr="009979BF">
        <w:rPr>
          <w:color w:val="auto"/>
          <w:sz w:val="20"/>
          <w:szCs w:val="20"/>
        </w:rPr>
        <w:t>.</w:t>
      </w:r>
      <w:r w:rsidRPr="009979BF">
        <w:rPr>
          <w:color w:val="auto"/>
          <w:sz w:val="20"/>
          <w:szCs w:val="20"/>
        </w:rPr>
        <w:t xml:space="preserve"> </w:t>
      </w:r>
      <w:r w:rsidR="00A84C18" w:rsidRPr="009979BF">
        <w:rPr>
          <w:color w:val="auto"/>
          <w:sz w:val="20"/>
          <w:szCs w:val="20"/>
        </w:rPr>
        <w:t xml:space="preserve">Our </w:t>
      </w:r>
      <w:r w:rsidRPr="009979BF">
        <w:rPr>
          <w:color w:val="auto"/>
          <w:sz w:val="20"/>
          <w:szCs w:val="20"/>
        </w:rPr>
        <w:t>study</w:t>
      </w:r>
      <w:r w:rsidR="00A84C18" w:rsidRPr="009979BF">
        <w:rPr>
          <w:color w:val="auto"/>
          <w:sz w:val="20"/>
          <w:szCs w:val="20"/>
        </w:rPr>
        <w:t xml:space="preserve">’s qualitative </w:t>
      </w:r>
      <w:r w:rsidR="00013F82" w:rsidRPr="009979BF">
        <w:rPr>
          <w:color w:val="auto"/>
          <w:sz w:val="20"/>
          <w:szCs w:val="20"/>
        </w:rPr>
        <w:t>component</w:t>
      </w:r>
      <w:r w:rsidRPr="009979BF">
        <w:rPr>
          <w:color w:val="auto"/>
          <w:sz w:val="20"/>
          <w:szCs w:val="20"/>
        </w:rPr>
        <w:t xml:space="preserve"> </w:t>
      </w:r>
      <w:r w:rsidR="00A84C18" w:rsidRPr="009979BF">
        <w:rPr>
          <w:color w:val="auto"/>
          <w:sz w:val="20"/>
          <w:szCs w:val="20"/>
        </w:rPr>
        <w:t>had a</w:t>
      </w:r>
      <w:r w:rsidRPr="009979BF">
        <w:rPr>
          <w:color w:val="auto"/>
          <w:sz w:val="20"/>
          <w:szCs w:val="20"/>
        </w:rPr>
        <w:t xml:space="preserve"> follow-up rate </w:t>
      </w:r>
      <w:r w:rsidR="004776E6" w:rsidRPr="009979BF">
        <w:rPr>
          <w:color w:val="auto"/>
          <w:sz w:val="20"/>
          <w:szCs w:val="20"/>
        </w:rPr>
        <w:t xml:space="preserve">of </w:t>
      </w:r>
      <w:r w:rsidR="004776E6" w:rsidRPr="009979BF">
        <w:rPr>
          <w:rFonts w:cs="Segoe UI"/>
          <w:color w:val="auto"/>
          <w:sz w:val="20"/>
          <w:szCs w:val="20"/>
        </w:rPr>
        <w:t>27</w:t>
      </w:r>
      <w:r w:rsidRPr="009979BF">
        <w:rPr>
          <w:rFonts w:cs="Segoe UI"/>
          <w:color w:val="auto"/>
          <w:sz w:val="20"/>
          <w:szCs w:val="20"/>
        </w:rPr>
        <w:t>% overall, 25</w:t>
      </w:r>
      <w:r w:rsidR="004776E6" w:rsidRPr="009979BF">
        <w:rPr>
          <w:rFonts w:cs="Segoe UI"/>
          <w:color w:val="auto"/>
          <w:sz w:val="20"/>
          <w:szCs w:val="20"/>
        </w:rPr>
        <w:t>% in</w:t>
      </w:r>
      <w:r w:rsidRPr="009979BF">
        <w:rPr>
          <w:rFonts w:cs="Segoe UI"/>
          <w:color w:val="auto"/>
          <w:sz w:val="20"/>
          <w:szCs w:val="20"/>
        </w:rPr>
        <w:t xml:space="preserve"> those who had a</w:t>
      </w:r>
      <w:r w:rsidR="00013F82" w:rsidRPr="009979BF">
        <w:rPr>
          <w:rFonts w:cs="Segoe UI"/>
          <w:color w:val="auto"/>
          <w:sz w:val="20"/>
          <w:szCs w:val="20"/>
        </w:rPr>
        <w:t>ny</w:t>
      </w:r>
      <w:r w:rsidRPr="009979BF">
        <w:rPr>
          <w:rFonts w:cs="Segoe UI"/>
          <w:color w:val="auto"/>
          <w:sz w:val="20"/>
          <w:szCs w:val="20"/>
        </w:rPr>
        <w:t xml:space="preserve"> positive diagnosis, and 33% in those with NAD. By comparison, </w:t>
      </w:r>
      <w:r w:rsidRPr="009979BF">
        <w:rPr>
          <w:color w:val="auto"/>
          <w:sz w:val="20"/>
          <w:szCs w:val="20"/>
        </w:rPr>
        <w:t>a study including men</w:t>
      </w:r>
      <w:r w:rsidR="00692E66" w:rsidRPr="009979BF">
        <w:rPr>
          <w:color w:val="auto"/>
          <w:sz w:val="20"/>
          <w:szCs w:val="20"/>
        </w:rPr>
        <w:t>,</w:t>
      </w:r>
      <w:r w:rsidRPr="009979BF">
        <w:rPr>
          <w:color w:val="auto"/>
          <w:sz w:val="20"/>
          <w:szCs w:val="20"/>
        </w:rPr>
        <w:t xml:space="preserve"> investigating patient views on CT screening recruited 6.6% of those who completed the baseline questionnaire to a qualitative interview, </w:t>
      </w:r>
      <w:r w:rsidR="00013F82" w:rsidRPr="009979BF">
        <w:rPr>
          <w:color w:val="auto"/>
          <w:sz w:val="20"/>
          <w:szCs w:val="20"/>
        </w:rPr>
        <w:t xml:space="preserve">which was </w:t>
      </w:r>
      <w:r w:rsidR="0044242E" w:rsidRPr="009979BF">
        <w:rPr>
          <w:color w:val="auto"/>
          <w:sz w:val="20"/>
          <w:szCs w:val="20"/>
        </w:rPr>
        <w:t>below</w:t>
      </w:r>
      <w:r w:rsidRPr="009979BF">
        <w:rPr>
          <w:color w:val="auto"/>
          <w:sz w:val="20"/>
          <w:szCs w:val="20"/>
        </w:rPr>
        <w:t xml:space="preserve"> their target of 10%</w:t>
      </w:r>
      <w:r w:rsidR="0044242E" w:rsidRPr="009979BF">
        <w:rPr>
          <w:color w:val="auto"/>
          <w:sz w:val="20"/>
          <w:szCs w:val="20"/>
        </w:rPr>
        <w:t xml:space="preserve"> </w:t>
      </w:r>
      <w:r w:rsidR="00B907B3" w:rsidRPr="009979BF">
        <w:rPr>
          <w:color w:val="auto"/>
          <w:sz w:val="20"/>
          <w:szCs w:val="20"/>
        </w:rPr>
        <w:fldChar w:fldCharType="begin" w:fldLock="1"/>
      </w:r>
      <w:r w:rsidR="008D4440" w:rsidRPr="009979BF">
        <w:rPr>
          <w:color w:val="auto"/>
          <w:sz w:val="20"/>
          <w:szCs w:val="20"/>
        </w:rPr>
        <w:instrText>ADDIN CSL_CITATION { "citationItems" : [ { "id" : "ITEM-1", "itemData" : { "DOI" : "10.1136/sti.2008.031138", "PMID" : "19106148", "abstract" : "OBJECTIVE To explore the factors associated with men and women's willingness to provide a urine sample for Chlamydia trachomatis screening in various non-medical settings. METHODS Men and women aged 16-24 years attending non-medical settings were invited to participate in urine-based screening and later to participate in a follow-up in-depth interview. Participant observation techniques were also used to collect data on young people's response to the offer of screening. RESULTS The views of 24 men and women revealed three themes in relation to willingness to participate, particularly among men: their raised awareness of chlamydia, particularly its asymptomatic nature; the convenience of the offer; and the \"non-medical\" nature of the screening. In contrast, women more often felt the public nature of the settings inhibited them from agreeing to take the test and, thus, acted as a barrier to their willingness to participate in screening. CONCLUSIONS The gender difference in willingness to participate in non-medical screening suggests that extending the reach of screening could certainly assist in bringing more young men into screening but may not necessarily destigmatise screening for women. As such, the potential benefits to men must be considered in the context of the potential psychosocial harms to women.", "author" : [ { "dropping-particle" : "", "family" : "Lorimer", "given" : "K", "non-dropping-particle" : "", "parse-names" : false, "suffix" : "" }, { "dropping-particle" : "", "family" : "Reid", "given" : "M E", "non-dropping-particle" : "", "parse-names" : false, "suffix" : "" }, { "dropping-particle" : "", "family" : "Hart", "given" : "G J", "non-dropping-particle" : "", "parse-names" : false, "suffix" : "" } ], "container-title" : "Sexually transmitted infections", "id" : "ITEM-1", "issue" : "3", "issued" : { "date-parts" : [ [ "2009", "6", "1" ] ] }, "page" : "201-5", "publisher" : "The Medical Society for the Study of Venereal Disease", "title" : "\"It has to speak to people's everyday life...\"; qualitative study of men and women's willingness to participate in a non-medical approach to Chlamydia trachomatis screening.", "type" : "article-journal", "volume" : "85" }, "uris" : [ "http://www.mendeley.com/documents/?uuid=79d465d0-0ae4-377f-8242-fab4f775f20f" ] } ], "mendeley" : { "formattedCitation" : "[43]", "plainTextFormattedCitation" : "[43]", "previouslyFormattedCitation" : "[43]" }, "properties" : { "noteIndex" : 0 }, "schema" : "https://github.com/citation-style-language/schema/raw/master/csl-citation.json" }</w:instrText>
      </w:r>
      <w:r w:rsidR="00B907B3" w:rsidRPr="009979BF">
        <w:rPr>
          <w:color w:val="auto"/>
          <w:sz w:val="20"/>
          <w:szCs w:val="20"/>
        </w:rPr>
        <w:fldChar w:fldCharType="separate"/>
      </w:r>
      <w:r w:rsidR="00577F2F" w:rsidRPr="009979BF">
        <w:rPr>
          <w:noProof/>
          <w:color w:val="auto"/>
          <w:sz w:val="20"/>
          <w:szCs w:val="20"/>
        </w:rPr>
        <w:t>[43]</w:t>
      </w:r>
      <w:r w:rsidR="00B907B3" w:rsidRPr="009979BF">
        <w:rPr>
          <w:color w:val="auto"/>
          <w:sz w:val="20"/>
          <w:szCs w:val="20"/>
        </w:rPr>
        <w:fldChar w:fldCharType="end"/>
      </w:r>
      <w:r w:rsidR="00766515" w:rsidRPr="009979BF">
        <w:rPr>
          <w:color w:val="auto"/>
          <w:sz w:val="20"/>
          <w:szCs w:val="20"/>
        </w:rPr>
        <w:t>.</w:t>
      </w:r>
      <w:r w:rsidRPr="009979BF">
        <w:rPr>
          <w:color w:val="auto"/>
          <w:sz w:val="20"/>
          <w:szCs w:val="20"/>
        </w:rPr>
        <w:t xml:space="preserve"> </w:t>
      </w:r>
    </w:p>
    <w:p w14:paraId="4E0646EB" w14:textId="77777777" w:rsidR="00335958" w:rsidRPr="009979BF" w:rsidRDefault="00335958">
      <w:pPr>
        <w:spacing w:line="360" w:lineRule="auto"/>
        <w:jc w:val="both"/>
        <w:rPr>
          <w:color w:val="auto"/>
          <w:sz w:val="20"/>
          <w:szCs w:val="20"/>
        </w:rPr>
      </w:pPr>
    </w:p>
    <w:p w14:paraId="61DB8D38" w14:textId="77777777" w:rsidR="00335958" w:rsidRPr="009979BF" w:rsidRDefault="009C73BF">
      <w:pPr>
        <w:spacing w:line="360" w:lineRule="auto"/>
        <w:jc w:val="both"/>
        <w:rPr>
          <w:rFonts w:cs="Segoe UI"/>
          <w:color w:val="auto"/>
          <w:sz w:val="20"/>
          <w:szCs w:val="20"/>
        </w:rPr>
      </w:pPr>
      <w:r w:rsidRPr="009979BF">
        <w:rPr>
          <w:color w:val="auto"/>
          <w:sz w:val="20"/>
          <w:szCs w:val="20"/>
        </w:rPr>
        <w:t>We embedded several mechanisms in our study to improve participant acceptability</w:t>
      </w:r>
      <w:r w:rsidR="00F00805" w:rsidRPr="009979BF">
        <w:rPr>
          <w:color w:val="auto"/>
          <w:sz w:val="20"/>
          <w:szCs w:val="20"/>
        </w:rPr>
        <w:t xml:space="preserve"> and retention</w:t>
      </w:r>
      <w:r w:rsidRPr="009979BF">
        <w:rPr>
          <w:color w:val="auto"/>
          <w:sz w:val="20"/>
          <w:szCs w:val="20"/>
        </w:rPr>
        <w:t xml:space="preserve">. </w:t>
      </w:r>
      <w:r w:rsidR="00555A1A" w:rsidRPr="009979BF">
        <w:rPr>
          <w:color w:val="auto"/>
          <w:sz w:val="20"/>
          <w:szCs w:val="20"/>
        </w:rPr>
        <w:t xml:space="preserve">Privacy when completing sensitive questions has been shown to improve participant acceptability </w:t>
      </w:r>
      <w:r w:rsidR="00AE518E" w:rsidRPr="009979BF">
        <w:rPr>
          <w:color w:val="auto"/>
          <w:sz w:val="20"/>
          <w:szCs w:val="20"/>
        </w:rPr>
        <w:t>for</w:t>
      </w:r>
      <w:r w:rsidR="00555A1A" w:rsidRPr="009979BF">
        <w:rPr>
          <w:color w:val="auto"/>
          <w:sz w:val="20"/>
          <w:szCs w:val="20"/>
        </w:rPr>
        <w:t xml:space="preserve"> revealing potentially stigmatising information</w:t>
      </w:r>
      <w:r w:rsidR="00B8069E" w:rsidRPr="009979BF">
        <w:rPr>
          <w:color w:val="auto"/>
          <w:sz w:val="20"/>
          <w:szCs w:val="20"/>
        </w:rPr>
        <w:t xml:space="preserve"> </w:t>
      </w:r>
      <w:r w:rsidR="00B907B3" w:rsidRPr="009979BF">
        <w:rPr>
          <w:color w:val="auto"/>
          <w:sz w:val="20"/>
          <w:szCs w:val="20"/>
        </w:rPr>
        <w:fldChar w:fldCharType="begin" w:fldLock="1"/>
      </w:r>
      <w:r w:rsidR="00A03473" w:rsidRPr="009979BF">
        <w:rPr>
          <w:color w:val="auto"/>
          <w:sz w:val="20"/>
          <w:szCs w:val="20"/>
        </w:rPr>
        <w:instrText>ADDIN CSL_CITATION { "citationItems" : [ { "id" : "ITEM-1", "itemData" : { "DOI" : "10.1371/journal.pone.0147983", "ISSN" : "1932-6203", "author" : [ { "dropping-particle" : "", "family" : "Burkill", "given" : "Sarah", "non-dropping-particle" : "", "parse-names" : false, "suffix" : "" }, { "dropping-particle" : "", "family" : "Copas", "given" : "Andrew", "non-dropping-particle" : "", "parse-names" : false, "suffix" : "" }, { "dropping-particle" : "", "family" : "Couper", "given" : "Mick P.", "non-dropping-particle" : "", "parse-names" : false, "suffix" : "" }, { "dropping-particle" : "", "family" : "Clifton", "given" : "Soazig", "non-dropping-particle" : "", "parse-names" : false, "suffix" : "" }, { "dropping-particle" : "", "family" : "Prah", "given" : "Philip", "non-dropping-particle" : "", "parse-names" : false, "suffix" : "" }, { "dropping-particle" : "", "family" : "Datta", "given" : "Jessica", "non-dropping-particle" : "", "parse-names" : false, "suffix" : "" }, { "dropping-particle" : "", "family" : "Conrad", "given" : "Frederick", "non-dropping-particle" : "", "parse-names" : false, "suffix" : "" }, { "dropping-particle" : "", "family" : "Wellings", "given" : "Kaye", "non-dropping-particle" : "", "parse-names" : false, "suffix" : "" }, { "dropping-particle" : "", "family" : "Johnson", "given" : "Anne M.", "non-dropping-particle" : "", "parse-names" : false, "suffix" : "" }, { "dropping-particle" : "", "family" : "Erens", "given" : "Bob", "non-dropping-particle" : "", "parse-names" : false, "suffix" : "" } ], "container-title" : "PLOS ONE", "editor" : [ { "dropping-particle" : "", "family" : "Cardoso", "given" : "Marly Augusto", "non-dropping-particle" : "", "parse-names" : false, "suffix" : "" } ], "id" : "ITEM-1", "issue" : "2", "issued" : { "date-parts" : [ [ "2016", "2", "11" ] ] }, "page" : "e0147983", "title" : "Using the Web to Collect Data on Sensitive Behaviours: A Study Looking at Mode Effects on the British National Survey of Sexual Attitudes and Lifestyles", "type" : "article-journal", "volume" : "11" }, "uris" : [ "http://www.mendeley.com/documents/?uuid=01b9ff8d-dc03-394e-ae6d-fedd0e2ce249" ] } ], "mendeley" : { "formattedCitation" : "[44]", "plainTextFormattedCitation" : "[44]", "previouslyFormattedCitation" : "[44]" }, "properties" : { "noteIndex" : 0 }, "schema" : "https://github.com/citation-style-language/schema/raw/master/csl-citation.json" }</w:instrText>
      </w:r>
      <w:r w:rsidR="00B907B3" w:rsidRPr="009979BF">
        <w:rPr>
          <w:color w:val="auto"/>
          <w:sz w:val="20"/>
          <w:szCs w:val="20"/>
        </w:rPr>
        <w:fldChar w:fldCharType="separate"/>
      </w:r>
      <w:r w:rsidR="00577F2F" w:rsidRPr="009979BF">
        <w:rPr>
          <w:noProof/>
          <w:color w:val="auto"/>
          <w:sz w:val="20"/>
          <w:szCs w:val="20"/>
        </w:rPr>
        <w:t>[44]</w:t>
      </w:r>
      <w:r w:rsidR="00B907B3" w:rsidRPr="009979BF">
        <w:rPr>
          <w:color w:val="auto"/>
          <w:sz w:val="20"/>
          <w:szCs w:val="20"/>
        </w:rPr>
        <w:fldChar w:fldCharType="end"/>
      </w:r>
      <w:r w:rsidR="00555A1A" w:rsidRPr="009979BF">
        <w:rPr>
          <w:color w:val="auto"/>
          <w:sz w:val="20"/>
          <w:szCs w:val="20"/>
        </w:rPr>
        <w:t>; we</w:t>
      </w:r>
      <w:r w:rsidR="00AE518E" w:rsidRPr="009979BF">
        <w:rPr>
          <w:color w:val="auto"/>
          <w:sz w:val="20"/>
          <w:szCs w:val="20"/>
        </w:rPr>
        <w:t xml:space="preserve"> </w:t>
      </w:r>
      <w:r w:rsidR="001A1663" w:rsidRPr="009979BF">
        <w:rPr>
          <w:color w:val="auto"/>
          <w:sz w:val="20"/>
          <w:szCs w:val="20"/>
        </w:rPr>
        <w:t>used a web-based CASI</w:t>
      </w:r>
      <w:r w:rsidR="00D90E1B" w:rsidRPr="009979BF">
        <w:rPr>
          <w:color w:val="auto"/>
          <w:sz w:val="20"/>
          <w:szCs w:val="20"/>
        </w:rPr>
        <w:t xml:space="preserve"> and the option for participants to self-complete the </w:t>
      </w:r>
      <w:r w:rsidR="00555A1A" w:rsidRPr="009979BF">
        <w:rPr>
          <w:color w:val="auto"/>
          <w:sz w:val="20"/>
          <w:szCs w:val="20"/>
        </w:rPr>
        <w:t>questionnaire</w:t>
      </w:r>
      <w:r w:rsidR="00D90E1B" w:rsidRPr="009979BF">
        <w:rPr>
          <w:color w:val="auto"/>
          <w:sz w:val="20"/>
          <w:szCs w:val="20"/>
        </w:rPr>
        <w:t xml:space="preserve"> in a private room in the clinic</w:t>
      </w:r>
      <w:r w:rsidR="00555A1A" w:rsidRPr="009979BF">
        <w:rPr>
          <w:color w:val="auto"/>
          <w:sz w:val="20"/>
          <w:szCs w:val="20"/>
        </w:rPr>
        <w:t>.</w:t>
      </w:r>
      <w:r w:rsidRPr="009979BF">
        <w:rPr>
          <w:color w:val="auto"/>
          <w:sz w:val="20"/>
          <w:szCs w:val="20"/>
        </w:rPr>
        <w:t xml:space="preserve"> </w:t>
      </w:r>
      <w:r w:rsidR="00D90E1B" w:rsidRPr="009979BF">
        <w:rPr>
          <w:color w:val="auto"/>
          <w:sz w:val="20"/>
          <w:szCs w:val="20"/>
        </w:rPr>
        <w:t xml:space="preserve">Potential research participants, and men </w:t>
      </w:r>
      <w:r w:rsidR="00D90E1B" w:rsidRPr="009979BF">
        <w:rPr>
          <w:color w:val="auto"/>
          <w:sz w:val="20"/>
          <w:szCs w:val="20"/>
        </w:rPr>
        <w:lastRenderedPageBreak/>
        <w:t>specific</w:t>
      </w:r>
      <w:r w:rsidR="005A57DA" w:rsidRPr="009979BF">
        <w:rPr>
          <w:color w:val="auto"/>
          <w:sz w:val="20"/>
          <w:szCs w:val="20"/>
        </w:rPr>
        <w:t>ally</w:t>
      </w:r>
      <w:r w:rsidR="00D90E1B" w:rsidRPr="009979BF">
        <w:rPr>
          <w:color w:val="auto"/>
          <w:sz w:val="20"/>
          <w:szCs w:val="20"/>
        </w:rPr>
        <w:t>, are more likely to participate in research that represents their concerns</w:t>
      </w:r>
      <w:r w:rsidR="00F74357" w:rsidRPr="009979BF">
        <w:rPr>
          <w:color w:val="auto"/>
          <w:sz w:val="20"/>
          <w:szCs w:val="20"/>
        </w:rPr>
        <w:t xml:space="preserve"> </w:t>
      </w:r>
      <w:r w:rsidR="00B907B3" w:rsidRPr="009979BF">
        <w:rPr>
          <w:color w:val="auto"/>
          <w:sz w:val="20"/>
          <w:szCs w:val="20"/>
        </w:rPr>
        <w:fldChar w:fldCharType="begin" w:fldLock="1"/>
      </w:r>
      <w:r w:rsidR="008D4440" w:rsidRPr="009979BF">
        <w:rPr>
          <w:color w:val="auto"/>
          <w:sz w:val="20"/>
          <w:szCs w:val="20"/>
        </w:rPr>
        <w:instrText>ADDIN CSL_CITATION { "citationItems" : [ { "id" : "ITEM-1", "itemData" : { "DOI" : "10.17226/18293", "ISBN" : "978-0-309-27247-6", "author" : [ { "dropping-particle" : "", "family" : "National Research Council", "given" : "", "non-dropping-particle" : "", "parse-names" : false, "suffix" : "" } ], "id" : "ITEM-1", "issued" : { "date-parts" : [ [ "2013", "9", "26" ] ] }, "publisher" : "National Academies Press", "publisher-place" : "Washington, D.C.", "title" : "Nonresponse in Social Science Surveys", "type" : "book" }, "uris" : [ "http://www.mendeley.com/documents/?uuid=ca645897-2d78-3d70-8f74-f3afaea71eb2" ] }, { "id" : "ITEM-2", "itemData" : { "DOI" : "10.1080/136910500300769", "ISSN" : "1369-1058", "abstract" : "Following the 1994 International Conference on Population and Development, the world has seen a shift in paradigm away from focused family planning programmes towards reproductive and sexual health more generally. This paper considers how the traditional emphasis on women's health and family planning can result in men's sexual health needs being overlooked. A biomedical rationale to target men with health services evolved from the rising interest in control programmes for HIV and sexually transmitted infections (STIs). To plan appropriate health interventions more needs to be known about how men perceive their sexual health. Unique data from Orissa (India) and rural Bangladesh illustrate men's perceptions of their sexual health problems and demonstrate that men are willing to seek care. While public sector programmers and health planners may be focusing their attention on the control of STIs, men in both studies indicated that their major concerns relate more to matters of psychosexual disorders. The fail...", "author" : [ { "dropping-particle" : "", "family" : "Collumbien", "given" : "Martine", "non-dropping-particle" : "", "parse-names" : false, "suffix" : "" }, { "dropping-particle" : "", "family" : "Hawkes", "given" : "Sarah", "non-dropping-particle" : "", "parse-names" : false, "suffix" : "" } ], "container-title" : "Culture, Health &amp; Sexuality", "id" : "ITEM-2", "issue" : "2", "issued" : { "date-parts" : [ [ "2000", "1" ] ] }, "page" : "135-150", "publisher" : " Taylor &amp; Francis Group ", "title" : "Missing men's messages: Does the reproductive health approach respond to men's sexual health needs?", "type" : "article-journal", "volume" : "2" }, "uris" : [ "http://www.mendeley.com/documents/?uuid=b2e8948f-04b2-3b8e-a931-6ef6413aa7b8" ] }, { "id" : "ITEM-3", "itemData" : { "ISSN" : "0277-9536", "abstract" : "It is often assumed that men are reluctant to seek medical care. However, despite growing interest in masculinity and men's health, few studies have focussed on men's experiences of consultation in relation to their constructions of masculinity. Those that have are largely based on men with diseases of the male body (testicular and prostate cancer) or those which have been stereotyped as male (coronary heart disease). This paper presents discussions and experiences of help seeking and its relation to, and implications for, the practice of masculinity amongst a diversity of men in Scotland, as articulated in focus group discussions. The discussions did indeed suggest a widespread endorsement of a 'hegemonic' view that men 'should' be reluctant to seek help, particularly amongst younger men. However, they also included instances which questioned or went against this apparent reluctance to seek help. These were themselves linked with masculinity: help seeking was more quickly embraced when it was perceived as a means to preserve or restore another, more valued, enactment of masculinity (e.g. working as a fire-fighter, or maintaining sexual performance or function). Few other studies have emphasised how men negotiate deviations from the hegemonic view of help-seeking.", "author" : [ { "dropping-particle" : "", "family" : "Rosaleen", "given" : "O'Brien,", "non-dropping-particle" : "", "parse-names" : false, "suffix" : "" }, { "dropping-particle" : "", "family" : "Hunt", "given" : "Kate", "non-dropping-particle" : "", "parse-names" : false, "suffix" : "" }, { "dropping-particle" : "", "family" : "Hart", "given" : "Graham", "non-dropping-particle" : "", "parse-names" : false, "suffix" : "" }, { "dropping-particle" : "", "family" : "Rosaleen", "given" : "O'Brien,", "non-dropping-particle" : "", "parse-names" : false, "suffix" : "" }, { "dropping-particle" : "", "family" : "Hunt", "given" : "Kate", "non-dropping-particle" : "", "parse-names" : false, "suffix" : "" }, { "dropping-particle" : "", "family" : "Hart", "given" : "Graham", "non-dropping-particle" : "", "parse-names" : false, "suffix" : "" } ], "container-title" : "Social Science &amp; Medicine", "id" : "ITEM-3", "issue" : "3", "issued" : { "date-parts" : [ [ "2005" ] ] }, "number-of-pages" : "503-516", "publisher" : "Elsevier Science", "title" : "Social science &amp;amp; medicine.", "type" : "book", "volume" : "61" }, "uris" : [ "http://www.mendeley.com/documents/?uuid=2b728a0a-cc64-3e14-b3e0-9ce0868510b3" ] } ], "mendeley" : { "formattedCitation" : "[19,21,45]", "plainTextFormattedCitation" : "[19,21,45]", "previouslyFormattedCitation" : "[19,21,45]" }, "properties" : { "noteIndex" : 0 }, "schema" : "https://github.com/citation-style-language/schema/raw/master/csl-citation.json" }</w:instrText>
      </w:r>
      <w:r w:rsidR="00B907B3" w:rsidRPr="009979BF">
        <w:rPr>
          <w:color w:val="auto"/>
          <w:sz w:val="20"/>
          <w:szCs w:val="20"/>
        </w:rPr>
        <w:fldChar w:fldCharType="separate"/>
      </w:r>
      <w:r w:rsidR="004B4B35" w:rsidRPr="009979BF">
        <w:rPr>
          <w:noProof/>
          <w:color w:val="auto"/>
          <w:sz w:val="20"/>
          <w:szCs w:val="20"/>
        </w:rPr>
        <w:t>[19,21,45]</w:t>
      </w:r>
      <w:r w:rsidR="00B907B3" w:rsidRPr="009979BF">
        <w:rPr>
          <w:color w:val="auto"/>
          <w:sz w:val="20"/>
          <w:szCs w:val="20"/>
        </w:rPr>
        <w:fldChar w:fldCharType="end"/>
      </w:r>
      <w:r w:rsidR="00D90E1B" w:rsidRPr="009979BF">
        <w:rPr>
          <w:color w:val="auto"/>
          <w:sz w:val="20"/>
          <w:szCs w:val="20"/>
        </w:rPr>
        <w:t>; eligibility for this study was restricted to those patients who were lik</w:t>
      </w:r>
      <w:r w:rsidR="00555A1A" w:rsidRPr="009979BF">
        <w:rPr>
          <w:color w:val="auto"/>
          <w:sz w:val="20"/>
          <w:szCs w:val="20"/>
        </w:rPr>
        <w:t>ely to be diagnosed with an STI</w:t>
      </w:r>
      <w:r w:rsidR="0044242E" w:rsidRPr="009979BF">
        <w:rPr>
          <w:color w:val="auto"/>
          <w:sz w:val="20"/>
          <w:szCs w:val="20"/>
        </w:rPr>
        <w:t>,</w:t>
      </w:r>
      <w:r w:rsidR="009E5252" w:rsidRPr="009979BF">
        <w:rPr>
          <w:color w:val="auto"/>
          <w:sz w:val="20"/>
          <w:szCs w:val="20"/>
        </w:rPr>
        <w:t xml:space="preserve"> and</w:t>
      </w:r>
      <w:r w:rsidR="00D90E1B" w:rsidRPr="009979BF">
        <w:rPr>
          <w:color w:val="auto"/>
          <w:sz w:val="20"/>
          <w:szCs w:val="20"/>
        </w:rPr>
        <w:t xml:space="preserve"> focused on the impact of </w:t>
      </w:r>
      <w:r w:rsidR="00AE518E" w:rsidRPr="009979BF">
        <w:rPr>
          <w:color w:val="auto"/>
          <w:sz w:val="20"/>
          <w:szCs w:val="20"/>
        </w:rPr>
        <w:t>those</w:t>
      </w:r>
      <w:r w:rsidR="00D90E1B" w:rsidRPr="009979BF">
        <w:rPr>
          <w:color w:val="auto"/>
          <w:sz w:val="20"/>
          <w:szCs w:val="20"/>
        </w:rPr>
        <w:t xml:space="preserve"> diagnoses. In addition, reimbursements have been shown to play a part in increasing enrolment and retention in research</w:t>
      </w:r>
      <w:r w:rsidR="00F74357" w:rsidRPr="009979BF">
        <w:rPr>
          <w:color w:val="auto"/>
          <w:sz w:val="20"/>
          <w:szCs w:val="20"/>
        </w:rPr>
        <w:t xml:space="preserve"> </w:t>
      </w:r>
      <w:r w:rsidR="00B907B3" w:rsidRPr="009979BF">
        <w:rPr>
          <w:color w:val="auto"/>
          <w:sz w:val="20"/>
          <w:szCs w:val="20"/>
        </w:rPr>
        <w:fldChar w:fldCharType="begin" w:fldLock="1"/>
      </w:r>
      <w:r w:rsidR="008D4440" w:rsidRPr="009979BF">
        <w:rPr>
          <w:color w:val="auto"/>
          <w:sz w:val="20"/>
          <w:szCs w:val="20"/>
        </w:rPr>
        <w:instrText>ADDIN CSL_CITATION { "citationItems" : [ { "id" : "ITEM-1", "itemData" : { "ISBN" : "1848552246", "abstract" : "2nd ed. Revised edition of: Handbook of survey research / edited by Peter H. Rossi, James D. Wright, Andy B. Anderson. New York : Academic Press, c1983. Quantitative studies in social relations. Survey research and social science : history, current practice, and future prospects / James D. Wright and Peter V. Marsden -- Overview of design issues : total survey error / Paul P. Biemer -- Legal and human subjects considerations in surveys / Constance F. Citro -- Sampling theory / Martin Frankel -- Fundamentals of applied sampling / Thomas Piazza -- Applied sampling for large-scale multistage area probability designs / Rachel Harter, Stephanie Eckman, Ned English and Colm O'Muircheartaigh -- Sample size, optimum allocation, and power analysis / Kenneth C. Land and Hui Zheng -- Analysis of data from complex surveys / Richard T. Campbell and Michael L. Berbaum -- Question and questionnaire design / Jon A. Krosnick and Stanley Presser -- The psychology of survey response / Roger Tourangeau and Normal M. Bradburn -- Measurement models for survey research / George W. Bohrnstedt -- How good is survey measurement? Assessing the reliability and validity of survey measures / Duane F. Alwin -- Interviewers and interviewing / Nora Cate Schaeffer, Jennifer Dykema and Douglas W. Maynard -- Telephone surveys / Paul J. Lavrakas -- Mail surveys and paper questionnaires / Chase H. Harrison -- Internet surveys / Mick P. Couper and Michael Bosnjak -- Mixed-mode surveys / Don A. Dillman and Benjamin L. Messer -- Managing survey research projects / John M. Kennedy, John Tarnai and James G. Wolf -- Survey nonresponse / John Dixon and Clyde Tucker -- Missing data / Paul D. Allison -- Linking administrative and survey data / Julia Lane -- Surveys and geographic information systems / Frank M. Howell and Jeremy R. Porter -- Archiving, documentation, and dissemination / Mary B. Vardigan and Peter Granda -- Surveying across nations and cultures / Tom W. Smith -- Panel surveys : conducting surveys over time / Frank P. Stafford -- Analyzing data from repeated surveys / Glenn Firebaugh -- Surveys in applied social research / Timothy P. Johnson and James D. Wright -- Survey experiments / Steven L. Nock and Thomas M. Guterbock.", "author" : [ { "dropping-particle" : "V.", "family" : "Marsden", "given" : "Peter", "non-dropping-particle" : "", "parse-names" : false, "suffix" : "" }, { "dropping-particle" : "", "family" : "Wright", "given" : "James D.", "non-dropping-particle" : "", "parse-names" : false, "suffix" : "" } ], "id" : "ITEM-1", "issued" : { "date-parts" : [ [ "2010" ] ] }, "number-of-pages" : "886", "publisher" : "Emerald", "title" : "Handbook of survey research", "type" : "book" }, "uris" : [ "http://www.mendeley.com/documents/?uuid=20d7863e-9109-3cfd-ba04-4fa9579d39e4" ] }, { "id" : "ITEM-2", "itemData" : { "DOI" : "10.17226/18293", "ISBN" : "978-0-309-27247-6", "author" : [ { "dropping-particle" : "", "family" : "National Research Council", "given" : "", "non-dropping-particle" : "", "parse-names" : false, "suffix" : "" } ], "id" : "ITEM-2", "issued" : { "date-parts" : [ [ "2013", "9", "26" ] ] }, "publisher" : "National Academies Press", "publisher-place" : "Washington, D.C.", "title" : "Nonresponse in Social Science Surveys", "type" : "book" }, "uris" : [ "http://www.mendeley.com/documents/?uuid=ca645897-2d78-3d70-8f74-f3afaea71eb2" ] } ], "mendeley" : { "formattedCitation" : "[45,46]", "plainTextFormattedCitation" : "[45,46]", "previouslyFormattedCitation" : "[45,46]" }, "properties" : { "noteIndex" : 0 }, "schema" : "https://github.com/citation-style-language/schema/raw/master/csl-citation.json" }</w:instrText>
      </w:r>
      <w:r w:rsidR="00B907B3" w:rsidRPr="009979BF">
        <w:rPr>
          <w:color w:val="auto"/>
          <w:sz w:val="20"/>
          <w:szCs w:val="20"/>
        </w:rPr>
        <w:fldChar w:fldCharType="separate"/>
      </w:r>
      <w:r w:rsidR="00577F2F" w:rsidRPr="009979BF">
        <w:rPr>
          <w:noProof/>
          <w:color w:val="auto"/>
          <w:sz w:val="20"/>
          <w:szCs w:val="20"/>
        </w:rPr>
        <w:t>[45,46]</w:t>
      </w:r>
      <w:r w:rsidR="00B907B3" w:rsidRPr="009979BF">
        <w:rPr>
          <w:color w:val="auto"/>
          <w:sz w:val="20"/>
          <w:szCs w:val="20"/>
        </w:rPr>
        <w:fldChar w:fldCharType="end"/>
      </w:r>
      <w:r w:rsidR="00D90E1B" w:rsidRPr="009979BF">
        <w:rPr>
          <w:color w:val="auto"/>
          <w:sz w:val="20"/>
          <w:szCs w:val="20"/>
        </w:rPr>
        <w:t xml:space="preserve">; we </w:t>
      </w:r>
      <w:r w:rsidR="009E5252" w:rsidRPr="009979BF">
        <w:rPr>
          <w:color w:val="auto"/>
          <w:sz w:val="20"/>
          <w:szCs w:val="20"/>
        </w:rPr>
        <w:t>reimbursed participants in</w:t>
      </w:r>
      <w:r w:rsidR="00D90E1B" w:rsidRPr="009979BF">
        <w:rPr>
          <w:color w:val="auto"/>
          <w:sz w:val="20"/>
          <w:szCs w:val="20"/>
        </w:rPr>
        <w:t xml:space="preserve"> increasing amount</w:t>
      </w:r>
      <w:r w:rsidR="009E5252" w:rsidRPr="009979BF">
        <w:rPr>
          <w:color w:val="auto"/>
          <w:sz w:val="20"/>
          <w:szCs w:val="20"/>
        </w:rPr>
        <w:t xml:space="preserve">s to reflect the </w:t>
      </w:r>
      <w:r w:rsidR="00D90E1B" w:rsidRPr="009979BF">
        <w:rPr>
          <w:color w:val="auto"/>
          <w:sz w:val="20"/>
          <w:szCs w:val="20"/>
        </w:rPr>
        <w:t xml:space="preserve">time and effort we estimated </w:t>
      </w:r>
      <w:r w:rsidR="009E5252" w:rsidRPr="009979BF">
        <w:rPr>
          <w:color w:val="auto"/>
          <w:sz w:val="20"/>
          <w:szCs w:val="20"/>
        </w:rPr>
        <w:t xml:space="preserve">were necessary </w:t>
      </w:r>
      <w:r w:rsidR="00D90E1B" w:rsidRPr="009979BF">
        <w:rPr>
          <w:color w:val="auto"/>
          <w:sz w:val="20"/>
          <w:szCs w:val="20"/>
        </w:rPr>
        <w:t>to complete the research</w:t>
      </w:r>
      <w:r w:rsidR="00072AB9" w:rsidRPr="009979BF">
        <w:rPr>
          <w:color w:val="auto"/>
          <w:sz w:val="20"/>
          <w:szCs w:val="20"/>
        </w:rPr>
        <w:t>.</w:t>
      </w:r>
      <w:r w:rsidR="00D90E1B" w:rsidRPr="009979BF">
        <w:rPr>
          <w:color w:val="auto"/>
          <w:sz w:val="20"/>
          <w:szCs w:val="20"/>
        </w:rPr>
        <w:t xml:space="preserve"> </w:t>
      </w:r>
      <w:r w:rsidR="00555A1A" w:rsidRPr="009979BF">
        <w:rPr>
          <w:color w:val="auto"/>
          <w:sz w:val="20"/>
          <w:szCs w:val="20"/>
        </w:rPr>
        <w:t>Despite these mechanisms, and positive participant</w:t>
      </w:r>
      <w:r w:rsidR="00C80B55" w:rsidRPr="009979BF">
        <w:rPr>
          <w:color w:val="auto"/>
          <w:sz w:val="20"/>
          <w:szCs w:val="20"/>
        </w:rPr>
        <w:t xml:space="preserve"> feedback </w:t>
      </w:r>
      <w:r w:rsidR="00036E73" w:rsidRPr="009979BF">
        <w:rPr>
          <w:color w:val="auto"/>
          <w:sz w:val="20"/>
          <w:szCs w:val="20"/>
        </w:rPr>
        <w:t xml:space="preserve">on the baseline CASI and in our qualitative interviews, </w:t>
      </w:r>
      <w:r w:rsidR="009E5252" w:rsidRPr="009979BF">
        <w:rPr>
          <w:color w:val="auto"/>
          <w:sz w:val="20"/>
          <w:szCs w:val="20"/>
        </w:rPr>
        <w:t xml:space="preserve">we experienced </w:t>
      </w:r>
      <w:r w:rsidR="00C80B55" w:rsidRPr="009979BF">
        <w:rPr>
          <w:color w:val="auto"/>
          <w:sz w:val="20"/>
          <w:szCs w:val="20"/>
        </w:rPr>
        <w:t>high</w:t>
      </w:r>
      <w:r w:rsidR="00036E73" w:rsidRPr="009979BF">
        <w:rPr>
          <w:color w:val="auto"/>
          <w:sz w:val="20"/>
          <w:szCs w:val="20"/>
        </w:rPr>
        <w:t xml:space="preserve"> LTFU</w:t>
      </w:r>
      <w:r w:rsidR="008E31B3" w:rsidRPr="009979BF">
        <w:rPr>
          <w:color w:val="auto"/>
          <w:sz w:val="20"/>
          <w:szCs w:val="20"/>
        </w:rPr>
        <w:t>.</w:t>
      </w:r>
      <w:r w:rsidR="00413594" w:rsidRPr="009979BF">
        <w:rPr>
          <w:color w:val="auto"/>
          <w:sz w:val="20"/>
          <w:szCs w:val="20"/>
        </w:rPr>
        <w:t xml:space="preserve"> </w:t>
      </w:r>
      <w:r w:rsidR="00F71A22" w:rsidRPr="009979BF">
        <w:rPr>
          <w:color w:val="auto"/>
          <w:sz w:val="20"/>
          <w:szCs w:val="20"/>
        </w:rPr>
        <w:t xml:space="preserve">High LTFU resulted in low numbers of respondents within diagnostic categories, which meant we were unable to adjust our analysis for common confounders, such as education and socioeconomic status, known to be associated with gonorrhoea </w:t>
      </w:r>
      <w:r w:rsidR="00B907B3" w:rsidRPr="009979BF">
        <w:rPr>
          <w:color w:val="auto"/>
          <w:sz w:val="20"/>
          <w:szCs w:val="20"/>
        </w:rPr>
        <w:fldChar w:fldCharType="begin" w:fldLock="1"/>
      </w:r>
      <w:r w:rsidR="00A03473" w:rsidRPr="009979BF">
        <w:rPr>
          <w:color w:val="auto"/>
          <w:sz w:val="20"/>
          <w:szCs w:val="20"/>
        </w:rPr>
        <w:instrText>ADDIN CSL_CITATION { "citationItems" : [ { "id" : "ITEM-1", "itemData" : { "ISSN" : "1368-4973", "PMID" : "11158686", "abstract" : "OBJECTIVES To examine differences in population based rates of gonorrhoea and chlamydia between black ethnic groups in Lambeth, Southwark and Lewisham Health Authority. METHODS Episodes of gonorrhoea or chlamydia recorded among attenders at 11 genitourinary clinics in south and central London from 1 January 1994 to 31 December 1995 were retrieved. Complete data on chlamydia were only available for women. Ethnic group was assigned according to census categories--white, black Caribbean, black African, black other, Asian, or other. We calculated yearly incidence rates for episodes of gonorrhoea and chlamydia in residents of Lambeth, Southwark and Lewisham Health Authority. Random effects Poisson regression models were used to examine associations between infection rates and age, ethnic group, and material deprivation. RESULTS During the study period there were 1996 episodes of gonorrhoea in men and women and 1376 episodes of chlamydia in women with complete data. For both infections rates among individuals from black Caribbean and black other ethnic groups were markedly higher than among black Africans. In men, the gonorrhoea rate among black Caribbean 20-24 year olds was 2348 (95% CI 1965 to 2831) episodes per 100,000 compared with 931 (95% CI 690 to 1288) in black African men and 111 (95% CI 100 to 124) per 100,000 in white men of the same age. Among women gonorrhoea rates were highest in black Caribbean 15-19 year olds (2612, 95% CI 2161 to 3190 per 100,000). In contrast, rates in black African women of the same age (331, 95% CI 154 to 846 per 100,000) were similar to those of white women (222, 95% CI 163 to 312). Chlamydia rates were also highest in black Caribbean 15-19 year old women (4579, 95% CI 3966 to 5314 per 100,000), compared with 1286 (95% CI 907 to 1888) in black African and 433 (95% CI 349 to 544) per 100,000 white women. Controlling for material deprivation and age only attenuated differences in rates between ethnic groups slightly. CONCLUSIONS There are marked differences in rates of gonorrhoea and chlamydia between different black ethnic groups, with higher rates in black Caribbeans than black Africans. This study supports the hypothesis that assortative sexual mixing patterns can restrict epidemics of sexually transmitted infections within ethnic groups. Differences in disease occurrence between black ethnic groups should be explored before combining data, even when numbers of episodes are small.", "author" : [ { "dropping-particle" : "", "family" : "Low", "given" : "N", "non-dropping-particle" : "", "parse-names" : false, "suffix" : "" }, { "dropping-particle" : "", "family" : "Sterne", "given" : "J A", "non-dropping-particle" : "", "parse-names" : false, "suffix" : "" }, { "dropping-particle" : "", "family" : "Barlow", "given" : "D", "non-dropping-particle" : "", "parse-names" : false, "suffix" : "" } ], "container-title" : "Sexually transmitted infections", "id" : "ITEM-1", "issue" : "1", "issued" : { "date-parts" : [ [ "2001", "2" ] ] }, "page" : "15-20", "title" : "Inequalities in rates of gonorrhoea and chlamydia between black ethnic groups in south east London: cross sectional study.", "type" : "article-journal", "volume" : "77" }, "uris" : [ "http://www.mendeley.com/documents/?uuid=117bc9ab-829f-353f-aa51-7c8c5996073d" ] }, { "id" : "ITEM-2", "itemData" : { "DOI" : "10.1017/S0950268813000745", "ISSN" : "0950-2688", "PMID" : "23561246", "abstract" : "Data obtained from genitourinary medicine clinics through a comprehensive surveillance system were used in a Bayesian mixed-effects Poisson regression model to explore socio-demographic individual and ecological risk factors for gonorrhoea in London, as well as its spatial clustering. The spatial analysis was performed at the Middle-layer Super Output Area level (median population size 7200). A total of 12452 individuals were diagnosed during the 2-year study period (2009-2010). The study confirmed the presence of 'core areas' of high incidence, and identified 'core' high-risk groups, in particular young adults (16-29 years), males, black Caribbeans and more deprived areas. The individual (age, sex, ethnicity) and area-level (deprivation, teenage pregnancies, students) model covariates accounted for 48% of the variance. Most of the remaining variance was explained by the spatial effect, thus capturing other spatially distributed factors associated with gonorrhoea, such as local sexual networks. These findings will be useful in identifying areas for targeted interventions, such as STI testing and health promotion.", "author" : [ { "dropping-particle" : "", "family" : "Polain De Waroux", "given" : "O.", "non-dropping-particle" : "Le", "parse-names" : false, "suffix" : "" }, { "dropping-particle" : "", "family" : "Harris", "given" : "R. J.", "non-dropping-particle" : "", "parse-names" : false, "suffix" : "" }, { "dropping-particle" : "", "family" : "Hughes", "given" : "G.", "non-dropping-particle" : "", "parse-names" : false, "suffix" : "" }, { "dropping-particle" : "", "family" : "Crook", "given" : "P. D.", "non-dropping-particle" : "", "parse-names" : false, "suffix" : "" } ], "container-title" : "Epidemiology and Infection", "id" : "ITEM-2", "issue" : "1", "issued" : { "date-parts" : [ [ "2013", "4", "8" ] ] }, "page" : "1-10", "title" : "The epidemiology of gonorrhoea in London: a Bayesian spatial modelling approach", "type" : "article-journal", "volume" : "142" }, "uris" : [ "http://www.mendeley.com/documents/?uuid=4f4f5a2f-c4cb-3db5-bfb1-7128723e3e07" ] } ], "mendeley" : { "formattedCitation" : "[47,48]", "plainTextFormattedCitation" : "[47,48]", "previouslyFormattedCitation" : "[47,48]" }, "properties" : { "noteIndex" : 0 }, "schema" : "https://github.com/citation-style-language/schema/raw/master/csl-citation.json" }</w:instrText>
      </w:r>
      <w:r w:rsidR="00B907B3" w:rsidRPr="009979BF">
        <w:rPr>
          <w:color w:val="auto"/>
          <w:sz w:val="20"/>
          <w:szCs w:val="20"/>
        </w:rPr>
        <w:fldChar w:fldCharType="separate"/>
      </w:r>
      <w:r w:rsidR="00577F2F" w:rsidRPr="009979BF">
        <w:rPr>
          <w:noProof/>
          <w:color w:val="auto"/>
          <w:sz w:val="20"/>
          <w:szCs w:val="20"/>
        </w:rPr>
        <w:t>[47,48]</w:t>
      </w:r>
      <w:r w:rsidR="00B907B3" w:rsidRPr="009979BF">
        <w:rPr>
          <w:color w:val="auto"/>
          <w:sz w:val="20"/>
          <w:szCs w:val="20"/>
        </w:rPr>
        <w:fldChar w:fldCharType="end"/>
      </w:r>
      <w:r w:rsidR="00F71A22" w:rsidRPr="009979BF">
        <w:rPr>
          <w:color w:val="auto"/>
          <w:sz w:val="20"/>
          <w:szCs w:val="20"/>
        </w:rPr>
        <w:t xml:space="preserve">. This may be a source of bias in our results. </w:t>
      </w:r>
      <w:r w:rsidR="009E08A3" w:rsidRPr="009979BF">
        <w:rPr>
          <w:rFonts w:cs="Segoe UI"/>
          <w:color w:val="auto"/>
          <w:sz w:val="20"/>
          <w:szCs w:val="20"/>
        </w:rPr>
        <w:t>We did not find significant differences between groups in terms of non-response bias and other characteristics, however this is not surprising as the power to detect differences between groups is greatly affected by sample size and our study included a small number of participants. Recruiting larger numbers of participants in future studies will increase the statistical power to detect any important differences between groups.</w:t>
      </w:r>
    </w:p>
    <w:p w14:paraId="3EC5941B" w14:textId="77777777" w:rsidR="009E08A3" w:rsidRPr="009979BF" w:rsidRDefault="009E08A3">
      <w:pPr>
        <w:spacing w:line="360" w:lineRule="auto"/>
        <w:jc w:val="both"/>
        <w:rPr>
          <w:color w:val="auto"/>
          <w:sz w:val="20"/>
          <w:szCs w:val="20"/>
        </w:rPr>
      </w:pPr>
    </w:p>
    <w:p w14:paraId="3CCFA5D4" w14:textId="77777777" w:rsidR="00036E73" w:rsidRPr="009979BF" w:rsidRDefault="008F616D">
      <w:pPr>
        <w:spacing w:line="360" w:lineRule="auto"/>
        <w:jc w:val="both"/>
        <w:rPr>
          <w:color w:val="auto"/>
          <w:sz w:val="20"/>
          <w:szCs w:val="20"/>
        </w:rPr>
      </w:pPr>
      <w:r w:rsidRPr="009979BF">
        <w:rPr>
          <w:color w:val="auto"/>
          <w:sz w:val="20"/>
          <w:szCs w:val="20"/>
        </w:rPr>
        <w:t xml:space="preserve">We explored potential correlates and causes for LTFU within our dataset. </w:t>
      </w:r>
      <w:r w:rsidR="00EB1D35" w:rsidRPr="009979BF">
        <w:rPr>
          <w:color w:val="auto"/>
          <w:sz w:val="20"/>
          <w:szCs w:val="20"/>
        </w:rPr>
        <w:t>Men’s socioeconomic status and age has been seen to affect both their knowledge of and interaction with health services</w:t>
      </w:r>
      <w:r w:rsidR="0044242E" w:rsidRPr="009979BF">
        <w:rPr>
          <w:color w:val="auto"/>
          <w:sz w:val="20"/>
          <w:szCs w:val="20"/>
        </w:rPr>
        <w:t xml:space="preserve"> </w:t>
      </w:r>
      <w:r w:rsidR="00B907B3" w:rsidRPr="009979BF">
        <w:rPr>
          <w:color w:val="auto"/>
          <w:sz w:val="20"/>
          <w:szCs w:val="20"/>
        </w:rPr>
        <w:fldChar w:fldCharType="begin" w:fldLock="1"/>
      </w:r>
      <w:r w:rsidR="008D4440" w:rsidRPr="009979BF">
        <w:rPr>
          <w:color w:val="auto"/>
          <w:sz w:val="20"/>
          <w:szCs w:val="20"/>
        </w:rPr>
        <w:instrText>ADDIN CSL_CITATION { "citationItems" : [ { "id" : "ITEM-1", "itemData" : { "author" : [ { "dropping-particle" : "", "family" : "Banks", "given" : "Ian", "non-dropping-particle" : "", "parse-names" : false, "suffix" : "" } ], "container-title" : "BMJ", "id" : "ITEM-1", "issue" : "7320", "issued" : { "date-parts" : [ [ "2001" ] ] }, "title" : "No man's land: men, illness, and the NHS", "type" : "article-journal", "volume" : "323" }, "uris" : [ "http://www.mendeley.com/documents/?uuid=e842e2da-1154-39f1-b857-10e406163b0a" ] } ], "mendeley" : { "formattedCitation" : "[20]", "plainTextFormattedCitation" : "[20]", "previouslyFormattedCitation" : "[20]" }, "properties" : { "noteIndex" : 0 }, "schema" : "https://github.com/citation-style-language/schema/raw/master/csl-citation.json" }</w:instrText>
      </w:r>
      <w:r w:rsidR="00B907B3" w:rsidRPr="009979BF">
        <w:rPr>
          <w:color w:val="auto"/>
          <w:sz w:val="20"/>
          <w:szCs w:val="20"/>
        </w:rPr>
        <w:fldChar w:fldCharType="separate"/>
      </w:r>
      <w:r w:rsidR="004B4B35" w:rsidRPr="009979BF">
        <w:rPr>
          <w:noProof/>
          <w:color w:val="auto"/>
          <w:sz w:val="20"/>
          <w:szCs w:val="20"/>
        </w:rPr>
        <w:t>[20]</w:t>
      </w:r>
      <w:r w:rsidR="00B907B3" w:rsidRPr="009979BF">
        <w:rPr>
          <w:color w:val="auto"/>
          <w:sz w:val="20"/>
          <w:szCs w:val="20"/>
        </w:rPr>
        <w:fldChar w:fldCharType="end"/>
      </w:r>
      <w:r w:rsidR="00B066D8" w:rsidRPr="009979BF">
        <w:rPr>
          <w:color w:val="auto"/>
          <w:sz w:val="20"/>
          <w:szCs w:val="20"/>
        </w:rPr>
        <w:t xml:space="preserve">. </w:t>
      </w:r>
      <w:r w:rsidR="005A57DA" w:rsidRPr="009979BF">
        <w:rPr>
          <w:color w:val="auto"/>
          <w:sz w:val="20"/>
          <w:szCs w:val="20"/>
        </w:rPr>
        <w:t>H</w:t>
      </w:r>
      <w:r w:rsidR="009E5252" w:rsidRPr="009979BF">
        <w:rPr>
          <w:color w:val="auto"/>
          <w:sz w:val="20"/>
          <w:szCs w:val="20"/>
        </w:rPr>
        <w:t>owever,</w:t>
      </w:r>
      <w:r w:rsidR="00413594" w:rsidRPr="009979BF">
        <w:rPr>
          <w:color w:val="auto"/>
          <w:sz w:val="20"/>
          <w:szCs w:val="20"/>
        </w:rPr>
        <w:t xml:space="preserve"> </w:t>
      </w:r>
      <w:r w:rsidR="009E5252" w:rsidRPr="009979BF">
        <w:rPr>
          <w:color w:val="auto"/>
          <w:sz w:val="20"/>
          <w:szCs w:val="20"/>
        </w:rPr>
        <w:t>we</w:t>
      </w:r>
      <w:r w:rsidR="00413594" w:rsidRPr="009979BF">
        <w:rPr>
          <w:color w:val="auto"/>
          <w:sz w:val="20"/>
          <w:szCs w:val="20"/>
        </w:rPr>
        <w:t xml:space="preserve"> did not find significant differences</w:t>
      </w:r>
      <w:r w:rsidR="00B8069E" w:rsidRPr="009979BF">
        <w:rPr>
          <w:color w:val="auto"/>
          <w:sz w:val="20"/>
          <w:szCs w:val="20"/>
        </w:rPr>
        <w:t xml:space="preserve"> in these factors </w:t>
      </w:r>
      <w:r w:rsidR="00413594" w:rsidRPr="009979BF">
        <w:rPr>
          <w:color w:val="auto"/>
          <w:sz w:val="20"/>
          <w:szCs w:val="20"/>
        </w:rPr>
        <w:t xml:space="preserve">between those LTFU and those who completed FU-1. </w:t>
      </w:r>
      <w:r w:rsidR="009E5252" w:rsidRPr="009979BF">
        <w:rPr>
          <w:color w:val="auto"/>
          <w:sz w:val="20"/>
          <w:szCs w:val="20"/>
        </w:rPr>
        <w:t>O</w:t>
      </w:r>
      <w:r w:rsidR="009F5BA3" w:rsidRPr="009979BF">
        <w:rPr>
          <w:color w:val="auto"/>
          <w:sz w:val="20"/>
          <w:szCs w:val="20"/>
        </w:rPr>
        <w:t>ne</w:t>
      </w:r>
      <w:r w:rsidR="00EB1D35" w:rsidRPr="009979BF">
        <w:rPr>
          <w:color w:val="auto"/>
          <w:sz w:val="20"/>
          <w:szCs w:val="20"/>
        </w:rPr>
        <w:t xml:space="preserve"> participant</w:t>
      </w:r>
      <w:r w:rsidR="009F5A3E" w:rsidRPr="009979BF">
        <w:rPr>
          <w:color w:val="auto"/>
          <w:sz w:val="20"/>
          <w:szCs w:val="20"/>
        </w:rPr>
        <w:t xml:space="preserve"> indicated </w:t>
      </w:r>
      <w:r w:rsidR="009E5252" w:rsidRPr="009979BF">
        <w:rPr>
          <w:color w:val="auto"/>
          <w:sz w:val="20"/>
          <w:szCs w:val="20"/>
        </w:rPr>
        <w:t xml:space="preserve">in qualitative interview </w:t>
      </w:r>
      <w:r w:rsidR="009F5A3E" w:rsidRPr="009979BF">
        <w:rPr>
          <w:color w:val="auto"/>
          <w:sz w:val="20"/>
          <w:szCs w:val="20"/>
        </w:rPr>
        <w:t>that if he had received a positive STI diagnosis it was unlikely that he would have agreed to continue</w:t>
      </w:r>
      <w:r w:rsidR="00EB1D35" w:rsidRPr="009979BF">
        <w:rPr>
          <w:color w:val="auto"/>
          <w:sz w:val="20"/>
          <w:szCs w:val="20"/>
        </w:rPr>
        <w:t xml:space="preserve"> with the research</w:t>
      </w:r>
      <w:r w:rsidR="009F5BA3" w:rsidRPr="009979BF">
        <w:rPr>
          <w:color w:val="auto"/>
          <w:sz w:val="20"/>
          <w:szCs w:val="20"/>
        </w:rPr>
        <w:t>. This</w:t>
      </w:r>
      <w:r w:rsidR="009F5A3E" w:rsidRPr="009979BF">
        <w:rPr>
          <w:color w:val="auto"/>
          <w:sz w:val="20"/>
          <w:szCs w:val="20"/>
        </w:rPr>
        <w:t xml:space="preserve"> </w:t>
      </w:r>
      <w:r w:rsidR="00036E73" w:rsidRPr="009979BF">
        <w:rPr>
          <w:color w:val="auto"/>
          <w:sz w:val="20"/>
          <w:szCs w:val="20"/>
        </w:rPr>
        <w:t xml:space="preserve">may </w:t>
      </w:r>
      <w:r w:rsidR="00EB1D35" w:rsidRPr="009979BF">
        <w:rPr>
          <w:color w:val="auto"/>
          <w:sz w:val="20"/>
          <w:szCs w:val="20"/>
        </w:rPr>
        <w:t>give insight into</w:t>
      </w:r>
      <w:r w:rsidR="00036E73" w:rsidRPr="009979BF">
        <w:rPr>
          <w:color w:val="auto"/>
          <w:sz w:val="20"/>
          <w:szCs w:val="20"/>
        </w:rPr>
        <w:t xml:space="preserve"> why no patients receiving a positive CT or NG diagnosis agreed to FU-2.  </w:t>
      </w:r>
    </w:p>
    <w:p w14:paraId="05197D93" w14:textId="77777777" w:rsidR="00036E73" w:rsidRPr="009979BF" w:rsidRDefault="00036E73">
      <w:pPr>
        <w:spacing w:line="360" w:lineRule="auto"/>
        <w:jc w:val="both"/>
        <w:rPr>
          <w:color w:val="auto"/>
          <w:sz w:val="20"/>
          <w:szCs w:val="20"/>
        </w:rPr>
      </w:pPr>
    </w:p>
    <w:p w14:paraId="3DF335C9" w14:textId="77777777" w:rsidR="009F5A3E" w:rsidRPr="009979BF" w:rsidRDefault="008E31B3">
      <w:pPr>
        <w:spacing w:line="360" w:lineRule="auto"/>
        <w:jc w:val="both"/>
        <w:rPr>
          <w:color w:val="auto"/>
          <w:sz w:val="20"/>
          <w:szCs w:val="20"/>
        </w:rPr>
      </w:pPr>
      <w:r w:rsidRPr="009979BF">
        <w:rPr>
          <w:color w:val="auto"/>
          <w:sz w:val="20"/>
          <w:szCs w:val="20"/>
        </w:rPr>
        <w:t>We</w:t>
      </w:r>
      <w:r w:rsidR="00F00805" w:rsidRPr="009979BF">
        <w:rPr>
          <w:color w:val="auto"/>
          <w:sz w:val="20"/>
          <w:szCs w:val="20"/>
        </w:rPr>
        <w:t xml:space="preserve"> had</w:t>
      </w:r>
      <w:r w:rsidRPr="009979BF">
        <w:rPr>
          <w:color w:val="auto"/>
          <w:sz w:val="20"/>
          <w:szCs w:val="20"/>
        </w:rPr>
        <w:t xml:space="preserve"> planned to </w:t>
      </w:r>
      <w:r w:rsidR="00036E73" w:rsidRPr="009979BF">
        <w:rPr>
          <w:color w:val="auto"/>
          <w:sz w:val="20"/>
          <w:szCs w:val="20"/>
        </w:rPr>
        <w:t xml:space="preserve">further </w:t>
      </w:r>
      <w:r w:rsidRPr="009979BF">
        <w:rPr>
          <w:color w:val="auto"/>
          <w:sz w:val="20"/>
          <w:szCs w:val="20"/>
        </w:rPr>
        <w:t xml:space="preserve">explore </w:t>
      </w:r>
      <w:r w:rsidR="00F35B6C" w:rsidRPr="009979BF">
        <w:rPr>
          <w:color w:val="auto"/>
          <w:sz w:val="20"/>
          <w:szCs w:val="20"/>
        </w:rPr>
        <w:t>study</w:t>
      </w:r>
      <w:r w:rsidRPr="009979BF">
        <w:rPr>
          <w:color w:val="auto"/>
          <w:sz w:val="20"/>
          <w:szCs w:val="20"/>
        </w:rPr>
        <w:t xml:space="preserve"> acceptability by inviting participant</w:t>
      </w:r>
      <w:r w:rsidR="00E8069D" w:rsidRPr="009979BF">
        <w:rPr>
          <w:color w:val="auto"/>
          <w:sz w:val="20"/>
          <w:szCs w:val="20"/>
        </w:rPr>
        <w:t>s who failed to complete FU-1 to</w:t>
      </w:r>
      <w:r w:rsidRPr="009979BF">
        <w:rPr>
          <w:color w:val="auto"/>
          <w:sz w:val="20"/>
          <w:szCs w:val="20"/>
        </w:rPr>
        <w:t xml:space="preserve"> qualitative </w:t>
      </w:r>
      <w:r w:rsidR="005F1D23" w:rsidRPr="009979BF">
        <w:rPr>
          <w:color w:val="auto"/>
          <w:sz w:val="20"/>
          <w:szCs w:val="20"/>
        </w:rPr>
        <w:t>interviews;</w:t>
      </w:r>
      <w:r w:rsidRPr="009979BF">
        <w:rPr>
          <w:color w:val="auto"/>
          <w:sz w:val="20"/>
          <w:szCs w:val="20"/>
        </w:rPr>
        <w:t xml:space="preserve"> however, w</w:t>
      </w:r>
      <w:r w:rsidR="00C80B55" w:rsidRPr="009979BF">
        <w:rPr>
          <w:color w:val="auto"/>
          <w:sz w:val="20"/>
          <w:szCs w:val="20"/>
        </w:rPr>
        <w:t xml:space="preserve">e </w:t>
      </w:r>
      <w:r w:rsidRPr="009979BF">
        <w:rPr>
          <w:color w:val="auto"/>
          <w:sz w:val="20"/>
          <w:szCs w:val="20"/>
        </w:rPr>
        <w:t>followed</w:t>
      </w:r>
      <w:r w:rsidR="00C80B55" w:rsidRPr="009979BF">
        <w:rPr>
          <w:color w:val="auto"/>
          <w:sz w:val="20"/>
          <w:szCs w:val="20"/>
        </w:rPr>
        <w:t xml:space="preserve"> </w:t>
      </w:r>
      <w:r w:rsidR="001E318D" w:rsidRPr="009979BF">
        <w:rPr>
          <w:color w:val="auto"/>
          <w:sz w:val="20"/>
          <w:szCs w:val="20"/>
        </w:rPr>
        <w:t xml:space="preserve">Research Ethics Committee </w:t>
      </w:r>
      <w:r w:rsidR="00C80B55" w:rsidRPr="009979BF">
        <w:rPr>
          <w:color w:val="auto"/>
          <w:sz w:val="20"/>
          <w:szCs w:val="20"/>
        </w:rPr>
        <w:t>recommendation</w:t>
      </w:r>
      <w:r w:rsidR="00BA33CD" w:rsidRPr="009979BF">
        <w:rPr>
          <w:color w:val="auto"/>
          <w:sz w:val="20"/>
          <w:szCs w:val="20"/>
        </w:rPr>
        <w:t>s</w:t>
      </w:r>
      <w:r w:rsidR="00C80B55" w:rsidRPr="009979BF">
        <w:rPr>
          <w:color w:val="auto"/>
          <w:sz w:val="20"/>
          <w:szCs w:val="20"/>
        </w:rPr>
        <w:t xml:space="preserve"> to </w:t>
      </w:r>
      <w:r w:rsidRPr="009979BF">
        <w:rPr>
          <w:color w:val="auto"/>
          <w:sz w:val="20"/>
          <w:szCs w:val="20"/>
        </w:rPr>
        <w:t xml:space="preserve">consider </w:t>
      </w:r>
      <w:r w:rsidR="008F616D" w:rsidRPr="009979BF">
        <w:rPr>
          <w:color w:val="auto"/>
          <w:sz w:val="20"/>
          <w:szCs w:val="20"/>
        </w:rPr>
        <w:t xml:space="preserve">that </w:t>
      </w:r>
      <w:r w:rsidRPr="009979BF">
        <w:rPr>
          <w:color w:val="auto"/>
          <w:sz w:val="20"/>
          <w:szCs w:val="20"/>
        </w:rPr>
        <w:t>these participants had passively withdrawn from the study</w:t>
      </w:r>
      <w:r w:rsidR="008F616D" w:rsidRPr="009979BF">
        <w:rPr>
          <w:color w:val="auto"/>
          <w:sz w:val="20"/>
          <w:szCs w:val="20"/>
        </w:rPr>
        <w:t xml:space="preserve"> and refrain</w:t>
      </w:r>
      <w:r w:rsidR="00F00805" w:rsidRPr="009979BF">
        <w:rPr>
          <w:color w:val="auto"/>
          <w:sz w:val="20"/>
          <w:szCs w:val="20"/>
        </w:rPr>
        <w:t>ed</w:t>
      </w:r>
      <w:r w:rsidR="008F616D" w:rsidRPr="009979BF">
        <w:rPr>
          <w:color w:val="auto"/>
          <w:sz w:val="20"/>
          <w:szCs w:val="20"/>
        </w:rPr>
        <w:t xml:space="preserve"> from inviting them to FU-2</w:t>
      </w:r>
      <w:r w:rsidRPr="009979BF">
        <w:rPr>
          <w:color w:val="auto"/>
          <w:sz w:val="20"/>
          <w:szCs w:val="20"/>
        </w:rPr>
        <w:t xml:space="preserve">. </w:t>
      </w:r>
      <w:r w:rsidR="00C91FC7" w:rsidRPr="009979BF">
        <w:rPr>
          <w:color w:val="auto"/>
          <w:sz w:val="20"/>
          <w:szCs w:val="20"/>
        </w:rPr>
        <w:t>Yet</w:t>
      </w:r>
      <w:r w:rsidR="008F616D" w:rsidRPr="009979BF">
        <w:rPr>
          <w:color w:val="auto"/>
          <w:sz w:val="20"/>
          <w:szCs w:val="20"/>
        </w:rPr>
        <w:t>, q</w:t>
      </w:r>
      <w:r w:rsidR="00B013CD" w:rsidRPr="009979BF">
        <w:rPr>
          <w:color w:val="auto"/>
          <w:sz w:val="20"/>
          <w:szCs w:val="20"/>
        </w:rPr>
        <w:t>ualitative and quantitative methods of data collection are viewed differently by respondents</w:t>
      </w:r>
      <w:r w:rsidR="00E0479C" w:rsidRPr="009979BF">
        <w:rPr>
          <w:color w:val="auto"/>
          <w:sz w:val="20"/>
          <w:szCs w:val="20"/>
        </w:rPr>
        <w:t xml:space="preserve"> </w:t>
      </w:r>
      <w:r w:rsidR="00B907B3" w:rsidRPr="009979BF">
        <w:rPr>
          <w:color w:val="auto"/>
          <w:sz w:val="20"/>
          <w:szCs w:val="20"/>
        </w:rPr>
        <w:fldChar w:fldCharType="begin" w:fldLock="1"/>
      </w:r>
      <w:r w:rsidR="00A03473" w:rsidRPr="009979BF">
        <w:rPr>
          <w:color w:val="auto"/>
          <w:sz w:val="20"/>
          <w:szCs w:val="20"/>
        </w:rPr>
        <w:instrText>ADDIN CSL_CITATION { "citationItems" : [ { "id" : "ITEM-1", "itemData" : { "ISSN" : "1351-0126", "PMID" : "12662341", "author" : [ { "dropping-particle" : "", "family" : "Murray", "given" : "B Lee", "non-dropping-particle" : "", "parse-names" : false, "suffix" : "" } ], "container-title" : "Journal of psychiatric and mental health nursing", "id" : "ITEM-1", "issue" : "2", "issued" : { "date-parts" : [ [ "2003", "4" ] ] }, "page" : "233-6", "title" : "Qualitative research interviews: therapeutic benefits for the participants.", "type" : "article-journal", "volume" : "10" }, "uris" : [ "http://www.mendeley.com/documents/?uuid=02b42f4e-a6ef-3675-bcde-8188a099170d" ] }, { "id" : "ITEM-2", "itemData" : { "DOI" : "10.1111/j.1547-5069.1994.tb00937.x", "ISSN" : "07435150", "author" : [ { "dropping-particle" : "", "family" : "Hutchinson", "given" : "Sally A.", "non-dropping-particle" : "", "parse-names" : false, "suffix" : "" }, { "dropping-particle" : "", "family" : "Wilson", "given" : "Margaret E.", "non-dropping-particle" : "", "parse-names" : false, "suffix" : "" }, { "dropping-particle" : "", "family" : "Wilson", "given" : "Holly Skodol", "non-dropping-particle" : "", "parse-names" : false, "suffix" : "" } ], "container-title" : "Image: the Journal of Nursing Scholarship", "id" : "ITEM-2", "issue" : "2", "issued" : { "date-parts" : [ [ "1994", "6" ] ] }, "page" : "161-166", "publisher" : "Blackwell Publishing Ltd", "title" : "Benefits of Participating in Research Interviews", "type" : "article-journal", "volume" : "26" }, "uris" : [ "http://www.mendeley.com/documents/?uuid=3c1a57f2-ffe4-3553-859b-8a78b283518b" ] } ], "mendeley" : { "formattedCitation" : "[49,50]", "plainTextFormattedCitation" : "[49,50]", "previouslyFormattedCitation" : "[49,50]" }, "properties" : { "noteIndex" : 0 }, "schema" : "https://github.com/citation-style-language/schema/raw/master/csl-citation.json" }</w:instrText>
      </w:r>
      <w:r w:rsidR="00B907B3" w:rsidRPr="009979BF">
        <w:rPr>
          <w:color w:val="auto"/>
          <w:sz w:val="20"/>
          <w:szCs w:val="20"/>
        </w:rPr>
        <w:fldChar w:fldCharType="separate"/>
      </w:r>
      <w:r w:rsidR="00577F2F" w:rsidRPr="009979BF">
        <w:rPr>
          <w:noProof/>
          <w:color w:val="auto"/>
          <w:sz w:val="20"/>
          <w:szCs w:val="20"/>
        </w:rPr>
        <w:t>[49,50]</w:t>
      </w:r>
      <w:r w:rsidR="00B907B3" w:rsidRPr="009979BF">
        <w:rPr>
          <w:color w:val="auto"/>
          <w:sz w:val="20"/>
          <w:szCs w:val="20"/>
        </w:rPr>
        <w:fldChar w:fldCharType="end"/>
      </w:r>
      <w:r w:rsidR="00E8069D" w:rsidRPr="009979BF">
        <w:rPr>
          <w:color w:val="auto"/>
          <w:sz w:val="20"/>
          <w:szCs w:val="20"/>
        </w:rPr>
        <w:t xml:space="preserve">. </w:t>
      </w:r>
      <w:r w:rsidR="001A04DA" w:rsidRPr="009979BF">
        <w:rPr>
          <w:color w:val="auto"/>
          <w:sz w:val="20"/>
          <w:szCs w:val="20"/>
        </w:rPr>
        <w:t>One</w:t>
      </w:r>
      <w:r w:rsidR="009F5A3E" w:rsidRPr="009979BF">
        <w:rPr>
          <w:color w:val="auto"/>
          <w:sz w:val="20"/>
          <w:szCs w:val="20"/>
        </w:rPr>
        <w:t xml:space="preserve"> participant described </w:t>
      </w:r>
      <w:r w:rsidR="003471E0" w:rsidRPr="009979BF">
        <w:rPr>
          <w:color w:val="auto"/>
          <w:sz w:val="20"/>
          <w:szCs w:val="20"/>
        </w:rPr>
        <w:t>the diffe</w:t>
      </w:r>
      <w:r w:rsidR="00E8069D" w:rsidRPr="009979BF">
        <w:rPr>
          <w:color w:val="auto"/>
          <w:sz w:val="20"/>
          <w:szCs w:val="20"/>
        </w:rPr>
        <w:t xml:space="preserve">rence between his experiences </w:t>
      </w:r>
      <w:r w:rsidR="003471E0" w:rsidRPr="009979BF">
        <w:rPr>
          <w:color w:val="auto"/>
          <w:sz w:val="20"/>
          <w:szCs w:val="20"/>
        </w:rPr>
        <w:t>completing the survey and participating in an interview</w:t>
      </w:r>
      <w:r w:rsidR="009F5A3E" w:rsidRPr="009979BF">
        <w:rPr>
          <w:color w:val="auto"/>
          <w:sz w:val="20"/>
          <w:szCs w:val="20"/>
        </w:rPr>
        <w:t>:</w:t>
      </w:r>
    </w:p>
    <w:p w14:paraId="36634181" w14:textId="77777777" w:rsidR="009F5A3E" w:rsidRPr="009979BF" w:rsidRDefault="009F5A3E">
      <w:pPr>
        <w:spacing w:line="360" w:lineRule="auto"/>
        <w:jc w:val="both"/>
        <w:rPr>
          <w:i/>
          <w:color w:val="auto"/>
          <w:sz w:val="20"/>
          <w:szCs w:val="20"/>
        </w:rPr>
      </w:pPr>
    </w:p>
    <w:p w14:paraId="18D4B168" w14:textId="77777777" w:rsidR="009F5A3E" w:rsidRPr="009979BF" w:rsidRDefault="00EB1D35">
      <w:pPr>
        <w:spacing w:line="360" w:lineRule="auto"/>
        <w:jc w:val="both"/>
        <w:rPr>
          <w:rFonts w:cs="Times New Roman"/>
          <w:color w:val="auto"/>
          <w:sz w:val="20"/>
          <w:szCs w:val="20"/>
        </w:rPr>
      </w:pPr>
      <w:r w:rsidRPr="009979BF">
        <w:rPr>
          <w:rFonts w:cs="Times New Roman"/>
          <w:i/>
          <w:color w:val="auto"/>
          <w:sz w:val="20"/>
          <w:szCs w:val="20"/>
        </w:rPr>
        <w:t>“…</w:t>
      </w:r>
      <w:r w:rsidR="009F5A3E" w:rsidRPr="009979BF">
        <w:rPr>
          <w:rFonts w:cs="Times New Roman"/>
          <w:i/>
          <w:color w:val="auto"/>
          <w:sz w:val="20"/>
          <w:szCs w:val="20"/>
        </w:rPr>
        <w:t xml:space="preserve">when I’m sitting here with you, obviously it’s just me and you and you’ve got my hundred percent full attention, haven’t you?  But then when I’m sitting at my desk at work, trying to complete a survey and there’s other things going on and people asking me questions and </w:t>
      </w:r>
      <w:r w:rsidR="00413594" w:rsidRPr="009979BF">
        <w:rPr>
          <w:rFonts w:cs="Times New Roman"/>
          <w:i/>
          <w:color w:val="auto"/>
          <w:sz w:val="20"/>
          <w:szCs w:val="20"/>
        </w:rPr>
        <w:t>‘</w:t>
      </w:r>
      <w:r w:rsidR="009F5A3E" w:rsidRPr="009979BF">
        <w:rPr>
          <w:rFonts w:cs="Times New Roman"/>
          <w:i/>
          <w:color w:val="auto"/>
          <w:sz w:val="20"/>
          <w:szCs w:val="20"/>
        </w:rPr>
        <w:t>can you do this, can do you that</w:t>
      </w:r>
      <w:r w:rsidR="00413594" w:rsidRPr="009979BF">
        <w:rPr>
          <w:rFonts w:cs="Times New Roman"/>
          <w:i/>
          <w:color w:val="auto"/>
          <w:sz w:val="20"/>
          <w:szCs w:val="20"/>
        </w:rPr>
        <w:t>’</w:t>
      </w:r>
      <w:r w:rsidR="00E8069D" w:rsidRPr="009979BF">
        <w:rPr>
          <w:rFonts w:cs="Times New Roman"/>
          <w:i/>
          <w:color w:val="auto"/>
          <w:sz w:val="20"/>
          <w:szCs w:val="20"/>
        </w:rPr>
        <w:t>;</w:t>
      </w:r>
      <w:r w:rsidR="009F5A3E" w:rsidRPr="009979BF">
        <w:rPr>
          <w:rFonts w:cs="Times New Roman"/>
          <w:i/>
          <w:color w:val="auto"/>
          <w:sz w:val="20"/>
          <w:szCs w:val="20"/>
        </w:rPr>
        <w:t xml:space="preserve"> it’s different.</w:t>
      </w:r>
      <w:r w:rsidRPr="009979BF">
        <w:rPr>
          <w:rFonts w:cs="Times New Roman"/>
          <w:i/>
          <w:color w:val="auto"/>
          <w:sz w:val="20"/>
          <w:szCs w:val="20"/>
        </w:rPr>
        <w:t>”</w:t>
      </w:r>
      <w:r w:rsidR="009F5A3E" w:rsidRPr="009979BF">
        <w:rPr>
          <w:rFonts w:cs="Times New Roman"/>
          <w:color w:val="auto"/>
          <w:sz w:val="20"/>
          <w:szCs w:val="20"/>
        </w:rPr>
        <w:t xml:space="preserve">  </w:t>
      </w:r>
      <w:r w:rsidRPr="009979BF">
        <w:rPr>
          <w:color w:val="auto"/>
          <w:sz w:val="20"/>
          <w:szCs w:val="20"/>
        </w:rPr>
        <w:t>(Lucas, NAD diagnosis)</w:t>
      </w:r>
    </w:p>
    <w:p w14:paraId="32A69775" w14:textId="77777777" w:rsidR="009F5A3E" w:rsidRPr="009979BF" w:rsidRDefault="009F5A3E">
      <w:pPr>
        <w:spacing w:line="360" w:lineRule="auto"/>
        <w:jc w:val="both"/>
        <w:rPr>
          <w:rFonts w:cs="Times New Roman"/>
          <w:color w:val="auto"/>
          <w:sz w:val="20"/>
          <w:szCs w:val="20"/>
        </w:rPr>
      </w:pPr>
    </w:p>
    <w:p w14:paraId="3C0D3194" w14:textId="77777777" w:rsidR="00F71A22" w:rsidRPr="009979BF" w:rsidRDefault="00EB1D35">
      <w:pPr>
        <w:spacing w:line="360" w:lineRule="auto"/>
        <w:jc w:val="both"/>
        <w:rPr>
          <w:color w:val="auto"/>
          <w:sz w:val="20"/>
          <w:szCs w:val="20"/>
        </w:rPr>
      </w:pPr>
      <w:r w:rsidRPr="009979BF">
        <w:rPr>
          <w:color w:val="auto"/>
          <w:sz w:val="20"/>
          <w:szCs w:val="20"/>
        </w:rPr>
        <w:t>Although</w:t>
      </w:r>
      <w:r w:rsidR="00C80B55" w:rsidRPr="009979BF">
        <w:rPr>
          <w:color w:val="auto"/>
          <w:sz w:val="20"/>
          <w:szCs w:val="20"/>
        </w:rPr>
        <w:t xml:space="preserve"> </w:t>
      </w:r>
      <w:r w:rsidRPr="009979BF">
        <w:rPr>
          <w:color w:val="auto"/>
          <w:sz w:val="20"/>
          <w:szCs w:val="20"/>
        </w:rPr>
        <w:t xml:space="preserve">we </w:t>
      </w:r>
      <w:r w:rsidR="00BA33CD" w:rsidRPr="009979BF">
        <w:rPr>
          <w:color w:val="auto"/>
          <w:sz w:val="20"/>
          <w:szCs w:val="20"/>
        </w:rPr>
        <w:t>cannot know</w:t>
      </w:r>
      <w:r w:rsidR="00C80B55" w:rsidRPr="009979BF">
        <w:rPr>
          <w:color w:val="auto"/>
          <w:sz w:val="20"/>
          <w:szCs w:val="20"/>
        </w:rPr>
        <w:t xml:space="preserve"> if participants who did not complete FU-1 would have participated in a qualitative interview</w:t>
      </w:r>
      <w:r w:rsidR="00BA33CD" w:rsidRPr="009979BF">
        <w:rPr>
          <w:color w:val="auto"/>
          <w:sz w:val="20"/>
          <w:szCs w:val="20"/>
        </w:rPr>
        <w:t xml:space="preserve"> if they </w:t>
      </w:r>
      <w:r w:rsidR="00F00805" w:rsidRPr="009979BF">
        <w:rPr>
          <w:color w:val="auto"/>
          <w:sz w:val="20"/>
          <w:szCs w:val="20"/>
        </w:rPr>
        <w:t xml:space="preserve">had been </w:t>
      </w:r>
      <w:r w:rsidR="00BA33CD" w:rsidRPr="009979BF">
        <w:rPr>
          <w:color w:val="auto"/>
          <w:sz w:val="20"/>
          <w:szCs w:val="20"/>
        </w:rPr>
        <w:t>invited</w:t>
      </w:r>
      <w:r w:rsidR="00C80B55" w:rsidRPr="009979BF">
        <w:rPr>
          <w:color w:val="auto"/>
          <w:sz w:val="20"/>
          <w:szCs w:val="20"/>
        </w:rPr>
        <w:t>, o</w:t>
      </w:r>
      <w:r w:rsidR="00FD4C62" w:rsidRPr="009979BF">
        <w:rPr>
          <w:color w:val="auto"/>
          <w:sz w:val="20"/>
          <w:szCs w:val="20"/>
        </w:rPr>
        <w:t xml:space="preserve">ne </w:t>
      </w:r>
      <w:r w:rsidR="00BA33CD" w:rsidRPr="009979BF">
        <w:rPr>
          <w:color w:val="auto"/>
          <w:sz w:val="20"/>
          <w:szCs w:val="20"/>
        </w:rPr>
        <w:t>participant</w:t>
      </w:r>
      <w:r w:rsidR="00FD4C62" w:rsidRPr="009979BF">
        <w:rPr>
          <w:color w:val="auto"/>
          <w:sz w:val="20"/>
          <w:szCs w:val="20"/>
        </w:rPr>
        <w:t xml:space="preserve"> left feedback </w:t>
      </w:r>
      <w:r w:rsidRPr="009979BF">
        <w:rPr>
          <w:color w:val="auto"/>
          <w:sz w:val="20"/>
          <w:szCs w:val="20"/>
        </w:rPr>
        <w:t>on the</w:t>
      </w:r>
      <w:r w:rsidR="00FD4C62" w:rsidRPr="009979BF">
        <w:rPr>
          <w:color w:val="auto"/>
          <w:sz w:val="20"/>
          <w:szCs w:val="20"/>
        </w:rPr>
        <w:t xml:space="preserve"> baseline </w:t>
      </w:r>
      <w:r w:rsidR="00BA33CD" w:rsidRPr="009979BF">
        <w:rPr>
          <w:color w:val="auto"/>
          <w:sz w:val="20"/>
          <w:szCs w:val="20"/>
        </w:rPr>
        <w:t>CASI indicating</w:t>
      </w:r>
      <w:r w:rsidR="00FD4C62" w:rsidRPr="009979BF">
        <w:rPr>
          <w:color w:val="auto"/>
          <w:sz w:val="20"/>
          <w:szCs w:val="20"/>
        </w:rPr>
        <w:t xml:space="preserve"> he would have preferred to elaborate on his answers</w:t>
      </w:r>
      <w:r w:rsidR="00F22B37" w:rsidRPr="009979BF">
        <w:rPr>
          <w:color w:val="auto"/>
          <w:sz w:val="20"/>
          <w:szCs w:val="20"/>
        </w:rPr>
        <w:t xml:space="preserve">, and several participants informally conveyed </w:t>
      </w:r>
      <w:r w:rsidR="00E8069D" w:rsidRPr="009979BF">
        <w:rPr>
          <w:color w:val="auto"/>
          <w:sz w:val="20"/>
          <w:szCs w:val="20"/>
        </w:rPr>
        <w:t>this</w:t>
      </w:r>
      <w:r w:rsidR="00F22B37" w:rsidRPr="009979BF">
        <w:rPr>
          <w:color w:val="auto"/>
          <w:sz w:val="20"/>
          <w:szCs w:val="20"/>
        </w:rPr>
        <w:t xml:space="preserve"> to the </w:t>
      </w:r>
      <w:r w:rsidR="00F00805" w:rsidRPr="009979BF">
        <w:rPr>
          <w:color w:val="auto"/>
          <w:sz w:val="20"/>
          <w:szCs w:val="20"/>
        </w:rPr>
        <w:t>researcher</w:t>
      </w:r>
      <w:r w:rsidR="00F22B37" w:rsidRPr="009979BF">
        <w:rPr>
          <w:color w:val="auto"/>
          <w:sz w:val="20"/>
          <w:szCs w:val="20"/>
        </w:rPr>
        <w:t xml:space="preserve"> </w:t>
      </w:r>
      <w:r w:rsidR="00BA33CD" w:rsidRPr="009979BF">
        <w:rPr>
          <w:color w:val="auto"/>
          <w:sz w:val="20"/>
          <w:szCs w:val="20"/>
        </w:rPr>
        <w:t>at baseline</w:t>
      </w:r>
      <w:r w:rsidR="00760E29" w:rsidRPr="009979BF">
        <w:rPr>
          <w:color w:val="auto"/>
          <w:sz w:val="20"/>
          <w:szCs w:val="20"/>
        </w:rPr>
        <w:t>.</w:t>
      </w:r>
      <w:r w:rsidR="00036E73" w:rsidRPr="009979BF">
        <w:rPr>
          <w:color w:val="auto"/>
          <w:sz w:val="20"/>
          <w:szCs w:val="20"/>
        </w:rPr>
        <w:t xml:space="preserve"> </w:t>
      </w:r>
      <w:r w:rsidR="002864C3" w:rsidRPr="009979BF">
        <w:rPr>
          <w:color w:val="auto"/>
          <w:sz w:val="20"/>
          <w:szCs w:val="20"/>
        </w:rPr>
        <w:t>Research has shown that one unique benefit of qualitative interviews is that it provides participants with an opportunity to expand or contextualise issues</w:t>
      </w:r>
      <w:r w:rsidR="00E0479C" w:rsidRPr="009979BF">
        <w:rPr>
          <w:color w:val="auto"/>
          <w:sz w:val="20"/>
          <w:szCs w:val="20"/>
        </w:rPr>
        <w:t xml:space="preserve"> </w:t>
      </w:r>
      <w:r w:rsidR="00B907B3" w:rsidRPr="009979BF">
        <w:rPr>
          <w:color w:val="auto"/>
          <w:sz w:val="20"/>
          <w:szCs w:val="20"/>
        </w:rPr>
        <w:fldChar w:fldCharType="begin" w:fldLock="1"/>
      </w:r>
      <w:r w:rsidR="00A03473" w:rsidRPr="009979BF">
        <w:rPr>
          <w:color w:val="auto"/>
          <w:sz w:val="20"/>
          <w:szCs w:val="20"/>
        </w:rPr>
        <w:instrText>ADDIN CSL_CITATION { "citationItems" : [ { "id" : "ITEM-1", "itemData" : { "ISSN" : "1351-0126", "PMID" : "12662341", "author" : [ { "dropping-particle" : "", "family" : "Murray", "given" : "B Lee", "non-dropping-particle" : "", "parse-names" : false, "suffix" : "" } ], "container-title" : "Journal of psychiatric and mental health nursing", "id" : "ITEM-1", "issue" : "2", "issued" : { "date-parts" : [ [ "2003", "4" ] ] }, "page" : "233-6", "title" : "Qualitative research interviews: therapeutic benefits for the participants.", "type" : "article-journal", "volume" : "10" }, "uris" : [ "http://www.mendeley.com/documents/?uuid=02b42f4e-a6ef-3675-bcde-8188a099170d" ] }, { "id" : "ITEM-2", "itemData" : { "DOI" : "10.1111/j.1547-5069.1994.tb00937.x", "ISSN" : "07435150", "author" : [ { "dropping-particle" : "", "family" : "Hutchinson", "given" : "Sally A.", "non-dropping-particle" : "", "parse-names" : false, "suffix" : "" }, { "dropping-particle" : "", "family" : "Wilson", "given" : "Margaret E.", "non-dropping-particle" : "", "parse-names" : false, "suffix" : "" }, { "dropping-particle" : "", "family" : "Wilson", "given" : "Holly Skodol", "non-dropping-particle" : "", "parse-names" : false, "suffix" : "" } ], "container-title" : "Image: the Journal of Nursing Scholarship", "id" : "ITEM-2", "issue" : "2", "issued" : { "date-parts" : [ [ "1994", "6" ] ] }, "page" : "161-166", "publisher" : "Blackwell Publishing Ltd", "title" : "Benefits of Participating in Research Interviews", "type" : "article-journal", "volume" : "26" }, "uris" : [ "http://www.mendeley.com/documents/?uuid=3c1a57f2-ffe4-3553-859b-8a78b283518b" ] } ], "mendeley" : { "formattedCitation" : "[49,50]", "plainTextFormattedCitation" : "[49,50]", "previouslyFormattedCitation" : "[49,50]" }, "properties" : { "noteIndex" : 0 }, "schema" : "https://github.com/citation-style-language/schema/raw/master/csl-citation.json" }</w:instrText>
      </w:r>
      <w:r w:rsidR="00B907B3" w:rsidRPr="009979BF">
        <w:rPr>
          <w:color w:val="auto"/>
          <w:sz w:val="20"/>
          <w:szCs w:val="20"/>
        </w:rPr>
        <w:fldChar w:fldCharType="separate"/>
      </w:r>
      <w:r w:rsidR="00577F2F" w:rsidRPr="009979BF">
        <w:rPr>
          <w:noProof/>
          <w:color w:val="auto"/>
          <w:sz w:val="20"/>
          <w:szCs w:val="20"/>
        </w:rPr>
        <w:t>[49,50]</w:t>
      </w:r>
      <w:r w:rsidR="00B907B3" w:rsidRPr="009979BF">
        <w:rPr>
          <w:color w:val="auto"/>
          <w:sz w:val="20"/>
          <w:szCs w:val="20"/>
        </w:rPr>
        <w:fldChar w:fldCharType="end"/>
      </w:r>
      <w:r w:rsidR="002864C3" w:rsidRPr="009979BF">
        <w:rPr>
          <w:color w:val="auto"/>
          <w:sz w:val="20"/>
          <w:szCs w:val="20"/>
        </w:rPr>
        <w:t xml:space="preserve">. </w:t>
      </w:r>
      <w:r w:rsidR="00036E73" w:rsidRPr="009979BF">
        <w:rPr>
          <w:color w:val="auto"/>
          <w:sz w:val="20"/>
          <w:szCs w:val="20"/>
        </w:rPr>
        <w:t>In addition, the insight</w:t>
      </w:r>
      <w:r w:rsidR="00E8069D" w:rsidRPr="009979BF">
        <w:rPr>
          <w:color w:val="auto"/>
          <w:sz w:val="20"/>
          <w:szCs w:val="20"/>
        </w:rPr>
        <w:t>s</w:t>
      </w:r>
      <w:r w:rsidR="00036E73" w:rsidRPr="009979BF">
        <w:rPr>
          <w:color w:val="auto"/>
          <w:sz w:val="20"/>
          <w:szCs w:val="20"/>
        </w:rPr>
        <w:t xml:space="preserve"> we gained from the </w:t>
      </w:r>
      <w:r w:rsidR="00036E73" w:rsidRPr="009979BF">
        <w:rPr>
          <w:color w:val="auto"/>
          <w:sz w:val="20"/>
          <w:szCs w:val="20"/>
        </w:rPr>
        <w:lastRenderedPageBreak/>
        <w:t xml:space="preserve">limited qualitative </w:t>
      </w:r>
      <w:r w:rsidRPr="009979BF">
        <w:rPr>
          <w:color w:val="auto"/>
          <w:sz w:val="20"/>
          <w:szCs w:val="20"/>
        </w:rPr>
        <w:t xml:space="preserve">interviews </w:t>
      </w:r>
      <w:r w:rsidR="003C0766" w:rsidRPr="009979BF">
        <w:rPr>
          <w:color w:val="auto"/>
          <w:sz w:val="20"/>
          <w:szCs w:val="20"/>
        </w:rPr>
        <w:t xml:space="preserve">we </w:t>
      </w:r>
      <w:r w:rsidRPr="009979BF">
        <w:rPr>
          <w:color w:val="auto"/>
          <w:sz w:val="20"/>
          <w:szCs w:val="20"/>
        </w:rPr>
        <w:t>conducted</w:t>
      </w:r>
      <w:r w:rsidR="00036E73" w:rsidRPr="009979BF">
        <w:rPr>
          <w:color w:val="auto"/>
          <w:sz w:val="20"/>
          <w:szCs w:val="20"/>
        </w:rPr>
        <w:t xml:space="preserve"> indicate </w:t>
      </w:r>
      <w:r w:rsidR="00BA33CD" w:rsidRPr="009979BF">
        <w:rPr>
          <w:color w:val="auto"/>
          <w:sz w:val="20"/>
          <w:szCs w:val="20"/>
        </w:rPr>
        <w:t>the potential usefulness of this method to understand</w:t>
      </w:r>
      <w:r w:rsidR="00E8069D" w:rsidRPr="009979BF">
        <w:rPr>
          <w:color w:val="auto"/>
          <w:sz w:val="20"/>
          <w:szCs w:val="20"/>
        </w:rPr>
        <w:t xml:space="preserve"> </w:t>
      </w:r>
      <w:r w:rsidR="00BA33CD" w:rsidRPr="009979BF">
        <w:rPr>
          <w:color w:val="auto"/>
          <w:sz w:val="20"/>
          <w:szCs w:val="20"/>
        </w:rPr>
        <w:t xml:space="preserve">nuances of acceptability that may lead to </w:t>
      </w:r>
      <w:r w:rsidR="00F00805" w:rsidRPr="009979BF">
        <w:rPr>
          <w:color w:val="auto"/>
          <w:sz w:val="20"/>
          <w:szCs w:val="20"/>
        </w:rPr>
        <w:t xml:space="preserve">reduced </w:t>
      </w:r>
      <w:r w:rsidR="009F5A3E" w:rsidRPr="009979BF">
        <w:rPr>
          <w:color w:val="auto"/>
          <w:sz w:val="20"/>
          <w:szCs w:val="20"/>
        </w:rPr>
        <w:t xml:space="preserve">LTFU. </w:t>
      </w:r>
      <w:r w:rsidR="00C80B55" w:rsidRPr="009979BF">
        <w:rPr>
          <w:color w:val="auto"/>
          <w:sz w:val="20"/>
          <w:szCs w:val="20"/>
        </w:rPr>
        <w:t xml:space="preserve">We therefore recommend that </w:t>
      </w:r>
      <w:r w:rsidR="00C91FC7" w:rsidRPr="009979BF">
        <w:rPr>
          <w:color w:val="auto"/>
          <w:sz w:val="20"/>
          <w:szCs w:val="20"/>
        </w:rPr>
        <w:t xml:space="preserve">future </w:t>
      </w:r>
      <w:r w:rsidR="00C80B55" w:rsidRPr="009979BF">
        <w:rPr>
          <w:color w:val="auto"/>
          <w:sz w:val="20"/>
          <w:szCs w:val="20"/>
        </w:rPr>
        <w:t xml:space="preserve">feasibility studies include qualitative components </w:t>
      </w:r>
      <w:r w:rsidR="00036E73" w:rsidRPr="009979BF">
        <w:rPr>
          <w:color w:val="auto"/>
          <w:sz w:val="20"/>
          <w:szCs w:val="20"/>
        </w:rPr>
        <w:t xml:space="preserve">as a </w:t>
      </w:r>
      <w:r w:rsidR="00F00805" w:rsidRPr="009979BF">
        <w:rPr>
          <w:color w:val="auto"/>
          <w:sz w:val="20"/>
          <w:szCs w:val="20"/>
        </w:rPr>
        <w:t xml:space="preserve">means </w:t>
      </w:r>
      <w:r w:rsidR="00C80B55" w:rsidRPr="009979BF">
        <w:rPr>
          <w:color w:val="auto"/>
          <w:sz w:val="20"/>
          <w:szCs w:val="20"/>
        </w:rPr>
        <w:t>to allow participants</w:t>
      </w:r>
      <w:r w:rsidR="00036E73" w:rsidRPr="009979BF">
        <w:rPr>
          <w:color w:val="auto"/>
          <w:sz w:val="20"/>
          <w:szCs w:val="20"/>
        </w:rPr>
        <w:t>, including those who fail to complete survey questionnaires,</w:t>
      </w:r>
      <w:r w:rsidR="00C80B55" w:rsidRPr="009979BF">
        <w:rPr>
          <w:color w:val="auto"/>
          <w:sz w:val="20"/>
          <w:szCs w:val="20"/>
        </w:rPr>
        <w:t xml:space="preserve"> </w:t>
      </w:r>
      <w:r w:rsidR="00036E73" w:rsidRPr="009979BF">
        <w:rPr>
          <w:color w:val="auto"/>
          <w:sz w:val="20"/>
          <w:szCs w:val="20"/>
        </w:rPr>
        <w:t xml:space="preserve">to </w:t>
      </w:r>
      <w:r w:rsidR="00C80B55" w:rsidRPr="009979BF">
        <w:rPr>
          <w:color w:val="auto"/>
          <w:sz w:val="20"/>
          <w:szCs w:val="20"/>
        </w:rPr>
        <w:t xml:space="preserve">provide </w:t>
      </w:r>
      <w:r w:rsidR="00036E73" w:rsidRPr="009979BF">
        <w:rPr>
          <w:color w:val="auto"/>
          <w:sz w:val="20"/>
          <w:szCs w:val="20"/>
        </w:rPr>
        <w:t xml:space="preserve">important </w:t>
      </w:r>
      <w:r w:rsidR="00C80B55" w:rsidRPr="009979BF">
        <w:rPr>
          <w:color w:val="auto"/>
          <w:sz w:val="20"/>
          <w:szCs w:val="20"/>
        </w:rPr>
        <w:t>feedback on study methods.</w:t>
      </w:r>
      <w:r w:rsidR="00F71A22" w:rsidRPr="009979BF">
        <w:rPr>
          <w:color w:val="auto"/>
          <w:sz w:val="20"/>
          <w:szCs w:val="20"/>
        </w:rPr>
        <w:t xml:space="preserve"> </w:t>
      </w:r>
      <w:r w:rsidR="0082135C" w:rsidRPr="009979BF">
        <w:rPr>
          <w:color w:val="auto"/>
          <w:sz w:val="20"/>
          <w:szCs w:val="20"/>
        </w:rPr>
        <w:t>Future studies could also consider offering a qualitative interview at the point of recruitment, not only at follow-up, to widen the possibility of a qualitative exploration among participants who do not find the CASI questionnaire acceptable.</w:t>
      </w:r>
    </w:p>
    <w:p w14:paraId="6133DEF1" w14:textId="77777777" w:rsidR="004858CB" w:rsidRPr="009979BF" w:rsidRDefault="004858CB">
      <w:pPr>
        <w:spacing w:line="360" w:lineRule="auto"/>
        <w:rPr>
          <w:color w:val="auto"/>
          <w:sz w:val="20"/>
          <w:szCs w:val="20"/>
        </w:rPr>
      </w:pPr>
    </w:p>
    <w:p w14:paraId="1DFCBE23" w14:textId="77777777" w:rsidR="008A109C" w:rsidRPr="009979BF" w:rsidRDefault="00C33580">
      <w:pPr>
        <w:spacing w:line="360" w:lineRule="auto"/>
        <w:rPr>
          <w:rFonts w:cs="Segoe UI"/>
          <w:color w:val="auto"/>
          <w:sz w:val="20"/>
          <w:szCs w:val="20"/>
        </w:rPr>
      </w:pPr>
      <w:r w:rsidRPr="009979BF">
        <w:rPr>
          <w:color w:val="auto"/>
          <w:sz w:val="20"/>
          <w:szCs w:val="20"/>
        </w:rPr>
        <w:t xml:space="preserve">The issue of gender concordance between participants and interviewers/researchers has been discussed in the literature </w:t>
      </w:r>
      <w:r w:rsidR="00B907B3" w:rsidRPr="009979BF">
        <w:rPr>
          <w:color w:val="auto"/>
          <w:sz w:val="20"/>
          <w:szCs w:val="20"/>
        </w:rPr>
        <w:fldChar w:fldCharType="begin" w:fldLock="1"/>
      </w:r>
      <w:r w:rsidR="00A03473" w:rsidRPr="009979BF">
        <w:rPr>
          <w:color w:val="auto"/>
          <w:sz w:val="20"/>
          <w:szCs w:val="20"/>
        </w:rPr>
        <w:instrText>ADDIN CSL_CITATION { "citationItems" : [ { "id" : "ITEM-1", "itemData" : { "ISSN" : "1368-4973", "PMID" : "11287683", "author" : [ { "dropping-particle" : "", "family" : "Fenton", "given" : "K A", "non-dropping-particle" : "", "parse-names" : false, "suffix" : "" }, { "dropping-particle" : "", "family" : "Johnson", "given" : "A M", "non-dropping-particle" : "", "parse-names" : false, "suffix" : "" }, { "dropping-particle" : "", "family" : "McManus", "given" : "S", "non-dropping-particle" : "", "parse-names" : false, "suffix" : "" }, { "dropping-particle" : "", "family" : "Erens", "given" : "B", "non-dropping-particle" : "", "parse-names" : false, "suffix" : "" } ], "container-title" : "Sexually transmitted infections", "id" : "ITEM-1", "issue" : "2", "issued" : { "date-parts" : [ [ "2001", "4" ] ] }, "page" : "84-92", "title" : "Measuring sexual behaviour: methodological challenges in survey research.", "type" : "article-journal", "volume" : "77" }, "uris" : [ "http://www.mendeley.com/documents/?uuid=1c8acc2e-d634-316d-8def-2759b324e233" ] } ], "mendeley" : { "formattedCitation" : "[51]", "plainTextFormattedCitation" : "[51]", "previouslyFormattedCitation" : "[51]" }, "properties" : { "noteIndex" : 0 }, "schema" : "https://github.com/citation-style-language/schema/raw/master/csl-citation.json" }</w:instrText>
      </w:r>
      <w:r w:rsidR="00B907B3" w:rsidRPr="009979BF">
        <w:rPr>
          <w:color w:val="auto"/>
          <w:sz w:val="20"/>
          <w:szCs w:val="20"/>
        </w:rPr>
        <w:fldChar w:fldCharType="separate"/>
      </w:r>
      <w:r w:rsidR="00577F2F" w:rsidRPr="009979BF">
        <w:rPr>
          <w:noProof/>
          <w:color w:val="auto"/>
          <w:sz w:val="20"/>
          <w:szCs w:val="20"/>
        </w:rPr>
        <w:t>[51]</w:t>
      </w:r>
      <w:r w:rsidR="00B907B3" w:rsidRPr="009979BF">
        <w:rPr>
          <w:color w:val="auto"/>
          <w:sz w:val="20"/>
          <w:szCs w:val="20"/>
        </w:rPr>
        <w:fldChar w:fldCharType="end"/>
      </w:r>
      <w:r w:rsidRPr="009979BF">
        <w:rPr>
          <w:color w:val="auto"/>
          <w:sz w:val="20"/>
          <w:szCs w:val="20"/>
        </w:rPr>
        <w:t xml:space="preserve"> and the fact that our study recruiter was female may have affected recruitment and retention. </w:t>
      </w:r>
      <w:r w:rsidR="009D1AAD" w:rsidRPr="009979BF">
        <w:rPr>
          <w:color w:val="auto"/>
          <w:sz w:val="20"/>
          <w:szCs w:val="20"/>
        </w:rPr>
        <w:t xml:space="preserve"> </w:t>
      </w:r>
      <w:r w:rsidRPr="009979BF">
        <w:rPr>
          <w:color w:val="auto"/>
          <w:sz w:val="20"/>
          <w:szCs w:val="20"/>
        </w:rPr>
        <w:t>A study investigating attit</w:t>
      </w:r>
      <w:r w:rsidR="003D2E06" w:rsidRPr="009979BF">
        <w:rPr>
          <w:color w:val="auto"/>
          <w:sz w:val="20"/>
          <w:szCs w:val="20"/>
        </w:rPr>
        <w:t>udes to Viagra in heterosexual H</w:t>
      </w:r>
      <w:r w:rsidRPr="009979BF">
        <w:rPr>
          <w:color w:val="auto"/>
          <w:sz w:val="20"/>
          <w:szCs w:val="20"/>
        </w:rPr>
        <w:t xml:space="preserve">ispanic men, using telephone qualitative interviews, found that changing from female to male recruiters and data collectors increased their recruitment </w:t>
      </w:r>
      <w:r w:rsidR="00B907B3" w:rsidRPr="009979BF">
        <w:rPr>
          <w:color w:val="auto"/>
          <w:sz w:val="20"/>
          <w:szCs w:val="20"/>
        </w:rPr>
        <w:fldChar w:fldCharType="begin" w:fldLock="1"/>
      </w:r>
      <w:r w:rsidR="008D4440" w:rsidRPr="009979BF">
        <w:rPr>
          <w:color w:val="auto"/>
          <w:sz w:val="20"/>
          <w:szCs w:val="20"/>
        </w:rPr>
        <w:instrText>ADDIN CSL_CITATION { "citationItems" : [ { "id" : "ITEM-1", "itemData" : { "DOI" : "10.1016/j.jana.2010.10.009", "ISSN" : "1552-6917", "PMID" : "21216626", "author" : [ { "dropping-particle" : "", "family" : "Jones", "given" : "Sande Gracia", "non-dropping-particle" : "", "parse-names" : false, "suffix" : "" }, { "dropping-particle" : "", "family" : "Pat Patsdaughter", "given" : "Carol A", "non-dropping-particle" : "", "parse-names" : false, "suffix" : "" }, { "dropping-particle" : "", "family" : "Martinez Cardenas", "given" : "Vicente Manuel", "non-dropping-particle" : "", "parse-names" : false, "suffix" : "" } ], "container-title" : "The Journal of the Association of Nurses in AIDS Care : JANAC", "id" : "ITEM-1", "issue" : "4", "issued" : { "date-parts" : [ [ "2011" ] ] }, "page" : "320-9", "publisher" : "NIH Public Access", "title" : "Lessons from the viagra study: methodological challenges in recruitment of older and minority heterosexual men for research on sexual practices and risk behaviors.", "type" : "article-journal", "volume" : "22" }, "uris" : [ "http://www.mendeley.com/documents/?uuid=7e37c1d8-4e61-3381-a820-6dbce968ad95" ] } ], "mendeley" : { "formattedCitation" : "[42]", "plainTextFormattedCitation" : "[42]", "previouslyFormattedCitation" : "[42]" }, "properties" : { "noteIndex" : 0 }, "schema" : "https://github.com/citation-style-language/schema/raw/master/csl-citation.json" }</w:instrText>
      </w:r>
      <w:r w:rsidR="00B907B3" w:rsidRPr="009979BF">
        <w:rPr>
          <w:color w:val="auto"/>
          <w:sz w:val="20"/>
          <w:szCs w:val="20"/>
        </w:rPr>
        <w:fldChar w:fldCharType="separate"/>
      </w:r>
      <w:r w:rsidR="004B4B35" w:rsidRPr="009979BF">
        <w:rPr>
          <w:noProof/>
          <w:color w:val="auto"/>
          <w:sz w:val="20"/>
          <w:szCs w:val="20"/>
        </w:rPr>
        <w:t>[42]</w:t>
      </w:r>
      <w:r w:rsidR="00B907B3" w:rsidRPr="009979BF">
        <w:rPr>
          <w:color w:val="auto"/>
          <w:sz w:val="20"/>
          <w:szCs w:val="20"/>
        </w:rPr>
        <w:fldChar w:fldCharType="end"/>
      </w:r>
      <w:r w:rsidR="009D1AAD" w:rsidRPr="009979BF">
        <w:rPr>
          <w:color w:val="auto"/>
          <w:sz w:val="20"/>
          <w:szCs w:val="20"/>
        </w:rPr>
        <w:t xml:space="preserve">. Participants </w:t>
      </w:r>
      <w:r w:rsidR="0044242E" w:rsidRPr="009979BF">
        <w:rPr>
          <w:color w:val="auto"/>
          <w:sz w:val="20"/>
          <w:szCs w:val="20"/>
        </w:rPr>
        <w:t xml:space="preserve">in our study </w:t>
      </w:r>
      <w:r w:rsidR="009D1AAD" w:rsidRPr="009979BF">
        <w:rPr>
          <w:color w:val="auto"/>
          <w:sz w:val="20"/>
          <w:szCs w:val="20"/>
        </w:rPr>
        <w:t xml:space="preserve">were offered the option of a male or female interviewer but may not have felt comfortable with asking for a particular interviewer, and so this may not have been sufficient to reduce the potential impact of gender discordance </w:t>
      </w:r>
      <w:r w:rsidR="0068333C" w:rsidRPr="009979BF">
        <w:rPr>
          <w:color w:val="auto"/>
          <w:sz w:val="20"/>
          <w:szCs w:val="20"/>
        </w:rPr>
        <w:t>on</w:t>
      </w:r>
      <w:r w:rsidR="009D1AAD" w:rsidRPr="009979BF">
        <w:rPr>
          <w:color w:val="auto"/>
          <w:sz w:val="20"/>
          <w:szCs w:val="20"/>
        </w:rPr>
        <w:t xml:space="preserve"> acceptance of the invitation to an interview in our study. </w:t>
      </w:r>
      <w:r w:rsidRPr="009979BF">
        <w:rPr>
          <w:color w:val="auto"/>
          <w:sz w:val="20"/>
          <w:szCs w:val="20"/>
        </w:rPr>
        <w:t xml:space="preserve"> </w:t>
      </w:r>
      <w:r w:rsidR="009D1AAD" w:rsidRPr="009979BF">
        <w:rPr>
          <w:color w:val="auto"/>
          <w:sz w:val="20"/>
          <w:szCs w:val="20"/>
        </w:rPr>
        <w:t xml:space="preserve">We suggest </w:t>
      </w:r>
      <w:r w:rsidRPr="009979BF">
        <w:rPr>
          <w:color w:val="auto"/>
          <w:sz w:val="20"/>
          <w:szCs w:val="20"/>
        </w:rPr>
        <w:t xml:space="preserve">future studies involving qualitative interviews should consider the gender of recruiters and interviewers. </w:t>
      </w:r>
    </w:p>
    <w:p w14:paraId="0416FE7D" w14:textId="77777777" w:rsidR="006157CF" w:rsidRPr="009979BF" w:rsidRDefault="006157CF" w:rsidP="004776E6">
      <w:pPr>
        <w:spacing w:line="360" w:lineRule="auto"/>
        <w:rPr>
          <w:color w:val="auto"/>
          <w:sz w:val="20"/>
          <w:szCs w:val="20"/>
        </w:rPr>
      </w:pPr>
    </w:p>
    <w:p w14:paraId="012DB69D" w14:textId="77777777" w:rsidR="00A35504" w:rsidRPr="009979BF" w:rsidRDefault="00C45E5C" w:rsidP="00902713">
      <w:pPr>
        <w:spacing w:line="360" w:lineRule="auto"/>
        <w:jc w:val="both"/>
        <w:rPr>
          <w:color w:val="auto"/>
          <w:sz w:val="20"/>
          <w:szCs w:val="20"/>
        </w:rPr>
      </w:pPr>
      <w:r w:rsidRPr="009979BF">
        <w:rPr>
          <w:b/>
          <w:color w:val="auto"/>
          <w:sz w:val="20"/>
          <w:szCs w:val="20"/>
        </w:rPr>
        <w:t>Conclusions</w:t>
      </w:r>
    </w:p>
    <w:p w14:paraId="51C35729" w14:textId="77777777" w:rsidR="00646B11" w:rsidRPr="009979BF" w:rsidRDefault="00C45E5C" w:rsidP="00D91605">
      <w:pPr>
        <w:spacing w:line="360" w:lineRule="auto"/>
        <w:jc w:val="both"/>
        <w:rPr>
          <w:color w:val="auto"/>
          <w:sz w:val="20"/>
          <w:szCs w:val="20"/>
        </w:rPr>
      </w:pPr>
      <w:r w:rsidRPr="009979BF">
        <w:rPr>
          <w:color w:val="auto"/>
          <w:sz w:val="20"/>
          <w:szCs w:val="20"/>
        </w:rPr>
        <w:t>Our study found that heterosexual men with urethral symptoms may experience a range of psychosocial and HRQoL impacts following SHC attendance and STI testing. More work is needed to investigate the most appropriate methodology for investigating sexual health and QoL, particularly around choosing between condition specific and generic measures, and reducing loss to follow-up in longitudinal studies.</w:t>
      </w:r>
      <w:r w:rsidRPr="009979BF">
        <w:rPr>
          <w:rFonts w:cs="Segoe UI"/>
          <w:color w:val="auto"/>
          <w:sz w:val="20"/>
          <w:szCs w:val="20"/>
        </w:rPr>
        <w:t xml:space="preserve"> </w:t>
      </w:r>
      <w:r w:rsidRPr="009979BF">
        <w:rPr>
          <w:color w:val="auto"/>
          <w:sz w:val="20"/>
          <w:szCs w:val="20"/>
        </w:rPr>
        <w:t xml:space="preserve"> Future research in this area is needed to test the generalizability of our findings as to whether there are significant psychosocial harms of giving presumptive and non-specific diagnoses.</w:t>
      </w:r>
    </w:p>
    <w:p w14:paraId="4DF3AD97" w14:textId="77777777" w:rsidR="00CF344E" w:rsidRPr="009979BF" w:rsidRDefault="00CF344E" w:rsidP="004776E6">
      <w:pPr>
        <w:spacing w:line="360" w:lineRule="auto"/>
        <w:rPr>
          <w:color w:val="auto"/>
          <w:sz w:val="20"/>
          <w:szCs w:val="20"/>
        </w:rPr>
      </w:pPr>
    </w:p>
    <w:p w14:paraId="18575C2A" w14:textId="77777777" w:rsidR="004D5897" w:rsidRPr="009979BF" w:rsidRDefault="004D5897" w:rsidP="004D5897">
      <w:pPr>
        <w:rPr>
          <w:b/>
          <w:color w:val="auto"/>
          <w:sz w:val="20"/>
          <w:szCs w:val="20"/>
        </w:rPr>
      </w:pPr>
      <w:r w:rsidRPr="009979BF">
        <w:rPr>
          <w:b/>
          <w:color w:val="auto"/>
          <w:sz w:val="20"/>
          <w:szCs w:val="20"/>
        </w:rPr>
        <w:t xml:space="preserve">TABLES AND FIGURES </w:t>
      </w:r>
    </w:p>
    <w:p w14:paraId="6A7776B8" w14:textId="77777777" w:rsidR="004D5897" w:rsidRPr="009979BF" w:rsidRDefault="004D5897" w:rsidP="004D5897">
      <w:pPr>
        <w:rPr>
          <w:color w:val="auto"/>
          <w:sz w:val="20"/>
          <w:szCs w:val="20"/>
        </w:rPr>
      </w:pPr>
    </w:p>
    <w:p w14:paraId="04126B48" w14:textId="77777777" w:rsidR="004D5897" w:rsidRPr="009979BF" w:rsidRDefault="004D5897" w:rsidP="004D5897">
      <w:pPr>
        <w:rPr>
          <w:color w:val="auto"/>
          <w:sz w:val="20"/>
          <w:szCs w:val="20"/>
        </w:rPr>
      </w:pPr>
      <w:r w:rsidRPr="009979BF">
        <w:rPr>
          <w:color w:val="auto"/>
          <w:sz w:val="20"/>
          <w:szCs w:val="20"/>
        </w:rPr>
        <w:t>Figure 1.</w:t>
      </w:r>
      <w:r w:rsidRPr="009979BF">
        <w:rPr>
          <w:color w:val="auto"/>
          <w:sz w:val="20"/>
          <w:szCs w:val="20"/>
        </w:rPr>
        <w:tab/>
      </w:r>
      <w:r w:rsidRPr="009979BF">
        <w:rPr>
          <w:color w:val="auto"/>
          <w:sz w:val="20"/>
          <w:szCs w:val="20"/>
        </w:rPr>
        <w:tab/>
        <w:t>Patient Pathway</w:t>
      </w:r>
    </w:p>
    <w:p w14:paraId="51AA54FD" w14:textId="77777777" w:rsidR="004D5897" w:rsidRPr="009979BF" w:rsidRDefault="004D5897" w:rsidP="004D5897">
      <w:pPr>
        <w:rPr>
          <w:color w:val="auto"/>
          <w:sz w:val="20"/>
          <w:szCs w:val="20"/>
        </w:rPr>
      </w:pPr>
      <w:r w:rsidRPr="009979BF">
        <w:rPr>
          <w:color w:val="auto"/>
          <w:sz w:val="20"/>
          <w:szCs w:val="20"/>
        </w:rPr>
        <w:t>Figure 2.</w:t>
      </w:r>
      <w:r w:rsidRPr="009979BF">
        <w:rPr>
          <w:color w:val="auto"/>
          <w:sz w:val="20"/>
          <w:szCs w:val="20"/>
        </w:rPr>
        <w:tab/>
      </w:r>
      <w:r w:rsidRPr="009979BF">
        <w:rPr>
          <w:color w:val="auto"/>
          <w:sz w:val="20"/>
          <w:szCs w:val="20"/>
        </w:rPr>
        <w:tab/>
        <w:t xml:space="preserve">Enrolment and Follow-up Chart </w:t>
      </w:r>
    </w:p>
    <w:p w14:paraId="0E8B51B8" w14:textId="77777777" w:rsidR="004D5897" w:rsidRPr="009979BF" w:rsidRDefault="004D5897" w:rsidP="004D5897">
      <w:pPr>
        <w:rPr>
          <w:color w:val="auto"/>
          <w:sz w:val="20"/>
          <w:szCs w:val="20"/>
        </w:rPr>
      </w:pPr>
      <w:r w:rsidRPr="009979BF">
        <w:rPr>
          <w:color w:val="auto"/>
          <w:sz w:val="20"/>
          <w:szCs w:val="20"/>
        </w:rPr>
        <w:t>Table 1</w:t>
      </w:r>
      <w:r w:rsidR="00307CAB" w:rsidRPr="009979BF">
        <w:rPr>
          <w:color w:val="auto"/>
          <w:sz w:val="20"/>
          <w:szCs w:val="20"/>
        </w:rPr>
        <w:t>.</w:t>
      </w:r>
      <w:r w:rsidRPr="009979BF">
        <w:rPr>
          <w:color w:val="auto"/>
          <w:sz w:val="20"/>
          <w:szCs w:val="20"/>
        </w:rPr>
        <w:tab/>
      </w:r>
      <w:r w:rsidRPr="009979BF">
        <w:rPr>
          <w:color w:val="auto"/>
          <w:sz w:val="20"/>
          <w:szCs w:val="20"/>
        </w:rPr>
        <w:tab/>
        <w:t>Sociodemographic characteristics of enrolled participants at Baseline by final diagnosi</w:t>
      </w:r>
      <w:r w:rsidR="00307CAB" w:rsidRPr="009979BF">
        <w:rPr>
          <w:color w:val="auto"/>
          <w:sz w:val="20"/>
          <w:szCs w:val="20"/>
        </w:rPr>
        <w:t>s.</w:t>
      </w:r>
    </w:p>
    <w:p w14:paraId="11CAB13A" w14:textId="77777777" w:rsidR="004D5897" w:rsidRPr="009979BF" w:rsidRDefault="004D5897" w:rsidP="004D5897">
      <w:pPr>
        <w:rPr>
          <w:color w:val="auto"/>
          <w:sz w:val="20"/>
          <w:szCs w:val="20"/>
        </w:rPr>
      </w:pPr>
      <w:r w:rsidRPr="009979BF">
        <w:rPr>
          <w:color w:val="auto"/>
          <w:sz w:val="20"/>
          <w:szCs w:val="20"/>
        </w:rPr>
        <w:t>Table 2. (a, b)</w:t>
      </w:r>
      <w:r w:rsidRPr="009979BF">
        <w:rPr>
          <w:color w:val="auto"/>
          <w:sz w:val="20"/>
          <w:szCs w:val="20"/>
        </w:rPr>
        <w:tab/>
        <w:t>Distribution of psychosocial scores by final diagnosi</w:t>
      </w:r>
      <w:r w:rsidR="00307CAB" w:rsidRPr="009979BF">
        <w:rPr>
          <w:color w:val="auto"/>
          <w:sz w:val="20"/>
          <w:szCs w:val="20"/>
        </w:rPr>
        <w:t>s.</w:t>
      </w:r>
    </w:p>
    <w:p w14:paraId="27FDA615" w14:textId="77777777" w:rsidR="00307CAB" w:rsidRPr="009979BF" w:rsidRDefault="00307CAB" w:rsidP="00307CAB">
      <w:pPr>
        <w:spacing w:after="240"/>
        <w:rPr>
          <w:color w:val="auto"/>
          <w:sz w:val="20"/>
          <w:szCs w:val="20"/>
        </w:rPr>
      </w:pPr>
    </w:p>
    <w:p w14:paraId="48D94D51" w14:textId="77777777" w:rsidR="004D5897" w:rsidRPr="009979BF" w:rsidRDefault="004D5897" w:rsidP="004D5897">
      <w:pPr>
        <w:rPr>
          <w:color w:val="auto"/>
          <w:sz w:val="20"/>
          <w:szCs w:val="20"/>
        </w:rPr>
      </w:pPr>
    </w:p>
    <w:p w14:paraId="53780686" w14:textId="77777777" w:rsidR="004D5897" w:rsidRPr="009979BF" w:rsidRDefault="00307CAB" w:rsidP="004D5897">
      <w:pPr>
        <w:rPr>
          <w:b/>
          <w:color w:val="auto"/>
          <w:sz w:val="20"/>
          <w:szCs w:val="20"/>
        </w:rPr>
      </w:pPr>
      <w:r w:rsidRPr="009979BF">
        <w:rPr>
          <w:b/>
          <w:color w:val="auto"/>
          <w:sz w:val="20"/>
          <w:szCs w:val="20"/>
        </w:rPr>
        <w:t>Supplementary Appendices</w:t>
      </w:r>
    </w:p>
    <w:p w14:paraId="3E9F2450" w14:textId="77777777" w:rsidR="00307CAB" w:rsidRPr="009979BF" w:rsidRDefault="00307CAB" w:rsidP="004D5897">
      <w:pPr>
        <w:rPr>
          <w:b/>
          <w:color w:val="auto"/>
          <w:sz w:val="20"/>
          <w:szCs w:val="20"/>
        </w:rPr>
      </w:pPr>
    </w:p>
    <w:p w14:paraId="7A40DE89" w14:textId="77777777" w:rsidR="00307CAB" w:rsidRPr="009979BF" w:rsidRDefault="004D5897" w:rsidP="004D5897">
      <w:pPr>
        <w:rPr>
          <w:color w:val="auto"/>
          <w:sz w:val="20"/>
          <w:szCs w:val="20"/>
        </w:rPr>
      </w:pPr>
      <w:r w:rsidRPr="009979BF">
        <w:rPr>
          <w:color w:val="auto"/>
          <w:sz w:val="20"/>
          <w:szCs w:val="20"/>
        </w:rPr>
        <w:t>Appendix 1.</w:t>
      </w:r>
      <w:r w:rsidRPr="009979BF">
        <w:rPr>
          <w:color w:val="auto"/>
          <w:sz w:val="20"/>
          <w:szCs w:val="20"/>
        </w:rPr>
        <w:tab/>
        <w:t>Baseline CASI Questionnaire</w:t>
      </w:r>
    </w:p>
    <w:p w14:paraId="25A626EE" w14:textId="77777777" w:rsidR="00307CAB" w:rsidRPr="009979BF" w:rsidRDefault="00307CAB" w:rsidP="004D5897">
      <w:pPr>
        <w:rPr>
          <w:color w:val="auto"/>
          <w:sz w:val="20"/>
          <w:szCs w:val="20"/>
        </w:rPr>
      </w:pPr>
      <w:r w:rsidRPr="009979BF">
        <w:rPr>
          <w:color w:val="auto"/>
          <w:sz w:val="20"/>
          <w:szCs w:val="20"/>
        </w:rPr>
        <w:t xml:space="preserve">Appendix 2. </w:t>
      </w:r>
      <w:r w:rsidRPr="009979BF">
        <w:rPr>
          <w:color w:val="auto"/>
          <w:sz w:val="20"/>
          <w:szCs w:val="20"/>
        </w:rPr>
        <w:tab/>
        <w:t>Follow-up 1</w:t>
      </w:r>
      <w:r w:rsidR="004D5897" w:rsidRPr="009979BF">
        <w:rPr>
          <w:color w:val="auto"/>
          <w:sz w:val="20"/>
          <w:szCs w:val="20"/>
        </w:rPr>
        <w:t xml:space="preserve"> CASI Questionnaire </w:t>
      </w:r>
    </w:p>
    <w:p w14:paraId="7230475C" w14:textId="77777777" w:rsidR="004D5897" w:rsidRPr="009979BF" w:rsidRDefault="00307CAB" w:rsidP="004D5897">
      <w:pPr>
        <w:rPr>
          <w:color w:val="auto"/>
          <w:sz w:val="20"/>
          <w:szCs w:val="20"/>
        </w:rPr>
      </w:pPr>
      <w:r w:rsidRPr="009979BF">
        <w:rPr>
          <w:color w:val="auto"/>
          <w:sz w:val="20"/>
          <w:szCs w:val="20"/>
        </w:rPr>
        <w:t xml:space="preserve">Appendix 3. </w:t>
      </w:r>
      <w:r w:rsidRPr="009979BF">
        <w:rPr>
          <w:color w:val="auto"/>
          <w:sz w:val="20"/>
          <w:szCs w:val="20"/>
        </w:rPr>
        <w:tab/>
      </w:r>
      <w:r w:rsidR="004D5897" w:rsidRPr="009979BF">
        <w:rPr>
          <w:color w:val="auto"/>
          <w:sz w:val="20"/>
          <w:szCs w:val="20"/>
        </w:rPr>
        <w:t xml:space="preserve">Individual in-depth </w:t>
      </w:r>
      <w:r w:rsidRPr="009979BF">
        <w:rPr>
          <w:color w:val="auto"/>
          <w:sz w:val="20"/>
          <w:szCs w:val="20"/>
        </w:rPr>
        <w:t>I</w:t>
      </w:r>
      <w:r w:rsidR="004D5897" w:rsidRPr="009979BF">
        <w:rPr>
          <w:color w:val="auto"/>
          <w:sz w:val="20"/>
          <w:szCs w:val="20"/>
        </w:rPr>
        <w:t xml:space="preserve">nterview Topic </w:t>
      </w:r>
      <w:r w:rsidR="004D5897" w:rsidRPr="009979BF">
        <w:rPr>
          <w:color w:val="auto"/>
          <w:sz w:val="20"/>
          <w:szCs w:val="20"/>
        </w:rPr>
        <w:tab/>
        <w:t>Guide</w:t>
      </w:r>
    </w:p>
    <w:p w14:paraId="412E7887" w14:textId="77777777" w:rsidR="004D5897" w:rsidRPr="009979BF" w:rsidRDefault="004D5897" w:rsidP="004D5897">
      <w:pPr>
        <w:rPr>
          <w:color w:val="auto"/>
          <w:sz w:val="20"/>
          <w:szCs w:val="20"/>
        </w:rPr>
      </w:pPr>
      <w:r w:rsidRPr="009979BF">
        <w:rPr>
          <w:color w:val="auto"/>
          <w:sz w:val="20"/>
          <w:szCs w:val="20"/>
        </w:rPr>
        <w:t xml:space="preserve">Appendix </w:t>
      </w:r>
      <w:r w:rsidR="00307CAB" w:rsidRPr="009979BF">
        <w:rPr>
          <w:color w:val="auto"/>
          <w:sz w:val="20"/>
          <w:szCs w:val="20"/>
        </w:rPr>
        <w:t>4</w:t>
      </w:r>
      <w:r w:rsidRPr="009979BF">
        <w:rPr>
          <w:color w:val="auto"/>
          <w:sz w:val="20"/>
          <w:szCs w:val="20"/>
        </w:rPr>
        <w:t xml:space="preserve">. </w:t>
      </w:r>
      <w:r w:rsidRPr="009979BF">
        <w:rPr>
          <w:color w:val="auto"/>
          <w:sz w:val="20"/>
          <w:szCs w:val="20"/>
        </w:rPr>
        <w:tab/>
        <w:t>Full list of themes</w:t>
      </w:r>
      <w:r w:rsidR="00307CAB" w:rsidRPr="009979BF">
        <w:rPr>
          <w:color w:val="auto"/>
          <w:sz w:val="20"/>
          <w:szCs w:val="20"/>
        </w:rPr>
        <w:t xml:space="preserve"> for </w:t>
      </w:r>
      <w:r w:rsidRPr="009979BF">
        <w:rPr>
          <w:color w:val="auto"/>
          <w:sz w:val="20"/>
          <w:szCs w:val="20"/>
        </w:rPr>
        <w:t>Qualitative Interview (</w:t>
      </w:r>
      <w:r w:rsidR="00307CAB" w:rsidRPr="009979BF">
        <w:rPr>
          <w:color w:val="auto"/>
          <w:sz w:val="20"/>
          <w:szCs w:val="20"/>
        </w:rPr>
        <w:t>Follow-up 2)</w:t>
      </w:r>
    </w:p>
    <w:p w14:paraId="2ED2A04C" w14:textId="77777777" w:rsidR="00D119E7" w:rsidRPr="009979BF" w:rsidRDefault="00D119E7" w:rsidP="004D5897">
      <w:pPr>
        <w:rPr>
          <w:color w:val="auto"/>
          <w:sz w:val="20"/>
          <w:szCs w:val="20"/>
        </w:rPr>
      </w:pPr>
    </w:p>
    <w:p w14:paraId="615C4180" w14:textId="77777777" w:rsidR="00D119E7" w:rsidRPr="009979BF" w:rsidRDefault="00D119E7" w:rsidP="004D5897">
      <w:pPr>
        <w:rPr>
          <w:color w:val="auto"/>
          <w:sz w:val="20"/>
          <w:szCs w:val="20"/>
        </w:rPr>
      </w:pPr>
    </w:p>
    <w:p w14:paraId="2B49A6B0" w14:textId="77777777" w:rsidR="00D119E7" w:rsidRPr="009979BF" w:rsidRDefault="00D119E7" w:rsidP="004D5897">
      <w:pPr>
        <w:rPr>
          <w:color w:val="auto"/>
          <w:sz w:val="20"/>
          <w:szCs w:val="20"/>
        </w:rPr>
      </w:pPr>
    </w:p>
    <w:p w14:paraId="438C89F3" w14:textId="77777777" w:rsidR="00D119E7" w:rsidRPr="009979BF" w:rsidRDefault="00D119E7" w:rsidP="004D5897">
      <w:pPr>
        <w:rPr>
          <w:color w:val="auto"/>
          <w:sz w:val="20"/>
          <w:szCs w:val="20"/>
        </w:rPr>
      </w:pPr>
    </w:p>
    <w:p w14:paraId="01950B38" w14:textId="77777777" w:rsidR="00D119E7" w:rsidRPr="009979BF" w:rsidRDefault="00D119E7" w:rsidP="004D5897">
      <w:pPr>
        <w:rPr>
          <w:color w:val="auto"/>
          <w:sz w:val="20"/>
          <w:szCs w:val="20"/>
        </w:rPr>
      </w:pPr>
    </w:p>
    <w:p w14:paraId="4DDC11F3" w14:textId="77777777" w:rsidR="00D119E7" w:rsidRPr="009979BF" w:rsidRDefault="00D119E7" w:rsidP="004D5897">
      <w:pPr>
        <w:rPr>
          <w:color w:val="auto"/>
          <w:sz w:val="20"/>
          <w:szCs w:val="20"/>
        </w:rPr>
      </w:pPr>
    </w:p>
    <w:p w14:paraId="0EA9705F" w14:textId="77777777" w:rsidR="00D119E7" w:rsidRPr="009979BF" w:rsidRDefault="00D119E7" w:rsidP="004D5897">
      <w:pPr>
        <w:rPr>
          <w:color w:val="auto"/>
          <w:sz w:val="20"/>
          <w:szCs w:val="20"/>
        </w:rPr>
      </w:pPr>
    </w:p>
    <w:p w14:paraId="1548AA55" w14:textId="77777777" w:rsidR="00D119E7" w:rsidRPr="009979BF" w:rsidRDefault="00D119E7" w:rsidP="004D5897">
      <w:pPr>
        <w:rPr>
          <w:color w:val="auto"/>
          <w:sz w:val="20"/>
          <w:szCs w:val="20"/>
        </w:rPr>
      </w:pPr>
    </w:p>
    <w:p w14:paraId="1FBB2CBD" w14:textId="77777777" w:rsidR="00D534AE" w:rsidRPr="009979BF" w:rsidRDefault="00D534AE" w:rsidP="004D5897">
      <w:pPr>
        <w:rPr>
          <w:color w:val="auto"/>
          <w:sz w:val="20"/>
          <w:szCs w:val="20"/>
        </w:rPr>
      </w:pPr>
    </w:p>
    <w:p w14:paraId="6AB0086D" w14:textId="77777777" w:rsidR="00D534AE" w:rsidRPr="009979BF" w:rsidRDefault="00D534AE" w:rsidP="004D5897">
      <w:pPr>
        <w:rPr>
          <w:color w:val="auto"/>
          <w:sz w:val="20"/>
          <w:szCs w:val="20"/>
        </w:rPr>
      </w:pPr>
    </w:p>
    <w:p w14:paraId="7E403F85" w14:textId="77777777" w:rsidR="00D534AE" w:rsidRPr="009979BF" w:rsidRDefault="00D534AE" w:rsidP="004D5897">
      <w:pPr>
        <w:rPr>
          <w:color w:val="auto"/>
          <w:sz w:val="20"/>
          <w:szCs w:val="20"/>
        </w:rPr>
      </w:pPr>
    </w:p>
    <w:p w14:paraId="01D1D02D" w14:textId="77777777" w:rsidR="004D5897" w:rsidRPr="009979BF" w:rsidRDefault="004D5897" w:rsidP="004D5897">
      <w:pPr>
        <w:rPr>
          <w:color w:val="auto"/>
          <w:sz w:val="20"/>
          <w:szCs w:val="20"/>
        </w:rPr>
      </w:pPr>
    </w:p>
    <w:p w14:paraId="692BEF64" w14:textId="77777777" w:rsidR="004D5897" w:rsidRPr="009979BF" w:rsidRDefault="004D5897" w:rsidP="004D5897">
      <w:pPr>
        <w:jc w:val="both"/>
        <w:rPr>
          <w:color w:val="auto"/>
          <w:sz w:val="20"/>
          <w:szCs w:val="20"/>
        </w:rPr>
      </w:pPr>
    </w:p>
    <w:p w14:paraId="558BAD24" w14:textId="77777777" w:rsidR="004D5897" w:rsidRPr="009979BF" w:rsidRDefault="004D5897" w:rsidP="004D5897">
      <w:pPr>
        <w:jc w:val="both"/>
        <w:rPr>
          <w:b/>
          <w:color w:val="auto"/>
          <w:sz w:val="20"/>
          <w:szCs w:val="20"/>
          <w:u w:val="single"/>
        </w:rPr>
      </w:pPr>
      <w:r w:rsidRPr="009979BF">
        <w:rPr>
          <w:b/>
          <w:color w:val="auto"/>
          <w:sz w:val="20"/>
          <w:szCs w:val="20"/>
        </w:rPr>
        <w:t xml:space="preserve">Table 1.  </w:t>
      </w:r>
      <w:r w:rsidRPr="009979BF">
        <w:rPr>
          <w:b/>
          <w:color w:val="auto"/>
          <w:sz w:val="20"/>
          <w:szCs w:val="20"/>
          <w:u w:val="single"/>
        </w:rPr>
        <w:t>Sociodemographic characteristics of enrolled participants at Baseline by final diagnosis</w:t>
      </w:r>
    </w:p>
    <w:p w14:paraId="6A7E1870" w14:textId="77777777" w:rsidR="00FE2D87" w:rsidRPr="009979BF" w:rsidRDefault="00FE2D87" w:rsidP="004D5897">
      <w:pPr>
        <w:jc w:val="both"/>
        <w:rPr>
          <w:b/>
          <w:color w:val="auto"/>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1414"/>
        <w:gridCol w:w="1414"/>
        <w:gridCol w:w="991"/>
        <w:gridCol w:w="1431"/>
        <w:gridCol w:w="978"/>
      </w:tblGrid>
      <w:tr w:rsidR="00FE2D87" w:rsidRPr="009979BF" w14:paraId="2948FEAA" w14:textId="77777777" w:rsidTr="00FE2D87">
        <w:trPr>
          <w:trHeight w:val="315"/>
        </w:trPr>
        <w:tc>
          <w:tcPr>
            <w:tcW w:w="1405" w:type="pct"/>
            <w:shd w:val="clear" w:color="auto" w:fill="auto"/>
            <w:noWrap/>
            <w:vAlign w:val="bottom"/>
            <w:hideMark/>
          </w:tcPr>
          <w:p w14:paraId="027C8324" w14:textId="77777777" w:rsidR="00FE2D87" w:rsidRPr="009979BF" w:rsidRDefault="00FE2D87" w:rsidP="00FE2D87">
            <w:pPr>
              <w:rPr>
                <w:rFonts w:ascii="Calibri" w:hAnsi="Calibri" w:cs="Calibri"/>
                <w:color w:val="auto"/>
              </w:rPr>
            </w:pPr>
          </w:p>
        </w:tc>
        <w:tc>
          <w:tcPr>
            <w:tcW w:w="829" w:type="pct"/>
            <w:shd w:val="clear" w:color="auto" w:fill="auto"/>
            <w:noWrap/>
            <w:vAlign w:val="center"/>
            <w:hideMark/>
          </w:tcPr>
          <w:p w14:paraId="7DBFB89E" w14:textId="77777777" w:rsidR="00FE2D87" w:rsidRPr="009979BF" w:rsidRDefault="00FE2D87" w:rsidP="00FE2D87">
            <w:pPr>
              <w:jc w:val="center"/>
              <w:rPr>
                <w:rFonts w:ascii="Calibri" w:hAnsi="Calibri" w:cstheme="minorHAnsi"/>
                <w:b/>
                <w:color w:val="auto"/>
                <w:sz w:val="16"/>
                <w:szCs w:val="16"/>
              </w:rPr>
            </w:pPr>
            <w:r w:rsidRPr="009979BF">
              <w:rPr>
                <w:rFonts w:ascii="Calibri" w:hAnsi="Calibri" w:cstheme="minorHAnsi"/>
                <w:b/>
                <w:color w:val="auto"/>
                <w:sz w:val="16"/>
                <w:szCs w:val="16"/>
              </w:rPr>
              <w:t xml:space="preserve">CT </w:t>
            </w:r>
          </w:p>
          <w:p w14:paraId="3F1A7C9D" w14:textId="77777777" w:rsidR="00FE2D87" w:rsidRPr="009979BF" w:rsidRDefault="00FE2D87" w:rsidP="00FE2D87">
            <w:pPr>
              <w:jc w:val="center"/>
              <w:rPr>
                <w:rFonts w:ascii="Calibri" w:hAnsi="Calibri" w:cs="Calibri"/>
                <w:b/>
                <w:color w:val="auto"/>
                <w:sz w:val="16"/>
                <w:szCs w:val="16"/>
              </w:rPr>
            </w:pPr>
            <w:r w:rsidRPr="009979BF">
              <w:rPr>
                <w:rFonts w:ascii="Calibri" w:hAnsi="Calibri" w:cstheme="minorHAnsi"/>
                <w:b/>
                <w:color w:val="auto"/>
                <w:sz w:val="16"/>
                <w:szCs w:val="16"/>
              </w:rPr>
              <w:t>n (%)</w:t>
            </w:r>
          </w:p>
        </w:tc>
        <w:tc>
          <w:tcPr>
            <w:tcW w:w="829" w:type="pct"/>
            <w:shd w:val="clear" w:color="auto" w:fill="auto"/>
            <w:noWrap/>
            <w:vAlign w:val="center"/>
            <w:hideMark/>
          </w:tcPr>
          <w:p w14:paraId="762B5D23" w14:textId="77777777" w:rsidR="00FE2D87" w:rsidRPr="009979BF" w:rsidRDefault="00FE2D87" w:rsidP="00FE2D87">
            <w:pPr>
              <w:jc w:val="center"/>
              <w:rPr>
                <w:rFonts w:ascii="Calibri" w:hAnsi="Calibri" w:cstheme="minorHAnsi"/>
                <w:b/>
                <w:color w:val="auto"/>
                <w:sz w:val="16"/>
                <w:szCs w:val="16"/>
              </w:rPr>
            </w:pPr>
            <w:r w:rsidRPr="009979BF">
              <w:rPr>
                <w:rFonts w:ascii="Calibri" w:hAnsi="Calibri" w:cstheme="minorHAnsi"/>
                <w:b/>
                <w:color w:val="auto"/>
                <w:sz w:val="16"/>
                <w:szCs w:val="16"/>
              </w:rPr>
              <w:t>NG</w:t>
            </w:r>
          </w:p>
          <w:p w14:paraId="78A0FA34" w14:textId="77777777" w:rsidR="00FE2D87" w:rsidRPr="009979BF" w:rsidRDefault="00FE2D87" w:rsidP="00FE2D87">
            <w:pPr>
              <w:jc w:val="center"/>
              <w:rPr>
                <w:rFonts w:ascii="Calibri" w:hAnsi="Calibri" w:cs="Calibri"/>
                <w:b/>
                <w:color w:val="auto"/>
                <w:sz w:val="16"/>
                <w:szCs w:val="16"/>
              </w:rPr>
            </w:pPr>
            <w:r w:rsidRPr="009979BF">
              <w:rPr>
                <w:rFonts w:ascii="Calibri" w:hAnsi="Calibri" w:cstheme="minorHAnsi"/>
                <w:b/>
                <w:color w:val="auto"/>
                <w:sz w:val="16"/>
                <w:szCs w:val="16"/>
              </w:rPr>
              <w:t>n (%)</w:t>
            </w:r>
          </w:p>
        </w:tc>
        <w:tc>
          <w:tcPr>
            <w:tcW w:w="506" w:type="pct"/>
            <w:shd w:val="clear" w:color="auto" w:fill="auto"/>
            <w:noWrap/>
            <w:vAlign w:val="center"/>
            <w:hideMark/>
          </w:tcPr>
          <w:p w14:paraId="52AB8BB5" w14:textId="77777777" w:rsidR="00FE2D87" w:rsidRPr="009979BF" w:rsidRDefault="00FE2D87" w:rsidP="00FE2D87">
            <w:pPr>
              <w:jc w:val="center"/>
              <w:rPr>
                <w:rFonts w:ascii="Calibri" w:hAnsi="Calibri" w:cstheme="minorHAnsi"/>
                <w:b/>
                <w:color w:val="auto"/>
                <w:sz w:val="16"/>
                <w:szCs w:val="16"/>
              </w:rPr>
            </w:pPr>
            <w:r w:rsidRPr="009979BF">
              <w:rPr>
                <w:rFonts w:ascii="Calibri" w:hAnsi="Calibri" w:cstheme="minorHAnsi"/>
                <w:b/>
                <w:color w:val="auto"/>
                <w:sz w:val="16"/>
                <w:szCs w:val="16"/>
              </w:rPr>
              <w:t>NSGI</w:t>
            </w:r>
          </w:p>
          <w:p w14:paraId="1A1B9179"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b/>
                <w:color w:val="auto"/>
                <w:sz w:val="16"/>
                <w:szCs w:val="16"/>
              </w:rPr>
              <w:t>n (%)</w:t>
            </w:r>
          </w:p>
        </w:tc>
        <w:tc>
          <w:tcPr>
            <w:tcW w:w="838" w:type="pct"/>
            <w:shd w:val="clear" w:color="auto" w:fill="auto"/>
            <w:noWrap/>
            <w:vAlign w:val="center"/>
            <w:hideMark/>
          </w:tcPr>
          <w:p w14:paraId="2EA885F5" w14:textId="77777777" w:rsidR="00FE2D87" w:rsidRPr="009979BF" w:rsidRDefault="00FE2D87" w:rsidP="00FE2D87">
            <w:pPr>
              <w:jc w:val="center"/>
              <w:rPr>
                <w:rFonts w:ascii="Calibri" w:hAnsi="Calibri" w:cstheme="minorHAnsi"/>
                <w:b/>
                <w:color w:val="auto"/>
                <w:sz w:val="16"/>
                <w:szCs w:val="16"/>
              </w:rPr>
            </w:pPr>
            <w:r w:rsidRPr="009979BF">
              <w:rPr>
                <w:rFonts w:ascii="Calibri" w:hAnsi="Calibri" w:cstheme="minorHAnsi"/>
                <w:b/>
                <w:color w:val="auto"/>
                <w:sz w:val="16"/>
                <w:szCs w:val="16"/>
              </w:rPr>
              <w:t>NAD</w:t>
            </w:r>
          </w:p>
          <w:p w14:paraId="1227C7EC" w14:textId="77777777" w:rsidR="00FE2D87" w:rsidRPr="009979BF" w:rsidRDefault="00FE2D87" w:rsidP="00FE2D87">
            <w:pPr>
              <w:jc w:val="center"/>
              <w:rPr>
                <w:rFonts w:ascii="Calibri" w:hAnsi="Calibri" w:cs="Calibri"/>
                <w:b/>
                <w:color w:val="auto"/>
                <w:sz w:val="16"/>
                <w:szCs w:val="16"/>
              </w:rPr>
            </w:pPr>
            <w:r w:rsidRPr="009979BF">
              <w:rPr>
                <w:rFonts w:ascii="Calibri" w:hAnsi="Calibri" w:cstheme="minorHAnsi"/>
                <w:b/>
                <w:color w:val="auto"/>
                <w:sz w:val="16"/>
                <w:szCs w:val="16"/>
              </w:rPr>
              <w:t>n (%)</w:t>
            </w:r>
          </w:p>
        </w:tc>
        <w:tc>
          <w:tcPr>
            <w:tcW w:w="593" w:type="pct"/>
            <w:shd w:val="clear" w:color="auto" w:fill="auto"/>
            <w:vAlign w:val="center"/>
            <w:hideMark/>
          </w:tcPr>
          <w:p w14:paraId="1B2D59E4" w14:textId="77777777" w:rsidR="00FE2D87" w:rsidRPr="009979BF" w:rsidRDefault="00FE2D87" w:rsidP="00FE2D87">
            <w:pPr>
              <w:jc w:val="center"/>
              <w:rPr>
                <w:rFonts w:ascii="Calibri" w:hAnsi="Calibri" w:cstheme="minorHAnsi"/>
                <w:b/>
                <w:color w:val="auto"/>
                <w:sz w:val="16"/>
                <w:szCs w:val="16"/>
              </w:rPr>
            </w:pPr>
            <w:r w:rsidRPr="009979BF">
              <w:rPr>
                <w:rFonts w:ascii="Calibri" w:hAnsi="Calibri" w:cstheme="minorHAnsi"/>
                <w:b/>
                <w:color w:val="auto"/>
                <w:sz w:val="16"/>
                <w:szCs w:val="16"/>
              </w:rPr>
              <w:t>Total</w:t>
            </w:r>
          </w:p>
          <w:p w14:paraId="35DE394D" w14:textId="77777777" w:rsidR="00FE2D87" w:rsidRPr="009979BF" w:rsidRDefault="00FE2D87" w:rsidP="00FE2D87">
            <w:pPr>
              <w:jc w:val="center"/>
              <w:rPr>
                <w:rFonts w:ascii="Calibri" w:hAnsi="Calibri" w:cs="Calibri"/>
                <w:b/>
                <w:color w:val="auto"/>
                <w:sz w:val="16"/>
                <w:szCs w:val="16"/>
              </w:rPr>
            </w:pPr>
            <w:r w:rsidRPr="009979BF">
              <w:rPr>
                <w:rFonts w:ascii="Calibri" w:hAnsi="Calibri" w:cstheme="minorHAnsi"/>
                <w:b/>
                <w:color w:val="auto"/>
                <w:sz w:val="16"/>
                <w:szCs w:val="16"/>
              </w:rPr>
              <w:t>n</w:t>
            </w:r>
          </w:p>
        </w:tc>
      </w:tr>
      <w:tr w:rsidR="00FE2D87" w:rsidRPr="009979BF" w14:paraId="20CB6267" w14:textId="77777777" w:rsidTr="00FE2D87">
        <w:trPr>
          <w:trHeight w:val="315"/>
        </w:trPr>
        <w:tc>
          <w:tcPr>
            <w:tcW w:w="1405" w:type="pct"/>
            <w:shd w:val="clear" w:color="auto" w:fill="auto"/>
            <w:noWrap/>
            <w:vAlign w:val="center"/>
            <w:hideMark/>
          </w:tcPr>
          <w:p w14:paraId="705E825E"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theme="minorHAnsi"/>
                <w:b/>
                <w:bCs/>
                <w:color w:val="auto"/>
                <w:sz w:val="16"/>
                <w:szCs w:val="16"/>
              </w:rPr>
              <w:t>Age</w:t>
            </w:r>
          </w:p>
        </w:tc>
        <w:tc>
          <w:tcPr>
            <w:tcW w:w="829" w:type="pct"/>
            <w:shd w:val="clear" w:color="auto" w:fill="auto"/>
            <w:noWrap/>
            <w:vAlign w:val="center"/>
            <w:hideMark/>
          </w:tcPr>
          <w:p w14:paraId="74BC3C58"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Calibri"/>
                <w:b/>
                <w:bCs/>
                <w:color w:val="auto"/>
                <w:sz w:val="16"/>
                <w:szCs w:val="16"/>
              </w:rPr>
              <w:t> </w:t>
            </w:r>
          </w:p>
        </w:tc>
        <w:tc>
          <w:tcPr>
            <w:tcW w:w="829" w:type="pct"/>
            <w:shd w:val="clear" w:color="auto" w:fill="auto"/>
            <w:noWrap/>
            <w:vAlign w:val="center"/>
            <w:hideMark/>
          </w:tcPr>
          <w:p w14:paraId="7463E0E5"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Calibri"/>
                <w:b/>
                <w:bCs/>
                <w:color w:val="auto"/>
                <w:sz w:val="16"/>
                <w:szCs w:val="16"/>
              </w:rPr>
              <w:t> </w:t>
            </w:r>
          </w:p>
        </w:tc>
        <w:tc>
          <w:tcPr>
            <w:tcW w:w="506" w:type="pct"/>
            <w:shd w:val="clear" w:color="auto" w:fill="auto"/>
            <w:noWrap/>
            <w:vAlign w:val="center"/>
            <w:hideMark/>
          </w:tcPr>
          <w:p w14:paraId="36B7A4CF"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Calibri"/>
                <w:b/>
                <w:bCs/>
                <w:color w:val="auto"/>
                <w:sz w:val="16"/>
                <w:szCs w:val="16"/>
              </w:rPr>
              <w:t> </w:t>
            </w:r>
          </w:p>
        </w:tc>
        <w:tc>
          <w:tcPr>
            <w:tcW w:w="838" w:type="pct"/>
            <w:shd w:val="clear" w:color="auto" w:fill="auto"/>
            <w:noWrap/>
            <w:vAlign w:val="center"/>
            <w:hideMark/>
          </w:tcPr>
          <w:p w14:paraId="3E3A572A"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Calibri"/>
                <w:b/>
                <w:bCs/>
                <w:color w:val="auto"/>
                <w:sz w:val="16"/>
                <w:szCs w:val="16"/>
              </w:rPr>
              <w:t> </w:t>
            </w:r>
          </w:p>
        </w:tc>
        <w:tc>
          <w:tcPr>
            <w:tcW w:w="593" w:type="pct"/>
            <w:shd w:val="clear" w:color="auto" w:fill="auto"/>
            <w:noWrap/>
            <w:vAlign w:val="bottom"/>
            <w:hideMark/>
          </w:tcPr>
          <w:p w14:paraId="5F2EC86A" w14:textId="77777777" w:rsidR="00FE2D87" w:rsidRPr="009979BF" w:rsidRDefault="00FE2D87" w:rsidP="00FE2D87">
            <w:pPr>
              <w:rPr>
                <w:rFonts w:ascii="Calibri" w:hAnsi="Calibri" w:cs="Calibri"/>
                <w:color w:val="auto"/>
              </w:rPr>
            </w:pPr>
          </w:p>
        </w:tc>
      </w:tr>
      <w:tr w:rsidR="00FE2D87" w:rsidRPr="009979BF" w14:paraId="0AC5B99A" w14:textId="77777777" w:rsidTr="00FE2D87">
        <w:trPr>
          <w:trHeight w:val="315"/>
        </w:trPr>
        <w:tc>
          <w:tcPr>
            <w:tcW w:w="1405" w:type="pct"/>
            <w:shd w:val="clear" w:color="auto" w:fill="auto"/>
            <w:noWrap/>
            <w:vAlign w:val="center"/>
            <w:hideMark/>
          </w:tcPr>
          <w:p w14:paraId="358ABF5E"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&lt;24</w:t>
            </w:r>
          </w:p>
        </w:tc>
        <w:tc>
          <w:tcPr>
            <w:tcW w:w="829" w:type="pct"/>
            <w:shd w:val="clear" w:color="auto" w:fill="auto"/>
            <w:noWrap/>
            <w:vAlign w:val="center"/>
            <w:hideMark/>
          </w:tcPr>
          <w:p w14:paraId="26DC4A99"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5 (71.43%)</w:t>
            </w:r>
          </w:p>
        </w:tc>
        <w:tc>
          <w:tcPr>
            <w:tcW w:w="829" w:type="pct"/>
            <w:shd w:val="clear" w:color="auto" w:fill="auto"/>
            <w:noWrap/>
            <w:vAlign w:val="center"/>
            <w:hideMark/>
          </w:tcPr>
          <w:p w14:paraId="6C269410"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1 (50%)</w:t>
            </w:r>
          </w:p>
        </w:tc>
        <w:tc>
          <w:tcPr>
            <w:tcW w:w="506" w:type="pct"/>
            <w:shd w:val="clear" w:color="auto" w:fill="auto"/>
            <w:noWrap/>
            <w:vAlign w:val="center"/>
            <w:hideMark/>
          </w:tcPr>
          <w:p w14:paraId="1F0B2AC4"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5 (21.74%)</w:t>
            </w:r>
          </w:p>
        </w:tc>
        <w:tc>
          <w:tcPr>
            <w:tcW w:w="838" w:type="pct"/>
            <w:shd w:val="clear" w:color="auto" w:fill="auto"/>
            <w:noWrap/>
            <w:vAlign w:val="center"/>
            <w:hideMark/>
          </w:tcPr>
          <w:p w14:paraId="0A746BE9"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3 (21.43%)</w:t>
            </w:r>
          </w:p>
        </w:tc>
        <w:tc>
          <w:tcPr>
            <w:tcW w:w="593" w:type="pct"/>
            <w:shd w:val="clear" w:color="auto" w:fill="auto"/>
            <w:vAlign w:val="center"/>
            <w:hideMark/>
          </w:tcPr>
          <w:p w14:paraId="2F5C80CB"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14</w:t>
            </w:r>
          </w:p>
        </w:tc>
      </w:tr>
      <w:tr w:rsidR="00FE2D87" w:rsidRPr="009979BF" w14:paraId="2B569904" w14:textId="77777777" w:rsidTr="00FE2D87">
        <w:trPr>
          <w:trHeight w:val="315"/>
        </w:trPr>
        <w:tc>
          <w:tcPr>
            <w:tcW w:w="1405" w:type="pct"/>
            <w:shd w:val="clear" w:color="auto" w:fill="auto"/>
            <w:noWrap/>
            <w:vAlign w:val="center"/>
            <w:hideMark/>
          </w:tcPr>
          <w:p w14:paraId="5E6DF1DB"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25-35</w:t>
            </w:r>
          </w:p>
        </w:tc>
        <w:tc>
          <w:tcPr>
            <w:tcW w:w="829" w:type="pct"/>
            <w:shd w:val="clear" w:color="auto" w:fill="auto"/>
            <w:noWrap/>
            <w:vAlign w:val="center"/>
            <w:hideMark/>
          </w:tcPr>
          <w:p w14:paraId="3AE43F24"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2 (28.57%)</w:t>
            </w:r>
          </w:p>
        </w:tc>
        <w:tc>
          <w:tcPr>
            <w:tcW w:w="829" w:type="pct"/>
            <w:shd w:val="clear" w:color="auto" w:fill="auto"/>
            <w:noWrap/>
            <w:vAlign w:val="center"/>
            <w:hideMark/>
          </w:tcPr>
          <w:p w14:paraId="61572716"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1 (50%)</w:t>
            </w:r>
          </w:p>
        </w:tc>
        <w:tc>
          <w:tcPr>
            <w:tcW w:w="506" w:type="pct"/>
            <w:shd w:val="clear" w:color="auto" w:fill="auto"/>
            <w:noWrap/>
            <w:vAlign w:val="center"/>
            <w:hideMark/>
          </w:tcPr>
          <w:p w14:paraId="67835D1E"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17 (73.91%)</w:t>
            </w:r>
          </w:p>
        </w:tc>
        <w:tc>
          <w:tcPr>
            <w:tcW w:w="838" w:type="pct"/>
            <w:shd w:val="clear" w:color="auto" w:fill="auto"/>
            <w:noWrap/>
            <w:vAlign w:val="center"/>
            <w:hideMark/>
          </w:tcPr>
          <w:p w14:paraId="359837D8"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8 (57.14%)</w:t>
            </w:r>
          </w:p>
        </w:tc>
        <w:tc>
          <w:tcPr>
            <w:tcW w:w="593" w:type="pct"/>
            <w:shd w:val="clear" w:color="auto" w:fill="auto"/>
            <w:vAlign w:val="center"/>
            <w:hideMark/>
          </w:tcPr>
          <w:p w14:paraId="2BA31B2F"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28</w:t>
            </w:r>
          </w:p>
        </w:tc>
      </w:tr>
      <w:tr w:rsidR="00FE2D87" w:rsidRPr="009979BF" w14:paraId="55998614" w14:textId="77777777" w:rsidTr="00FE2D87">
        <w:trPr>
          <w:trHeight w:val="315"/>
        </w:trPr>
        <w:tc>
          <w:tcPr>
            <w:tcW w:w="1405" w:type="pct"/>
            <w:shd w:val="clear" w:color="auto" w:fill="auto"/>
            <w:noWrap/>
            <w:vAlign w:val="center"/>
            <w:hideMark/>
          </w:tcPr>
          <w:p w14:paraId="3438F81C"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&gt;35</w:t>
            </w:r>
          </w:p>
        </w:tc>
        <w:tc>
          <w:tcPr>
            <w:tcW w:w="829" w:type="pct"/>
            <w:shd w:val="clear" w:color="auto" w:fill="auto"/>
            <w:noWrap/>
            <w:vAlign w:val="center"/>
            <w:hideMark/>
          </w:tcPr>
          <w:p w14:paraId="089312DB"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0 (0%)</w:t>
            </w:r>
          </w:p>
        </w:tc>
        <w:tc>
          <w:tcPr>
            <w:tcW w:w="829" w:type="pct"/>
            <w:shd w:val="clear" w:color="auto" w:fill="auto"/>
            <w:noWrap/>
            <w:vAlign w:val="center"/>
            <w:hideMark/>
          </w:tcPr>
          <w:p w14:paraId="0D471661"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0 (0%)</w:t>
            </w:r>
          </w:p>
        </w:tc>
        <w:tc>
          <w:tcPr>
            <w:tcW w:w="506" w:type="pct"/>
            <w:shd w:val="clear" w:color="auto" w:fill="auto"/>
            <w:noWrap/>
            <w:vAlign w:val="center"/>
            <w:hideMark/>
          </w:tcPr>
          <w:p w14:paraId="7B325144"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1 (4.35%)</w:t>
            </w:r>
          </w:p>
        </w:tc>
        <w:tc>
          <w:tcPr>
            <w:tcW w:w="838" w:type="pct"/>
            <w:shd w:val="clear" w:color="auto" w:fill="auto"/>
            <w:noWrap/>
            <w:vAlign w:val="center"/>
            <w:hideMark/>
          </w:tcPr>
          <w:p w14:paraId="54648939"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3 (21.43%)</w:t>
            </w:r>
          </w:p>
        </w:tc>
        <w:tc>
          <w:tcPr>
            <w:tcW w:w="593" w:type="pct"/>
            <w:shd w:val="clear" w:color="auto" w:fill="auto"/>
            <w:vAlign w:val="center"/>
            <w:hideMark/>
          </w:tcPr>
          <w:p w14:paraId="2FF142B9"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4</w:t>
            </w:r>
          </w:p>
        </w:tc>
      </w:tr>
      <w:tr w:rsidR="00FE2D87" w:rsidRPr="009979BF" w14:paraId="6F5DA18A" w14:textId="77777777" w:rsidTr="00FE2D87">
        <w:trPr>
          <w:trHeight w:val="315"/>
        </w:trPr>
        <w:tc>
          <w:tcPr>
            <w:tcW w:w="1405" w:type="pct"/>
            <w:shd w:val="clear" w:color="auto" w:fill="auto"/>
            <w:noWrap/>
            <w:vAlign w:val="center"/>
            <w:hideMark/>
          </w:tcPr>
          <w:p w14:paraId="7DB9830E"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theme="minorHAnsi"/>
                <w:b/>
                <w:bCs/>
                <w:color w:val="auto"/>
                <w:sz w:val="16"/>
                <w:szCs w:val="16"/>
              </w:rPr>
              <w:t>Ethnicity</w:t>
            </w:r>
          </w:p>
        </w:tc>
        <w:tc>
          <w:tcPr>
            <w:tcW w:w="829" w:type="pct"/>
            <w:shd w:val="clear" w:color="auto" w:fill="auto"/>
            <w:noWrap/>
            <w:vAlign w:val="center"/>
            <w:hideMark/>
          </w:tcPr>
          <w:p w14:paraId="50E5AF77"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Calibri"/>
                <w:b/>
                <w:bCs/>
                <w:color w:val="auto"/>
                <w:sz w:val="16"/>
                <w:szCs w:val="16"/>
              </w:rPr>
              <w:t> </w:t>
            </w:r>
          </w:p>
        </w:tc>
        <w:tc>
          <w:tcPr>
            <w:tcW w:w="829" w:type="pct"/>
            <w:shd w:val="clear" w:color="auto" w:fill="auto"/>
            <w:noWrap/>
            <w:vAlign w:val="center"/>
            <w:hideMark/>
          </w:tcPr>
          <w:p w14:paraId="168939FB"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Calibri"/>
                <w:b/>
                <w:bCs/>
                <w:color w:val="auto"/>
                <w:sz w:val="16"/>
                <w:szCs w:val="16"/>
              </w:rPr>
              <w:t> </w:t>
            </w:r>
          </w:p>
        </w:tc>
        <w:tc>
          <w:tcPr>
            <w:tcW w:w="506" w:type="pct"/>
            <w:shd w:val="clear" w:color="auto" w:fill="auto"/>
            <w:noWrap/>
            <w:vAlign w:val="center"/>
            <w:hideMark/>
          </w:tcPr>
          <w:p w14:paraId="29820C2E"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Calibri"/>
                <w:b/>
                <w:bCs/>
                <w:color w:val="auto"/>
                <w:sz w:val="16"/>
                <w:szCs w:val="16"/>
              </w:rPr>
              <w:t> </w:t>
            </w:r>
          </w:p>
        </w:tc>
        <w:tc>
          <w:tcPr>
            <w:tcW w:w="838" w:type="pct"/>
            <w:shd w:val="clear" w:color="auto" w:fill="auto"/>
            <w:noWrap/>
            <w:vAlign w:val="center"/>
            <w:hideMark/>
          </w:tcPr>
          <w:p w14:paraId="7D1A0AD0"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Calibri"/>
                <w:b/>
                <w:bCs/>
                <w:color w:val="auto"/>
                <w:sz w:val="16"/>
                <w:szCs w:val="16"/>
              </w:rPr>
              <w:t> </w:t>
            </w:r>
          </w:p>
        </w:tc>
        <w:tc>
          <w:tcPr>
            <w:tcW w:w="593" w:type="pct"/>
            <w:shd w:val="clear" w:color="auto" w:fill="auto"/>
            <w:vAlign w:val="center"/>
            <w:hideMark/>
          </w:tcPr>
          <w:p w14:paraId="6B1DC00D"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theme="minorHAnsi"/>
                <w:b/>
                <w:bCs/>
                <w:color w:val="auto"/>
                <w:sz w:val="16"/>
                <w:szCs w:val="16"/>
              </w:rPr>
              <w:t> </w:t>
            </w:r>
          </w:p>
        </w:tc>
      </w:tr>
      <w:tr w:rsidR="00FE2D87" w:rsidRPr="009979BF" w14:paraId="163E221F" w14:textId="77777777" w:rsidTr="00FE2D87">
        <w:trPr>
          <w:trHeight w:val="315"/>
        </w:trPr>
        <w:tc>
          <w:tcPr>
            <w:tcW w:w="1405" w:type="pct"/>
            <w:shd w:val="clear" w:color="auto" w:fill="auto"/>
            <w:noWrap/>
            <w:vAlign w:val="center"/>
            <w:hideMark/>
          </w:tcPr>
          <w:p w14:paraId="760B1DD8"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White</w:t>
            </w:r>
          </w:p>
        </w:tc>
        <w:tc>
          <w:tcPr>
            <w:tcW w:w="829" w:type="pct"/>
            <w:shd w:val="clear" w:color="auto" w:fill="auto"/>
            <w:noWrap/>
            <w:vAlign w:val="center"/>
            <w:hideMark/>
          </w:tcPr>
          <w:p w14:paraId="2384EB45"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5 (71.43%)</w:t>
            </w:r>
          </w:p>
        </w:tc>
        <w:tc>
          <w:tcPr>
            <w:tcW w:w="829" w:type="pct"/>
            <w:shd w:val="clear" w:color="auto" w:fill="auto"/>
            <w:noWrap/>
            <w:vAlign w:val="center"/>
            <w:hideMark/>
          </w:tcPr>
          <w:p w14:paraId="3D427D06"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0 (0%)</w:t>
            </w:r>
          </w:p>
        </w:tc>
        <w:tc>
          <w:tcPr>
            <w:tcW w:w="506" w:type="pct"/>
            <w:shd w:val="clear" w:color="auto" w:fill="auto"/>
            <w:noWrap/>
            <w:vAlign w:val="center"/>
            <w:hideMark/>
          </w:tcPr>
          <w:p w14:paraId="3AC3298B"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10 (43.48%)</w:t>
            </w:r>
          </w:p>
        </w:tc>
        <w:tc>
          <w:tcPr>
            <w:tcW w:w="838" w:type="pct"/>
            <w:shd w:val="clear" w:color="auto" w:fill="auto"/>
            <w:noWrap/>
            <w:vAlign w:val="center"/>
            <w:hideMark/>
          </w:tcPr>
          <w:p w14:paraId="6C1D9595"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6 (42.86%)</w:t>
            </w:r>
          </w:p>
        </w:tc>
        <w:tc>
          <w:tcPr>
            <w:tcW w:w="593" w:type="pct"/>
            <w:shd w:val="clear" w:color="auto" w:fill="auto"/>
            <w:vAlign w:val="center"/>
            <w:hideMark/>
          </w:tcPr>
          <w:p w14:paraId="46005809"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21</w:t>
            </w:r>
          </w:p>
        </w:tc>
      </w:tr>
      <w:tr w:rsidR="00FE2D87" w:rsidRPr="009979BF" w14:paraId="36FE4BEE" w14:textId="77777777" w:rsidTr="00FE2D87">
        <w:trPr>
          <w:trHeight w:val="315"/>
        </w:trPr>
        <w:tc>
          <w:tcPr>
            <w:tcW w:w="1405" w:type="pct"/>
            <w:shd w:val="clear" w:color="auto" w:fill="auto"/>
            <w:noWrap/>
            <w:vAlign w:val="center"/>
            <w:hideMark/>
          </w:tcPr>
          <w:p w14:paraId="68AFB25C"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Asian</w:t>
            </w:r>
          </w:p>
        </w:tc>
        <w:tc>
          <w:tcPr>
            <w:tcW w:w="829" w:type="pct"/>
            <w:shd w:val="clear" w:color="auto" w:fill="auto"/>
            <w:noWrap/>
            <w:vAlign w:val="center"/>
            <w:hideMark/>
          </w:tcPr>
          <w:p w14:paraId="375A6EFB"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0 (0%)</w:t>
            </w:r>
          </w:p>
        </w:tc>
        <w:tc>
          <w:tcPr>
            <w:tcW w:w="829" w:type="pct"/>
            <w:shd w:val="clear" w:color="auto" w:fill="auto"/>
            <w:noWrap/>
            <w:vAlign w:val="center"/>
            <w:hideMark/>
          </w:tcPr>
          <w:p w14:paraId="23605AD1"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1 (50%)</w:t>
            </w:r>
          </w:p>
        </w:tc>
        <w:tc>
          <w:tcPr>
            <w:tcW w:w="506" w:type="pct"/>
            <w:shd w:val="clear" w:color="auto" w:fill="auto"/>
            <w:noWrap/>
            <w:vAlign w:val="center"/>
            <w:hideMark/>
          </w:tcPr>
          <w:p w14:paraId="4288D047"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2 (8.7%)</w:t>
            </w:r>
          </w:p>
        </w:tc>
        <w:tc>
          <w:tcPr>
            <w:tcW w:w="838" w:type="pct"/>
            <w:shd w:val="clear" w:color="auto" w:fill="auto"/>
            <w:noWrap/>
            <w:vAlign w:val="center"/>
            <w:hideMark/>
          </w:tcPr>
          <w:p w14:paraId="15AB1128"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2 (14.29%)</w:t>
            </w:r>
          </w:p>
        </w:tc>
        <w:tc>
          <w:tcPr>
            <w:tcW w:w="593" w:type="pct"/>
            <w:shd w:val="clear" w:color="auto" w:fill="auto"/>
            <w:vAlign w:val="center"/>
            <w:hideMark/>
          </w:tcPr>
          <w:p w14:paraId="5EBDEB72"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5</w:t>
            </w:r>
          </w:p>
        </w:tc>
      </w:tr>
      <w:tr w:rsidR="00FE2D87" w:rsidRPr="009979BF" w14:paraId="498CB745" w14:textId="77777777" w:rsidTr="00FE2D87">
        <w:trPr>
          <w:trHeight w:val="315"/>
        </w:trPr>
        <w:tc>
          <w:tcPr>
            <w:tcW w:w="1405" w:type="pct"/>
            <w:shd w:val="clear" w:color="auto" w:fill="auto"/>
            <w:noWrap/>
            <w:vAlign w:val="center"/>
            <w:hideMark/>
          </w:tcPr>
          <w:p w14:paraId="54B3C94B"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Black</w:t>
            </w:r>
          </w:p>
        </w:tc>
        <w:tc>
          <w:tcPr>
            <w:tcW w:w="829" w:type="pct"/>
            <w:shd w:val="clear" w:color="auto" w:fill="auto"/>
            <w:noWrap/>
            <w:vAlign w:val="center"/>
            <w:hideMark/>
          </w:tcPr>
          <w:p w14:paraId="103E284D"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1 (14.29%)</w:t>
            </w:r>
          </w:p>
        </w:tc>
        <w:tc>
          <w:tcPr>
            <w:tcW w:w="829" w:type="pct"/>
            <w:shd w:val="clear" w:color="auto" w:fill="auto"/>
            <w:noWrap/>
            <w:vAlign w:val="center"/>
            <w:hideMark/>
          </w:tcPr>
          <w:p w14:paraId="3B9CD496"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1 (50%)</w:t>
            </w:r>
          </w:p>
        </w:tc>
        <w:tc>
          <w:tcPr>
            <w:tcW w:w="506" w:type="pct"/>
            <w:shd w:val="clear" w:color="auto" w:fill="auto"/>
            <w:noWrap/>
            <w:vAlign w:val="center"/>
            <w:hideMark/>
          </w:tcPr>
          <w:p w14:paraId="0A944454"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10 (43.48%)</w:t>
            </w:r>
          </w:p>
        </w:tc>
        <w:tc>
          <w:tcPr>
            <w:tcW w:w="838" w:type="pct"/>
            <w:shd w:val="clear" w:color="auto" w:fill="auto"/>
            <w:noWrap/>
            <w:vAlign w:val="center"/>
            <w:hideMark/>
          </w:tcPr>
          <w:p w14:paraId="750E0914"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2 (14.29%)</w:t>
            </w:r>
          </w:p>
        </w:tc>
        <w:tc>
          <w:tcPr>
            <w:tcW w:w="593" w:type="pct"/>
            <w:shd w:val="clear" w:color="auto" w:fill="auto"/>
            <w:vAlign w:val="center"/>
            <w:hideMark/>
          </w:tcPr>
          <w:p w14:paraId="367F37CE"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14</w:t>
            </w:r>
          </w:p>
        </w:tc>
      </w:tr>
      <w:tr w:rsidR="00FE2D87" w:rsidRPr="009979BF" w14:paraId="6C5DB9E7" w14:textId="77777777" w:rsidTr="00FE2D87">
        <w:trPr>
          <w:trHeight w:val="315"/>
        </w:trPr>
        <w:tc>
          <w:tcPr>
            <w:tcW w:w="1405" w:type="pct"/>
            <w:shd w:val="clear" w:color="auto" w:fill="auto"/>
            <w:noWrap/>
            <w:vAlign w:val="center"/>
            <w:hideMark/>
          </w:tcPr>
          <w:p w14:paraId="365FBF50"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Other</w:t>
            </w:r>
          </w:p>
        </w:tc>
        <w:tc>
          <w:tcPr>
            <w:tcW w:w="829" w:type="pct"/>
            <w:shd w:val="clear" w:color="auto" w:fill="auto"/>
            <w:noWrap/>
            <w:vAlign w:val="center"/>
            <w:hideMark/>
          </w:tcPr>
          <w:p w14:paraId="123B3376"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1 (14.29%)</w:t>
            </w:r>
          </w:p>
        </w:tc>
        <w:tc>
          <w:tcPr>
            <w:tcW w:w="829" w:type="pct"/>
            <w:shd w:val="clear" w:color="auto" w:fill="auto"/>
            <w:noWrap/>
            <w:vAlign w:val="center"/>
            <w:hideMark/>
          </w:tcPr>
          <w:p w14:paraId="0431EFB7"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0 (0%)</w:t>
            </w:r>
          </w:p>
        </w:tc>
        <w:tc>
          <w:tcPr>
            <w:tcW w:w="506" w:type="pct"/>
            <w:shd w:val="clear" w:color="auto" w:fill="auto"/>
            <w:noWrap/>
            <w:vAlign w:val="center"/>
            <w:hideMark/>
          </w:tcPr>
          <w:p w14:paraId="0AC5FBA7"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1 (4.35%)</w:t>
            </w:r>
          </w:p>
        </w:tc>
        <w:tc>
          <w:tcPr>
            <w:tcW w:w="838" w:type="pct"/>
            <w:shd w:val="clear" w:color="auto" w:fill="auto"/>
            <w:noWrap/>
            <w:vAlign w:val="center"/>
            <w:hideMark/>
          </w:tcPr>
          <w:p w14:paraId="6853E3AC"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3 (21.43%)</w:t>
            </w:r>
          </w:p>
        </w:tc>
        <w:tc>
          <w:tcPr>
            <w:tcW w:w="593" w:type="pct"/>
            <w:shd w:val="clear" w:color="auto" w:fill="auto"/>
            <w:vAlign w:val="center"/>
            <w:hideMark/>
          </w:tcPr>
          <w:p w14:paraId="75522B8D"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5</w:t>
            </w:r>
          </w:p>
        </w:tc>
      </w:tr>
      <w:tr w:rsidR="00FE2D87" w:rsidRPr="009979BF" w14:paraId="1D9517F2" w14:textId="77777777" w:rsidTr="00FE2D87">
        <w:trPr>
          <w:trHeight w:val="315"/>
        </w:trPr>
        <w:tc>
          <w:tcPr>
            <w:tcW w:w="1405" w:type="pct"/>
            <w:shd w:val="clear" w:color="auto" w:fill="auto"/>
            <w:noWrap/>
            <w:vAlign w:val="center"/>
            <w:hideMark/>
          </w:tcPr>
          <w:p w14:paraId="62B1D285"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Prefer not to say</w:t>
            </w:r>
          </w:p>
        </w:tc>
        <w:tc>
          <w:tcPr>
            <w:tcW w:w="829" w:type="pct"/>
            <w:shd w:val="clear" w:color="auto" w:fill="auto"/>
            <w:noWrap/>
            <w:vAlign w:val="center"/>
            <w:hideMark/>
          </w:tcPr>
          <w:p w14:paraId="5AE61F0B"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0 (0%)</w:t>
            </w:r>
          </w:p>
        </w:tc>
        <w:tc>
          <w:tcPr>
            <w:tcW w:w="829" w:type="pct"/>
            <w:shd w:val="clear" w:color="auto" w:fill="auto"/>
            <w:noWrap/>
            <w:vAlign w:val="center"/>
            <w:hideMark/>
          </w:tcPr>
          <w:p w14:paraId="4941C3F5"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0 (0%)</w:t>
            </w:r>
          </w:p>
        </w:tc>
        <w:tc>
          <w:tcPr>
            <w:tcW w:w="506" w:type="pct"/>
            <w:shd w:val="clear" w:color="auto" w:fill="auto"/>
            <w:noWrap/>
            <w:vAlign w:val="center"/>
            <w:hideMark/>
          </w:tcPr>
          <w:p w14:paraId="7B077B79"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0 (0%)</w:t>
            </w:r>
          </w:p>
        </w:tc>
        <w:tc>
          <w:tcPr>
            <w:tcW w:w="838" w:type="pct"/>
            <w:shd w:val="clear" w:color="auto" w:fill="auto"/>
            <w:noWrap/>
            <w:vAlign w:val="center"/>
            <w:hideMark/>
          </w:tcPr>
          <w:p w14:paraId="6918B941"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1 (7.14%)</w:t>
            </w:r>
          </w:p>
        </w:tc>
        <w:tc>
          <w:tcPr>
            <w:tcW w:w="593" w:type="pct"/>
            <w:shd w:val="clear" w:color="auto" w:fill="auto"/>
            <w:vAlign w:val="center"/>
            <w:hideMark/>
          </w:tcPr>
          <w:p w14:paraId="7487ECD2"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1</w:t>
            </w:r>
          </w:p>
        </w:tc>
      </w:tr>
      <w:tr w:rsidR="00FE2D87" w:rsidRPr="009979BF" w14:paraId="0C773117" w14:textId="77777777" w:rsidTr="00FE2D87">
        <w:trPr>
          <w:trHeight w:val="315"/>
        </w:trPr>
        <w:tc>
          <w:tcPr>
            <w:tcW w:w="1405" w:type="pct"/>
            <w:shd w:val="clear" w:color="auto" w:fill="auto"/>
            <w:noWrap/>
            <w:vAlign w:val="center"/>
            <w:hideMark/>
          </w:tcPr>
          <w:p w14:paraId="7BC468DD"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theme="minorHAnsi"/>
                <w:b/>
                <w:bCs/>
                <w:color w:val="auto"/>
                <w:sz w:val="16"/>
                <w:szCs w:val="16"/>
              </w:rPr>
              <w:t>Age at leaving full-time education</w:t>
            </w:r>
          </w:p>
        </w:tc>
        <w:tc>
          <w:tcPr>
            <w:tcW w:w="829" w:type="pct"/>
            <w:shd w:val="clear" w:color="auto" w:fill="auto"/>
            <w:noWrap/>
            <w:vAlign w:val="center"/>
            <w:hideMark/>
          </w:tcPr>
          <w:p w14:paraId="38F7F134"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Calibri"/>
                <w:b/>
                <w:bCs/>
                <w:color w:val="auto"/>
                <w:sz w:val="16"/>
                <w:szCs w:val="16"/>
              </w:rPr>
              <w:t> </w:t>
            </w:r>
          </w:p>
        </w:tc>
        <w:tc>
          <w:tcPr>
            <w:tcW w:w="829" w:type="pct"/>
            <w:shd w:val="clear" w:color="auto" w:fill="auto"/>
            <w:noWrap/>
            <w:vAlign w:val="center"/>
            <w:hideMark/>
          </w:tcPr>
          <w:p w14:paraId="1AED28BE"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Calibri"/>
                <w:b/>
                <w:bCs/>
                <w:color w:val="auto"/>
                <w:sz w:val="16"/>
                <w:szCs w:val="16"/>
              </w:rPr>
              <w:t> </w:t>
            </w:r>
          </w:p>
        </w:tc>
        <w:tc>
          <w:tcPr>
            <w:tcW w:w="506" w:type="pct"/>
            <w:shd w:val="clear" w:color="auto" w:fill="auto"/>
            <w:noWrap/>
            <w:vAlign w:val="center"/>
            <w:hideMark/>
          </w:tcPr>
          <w:p w14:paraId="1740B421"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Calibri"/>
                <w:b/>
                <w:bCs/>
                <w:color w:val="auto"/>
                <w:sz w:val="16"/>
                <w:szCs w:val="16"/>
              </w:rPr>
              <w:t> </w:t>
            </w:r>
          </w:p>
        </w:tc>
        <w:tc>
          <w:tcPr>
            <w:tcW w:w="838" w:type="pct"/>
            <w:shd w:val="clear" w:color="auto" w:fill="auto"/>
            <w:noWrap/>
            <w:vAlign w:val="center"/>
            <w:hideMark/>
          </w:tcPr>
          <w:p w14:paraId="284B04D2"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Calibri"/>
                <w:b/>
                <w:bCs/>
                <w:color w:val="auto"/>
                <w:sz w:val="16"/>
                <w:szCs w:val="16"/>
              </w:rPr>
              <w:t> </w:t>
            </w:r>
          </w:p>
        </w:tc>
        <w:tc>
          <w:tcPr>
            <w:tcW w:w="593" w:type="pct"/>
            <w:shd w:val="clear" w:color="auto" w:fill="auto"/>
            <w:vAlign w:val="center"/>
            <w:hideMark/>
          </w:tcPr>
          <w:p w14:paraId="6104B3EB"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theme="minorHAnsi"/>
                <w:b/>
                <w:bCs/>
                <w:color w:val="auto"/>
                <w:sz w:val="16"/>
                <w:szCs w:val="16"/>
              </w:rPr>
              <w:t> </w:t>
            </w:r>
          </w:p>
        </w:tc>
      </w:tr>
      <w:tr w:rsidR="00FE2D87" w:rsidRPr="009979BF" w14:paraId="39822D4F" w14:textId="77777777" w:rsidTr="00FE2D87">
        <w:trPr>
          <w:trHeight w:val="315"/>
        </w:trPr>
        <w:tc>
          <w:tcPr>
            <w:tcW w:w="1405" w:type="pct"/>
            <w:shd w:val="clear" w:color="auto" w:fill="auto"/>
            <w:noWrap/>
            <w:vAlign w:val="center"/>
            <w:hideMark/>
          </w:tcPr>
          <w:p w14:paraId="53A2F65A"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16 years or less</w:t>
            </w:r>
          </w:p>
        </w:tc>
        <w:tc>
          <w:tcPr>
            <w:tcW w:w="829" w:type="pct"/>
            <w:shd w:val="clear" w:color="auto" w:fill="auto"/>
            <w:noWrap/>
            <w:vAlign w:val="center"/>
            <w:hideMark/>
          </w:tcPr>
          <w:p w14:paraId="2DD1C0F9"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0 (0%)</w:t>
            </w:r>
          </w:p>
        </w:tc>
        <w:tc>
          <w:tcPr>
            <w:tcW w:w="829" w:type="pct"/>
            <w:shd w:val="clear" w:color="auto" w:fill="auto"/>
            <w:noWrap/>
            <w:vAlign w:val="center"/>
            <w:hideMark/>
          </w:tcPr>
          <w:p w14:paraId="62E4E7F9"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0 (0%)</w:t>
            </w:r>
          </w:p>
        </w:tc>
        <w:tc>
          <w:tcPr>
            <w:tcW w:w="506" w:type="pct"/>
            <w:shd w:val="clear" w:color="auto" w:fill="auto"/>
            <w:noWrap/>
            <w:vAlign w:val="center"/>
            <w:hideMark/>
          </w:tcPr>
          <w:p w14:paraId="02A41B4B"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1 (4.35%)</w:t>
            </w:r>
          </w:p>
        </w:tc>
        <w:tc>
          <w:tcPr>
            <w:tcW w:w="838" w:type="pct"/>
            <w:shd w:val="clear" w:color="auto" w:fill="auto"/>
            <w:noWrap/>
            <w:vAlign w:val="center"/>
            <w:hideMark/>
          </w:tcPr>
          <w:p w14:paraId="6CB7CBEF"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3 (21.43%)</w:t>
            </w:r>
          </w:p>
        </w:tc>
        <w:tc>
          <w:tcPr>
            <w:tcW w:w="593" w:type="pct"/>
            <w:shd w:val="clear" w:color="auto" w:fill="auto"/>
            <w:vAlign w:val="center"/>
            <w:hideMark/>
          </w:tcPr>
          <w:p w14:paraId="621778CD"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4</w:t>
            </w:r>
          </w:p>
        </w:tc>
      </w:tr>
      <w:tr w:rsidR="00FE2D87" w:rsidRPr="009979BF" w14:paraId="6F251AA2" w14:textId="77777777" w:rsidTr="00FE2D87">
        <w:trPr>
          <w:trHeight w:val="315"/>
        </w:trPr>
        <w:tc>
          <w:tcPr>
            <w:tcW w:w="1405" w:type="pct"/>
            <w:shd w:val="clear" w:color="auto" w:fill="auto"/>
            <w:noWrap/>
            <w:vAlign w:val="center"/>
            <w:hideMark/>
          </w:tcPr>
          <w:p w14:paraId="52110B8F"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17 or 18 years</w:t>
            </w:r>
          </w:p>
        </w:tc>
        <w:tc>
          <w:tcPr>
            <w:tcW w:w="829" w:type="pct"/>
            <w:shd w:val="clear" w:color="auto" w:fill="auto"/>
            <w:noWrap/>
            <w:vAlign w:val="center"/>
            <w:hideMark/>
          </w:tcPr>
          <w:p w14:paraId="72F5614F"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0 (0%)</w:t>
            </w:r>
          </w:p>
        </w:tc>
        <w:tc>
          <w:tcPr>
            <w:tcW w:w="829" w:type="pct"/>
            <w:shd w:val="clear" w:color="auto" w:fill="auto"/>
            <w:noWrap/>
            <w:vAlign w:val="center"/>
            <w:hideMark/>
          </w:tcPr>
          <w:p w14:paraId="4AA31746"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0 (0%)</w:t>
            </w:r>
          </w:p>
        </w:tc>
        <w:tc>
          <w:tcPr>
            <w:tcW w:w="506" w:type="pct"/>
            <w:shd w:val="clear" w:color="auto" w:fill="auto"/>
            <w:noWrap/>
            <w:vAlign w:val="center"/>
            <w:hideMark/>
          </w:tcPr>
          <w:p w14:paraId="6DC0B0C5"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6 (26.09%)</w:t>
            </w:r>
          </w:p>
        </w:tc>
        <w:tc>
          <w:tcPr>
            <w:tcW w:w="838" w:type="pct"/>
            <w:shd w:val="clear" w:color="auto" w:fill="auto"/>
            <w:noWrap/>
            <w:vAlign w:val="center"/>
            <w:hideMark/>
          </w:tcPr>
          <w:p w14:paraId="144A5554"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0 (0%)</w:t>
            </w:r>
          </w:p>
        </w:tc>
        <w:tc>
          <w:tcPr>
            <w:tcW w:w="593" w:type="pct"/>
            <w:shd w:val="clear" w:color="auto" w:fill="auto"/>
            <w:vAlign w:val="center"/>
            <w:hideMark/>
          </w:tcPr>
          <w:p w14:paraId="02B83064"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6</w:t>
            </w:r>
          </w:p>
        </w:tc>
      </w:tr>
      <w:tr w:rsidR="00FE2D87" w:rsidRPr="009979BF" w14:paraId="71935F35" w14:textId="77777777" w:rsidTr="00FE2D87">
        <w:trPr>
          <w:trHeight w:val="315"/>
        </w:trPr>
        <w:tc>
          <w:tcPr>
            <w:tcW w:w="1405" w:type="pct"/>
            <w:shd w:val="clear" w:color="auto" w:fill="auto"/>
            <w:noWrap/>
            <w:vAlign w:val="center"/>
            <w:hideMark/>
          </w:tcPr>
          <w:p w14:paraId="7D7B9C6E"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19 years or over</w:t>
            </w:r>
          </w:p>
        </w:tc>
        <w:tc>
          <w:tcPr>
            <w:tcW w:w="829" w:type="pct"/>
            <w:shd w:val="clear" w:color="auto" w:fill="auto"/>
            <w:noWrap/>
            <w:vAlign w:val="center"/>
            <w:hideMark/>
          </w:tcPr>
          <w:p w14:paraId="0A2D282B"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4 (57.14%)</w:t>
            </w:r>
          </w:p>
        </w:tc>
        <w:tc>
          <w:tcPr>
            <w:tcW w:w="829" w:type="pct"/>
            <w:shd w:val="clear" w:color="auto" w:fill="auto"/>
            <w:noWrap/>
            <w:vAlign w:val="center"/>
            <w:hideMark/>
          </w:tcPr>
          <w:p w14:paraId="016AA502"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0 (0%)</w:t>
            </w:r>
          </w:p>
        </w:tc>
        <w:tc>
          <w:tcPr>
            <w:tcW w:w="506" w:type="pct"/>
            <w:shd w:val="clear" w:color="auto" w:fill="auto"/>
            <w:noWrap/>
            <w:vAlign w:val="center"/>
            <w:hideMark/>
          </w:tcPr>
          <w:p w14:paraId="7348F7B8"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14 (60.87%)</w:t>
            </w:r>
          </w:p>
        </w:tc>
        <w:tc>
          <w:tcPr>
            <w:tcW w:w="838" w:type="pct"/>
            <w:shd w:val="clear" w:color="auto" w:fill="auto"/>
            <w:noWrap/>
            <w:vAlign w:val="center"/>
            <w:hideMark/>
          </w:tcPr>
          <w:p w14:paraId="51543E50"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10 (71.43%)</w:t>
            </w:r>
          </w:p>
        </w:tc>
        <w:tc>
          <w:tcPr>
            <w:tcW w:w="593" w:type="pct"/>
            <w:shd w:val="clear" w:color="auto" w:fill="auto"/>
            <w:vAlign w:val="center"/>
            <w:hideMark/>
          </w:tcPr>
          <w:p w14:paraId="27E75ACE"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28</w:t>
            </w:r>
          </w:p>
        </w:tc>
      </w:tr>
      <w:tr w:rsidR="00FE2D87" w:rsidRPr="009979BF" w14:paraId="207B3A59" w14:textId="77777777" w:rsidTr="00FE2D87">
        <w:trPr>
          <w:trHeight w:val="315"/>
        </w:trPr>
        <w:tc>
          <w:tcPr>
            <w:tcW w:w="1405" w:type="pct"/>
            <w:shd w:val="clear" w:color="auto" w:fill="auto"/>
            <w:noWrap/>
            <w:vAlign w:val="center"/>
            <w:hideMark/>
          </w:tcPr>
          <w:p w14:paraId="3DB8744F"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Still in full-time education</w:t>
            </w:r>
          </w:p>
        </w:tc>
        <w:tc>
          <w:tcPr>
            <w:tcW w:w="829" w:type="pct"/>
            <w:shd w:val="clear" w:color="auto" w:fill="auto"/>
            <w:noWrap/>
            <w:vAlign w:val="center"/>
            <w:hideMark/>
          </w:tcPr>
          <w:p w14:paraId="6852BE82"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3 (42.86%)</w:t>
            </w:r>
          </w:p>
        </w:tc>
        <w:tc>
          <w:tcPr>
            <w:tcW w:w="829" w:type="pct"/>
            <w:shd w:val="clear" w:color="auto" w:fill="auto"/>
            <w:noWrap/>
            <w:vAlign w:val="center"/>
            <w:hideMark/>
          </w:tcPr>
          <w:p w14:paraId="496369D4"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2 (100%)</w:t>
            </w:r>
          </w:p>
        </w:tc>
        <w:tc>
          <w:tcPr>
            <w:tcW w:w="506" w:type="pct"/>
            <w:shd w:val="clear" w:color="auto" w:fill="auto"/>
            <w:noWrap/>
            <w:vAlign w:val="center"/>
            <w:hideMark/>
          </w:tcPr>
          <w:p w14:paraId="05DFB360"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2 (8.7%)</w:t>
            </w:r>
          </w:p>
        </w:tc>
        <w:tc>
          <w:tcPr>
            <w:tcW w:w="838" w:type="pct"/>
            <w:shd w:val="clear" w:color="auto" w:fill="auto"/>
            <w:noWrap/>
            <w:vAlign w:val="center"/>
            <w:hideMark/>
          </w:tcPr>
          <w:p w14:paraId="71F116AE"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1 (7.14%)</w:t>
            </w:r>
          </w:p>
        </w:tc>
        <w:tc>
          <w:tcPr>
            <w:tcW w:w="593" w:type="pct"/>
            <w:shd w:val="clear" w:color="auto" w:fill="auto"/>
            <w:vAlign w:val="center"/>
            <w:hideMark/>
          </w:tcPr>
          <w:p w14:paraId="490002E0"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8</w:t>
            </w:r>
          </w:p>
        </w:tc>
      </w:tr>
      <w:tr w:rsidR="00FE2D87" w:rsidRPr="009979BF" w14:paraId="1E4AB03C" w14:textId="77777777" w:rsidTr="00FE2D87">
        <w:trPr>
          <w:trHeight w:val="315"/>
        </w:trPr>
        <w:tc>
          <w:tcPr>
            <w:tcW w:w="1405" w:type="pct"/>
            <w:shd w:val="clear" w:color="auto" w:fill="auto"/>
            <w:noWrap/>
            <w:vAlign w:val="center"/>
            <w:hideMark/>
          </w:tcPr>
          <w:p w14:paraId="327A1C2F"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theme="minorHAnsi"/>
                <w:b/>
                <w:bCs/>
                <w:color w:val="auto"/>
                <w:sz w:val="16"/>
                <w:szCs w:val="16"/>
              </w:rPr>
              <w:t>Highest educational achievement</w:t>
            </w:r>
          </w:p>
        </w:tc>
        <w:tc>
          <w:tcPr>
            <w:tcW w:w="829" w:type="pct"/>
            <w:shd w:val="clear" w:color="auto" w:fill="auto"/>
            <w:noWrap/>
            <w:vAlign w:val="center"/>
            <w:hideMark/>
          </w:tcPr>
          <w:p w14:paraId="1198053A"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Calibri"/>
                <w:b/>
                <w:bCs/>
                <w:color w:val="auto"/>
                <w:sz w:val="16"/>
                <w:szCs w:val="16"/>
              </w:rPr>
              <w:t> </w:t>
            </w:r>
          </w:p>
        </w:tc>
        <w:tc>
          <w:tcPr>
            <w:tcW w:w="829" w:type="pct"/>
            <w:shd w:val="clear" w:color="auto" w:fill="auto"/>
            <w:noWrap/>
            <w:vAlign w:val="center"/>
            <w:hideMark/>
          </w:tcPr>
          <w:p w14:paraId="100D46DC"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Calibri"/>
                <w:b/>
                <w:bCs/>
                <w:color w:val="auto"/>
                <w:sz w:val="16"/>
                <w:szCs w:val="16"/>
              </w:rPr>
              <w:t> </w:t>
            </w:r>
          </w:p>
        </w:tc>
        <w:tc>
          <w:tcPr>
            <w:tcW w:w="506" w:type="pct"/>
            <w:shd w:val="clear" w:color="auto" w:fill="auto"/>
            <w:noWrap/>
            <w:vAlign w:val="center"/>
            <w:hideMark/>
          </w:tcPr>
          <w:p w14:paraId="68640FA8"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Calibri"/>
                <w:b/>
                <w:bCs/>
                <w:color w:val="auto"/>
                <w:sz w:val="16"/>
                <w:szCs w:val="16"/>
              </w:rPr>
              <w:t> </w:t>
            </w:r>
          </w:p>
        </w:tc>
        <w:tc>
          <w:tcPr>
            <w:tcW w:w="838" w:type="pct"/>
            <w:shd w:val="clear" w:color="auto" w:fill="auto"/>
            <w:noWrap/>
            <w:vAlign w:val="center"/>
            <w:hideMark/>
          </w:tcPr>
          <w:p w14:paraId="61B9808A"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Calibri"/>
                <w:b/>
                <w:bCs/>
                <w:color w:val="auto"/>
                <w:sz w:val="16"/>
                <w:szCs w:val="16"/>
              </w:rPr>
              <w:t> </w:t>
            </w:r>
          </w:p>
        </w:tc>
        <w:tc>
          <w:tcPr>
            <w:tcW w:w="593" w:type="pct"/>
            <w:shd w:val="clear" w:color="auto" w:fill="auto"/>
            <w:vAlign w:val="center"/>
            <w:hideMark/>
          </w:tcPr>
          <w:p w14:paraId="2485062D"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theme="minorHAnsi"/>
                <w:b/>
                <w:bCs/>
                <w:color w:val="auto"/>
                <w:sz w:val="16"/>
                <w:szCs w:val="16"/>
              </w:rPr>
              <w:t> </w:t>
            </w:r>
          </w:p>
        </w:tc>
      </w:tr>
      <w:tr w:rsidR="00FE2D87" w:rsidRPr="009979BF" w14:paraId="484A54E0" w14:textId="77777777" w:rsidTr="00FE2D87">
        <w:trPr>
          <w:trHeight w:val="315"/>
        </w:trPr>
        <w:tc>
          <w:tcPr>
            <w:tcW w:w="1405" w:type="pct"/>
            <w:shd w:val="clear" w:color="auto" w:fill="auto"/>
            <w:noWrap/>
            <w:vAlign w:val="center"/>
            <w:hideMark/>
          </w:tcPr>
          <w:p w14:paraId="3257B701"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No qualifications/No formal qualifications</w:t>
            </w:r>
          </w:p>
        </w:tc>
        <w:tc>
          <w:tcPr>
            <w:tcW w:w="829" w:type="pct"/>
            <w:shd w:val="clear" w:color="auto" w:fill="auto"/>
            <w:noWrap/>
            <w:vAlign w:val="center"/>
            <w:hideMark/>
          </w:tcPr>
          <w:p w14:paraId="6A146698"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1 (14.29%)</w:t>
            </w:r>
          </w:p>
        </w:tc>
        <w:tc>
          <w:tcPr>
            <w:tcW w:w="829" w:type="pct"/>
            <w:shd w:val="clear" w:color="auto" w:fill="auto"/>
            <w:noWrap/>
            <w:vAlign w:val="center"/>
            <w:hideMark/>
          </w:tcPr>
          <w:p w14:paraId="2BB0CF21"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0 (0%)</w:t>
            </w:r>
          </w:p>
        </w:tc>
        <w:tc>
          <w:tcPr>
            <w:tcW w:w="506" w:type="pct"/>
            <w:shd w:val="clear" w:color="auto" w:fill="auto"/>
            <w:noWrap/>
            <w:vAlign w:val="center"/>
            <w:hideMark/>
          </w:tcPr>
          <w:p w14:paraId="3906ECC5"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1 (4.35%)</w:t>
            </w:r>
          </w:p>
        </w:tc>
        <w:tc>
          <w:tcPr>
            <w:tcW w:w="838" w:type="pct"/>
            <w:shd w:val="clear" w:color="auto" w:fill="auto"/>
            <w:noWrap/>
            <w:vAlign w:val="center"/>
            <w:hideMark/>
          </w:tcPr>
          <w:p w14:paraId="59B61BDB"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0 (0%)</w:t>
            </w:r>
          </w:p>
        </w:tc>
        <w:tc>
          <w:tcPr>
            <w:tcW w:w="593" w:type="pct"/>
            <w:shd w:val="clear" w:color="auto" w:fill="auto"/>
            <w:vAlign w:val="center"/>
            <w:hideMark/>
          </w:tcPr>
          <w:p w14:paraId="3A5775AE"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2</w:t>
            </w:r>
          </w:p>
        </w:tc>
      </w:tr>
      <w:tr w:rsidR="00FE2D87" w:rsidRPr="009979BF" w14:paraId="56EE414F" w14:textId="77777777" w:rsidTr="00FE2D87">
        <w:trPr>
          <w:trHeight w:val="315"/>
        </w:trPr>
        <w:tc>
          <w:tcPr>
            <w:tcW w:w="1405" w:type="pct"/>
            <w:shd w:val="clear" w:color="auto" w:fill="auto"/>
            <w:noWrap/>
            <w:vAlign w:val="center"/>
            <w:hideMark/>
          </w:tcPr>
          <w:p w14:paraId="66A6E5D9"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1-5 GCSEs</w:t>
            </w:r>
          </w:p>
        </w:tc>
        <w:tc>
          <w:tcPr>
            <w:tcW w:w="829" w:type="pct"/>
            <w:shd w:val="clear" w:color="auto" w:fill="auto"/>
            <w:noWrap/>
            <w:vAlign w:val="center"/>
            <w:hideMark/>
          </w:tcPr>
          <w:p w14:paraId="2BCC92D2"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0 (0%)</w:t>
            </w:r>
          </w:p>
        </w:tc>
        <w:tc>
          <w:tcPr>
            <w:tcW w:w="829" w:type="pct"/>
            <w:shd w:val="clear" w:color="auto" w:fill="auto"/>
            <w:noWrap/>
            <w:vAlign w:val="center"/>
            <w:hideMark/>
          </w:tcPr>
          <w:p w14:paraId="622945B9"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0 (0%)</w:t>
            </w:r>
          </w:p>
        </w:tc>
        <w:tc>
          <w:tcPr>
            <w:tcW w:w="506" w:type="pct"/>
            <w:shd w:val="clear" w:color="auto" w:fill="auto"/>
            <w:noWrap/>
            <w:vAlign w:val="center"/>
            <w:hideMark/>
          </w:tcPr>
          <w:p w14:paraId="6464B654"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3 (13.04%)</w:t>
            </w:r>
          </w:p>
        </w:tc>
        <w:tc>
          <w:tcPr>
            <w:tcW w:w="838" w:type="pct"/>
            <w:shd w:val="clear" w:color="auto" w:fill="auto"/>
            <w:noWrap/>
            <w:vAlign w:val="center"/>
            <w:hideMark/>
          </w:tcPr>
          <w:p w14:paraId="06B3927B"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2 (14.29%)</w:t>
            </w:r>
          </w:p>
        </w:tc>
        <w:tc>
          <w:tcPr>
            <w:tcW w:w="593" w:type="pct"/>
            <w:shd w:val="clear" w:color="auto" w:fill="auto"/>
            <w:vAlign w:val="center"/>
            <w:hideMark/>
          </w:tcPr>
          <w:p w14:paraId="3207239E"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5</w:t>
            </w:r>
          </w:p>
        </w:tc>
      </w:tr>
      <w:tr w:rsidR="00FE2D87" w:rsidRPr="009979BF" w14:paraId="69B2CD41" w14:textId="77777777" w:rsidTr="00FE2D87">
        <w:trPr>
          <w:trHeight w:val="315"/>
        </w:trPr>
        <w:tc>
          <w:tcPr>
            <w:tcW w:w="1405" w:type="pct"/>
            <w:shd w:val="clear" w:color="auto" w:fill="auto"/>
            <w:noWrap/>
            <w:vAlign w:val="center"/>
            <w:hideMark/>
          </w:tcPr>
          <w:p w14:paraId="0D4C5688"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2 or more A-levels or equivalent</w:t>
            </w:r>
          </w:p>
        </w:tc>
        <w:tc>
          <w:tcPr>
            <w:tcW w:w="829" w:type="pct"/>
            <w:shd w:val="clear" w:color="auto" w:fill="auto"/>
            <w:noWrap/>
            <w:vAlign w:val="center"/>
            <w:hideMark/>
          </w:tcPr>
          <w:p w14:paraId="44A06949"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1 (14.29%)</w:t>
            </w:r>
          </w:p>
        </w:tc>
        <w:tc>
          <w:tcPr>
            <w:tcW w:w="829" w:type="pct"/>
            <w:shd w:val="clear" w:color="auto" w:fill="auto"/>
            <w:noWrap/>
            <w:vAlign w:val="center"/>
            <w:hideMark/>
          </w:tcPr>
          <w:p w14:paraId="58F3F31B"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1 (50%)</w:t>
            </w:r>
          </w:p>
        </w:tc>
        <w:tc>
          <w:tcPr>
            <w:tcW w:w="506" w:type="pct"/>
            <w:shd w:val="clear" w:color="auto" w:fill="auto"/>
            <w:noWrap/>
            <w:vAlign w:val="center"/>
            <w:hideMark/>
          </w:tcPr>
          <w:p w14:paraId="21C227A1"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4 (17.39%)</w:t>
            </w:r>
          </w:p>
        </w:tc>
        <w:tc>
          <w:tcPr>
            <w:tcW w:w="838" w:type="pct"/>
            <w:shd w:val="clear" w:color="auto" w:fill="auto"/>
            <w:noWrap/>
            <w:vAlign w:val="center"/>
            <w:hideMark/>
          </w:tcPr>
          <w:p w14:paraId="307716A5"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2 (14.29%)</w:t>
            </w:r>
          </w:p>
        </w:tc>
        <w:tc>
          <w:tcPr>
            <w:tcW w:w="593" w:type="pct"/>
            <w:shd w:val="clear" w:color="auto" w:fill="auto"/>
            <w:vAlign w:val="center"/>
            <w:hideMark/>
          </w:tcPr>
          <w:p w14:paraId="63AC7289"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8</w:t>
            </w:r>
          </w:p>
        </w:tc>
      </w:tr>
      <w:tr w:rsidR="00FE2D87" w:rsidRPr="009979BF" w14:paraId="5E0F4B66" w14:textId="77777777" w:rsidTr="00FE2D87">
        <w:trPr>
          <w:trHeight w:val="315"/>
        </w:trPr>
        <w:tc>
          <w:tcPr>
            <w:tcW w:w="1405" w:type="pct"/>
            <w:shd w:val="clear" w:color="auto" w:fill="auto"/>
            <w:noWrap/>
            <w:vAlign w:val="center"/>
            <w:hideMark/>
          </w:tcPr>
          <w:p w14:paraId="0B792E81"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Bachelor’s degree or equivalent and higher</w:t>
            </w:r>
          </w:p>
        </w:tc>
        <w:tc>
          <w:tcPr>
            <w:tcW w:w="829" w:type="pct"/>
            <w:shd w:val="clear" w:color="auto" w:fill="auto"/>
            <w:noWrap/>
            <w:vAlign w:val="center"/>
            <w:hideMark/>
          </w:tcPr>
          <w:p w14:paraId="42F9AFF4"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5 (71.43%)</w:t>
            </w:r>
          </w:p>
        </w:tc>
        <w:tc>
          <w:tcPr>
            <w:tcW w:w="829" w:type="pct"/>
            <w:shd w:val="clear" w:color="auto" w:fill="auto"/>
            <w:noWrap/>
            <w:vAlign w:val="center"/>
            <w:hideMark/>
          </w:tcPr>
          <w:p w14:paraId="7FDFFA1B"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1 (50%)</w:t>
            </w:r>
          </w:p>
        </w:tc>
        <w:tc>
          <w:tcPr>
            <w:tcW w:w="506" w:type="pct"/>
            <w:shd w:val="clear" w:color="auto" w:fill="auto"/>
            <w:noWrap/>
            <w:vAlign w:val="center"/>
            <w:hideMark/>
          </w:tcPr>
          <w:p w14:paraId="4E8ACF2D"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13 (56.52%)</w:t>
            </w:r>
          </w:p>
        </w:tc>
        <w:tc>
          <w:tcPr>
            <w:tcW w:w="838" w:type="pct"/>
            <w:shd w:val="clear" w:color="auto" w:fill="auto"/>
            <w:noWrap/>
            <w:vAlign w:val="center"/>
            <w:hideMark/>
          </w:tcPr>
          <w:p w14:paraId="3E3AC472"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8 (57.14%)</w:t>
            </w:r>
          </w:p>
        </w:tc>
        <w:tc>
          <w:tcPr>
            <w:tcW w:w="593" w:type="pct"/>
            <w:shd w:val="clear" w:color="auto" w:fill="auto"/>
            <w:vAlign w:val="center"/>
            <w:hideMark/>
          </w:tcPr>
          <w:p w14:paraId="6F8F0DBF"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27</w:t>
            </w:r>
          </w:p>
        </w:tc>
      </w:tr>
      <w:tr w:rsidR="00FE2D87" w:rsidRPr="009979BF" w14:paraId="2856E87C" w14:textId="77777777" w:rsidTr="00FE2D87">
        <w:trPr>
          <w:trHeight w:val="315"/>
        </w:trPr>
        <w:tc>
          <w:tcPr>
            <w:tcW w:w="1405" w:type="pct"/>
            <w:shd w:val="clear" w:color="auto" w:fill="auto"/>
            <w:noWrap/>
            <w:vAlign w:val="center"/>
            <w:hideMark/>
          </w:tcPr>
          <w:p w14:paraId="0BCC815E"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Other</w:t>
            </w:r>
          </w:p>
        </w:tc>
        <w:tc>
          <w:tcPr>
            <w:tcW w:w="829" w:type="pct"/>
            <w:shd w:val="clear" w:color="auto" w:fill="auto"/>
            <w:noWrap/>
            <w:vAlign w:val="center"/>
            <w:hideMark/>
          </w:tcPr>
          <w:p w14:paraId="3F8BA98C"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0 (0%)</w:t>
            </w:r>
          </w:p>
        </w:tc>
        <w:tc>
          <w:tcPr>
            <w:tcW w:w="829" w:type="pct"/>
            <w:shd w:val="clear" w:color="auto" w:fill="auto"/>
            <w:noWrap/>
            <w:vAlign w:val="center"/>
            <w:hideMark/>
          </w:tcPr>
          <w:p w14:paraId="6BF434C0"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0 (0%)</w:t>
            </w:r>
          </w:p>
        </w:tc>
        <w:tc>
          <w:tcPr>
            <w:tcW w:w="506" w:type="pct"/>
            <w:shd w:val="clear" w:color="auto" w:fill="auto"/>
            <w:noWrap/>
            <w:vAlign w:val="center"/>
            <w:hideMark/>
          </w:tcPr>
          <w:p w14:paraId="1298A23D"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2 (8.7%)</w:t>
            </w:r>
          </w:p>
        </w:tc>
        <w:tc>
          <w:tcPr>
            <w:tcW w:w="838" w:type="pct"/>
            <w:shd w:val="clear" w:color="auto" w:fill="auto"/>
            <w:noWrap/>
            <w:vAlign w:val="center"/>
            <w:hideMark/>
          </w:tcPr>
          <w:p w14:paraId="0494B4A3"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2 (14.29%)</w:t>
            </w:r>
          </w:p>
        </w:tc>
        <w:tc>
          <w:tcPr>
            <w:tcW w:w="593" w:type="pct"/>
            <w:shd w:val="clear" w:color="auto" w:fill="auto"/>
            <w:vAlign w:val="center"/>
            <w:hideMark/>
          </w:tcPr>
          <w:p w14:paraId="57E286B6"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4</w:t>
            </w:r>
          </w:p>
        </w:tc>
      </w:tr>
      <w:tr w:rsidR="00FE2D87" w:rsidRPr="009979BF" w14:paraId="75CACC47" w14:textId="77777777" w:rsidTr="00FE2D87">
        <w:trPr>
          <w:trHeight w:val="315"/>
        </w:trPr>
        <w:tc>
          <w:tcPr>
            <w:tcW w:w="1405" w:type="pct"/>
            <w:shd w:val="clear" w:color="auto" w:fill="auto"/>
            <w:noWrap/>
            <w:vAlign w:val="center"/>
            <w:hideMark/>
          </w:tcPr>
          <w:p w14:paraId="292193E5"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theme="minorHAnsi"/>
                <w:b/>
                <w:bCs/>
                <w:color w:val="auto"/>
                <w:sz w:val="16"/>
                <w:szCs w:val="16"/>
              </w:rPr>
              <w:t>Do you have any long-standing condition?</w:t>
            </w:r>
          </w:p>
        </w:tc>
        <w:tc>
          <w:tcPr>
            <w:tcW w:w="829" w:type="pct"/>
            <w:shd w:val="clear" w:color="auto" w:fill="auto"/>
            <w:noWrap/>
            <w:vAlign w:val="center"/>
            <w:hideMark/>
          </w:tcPr>
          <w:p w14:paraId="08339089"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Calibri"/>
                <w:b/>
                <w:bCs/>
                <w:color w:val="auto"/>
                <w:sz w:val="16"/>
                <w:szCs w:val="16"/>
              </w:rPr>
              <w:t> </w:t>
            </w:r>
          </w:p>
        </w:tc>
        <w:tc>
          <w:tcPr>
            <w:tcW w:w="829" w:type="pct"/>
            <w:shd w:val="clear" w:color="auto" w:fill="auto"/>
            <w:noWrap/>
            <w:vAlign w:val="center"/>
            <w:hideMark/>
          </w:tcPr>
          <w:p w14:paraId="3D3C912A"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Calibri"/>
                <w:b/>
                <w:bCs/>
                <w:color w:val="auto"/>
                <w:sz w:val="16"/>
                <w:szCs w:val="16"/>
              </w:rPr>
              <w:t> </w:t>
            </w:r>
          </w:p>
        </w:tc>
        <w:tc>
          <w:tcPr>
            <w:tcW w:w="506" w:type="pct"/>
            <w:shd w:val="clear" w:color="auto" w:fill="auto"/>
            <w:noWrap/>
            <w:vAlign w:val="center"/>
            <w:hideMark/>
          </w:tcPr>
          <w:p w14:paraId="5799D757"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Calibri"/>
                <w:b/>
                <w:bCs/>
                <w:color w:val="auto"/>
                <w:sz w:val="16"/>
                <w:szCs w:val="16"/>
              </w:rPr>
              <w:t> </w:t>
            </w:r>
          </w:p>
        </w:tc>
        <w:tc>
          <w:tcPr>
            <w:tcW w:w="838" w:type="pct"/>
            <w:shd w:val="clear" w:color="auto" w:fill="auto"/>
            <w:noWrap/>
            <w:vAlign w:val="center"/>
            <w:hideMark/>
          </w:tcPr>
          <w:p w14:paraId="43E711B3"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Calibri"/>
                <w:b/>
                <w:bCs/>
                <w:color w:val="auto"/>
                <w:sz w:val="16"/>
                <w:szCs w:val="16"/>
              </w:rPr>
              <w:t> </w:t>
            </w:r>
          </w:p>
        </w:tc>
        <w:tc>
          <w:tcPr>
            <w:tcW w:w="593" w:type="pct"/>
            <w:shd w:val="clear" w:color="auto" w:fill="auto"/>
            <w:vAlign w:val="center"/>
            <w:hideMark/>
          </w:tcPr>
          <w:p w14:paraId="129EEBDA"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theme="minorHAnsi"/>
                <w:b/>
                <w:bCs/>
                <w:color w:val="auto"/>
                <w:sz w:val="16"/>
                <w:szCs w:val="16"/>
              </w:rPr>
              <w:t> </w:t>
            </w:r>
          </w:p>
        </w:tc>
      </w:tr>
      <w:tr w:rsidR="00FE2D87" w:rsidRPr="009979BF" w14:paraId="31F83A39" w14:textId="77777777" w:rsidTr="00FE2D87">
        <w:trPr>
          <w:trHeight w:val="315"/>
        </w:trPr>
        <w:tc>
          <w:tcPr>
            <w:tcW w:w="1405" w:type="pct"/>
            <w:shd w:val="clear" w:color="auto" w:fill="auto"/>
            <w:noWrap/>
            <w:vAlign w:val="center"/>
            <w:hideMark/>
          </w:tcPr>
          <w:p w14:paraId="000BC7F1"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Yes</w:t>
            </w:r>
          </w:p>
        </w:tc>
        <w:tc>
          <w:tcPr>
            <w:tcW w:w="829" w:type="pct"/>
            <w:shd w:val="clear" w:color="auto" w:fill="auto"/>
            <w:noWrap/>
            <w:vAlign w:val="center"/>
            <w:hideMark/>
          </w:tcPr>
          <w:p w14:paraId="5F021DAC"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1 (14.29%)</w:t>
            </w:r>
          </w:p>
        </w:tc>
        <w:tc>
          <w:tcPr>
            <w:tcW w:w="829" w:type="pct"/>
            <w:shd w:val="clear" w:color="auto" w:fill="auto"/>
            <w:noWrap/>
            <w:vAlign w:val="center"/>
            <w:hideMark/>
          </w:tcPr>
          <w:p w14:paraId="6F39475E"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0 (0%)</w:t>
            </w:r>
          </w:p>
        </w:tc>
        <w:tc>
          <w:tcPr>
            <w:tcW w:w="506" w:type="pct"/>
            <w:shd w:val="clear" w:color="auto" w:fill="auto"/>
            <w:noWrap/>
            <w:vAlign w:val="center"/>
            <w:hideMark/>
          </w:tcPr>
          <w:p w14:paraId="0373E09B"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1 (4.35%)</w:t>
            </w:r>
          </w:p>
        </w:tc>
        <w:tc>
          <w:tcPr>
            <w:tcW w:w="838" w:type="pct"/>
            <w:shd w:val="clear" w:color="auto" w:fill="auto"/>
            <w:noWrap/>
            <w:vAlign w:val="center"/>
            <w:hideMark/>
          </w:tcPr>
          <w:p w14:paraId="0F7C4CBD"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2 (14.29%)</w:t>
            </w:r>
          </w:p>
        </w:tc>
        <w:tc>
          <w:tcPr>
            <w:tcW w:w="593" w:type="pct"/>
            <w:shd w:val="clear" w:color="auto" w:fill="auto"/>
            <w:vAlign w:val="center"/>
            <w:hideMark/>
          </w:tcPr>
          <w:p w14:paraId="2E98AB81"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4</w:t>
            </w:r>
          </w:p>
        </w:tc>
      </w:tr>
      <w:tr w:rsidR="00FE2D87" w:rsidRPr="009979BF" w14:paraId="73A3E334" w14:textId="77777777" w:rsidTr="00FE2D87">
        <w:trPr>
          <w:trHeight w:val="315"/>
        </w:trPr>
        <w:tc>
          <w:tcPr>
            <w:tcW w:w="1405" w:type="pct"/>
            <w:shd w:val="clear" w:color="auto" w:fill="auto"/>
            <w:noWrap/>
            <w:vAlign w:val="center"/>
            <w:hideMark/>
          </w:tcPr>
          <w:p w14:paraId="1ADE65B1"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No</w:t>
            </w:r>
          </w:p>
        </w:tc>
        <w:tc>
          <w:tcPr>
            <w:tcW w:w="829" w:type="pct"/>
            <w:shd w:val="clear" w:color="auto" w:fill="auto"/>
            <w:noWrap/>
            <w:vAlign w:val="center"/>
            <w:hideMark/>
          </w:tcPr>
          <w:p w14:paraId="60EFE7A1"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6 (85.71%)</w:t>
            </w:r>
          </w:p>
        </w:tc>
        <w:tc>
          <w:tcPr>
            <w:tcW w:w="829" w:type="pct"/>
            <w:shd w:val="clear" w:color="auto" w:fill="auto"/>
            <w:noWrap/>
            <w:vAlign w:val="center"/>
            <w:hideMark/>
          </w:tcPr>
          <w:p w14:paraId="6E95EB65"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2 (100%)</w:t>
            </w:r>
          </w:p>
        </w:tc>
        <w:tc>
          <w:tcPr>
            <w:tcW w:w="506" w:type="pct"/>
            <w:shd w:val="clear" w:color="auto" w:fill="auto"/>
            <w:noWrap/>
            <w:vAlign w:val="center"/>
            <w:hideMark/>
          </w:tcPr>
          <w:p w14:paraId="08746EB7"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22 (95.65%)</w:t>
            </w:r>
          </w:p>
        </w:tc>
        <w:tc>
          <w:tcPr>
            <w:tcW w:w="838" w:type="pct"/>
            <w:shd w:val="clear" w:color="auto" w:fill="auto"/>
            <w:noWrap/>
            <w:vAlign w:val="center"/>
            <w:hideMark/>
          </w:tcPr>
          <w:p w14:paraId="75C8210B"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12 (85.71%)</w:t>
            </w:r>
          </w:p>
        </w:tc>
        <w:tc>
          <w:tcPr>
            <w:tcW w:w="593" w:type="pct"/>
            <w:shd w:val="clear" w:color="auto" w:fill="auto"/>
            <w:vAlign w:val="center"/>
            <w:hideMark/>
          </w:tcPr>
          <w:p w14:paraId="19A8968A"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42</w:t>
            </w:r>
          </w:p>
        </w:tc>
      </w:tr>
      <w:tr w:rsidR="00FE2D87" w:rsidRPr="009979BF" w14:paraId="5CC35290" w14:textId="77777777" w:rsidTr="00FE2D87">
        <w:trPr>
          <w:trHeight w:val="315"/>
        </w:trPr>
        <w:tc>
          <w:tcPr>
            <w:tcW w:w="1405" w:type="pct"/>
            <w:shd w:val="clear" w:color="auto" w:fill="auto"/>
            <w:noWrap/>
            <w:vAlign w:val="center"/>
            <w:hideMark/>
          </w:tcPr>
          <w:p w14:paraId="71502F22"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theme="minorHAnsi"/>
                <w:b/>
                <w:bCs/>
                <w:color w:val="auto"/>
                <w:sz w:val="16"/>
                <w:szCs w:val="16"/>
              </w:rPr>
              <w:t>Previously diagnosed with CT?</w:t>
            </w:r>
          </w:p>
        </w:tc>
        <w:tc>
          <w:tcPr>
            <w:tcW w:w="829" w:type="pct"/>
            <w:shd w:val="clear" w:color="auto" w:fill="auto"/>
            <w:noWrap/>
            <w:vAlign w:val="center"/>
            <w:hideMark/>
          </w:tcPr>
          <w:p w14:paraId="2C2D2543"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Calibri"/>
                <w:b/>
                <w:bCs/>
                <w:color w:val="auto"/>
                <w:sz w:val="16"/>
                <w:szCs w:val="16"/>
              </w:rPr>
              <w:t> </w:t>
            </w:r>
          </w:p>
        </w:tc>
        <w:tc>
          <w:tcPr>
            <w:tcW w:w="829" w:type="pct"/>
            <w:shd w:val="clear" w:color="auto" w:fill="auto"/>
            <w:noWrap/>
            <w:vAlign w:val="center"/>
            <w:hideMark/>
          </w:tcPr>
          <w:p w14:paraId="5AFB4332"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Calibri"/>
                <w:b/>
                <w:bCs/>
                <w:color w:val="auto"/>
                <w:sz w:val="16"/>
                <w:szCs w:val="16"/>
              </w:rPr>
              <w:t> </w:t>
            </w:r>
          </w:p>
        </w:tc>
        <w:tc>
          <w:tcPr>
            <w:tcW w:w="506" w:type="pct"/>
            <w:shd w:val="clear" w:color="auto" w:fill="auto"/>
            <w:noWrap/>
            <w:vAlign w:val="center"/>
            <w:hideMark/>
          </w:tcPr>
          <w:p w14:paraId="744DB66B"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Calibri"/>
                <w:b/>
                <w:bCs/>
                <w:color w:val="auto"/>
                <w:sz w:val="16"/>
                <w:szCs w:val="16"/>
              </w:rPr>
              <w:t> </w:t>
            </w:r>
          </w:p>
        </w:tc>
        <w:tc>
          <w:tcPr>
            <w:tcW w:w="838" w:type="pct"/>
            <w:shd w:val="clear" w:color="auto" w:fill="auto"/>
            <w:noWrap/>
            <w:vAlign w:val="center"/>
            <w:hideMark/>
          </w:tcPr>
          <w:p w14:paraId="645C1E3B"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Calibri"/>
                <w:b/>
                <w:bCs/>
                <w:color w:val="auto"/>
                <w:sz w:val="16"/>
                <w:szCs w:val="16"/>
              </w:rPr>
              <w:t> </w:t>
            </w:r>
          </w:p>
        </w:tc>
        <w:tc>
          <w:tcPr>
            <w:tcW w:w="593" w:type="pct"/>
            <w:shd w:val="clear" w:color="auto" w:fill="auto"/>
            <w:vAlign w:val="center"/>
            <w:hideMark/>
          </w:tcPr>
          <w:p w14:paraId="3D00A4E9"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theme="minorHAnsi"/>
                <w:b/>
                <w:bCs/>
                <w:color w:val="auto"/>
                <w:sz w:val="16"/>
                <w:szCs w:val="16"/>
              </w:rPr>
              <w:t> </w:t>
            </w:r>
          </w:p>
        </w:tc>
      </w:tr>
      <w:tr w:rsidR="00FE2D87" w:rsidRPr="009979BF" w14:paraId="2E6E56CE" w14:textId="77777777" w:rsidTr="00FE2D87">
        <w:trPr>
          <w:trHeight w:val="315"/>
        </w:trPr>
        <w:tc>
          <w:tcPr>
            <w:tcW w:w="1405" w:type="pct"/>
            <w:shd w:val="clear" w:color="auto" w:fill="auto"/>
            <w:noWrap/>
            <w:vAlign w:val="center"/>
            <w:hideMark/>
          </w:tcPr>
          <w:p w14:paraId="4C4348EF"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Yes</w:t>
            </w:r>
          </w:p>
        </w:tc>
        <w:tc>
          <w:tcPr>
            <w:tcW w:w="829" w:type="pct"/>
            <w:shd w:val="clear" w:color="auto" w:fill="auto"/>
            <w:noWrap/>
            <w:vAlign w:val="center"/>
            <w:hideMark/>
          </w:tcPr>
          <w:p w14:paraId="4C51E4DF"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4 (57.14%)</w:t>
            </w:r>
          </w:p>
        </w:tc>
        <w:tc>
          <w:tcPr>
            <w:tcW w:w="829" w:type="pct"/>
            <w:shd w:val="clear" w:color="auto" w:fill="auto"/>
            <w:noWrap/>
            <w:vAlign w:val="center"/>
            <w:hideMark/>
          </w:tcPr>
          <w:p w14:paraId="7CC61600"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1 (50%)</w:t>
            </w:r>
          </w:p>
        </w:tc>
        <w:tc>
          <w:tcPr>
            <w:tcW w:w="506" w:type="pct"/>
            <w:shd w:val="clear" w:color="auto" w:fill="auto"/>
            <w:noWrap/>
            <w:vAlign w:val="center"/>
            <w:hideMark/>
          </w:tcPr>
          <w:p w14:paraId="5646F9C8"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7 (30.43%)</w:t>
            </w:r>
          </w:p>
        </w:tc>
        <w:tc>
          <w:tcPr>
            <w:tcW w:w="838" w:type="pct"/>
            <w:shd w:val="clear" w:color="auto" w:fill="auto"/>
            <w:noWrap/>
            <w:vAlign w:val="center"/>
            <w:hideMark/>
          </w:tcPr>
          <w:p w14:paraId="7BE94A30"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1 (7.14%)</w:t>
            </w:r>
          </w:p>
        </w:tc>
        <w:tc>
          <w:tcPr>
            <w:tcW w:w="593" w:type="pct"/>
            <w:shd w:val="clear" w:color="auto" w:fill="auto"/>
            <w:vAlign w:val="center"/>
            <w:hideMark/>
          </w:tcPr>
          <w:p w14:paraId="3FD02027"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13</w:t>
            </w:r>
          </w:p>
        </w:tc>
      </w:tr>
      <w:tr w:rsidR="00FE2D87" w:rsidRPr="009979BF" w14:paraId="397D2A8A" w14:textId="77777777" w:rsidTr="00FE2D87">
        <w:trPr>
          <w:trHeight w:val="315"/>
        </w:trPr>
        <w:tc>
          <w:tcPr>
            <w:tcW w:w="1405" w:type="pct"/>
            <w:shd w:val="clear" w:color="auto" w:fill="auto"/>
            <w:noWrap/>
            <w:vAlign w:val="center"/>
            <w:hideMark/>
          </w:tcPr>
          <w:p w14:paraId="5A04E01F"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No</w:t>
            </w:r>
          </w:p>
        </w:tc>
        <w:tc>
          <w:tcPr>
            <w:tcW w:w="829" w:type="pct"/>
            <w:shd w:val="clear" w:color="auto" w:fill="auto"/>
            <w:noWrap/>
            <w:vAlign w:val="center"/>
            <w:hideMark/>
          </w:tcPr>
          <w:p w14:paraId="0816E373"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3 (42.86%)</w:t>
            </w:r>
          </w:p>
        </w:tc>
        <w:tc>
          <w:tcPr>
            <w:tcW w:w="829" w:type="pct"/>
            <w:shd w:val="clear" w:color="auto" w:fill="auto"/>
            <w:noWrap/>
            <w:vAlign w:val="center"/>
            <w:hideMark/>
          </w:tcPr>
          <w:p w14:paraId="7120729D"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1 (50%)</w:t>
            </w:r>
          </w:p>
        </w:tc>
        <w:tc>
          <w:tcPr>
            <w:tcW w:w="506" w:type="pct"/>
            <w:shd w:val="clear" w:color="auto" w:fill="auto"/>
            <w:noWrap/>
            <w:vAlign w:val="center"/>
            <w:hideMark/>
          </w:tcPr>
          <w:p w14:paraId="04D9E7F3"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16 (69.57%)</w:t>
            </w:r>
          </w:p>
        </w:tc>
        <w:tc>
          <w:tcPr>
            <w:tcW w:w="838" w:type="pct"/>
            <w:shd w:val="clear" w:color="auto" w:fill="auto"/>
            <w:noWrap/>
            <w:vAlign w:val="center"/>
            <w:hideMark/>
          </w:tcPr>
          <w:p w14:paraId="36A412F2"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13 (92.86%)</w:t>
            </w:r>
          </w:p>
        </w:tc>
        <w:tc>
          <w:tcPr>
            <w:tcW w:w="593" w:type="pct"/>
            <w:shd w:val="clear" w:color="auto" w:fill="auto"/>
            <w:vAlign w:val="center"/>
            <w:hideMark/>
          </w:tcPr>
          <w:p w14:paraId="4F779432"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33</w:t>
            </w:r>
          </w:p>
        </w:tc>
      </w:tr>
      <w:tr w:rsidR="00FE2D87" w:rsidRPr="009979BF" w14:paraId="3838D392" w14:textId="77777777" w:rsidTr="00FE2D87">
        <w:trPr>
          <w:trHeight w:val="315"/>
        </w:trPr>
        <w:tc>
          <w:tcPr>
            <w:tcW w:w="1405" w:type="pct"/>
            <w:shd w:val="clear" w:color="auto" w:fill="auto"/>
            <w:noWrap/>
            <w:vAlign w:val="center"/>
            <w:hideMark/>
          </w:tcPr>
          <w:p w14:paraId="11D5CAF3"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theme="minorHAnsi"/>
                <w:b/>
                <w:bCs/>
                <w:color w:val="auto"/>
                <w:sz w:val="16"/>
                <w:szCs w:val="16"/>
              </w:rPr>
              <w:t>Previously diagnosed with NG?</w:t>
            </w:r>
          </w:p>
        </w:tc>
        <w:tc>
          <w:tcPr>
            <w:tcW w:w="829" w:type="pct"/>
            <w:shd w:val="clear" w:color="auto" w:fill="auto"/>
            <w:noWrap/>
            <w:vAlign w:val="center"/>
            <w:hideMark/>
          </w:tcPr>
          <w:p w14:paraId="51D78572"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Calibri"/>
                <w:b/>
                <w:bCs/>
                <w:color w:val="auto"/>
                <w:sz w:val="16"/>
                <w:szCs w:val="16"/>
              </w:rPr>
              <w:t> </w:t>
            </w:r>
          </w:p>
        </w:tc>
        <w:tc>
          <w:tcPr>
            <w:tcW w:w="829" w:type="pct"/>
            <w:shd w:val="clear" w:color="auto" w:fill="auto"/>
            <w:noWrap/>
            <w:vAlign w:val="center"/>
            <w:hideMark/>
          </w:tcPr>
          <w:p w14:paraId="542756F5"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Calibri"/>
                <w:b/>
                <w:bCs/>
                <w:color w:val="auto"/>
                <w:sz w:val="16"/>
                <w:szCs w:val="16"/>
              </w:rPr>
              <w:t> </w:t>
            </w:r>
          </w:p>
        </w:tc>
        <w:tc>
          <w:tcPr>
            <w:tcW w:w="506" w:type="pct"/>
            <w:shd w:val="clear" w:color="auto" w:fill="auto"/>
            <w:noWrap/>
            <w:vAlign w:val="center"/>
            <w:hideMark/>
          </w:tcPr>
          <w:p w14:paraId="043FC81A"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Calibri"/>
                <w:b/>
                <w:bCs/>
                <w:color w:val="auto"/>
                <w:sz w:val="16"/>
                <w:szCs w:val="16"/>
              </w:rPr>
              <w:t> </w:t>
            </w:r>
          </w:p>
        </w:tc>
        <w:tc>
          <w:tcPr>
            <w:tcW w:w="838" w:type="pct"/>
            <w:shd w:val="clear" w:color="auto" w:fill="auto"/>
            <w:noWrap/>
            <w:vAlign w:val="center"/>
            <w:hideMark/>
          </w:tcPr>
          <w:p w14:paraId="1DEC51C8"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Calibri"/>
                <w:b/>
                <w:bCs/>
                <w:color w:val="auto"/>
                <w:sz w:val="16"/>
                <w:szCs w:val="16"/>
              </w:rPr>
              <w:t> </w:t>
            </w:r>
          </w:p>
        </w:tc>
        <w:tc>
          <w:tcPr>
            <w:tcW w:w="593" w:type="pct"/>
            <w:shd w:val="clear" w:color="auto" w:fill="auto"/>
            <w:vAlign w:val="center"/>
            <w:hideMark/>
          </w:tcPr>
          <w:p w14:paraId="0E0A3250"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theme="minorHAnsi"/>
                <w:b/>
                <w:bCs/>
                <w:color w:val="auto"/>
                <w:sz w:val="16"/>
                <w:szCs w:val="16"/>
              </w:rPr>
              <w:t> </w:t>
            </w:r>
          </w:p>
        </w:tc>
      </w:tr>
      <w:tr w:rsidR="00FE2D87" w:rsidRPr="009979BF" w14:paraId="1C58DEE1" w14:textId="77777777" w:rsidTr="00FE2D87">
        <w:trPr>
          <w:trHeight w:val="315"/>
        </w:trPr>
        <w:tc>
          <w:tcPr>
            <w:tcW w:w="1405" w:type="pct"/>
            <w:shd w:val="clear" w:color="auto" w:fill="auto"/>
            <w:noWrap/>
            <w:vAlign w:val="center"/>
            <w:hideMark/>
          </w:tcPr>
          <w:p w14:paraId="77195DD4"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Yes</w:t>
            </w:r>
          </w:p>
        </w:tc>
        <w:tc>
          <w:tcPr>
            <w:tcW w:w="829" w:type="pct"/>
            <w:shd w:val="clear" w:color="auto" w:fill="auto"/>
            <w:noWrap/>
            <w:vAlign w:val="center"/>
            <w:hideMark/>
          </w:tcPr>
          <w:p w14:paraId="23318D65"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0 (0%)</w:t>
            </w:r>
          </w:p>
        </w:tc>
        <w:tc>
          <w:tcPr>
            <w:tcW w:w="829" w:type="pct"/>
            <w:shd w:val="clear" w:color="auto" w:fill="auto"/>
            <w:noWrap/>
            <w:vAlign w:val="center"/>
            <w:hideMark/>
          </w:tcPr>
          <w:p w14:paraId="3F0A2D70"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2 (100%)</w:t>
            </w:r>
          </w:p>
        </w:tc>
        <w:tc>
          <w:tcPr>
            <w:tcW w:w="506" w:type="pct"/>
            <w:shd w:val="clear" w:color="auto" w:fill="auto"/>
            <w:noWrap/>
            <w:vAlign w:val="center"/>
            <w:hideMark/>
          </w:tcPr>
          <w:p w14:paraId="047E020D"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2 (8.7%)</w:t>
            </w:r>
          </w:p>
        </w:tc>
        <w:tc>
          <w:tcPr>
            <w:tcW w:w="838" w:type="pct"/>
            <w:shd w:val="clear" w:color="auto" w:fill="auto"/>
            <w:noWrap/>
            <w:vAlign w:val="center"/>
            <w:hideMark/>
          </w:tcPr>
          <w:p w14:paraId="71215076"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0 (0%)</w:t>
            </w:r>
          </w:p>
        </w:tc>
        <w:tc>
          <w:tcPr>
            <w:tcW w:w="593" w:type="pct"/>
            <w:shd w:val="clear" w:color="auto" w:fill="auto"/>
            <w:vAlign w:val="center"/>
            <w:hideMark/>
          </w:tcPr>
          <w:p w14:paraId="2618B15C"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4</w:t>
            </w:r>
          </w:p>
        </w:tc>
      </w:tr>
      <w:tr w:rsidR="00FE2D87" w:rsidRPr="009979BF" w14:paraId="75B1997B" w14:textId="77777777" w:rsidTr="00FE2D87">
        <w:trPr>
          <w:trHeight w:val="315"/>
        </w:trPr>
        <w:tc>
          <w:tcPr>
            <w:tcW w:w="1405" w:type="pct"/>
            <w:shd w:val="clear" w:color="auto" w:fill="auto"/>
            <w:noWrap/>
            <w:vAlign w:val="center"/>
            <w:hideMark/>
          </w:tcPr>
          <w:p w14:paraId="186B2A05"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No</w:t>
            </w:r>
          </w:p>
        </w:tc>
        <w:tc>
          <w:tcPr>
            <w:tcW w:w="829" w:type="pct"/>
            <w:shd w:val="clear" w:color="auto" w:fill="auto"/>
            <w:noWrap/>
            <w:vAlign w:val="center"/>
            <w:hideMark/>
          </w:tcPr>
          <w:p w14:paraId="6237B1D8"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7 (100%)</w:t>
            </w:r>
          </w:p>
        </w:tc>
        <w:tc>
          <w:tcPr>
            <w:tcW w:w="829" w:type="pct"/>
            <w:shd w:val="clear" w:color="auto" w:fill="auto"/>
            <w:noWrap/>
            <w:vAlign w:val="center"/>
            <w:hideMark/>
          </w:tcPr>
          <w:p w14:paraId="0DAE95DF"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0 (0%)</w:t>
            </w:r>
          </w:p>
        </w:tc>
        <w:tc>
          <w:tcPr>
            <w:tcW w:w="506" w:type="pct"/>
            <w:shd w:val="clear" w:color="auto" w:fill="auto"/>
            <w:noWrap/>
            <w:vAlign w:val="center"/>
            <w:hideMark/>
          </w:tcPr>
          <w:p w14:paraId="7DB83CC9"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21 (91.3%)</w:t>
            </w:r>
          </w:p>
        </w:tc>
        <w:tc>
          <w:tcPr>
            <w:tcW w:w="838" w:type="pct"/>
            <w:shd w:val="clear" w:color="auto" w:fill="auto"/>
            <w:noWrap/>
            <w:vAlign w:val="center"/>
            <w:hideMark/>
          </w:tcPr>
          <w:p w14:paraId="2000F4BD"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14 (100%)</w:t>
            </w:r>
          </w:p>
        </w:tc>
        <w:tc>
          <w:tcPr>
            <w:tcW w:w="593" w:type="pct"/>
            <w:shd w:val="clear" w:color="auto" w:fill="auto"/>
            <w:vAlign w:val="center"/>
            <w:hideMark/>
          </w:tcPr>
          <w:p w14:paraId="5FB9CB1A"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42</w:t>
            </w:r>
          </w:p>
        </w:tc>
      </w:tr>
      <w:tr w:rsidR="00FE2D87" w:rsidRPr="009979BF" w14:paraId="42DEF047" w14:textId="77777777" w:rsidTr="00FE2D87">
        <w:trPr>
          <w:trHeight w:val="315"/>
        </w:trPr>
        <w:tc>
          <w:tcPr>
            <w:tcW w:w="1405" w:type="pct"/>
            <w:shd w:val="clear" w:color="auto" w:fill="auto"/>
            <w:noWrap/>
            <w:vAlign w:val="center"/>
            <w:hideMark/>
          </w:tcPr>
          <w:p w14:paraId="3959F93F"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theme="minorHAnsi"/>
                <w:b/>
                <w:bCs/>
                <w:color w:val="auto"/>
                <w:sz w:val="16"/>
                <w:szCs w:val="16"/>
              </w:rPr>
              <w:t>Previously diagnosed with NGU?</w:t>
            </w:r>
          </w:p>
        </w:tc>
        <w:tc>
          <w:tcPr>
            <w:tcW w:w="829" w:type="pct"/>
            <w:shd w:val="clear" w:color="auto" w:fill="auto"/>
            <w:noWrap/>
            <w:vAlign w:val="center"/>
            <w:hideMark/>
          </w:tcPr>
          <w:p w14:paraId="4BBBBF93"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Calibri"/>
                <w:b/>
                <w:bCs/>
                <w:color w:val="auto"/>
                <w:sz w:val="16"/>
                <w:szCs w:val="16"/>
              </w:rPr>
              <w:t> </w:t>
            </w:r>
          </w:p>
        </w:tc>
        <w:tc>
          <w:tcPr>
            <w:tcW w:w="829" w:type="pct"/>
            <w:shd w:val="clear" w:color="auto" w:fill="auto"/>
            <w:noWrap/>
            <w:vAlign w:val="center"/>
            <w:hideMark/>
          </w:tcPr>
          <w:p w14:paraId="7CB1547F"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Calibri"/>
                <w:b/>
                <w:bCs/>
                <w:color w:val="auto"/>
                <w:sz w:val="16"/>
                <w:szCs w:val="16"/>
              </w:rPr>
              <w:t> </w:t>
            </w:r>
          </w:p>
        </w:tc>
        <w:tc>
          <w:tcPr>
            <w:tcW w:w="506" w:type="pct"/>
            <w:shd w:val="clear" w:color="auto" w:fill="auto"/>
            <w:noWrap/>
            <w:vAlign w:val="center"/>
            <w:hideMark/>
          </w:tcPr>
          <w:p w14:paraId="3A039422"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Calibri"/>
                <w:b/>
                <w:bCs/>
                <w:color w:val="auto"/>
                <w:sz w:val="16"/>
                <w:szCs w:val="16"/>
              </w:rPr>
              <w:t> </w:t>
            </w:r>
          </w:p>
        </w:tc>
        <w:tc>
          <w:tcPr>
            <w:tcW w:w="838" w:type="pct"/>
            <w:shd w:val="clear" w:color="auto" w:fill="auto"/>
            <w:noWrap/>
            <w:vAlign w:val="center"/>
            <w:hideMark/>
          </w:tcPr>
          <w:p w14:paraId="3656A9E7"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Calibri"/>
                <w:b/>
                <w:bCs/>
                <w:color w:val="auto"/>
                <w:sz w:val="16"/>
                <w:szCs w:val="16"/>
              </w:rPr>
              <w:t> </w:t>
            </w:r>
          </w:p>
        </w:tc>
        <w:tc>
          <w:tcPr>
            <w:tcW w:w="593" w:type="pct"/>
            <w:shd w:val="clear" w:color="auto" w:fill="auto"/>
            <w:vAlign w:val="center"/>
            <w:hideMark/>
          </w:tcPr>
          <w:p w14:paraId="35C0DCAF"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theme="minorHAnsi"/>
                <w:b/>
                <w:bCs/>
                <w:color w:val="auto"/>
                <w:sz w:val="16"/>
                <w:szCs w:val="16"/>
              </w:rPr>
              <w:t> </w:t>
            </w:r>
          </w:p>
        </w:tc>
      </w:tr>
      <w:tr w:rsidR="00FE2D87" w:rsidRPr="009979BF" w14:paraId="224F3C01" w14:textId="77777777" w:rsidTr="00FE2D87">
        <w:trPr>
          <w:trHeight w:val="315"/>
        </w:trPr>
        <w:tc>
          <w:tcPr>
            <w:tcW w:w="1405" w:type="pct"/>
            <w:shd w:val="clear" w:color="auto" w:fill="auto"/>
            <w:noWrap/>
            <w:vAlign w:val="center"/>
            <w:hideMark/>
          </w:tcPr>
          <w:p w14:paraId="7DB4B14D"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Yes</w:t>
            </w:r>
          </w:p>
        </w:tc>
        <w:tc>
          <w:tcPr>
            <w:tcW w:w="829" w:type="pct"/>
            <w:shd w:val="clear" w:color="auto" w:fill="auto"/>
            <w:noWrap/>
            <w:vAlign w:val="center"/>
            <w:hideMark/>
          </w:tcPr>
          <w:p w14:paraId="1802CB30"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2 (28.57%)</w:t>
            </w:r>
          </w:p>
        </w:tc>
        <w:tc>
          <w:tcPr>
            <w:tcW w:w="829" w:type="pct"/>
            <w:shd w:val="clear" w:color="auto" w:fill="auto"/>
            <w:noWrap/>
            <w:vAlign w:val="center"/>
            <w:hideMark/>
          </w:tcPr>
          <w:p w14:paraId="3E39BFC9"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0 (0%)</w:t>
            </w:r>
          </w:p>
        </w:tc>
        <w:tc>
          <w:tcPr>
            <w:tcW w:w="506" w:type="pct"/>
            <w:shd w:val="clear" w:color="auto" w:fill="auto"/>
            <w:noWrap/>
            <w:vAlign w:val="center"/>
            <w:hideMark/>
          </w:tcPr>
          <w:p w14:paraId="487F6992"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9 (39.13%)</w:t>
            </w:r>
          </w:p>
        </w:tc>
        <w:tc>
          <w:tcPr>
            <w:tcW w:w="838" w:type="pct"/>
            <w:shd w:val="clear" w:color="auto" w:fill="auto"/>
            <w:noWrap/>
            <w:vAlign w:val="center"/>
            <w:hideMark/>
          </w:tcPr>
          <w:p w14:paraId="5B01E0ED"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3 (21.43%)</w:t>
            </w:r>
          </w:p>
        </w:tc>
        <w:tc>
          <w:tcPr>
            <w:tcW w:w="593" w:type="pct"/>
            <w:shd w:val="clear" w:color="auto" w:fill="auto"/>
            <w:vAlign w:val="center"/>
            <w:hideMark/>
          </w:tcPr>
          <w:p w14:paraId="721ECA99"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14</w:t>
            </w:r>
          </w:p>
        </w:tc>
      </w:tr>
      <w:tr w:rsidR="00FE2D87" w:rsidRPr="009979BF" w14:paraId="4C7E0C39" w14:textId="77777777" w:rsidTr="00FE2D87">
        <w:trPr>
          <w:trHeight w:val="315"/>
        </w:trPr>
        <w:tc>
          <w:tcPr>
            <w:tcW w:w="1405" w:type="pct"/>
            <w:shd w:val="clear" w:color="auto" w:fill="auto"/>
            <w:noWrap/>
            <w:vAlign w:val="center"/>
            <w:hideMark/>
          </w:tcPr>
          <w:p w14:paraId="54BDC5E8"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No</w:t>
            </w:r>
          </w:p>
        </w:tc>
        <w:tc>
          <w:tcPr>
            <w:tcW w:w="829" w:type="pct"/>
            <w:shd w:val="clear" w:color="auto" w:fill="auto"/>
            <w:noWrap/>
            <w:vAlign w:val="center"/>
            <w:hideMark/>
          </w:tcPr>
          <w:p w14:paraId="0F5E436E"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5 (71.43%)</w:t>
            </w:r>
          </w:p>
        </w:tc>
        <w:tc>
          <w:tcPr>
            <w:tcW w:w="829" w:type="pct"/>
            <w:shd w:val="clear" w:color="auto" w:fill="auto"/>
            <w:noWrap/>
            <w:vAlign w:val="center"/>
            <w:hideMark/>
          </w:tcPr>
          <w:p w14:paraId="2E4D86E3"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2 (100%)</w:t>
            </w:r>
          </w:p>
        </w:tc>
        <w:tc>
          <w:tcPr>
            <w:tcW w:w="506" w:type="pct"/>
            <w:shd w:val="clear" w:color="auto" w:fill="auto"/>
            <w:noWrap/>
            <w:vAlign w:val="center"/>
            <w:hideMark/>
          </w:tcPr>
          <w:p w14:paraId="6F3C8795"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14 (60.87%)</w:t>
            </w:r>
          </w:p>
        </w:tc>
        <w:tc>
          <w:tcPr>
            <w:tcW w:w="838" w:type="pct"/>
            <w:shd w:val="clear" w:color="auto" w:fill="auto"/>
            <w:noWrap/>
            <w:vAlign w:val="center"/>
            <w:hideMark/>
          </w:tcPr>
          <w:p w14:paraId="002A4629"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11 (78.57%)</w:t>
            </w:r>
          </w:p>
        </w:tc>
        <w:tc>
          <w:tcPr>
            <w:tcW w:w="593" w:type="pct"/>
            <w:shd w:val="clear" w:color="auto" w:fill="auto"/>
            <w:vAlign w:val="center"/>
            <w:hideMark/>
          </w:tcPr>
          <w:p w14:paraId="70D23D14"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32</w:t>
            </w:r>
          </w:p>
        </w:tc>
      </w:tr>
      <w:tr w:rsidR="00FE2D87" w:rsidRPr="009979BF" w14:paraId="4840FCE5" w14:textId="77777777" w:rsidTr="00FE2D87">
        <w:trPr>
          <w:trHeight w:val="315"/>
        </w:trPr>
        <w:tc>
          <w:tcPr>
            <w:tcW w:w="1405" w:type="pct"/>
            <w:shd w:val="clear" w:color="auto" w:fill="auto"/>
            <w:noWrap/>
            <w:vAlign w:val="center"/>
            <w:hideMark/>
          </w:tcPr>
          <w:p w14:paraId="1AA7B469"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theme="minorHAnsi"/>
                <w:b/>
                <w:bCs/>
                <w:color w:val="auto"/>
                <w:sz w:val="16"/>
                <w:szCs w:val="16"/>
              </w:rPr>
              <w:lastRenderedPageBreak/>
              <w:t>Previously diagnosed with herpes/warts?</w:t>
            </w:r>
          </w:p>
        </w:tc>
        <w:tc>
          <w:tcPr>
            <w:tcW w:w="829" w:type="pct"/>
            <w:shd w:val="clear" w:color="auto" w:fill="auto"/>
            <w:noWrap/>
            <w:vAlign w:val="center"/>
            <w:hideMark/>
          </w:tcPr>
          <w:p w14:paraId="2EC0E17C"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Calibri"/>
                <w:b/>
                <w:bCs/>
                <w:color w:val="auto"/>
                <w:sz w:val="16"/>
                <w:szCs w:val="16"/>
              </w:rPr>
              <w:t> </w:t>
            </w:r>
          </w:p>
        </w:tc>
        <w:tc>
          <w:tcPr>
            <w:tcW w:w="829" w:type="pct"/>
            <w:shd w:val="clear" w:color="auto" w:fill="auto"/>
            <w:noWrap/>
            <w:vAlign w:val="center"/>
            <w:hideMark/>
          </w:tcPr>
          <w:p w14:paraId="38971482"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Calibri"/>
                <w:b/>
                <w:bCs/>
                <w:color w:val="auto"/>
                <w:sz w:val="16"/>
                <w:szCs w:val="16"/>
              </w:rPr>
              <w:t> </w:t>
            </w:r>
          </w:p>
        </w:tc>
        <w:tc>
          <w:tcPr>
            <w:tcW w:w="506" w:type="pct"/>
            <w:shd w:val="clear" w:color="auto" w:fill="auto"/>
            <w:noWrap/>
            <w:vAlign w:val="center"/>
            <w:hideMark/>
          </w:tcPr>
          <w:p w14:paraId="16FA9D7D"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Calibri"/>
                <w:b/>
                <w:bCs/>
                <w:color w:val="auto"/>
                <w:sz w:val="16"/>
                <w:szCs w:val="16"/>
              </w:rPr>
              <w:t> </w:t>
            </w:r>
          </w:p>
        </w:tc>
        <w:tc>
          <w:tcPr>
            <w:tcW w:w="838" w:type="pct"/>
            <w:shd w:val="clear" w:color="auto" w:fill="auto"/>
            <w:noWrap/>
            <w:vAlign w:val="center"/>
            <w:hideMark/>
          </w:tcPr>
          <w:p w14:paraId="27788B38"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Calibri"/>
                <w:b/>
                <w:bCs/>
                <w:color w:val="auto"/>
                <w:sz w:val="16"/>
                <w:szCs w:val="16"/>
              </w:rPr>
              <w:t> </w:t>
            </w:r>
          </w:p>
        </w:tc>
        <w:tc>
          <w:tcPr>
            <w:tcW w:w="593" w:type="pct"/>
            <w:shd w:val="clear" w:color="auto" w:fill="auto"/>
            <w:vAlign w:val="center"/>
            <w:hideMark/>
          </w:tcPr>
          <w:p w14:paraId="5681AFC5"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theme="minorHAnsi"/>
                <w:b/>
                <w:bCs/>
                <w:color w:val="auto"/>
                <w:sz w:val="16"/>
                <w:szCs w:val="16"/>
              </w:rPr>
              <w:t> </w:t>
            </w:r>
          </w:p>
        </w:tc>
      </w:tr>
      <w:tr w:rsidR="00FE2D87" w:rsidRPr="009979BF" w14:paraId="222749FF" w14:textId="77777777" w:rsidTr="00FE2D87">
        <w:trPr>
          <w:trHeight w:val="315"/>
        </w:trPr>
        <w:tc>
          <w:tcPr>
            <w:tcW w:w="1405" w:type="pct"/>
            <w:shd w:val="clear" w:color="auto" w:fill="auto"/>
            <w:noWrap/>
            <w:vAlign w:val="center"/>
            <w:hideMark/>
          </w:tcPr>
          <w:p w14:paraId="0032BF5A"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Yes</w:t>
            </w:r>
          </w:p>
        </w:tc>
        <w:tc>
          <w:tcPr>
            <w:tcW w:w="829" w:type="pct"/>
            <w:shd w:val="clear" w:color="auto" w:fill="auto"/>
            <w:noWrap/>
            <w:vAlign w:val="center"/>
            <w:hideMark/>
          </w:tcPr>
          <w:p w14:paraId="35E39139"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3 (42.86%)</w:t>
            </w:r>
          </w:p>
        </w:tc>
        <w:tc>
          <w:tcPr>
            <w:tcW w:w="829" w:type="pct"/>
            <w:shd w:val="clear" w:color="auto" w:fill="auto"/>
            <w:noWrap/>
            <w:vAlign w:val="center"/>
            <w:hideMark/>
          </w:tcPr>
          <w:p w14:paraId="76471404"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0 (0%)</w:t>
            </w:r>
          </w:p>
        </w:tc>
        <w:tc>
          <w:tcPr>
            <w:tcW w:w="506" w:type="pct"/>
            <w:shd w:val="clear" w:color="auto" w:fill="auto"/>
            <w:noWrap/>
            <w:vAlign w:val="center"/>
            <w:hideMark/>
          </w:tcPr>
          <w:p w14:paraId="1FD7E3A7"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1 (4.35%)</w:t>
            </w:r>
          </w:p>
        </w:tc>
        <w:tc>
          <w:tcPr>
            <w:tcW w:w="838" w:type="pct"/>
            <w:shd w:val="clear" w:color="auto" w:fill="auto"/>
            <w:noWrap/>
            <w:vAlign w:val="center"/>
            <w:hideMark/>
          </w:tcPr>
          <w:p w14:paraId="38453D6F"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2 (14.29%)</w:t>
            </w:r>
          </w:p>
        </w:tc>
        <w:tc>
          <w:tcPr>
            <w:tcW w:w="593" w:type="pct"/>
            <w:shd w:val="clear" w:color="auto" w:fill="auto"/>
            <w:vAlign w:val="center"/>
            <w:hideMark/>
          </w:tcPr>
          <w:p w14:paraId="535294E7"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6</w:t>
            </w:r>
          </w:p>
        </w:tc>
      </w:tr>
      <w:tr w:rsidR="00FE2D87" w:rsidRPr="009979BF" w14:paraId="5981B399" w14:textId="77777777" w:rsidTr="00FE2D87">
        <w:trPr>
          <w:trHeight w:val="315"/>
        </w:trPr>
        <w:tc>
          <w:tcPr>
            <w:tcW w:w="1405" w:type="pct"/>
            <w:shd w:val="clear" w:color="auto" w:fill="auto"/>
            <w:noWrap/>
            <w:vAlign w:val="center"/>
            <w:hideMark/>
          </w:tcPr>
          <w:p w14:paraId="584E7A93"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No</w:t>
            </w:r>
          </w:p>
        </w:tc>
        <w:tc>
          <w:tcPr>
            <w:tcW w:w="829" w:type="pct"/>
            <w:shd w:val="clear" w:color="auto" w:fill="auto"/>
            <w:noWrap/>
            <w:vAlign w:val="center"/>
            <w:hideMark/>
          </w:tcPr>
          <w:p w14:paraId="55C1496B"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4 (57.14%)</w:t>
            </w:r>
          </w:p>
        </w:tc>
        <w:tc>
          <w:tcPr>
            <w:tcW w:w="829" w:type="pct"/>
            <w:shd w:val="clear" w:color="auto" w:fill="auto"/>
            <w:noWrap/>
            <w:vAlign w:val="center"/>
            <w:hideMark/>
          </w:tcPr>
          <w:p w14:paraId="732A7CE9"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2 (100%)</w:t>
            </w:r>
          </w:p>
        </w:tc>
        <w:tc>
          <w:tcPr>
            <w:tcW w:w="506" w:type="pct"/>
            <w:shd w:val="clear" w:color="auto" w:fill="auto"/>
            <w:noWrap/>
            <w:vAlign w:val="center"/>
            <w:hideMark/>
          </w:tcPr>
          <w:p w14:paraId="4006FE31"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22 (95.65%)</w:t>
            </w:r>
          </w:p>
        </w:tc>
        <w:tc>
          <w:tcPr>
            <w:tcW w:w="838" w:type="pct"/>
            <w:shd w:val="clear" w:color="auto" w:fill="auto"/>
            <w:noWrap/>
            <w:vAlign w:val="center"/>
            <w:hideMark/>
          </w:tcPr>
          <w:p w14:paraId="675267E7"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12 (85.71%)</w:t>
            </w:r>
          </w:p>
        </w:tc>
        <w:tc>
          <w:tcPr>
            <w:tcW w:w="593" w:type="pct"/>
            <w:shd w:val="clear" w:color="auto" w:fill="auto"/>
            <w:vAlign w:val="center"/>
            <w:hideMark/>
          </w:tcPr>
          <w:p w14:paraId="5F68FB68"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40</w:t>
            </w:r>
          </w:p>
        </w:tc>
      </w:tr>
      <w:tr w:rsidR="00FE2D87" w:rsidRPr="009979BF" w14:paraId="112A63EC" w14:textId="77777777" w:rsidTr="00FE2D87">
        <w:trPr>
          <w:trHeight w:val="315"/>
        </w:trPr>
        <w:tc>
          <w:tcPr>
            <w:tcW w:w="1405" w:type="pct"/>
            <w:shd w:val="clear" w:color="auto" w:fill="auto"/>
            <w:noWrap/>
            <w:vAlign w:val="center"/>
            <w:hideMark/>
          </w:tcPr>
          <w:p w14:paraId="5FD3E738"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theme="minorHAnsi"/>
                <w:b/>
                <w:bCs/>
                <w:color w:val="auto"/>
                <w:sz w:val="16"/>
                <w:szCs w:val="16"/>
              </w:rPr>
              <w:t>Relationship status</w:t>
            </w:r>
          </w:p>
        </w:tc>
        <w:tc>
          <w:tcPr>
            <w:tcW w:w="829" w:type="pct"/>
            <w:shd w:val="clear" w:color="auto" w:fill="auto"/>
            <w:noWrap/>
            <w:vAlign w:val="center"/>
            <w:hideMark/>
          </w:tcPr>
          <w:p w14:paraId="5F5A4C19"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Calibri"/>
                <w:b/>
                <w:bCs/>
                <w:color w:val="auto"/>
                <w:sz w:val="16"/>
                <w:szCs w:val="16"/>
              </w:rPr>
              <w:t> </w:t>
            </w:r>
          </w:p>
        </w:tc>
        <w:tc>
          <w:tcPr>
            <w:tcW w:w="829" w:type="pct"/>
            <w:shd w:val="clear" w:color="auto" w:fill="auto"/>
            <w:noWrap/>
            <w:vAlign w:val="center"/>
            <w:hideMark/>
          </w:tcPr>
          <w:p w14:paraId="2626457B"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Calibri"/>
                <w:b/>
                <w:bCs/>
                <w:color w:val="auto"/>
                <w:sz w:val="16"/>
                <w:szCs w:val="16"/>
              </w:rPr>
              <w:t> </w:t>
            </w:r>
          </w:p>
        </w:tc>
        <w:tc>
          <w:tcPr>
            <w:tcW w:w="506" w:type="pct"/>
            <w:shd w:val="clear" w:color="auto" w:fill="auto"/>
            <w:noWrap/>
            <w:vAlign w:val="center"/>
            <w:hideMark/>
          </w:tcPr>
          <w:p w14:paraId="254456D4"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Calibri"/>
                <w:b/>
                <w:bCs/>
                <w:color w:val="auto"/>
                <w:sz w:val="16"/>
                <w:szCs w:val="16"/>
              </w:rPr>
              <w:t> </w:t>
            </w:r>
          </w:p>
        </w:tc>
        <w:tc>
          <w:tcPr>
            <w:tcW w:w="838" w:type="pct"/>
            <w:shd w:val="clear" w:color="auto" w:fill="auto"/>
            <w:noWrap/>
            <w:vAlign w:val="center"/>
            <w:hideMark/>
          </w:tcPr>
          <w:p w14:paraId="49C3C002"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Calibri"/>
                <w:b/>
                <w:bCs/>
                <w:color w:val="auto"/>
                <w:sz w:val="16"/>
                <w:szCs w:val="16"/>
              </w:rPr>
              <w:t> </w:t>
            </w:r>
          </w:p>
        </w:tc>
        <w:tc>
          <w:tcPr>
            <w:tcW w:w="593" w:type="pct"/>
            <w:shd w:val="clear" w:color="auto" w:fill="auto"/>
            <w:vAlign w:val="center"/>
            <w:hideMark/>
          </w:tcPr>
          <w:p w14:paraId="75A9E105"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theme="minorHAnsi"/>
                <w:b/>
                <w:bCs/>
                <w:color w:val="auto"/>
                <w:sz w:val="16"/>
                <w:szCs w:val="16"/>
              </w:rPr>
              <w:t> </w:t>
            </w:r>
          </w:p>
        </w:tc>
      </w:tr>
      <w:tr w:rsidR="00FE2D87" w:rsidRPr="009979BF" w14:paraId="74FDB0B9" w14:textId="77777777" w:rsidTr="00FE2D87">
        <w:trPr>
          <w:trHeight w:val="315"/>
        </w:trPr>
        <w:tc>
          <w:tcPr>
            <w:tcW w:w="1405" w:type="pct"/>
            <w:shd w:val="clear" w:color="auto" w:fill="auto"/>
            <w:noWrap/>
            <w:vAlign w:val="center"/>
            <w:hideMark/>
          </w:tcPr>
          <w:p w14:paraId="224805D1"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Married and living with wife</w:t>
            </w:r>
          </w:p>
        </w:tc>
        <w:tc>
          <w:tcPr>
            <w:tcW w:w="829" w:type="pct"/>
            <w:shd w:val="clear" w:color="auto" w:fill="auto"/>
            <w:noWrap/>
            <w:vAlign w:val="center"/>
            <w:hideMark/>
          </w:tcPr>
          <w:p w14:paraId="4013D56E"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0 (0%)</w:t>
            </w:r>
          </w:p>
        </w:tc>
        <w:tc>
          <w:tcPr>
            <w:tcW w:w="829" w:type="pct"/>
            <w:shd w:val="clear" w:color="auto" w:fill="auto"/>
            <w:noWrap/>
            <w:vAlign w:val="center"/>
            <w:hideMark/>
          </w:tcPr>
          <w:p w14:paraId="53EFA0C5"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0 (0%)</w:t>
            </w:r>
          </w:p>
        </w:tc>
        <w:tc>
          <w:tcPr>
            <w:tcW w:w="506" w:type="pct"/>
            <w:shd w:val="clear" w:color="auto" w:fill="auto"/>
            <w:noWrap/>
            <w:vAlign w:val="center"/>
            <w:hideMark/>
          </w:tcPr>
          <w:p w14:paraId="2AF78E2B"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1 (4.35%)</w:t>
            </w:r>
          </w:p>
        </w:tc>
        <w:tc>
          <w:tcPr>
            <w:tcW w:w="838" w:type="pct"/>
            <w:shd w:val="clear" w:color="auto" w:fill="auto"/>
            <w:noWrap/>
            <w:vAlign w:val="center"/>
            <w:hideMark/>
          </w:tcPr>
          <w:p w14:paraId="7615D0F9"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2 (14.29%)</w:t>
            </w:r>
          </w:p>
        </w:tc>
        <w:tc>
          <w:tcPr>
            <w:tcW w:w="593" w:type="pct"/>
            <w:shd w:val="clear" w:color="auto" w:fill="auto"/>
            <w:vAlign w:val="center"/>
            <w:hideMark/>
          </w:tcPr>
          <w:p w14:paraId="3DFED9FE"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3</w:t>
            </w:r>
          </w:p>
        </w:tc>
      </w:tr>
      <w:tr w:rsidR="00FE2D87" w:rsidRPr="009979BF" w14:paraId="3FDE42C5" w14:textId="77777777" w:rsidTr="00FE2D87">
        <w:trPr>
          <w:trHeight w:val="315"/>
        </w:trPr>
        <w:tc>
          <w:tcPr>
            <w:tcW w:w="1405" w:type="pct"/>
            <w:shd w:val="clear" w:color="auto" w:fill="auto"/>
            <w:noWrap/>
            <w:vAlign w:val="center"/>
            <w:hideMark/>
          </w:tcPr>
          <w:p w14:paraId="4371A60A"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Cohabiting but not married</w:t>
            </w:r>
          </w:p>
        </w:tc>
        <w:tc>
          <w:tcPr>
            <w:tcW w:w="829" w:type="pct"/>
            <w:shd w:val="clear" w:color="auto" w:fill="auto"/>
            <w:noWrap/>
            <w:vAlign w:val="center"/>
            <w:hideMark/>
          </w:tcPr>
          <w:p w14:paraId="79FB98C8"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1 (14.29%)</w:t>
            </w:r>
          </w:p>
        </w:tc>
        <w:tc>
          <w:tcPr>
            <w:tcW w:w="829" w:type="pct"/>
            <w:shd w:val="clear" w:color="auto" w:fill="auto"/>
            <w:noWrap/>
            <w:vAlign w:val="center"/>
            <w:hideMark/>
          </w:tcPr>
          <w:p w14:paraId="442137FA"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0 (0%)</w:t>
            </w:r>
          </w:p>
        </w:tc>
        <w:tc>
          <w:tcPr>
            <w:tcW w:w="506" w:type="pct"/>
            <w:shd w:val="clear" w:color="auto" w:fill="auto"/>
            <w:noWrap/>
            <w:vAlign w:val="center"/>
            <w:hideMark/>
          </w:tcPr>
          <w:p w14:paraId="496D4D75"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2 (8.7%)</w:t>
            </w:r>
          </w:p>
        </w:tc>
        <w:tc>
          <w:tcPr>
            <w:tcW w:w="838" w:type="pct"/>
            <w:shd w:val="clear" w:color="auto" w:fill="auto"/>
            <w:noWrap/>
            <w:vAlign w:val="center"/>
            <w:hideMark/>
          </w:tcPr>
          <w:p w14:paraId="014160F7"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2 (14.29%)</w:t>
            </w:r>
          </w:p>
        </w:tc>
        <w:tc>
          <w:tcPr>
            <w:tcW w:w="593" w:type="pct"/>
            <w:shd w:val="clear" w:color="auto" w:fill="auto"/>
            <w:vAlign w:val="center"/>
            <w:hideMark/>
          </w:tcPr>
          <w:p w14:paraId="4431A6F1"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5</w:t>
            </w:r>
          </w:p>
        </w:tc>
      </w:tr>
      <w:tr w:rsidR="00FE2D87" w:rsidRPr="009979BF" w14:paraId="30D804F0" w14:textId="77777777" w:rsidTr="00FE2D87">
        <w:trPr>
          <w:trHeight w:val="315"/>
        </w:trPr>
        <w:tc>
          <w:tcPr>
            <w:tcW w:w="1405" w:type="pct"/>
            <w:shd w:val="clear" w:color="auto" w:fill="auto"/>
            <w:noWrap/>
            <w:vAlign w:val="center"/>
            <w:hideMark/>
          </w:tcPr>
          <w:p w14:paraId="4CB44EFD"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Separated, divorced, or widowed</w:t>
            </w:r>
          </w:p>
        </w:tc>
        <w:tc>
          <w:tcPr>
            <w:tcW w:w="829" w:type="pct"/>
            <w:shd w:val="clear" w:color="auto" w:fill="auto"/>
            <w:noWrap/>
            <w:vAlign w:val="center"/>
            <w:hideMark/>
          </w:tcPr>
          <w:p w14:paraId="3C472E6E"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0 (0%)</w:t>
            </w:r>
          </w:p>
        </w:tc>
        <w:tc>
          <w:tcPr>
            <w:tcW w:w="829" w:type="pct"/>
            <w:shd w:val="clear" w:color="auto" w:fill="auto"/>
            <w:noWrap/>
            <w:vAlign w:val="center"/>
            <w:hideMark/>
          </w:tcPr>
          <w:p w14:paraId="11CD08BB"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0 (0%)</w:t>
            </w:r>
          </w:p>
        </w:tc>
        <w:tc>
          <w:tcPr>
            <w:tcW w:w="506" w:type="pct"/>
            <w:shd w:val="clear" w:color="auto" w:fill="auto"/>
            <w:noWrap/>
            <w:vAlign w:val="center"/>
            <w:hideMark/>
          </w:tcPr>
          <w:p w14:paraId="01D4AE73"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1 (4.35%)</w:t>
            </w:r>
          </w:p>
        </w:tc>
        <w:tc>
          <w:tcPr>
            <w:tcW w:w="838" w:type="pct"/>
            <w:shd w:val="clear" w:color="auto" w:fill="auto"/>
            <w:noWrap/>
            <w:vAlign w:val="center"/>
            <w:hideMark/>
          </w:tcPr>
          <w:p w14:paraId="57353450"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0 (0%)</w:t>
            </w:r>
          </w:p>
        </w:tc>
        <w:tc>
          <w:tcPr>
            <w:tcW w:w="593" w:type="pct"/>
            <w:shd w:val="clear" w:color="auto" w:fill="auto"/>
            <w:vAlign w:val="center"/>
            <w:hideMark/>
          </w:tcPr>
          <w:p w14:paraId="2F24C64B"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1</w:t>
            </w:r>
          </w:p>
        </w:tc>
      </w:tr>
      <w:tr w:rsidR="00FE2D87" w:rsidRPr="009979BF" w14:paraId="001B085E" w14:textId="77777777" w:rsidTr="00FE2D87">
        <w:trPr>
          <w:trHeight w:val="315"/>
        </w:trPr>
        <w:tc>
          <w:tcPr>
            <w:tcW w:w="1405" w:type="pct"/>
            <w:shd w:val="clear" w:color="auto" w:fill="auto"/>
            <w:noWrap/>
            <w:vAlign w:val="center"/>
            <w:hideMark/>
          </w:tcPr>
          <w:p w14:paraId="6A422EEC"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Single (that is never married)</w:t>
            </w:r>
          </w:p>
        </w:tc>
        <w:tc>
          <w:tcPr>
            <w:tcW w:w="829" w:type="pct"/>
            <w:shd w:val="clear" w:color="auto" w:fill="auto"/>
            <w:noWrap/>
            <w:vAlign w:val="center"/>
            <w:hideMark/>
          </w:tcPr>
          <w:p w14:paraId="080EF55F"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6 (85.71%)</w:t>
            </w:r>
          </w:p>
        </w:tc>
        <w:tc>
          <w:tcPr>
            <w:tcW w:w="829" w:type="pct"/>
            <w:shd w:val="clear" w:color="auto" w:fill="auto"/>
            <w:noWrap/>
            <w:vAlign w:val="center"/>
            <w:hideMark/>
          </w:tcPr>
          <w:p w14:paraId="40E7E4A0"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2 (100%)</w:t>
            </w:r>
          </w:p>
        </w:tc>
        <w:tc>
          <w:tcPr>
            <w:tcW w:w="506" w:type="pct"/>
            <w:shd w:val="clear" w:color="auto" w:fill="auto"/>
            <w:noWrap/>
            <w:vAlign w:val="center"/>
            <w:hideMark/>
          </w:tcPr>
          <w:p w14:paraId="1B3AA0EC"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19 (82.61%)</w:t>
            </w:r>
          </w:p>
        </w:tc>
        <w:tc>
          <w:tcPr>
            <w:tcW w:w="838" w:type="pct"/>
            <w:shd w:val="clear" w:color="auto" w:fill="auto"/>
            <w:noWrap/>
            <w:vAlign w:val="center"/>
            <w:hideMark/>
          </w:tcPr>
          <w:p w14:paraId="333C4C8F"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9 (64.29%)</w:t>
            </w:r>
          </w:p>
        </w:tc>
        <w:tc>
          <w:tcPr>
            <w:tcW w:w="593" w:type="pct"/>
            <w:shd w:val="clear" w:color="auto" w:fill="auto"/>
            <w:vAlign w:val="center"/>
            <w:hideMark/>
          </w:tcPr>
          <w:p w14:paraId="2B51E716"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36</w:t>
            </w:r>
          </w:p>
        </w:tc>
      </w:tr>
      <w:tr w:rsidR="00FE2D87" w:rsidRPr="009979BF" w14:paraId="17DCCC9F" w14:textId="77777777" w:rsidTr="00FE2D87">
        <w:trPr>
          <w:trHeight w:val="315"/>
        </w:trPr>
        <w:tc>
          <w:tcPr>
            <w:tcW w:w="1405" w:type="pct"/>
            <w:shd w:val="clear" w:color="auto" w:fill="auto"/>
            <w:noWrap/>
            <w:vAlign w:val="center"/>
            <w:hideMark/>
          </w:tcPr>
          <w:p w14:paraId="281CBBAB"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Prefer not to say</w:t>
            </w:r>
          </w:p>
        </w:tc>
        <w:tc>
          <w:tcPr>
            <w:tcW w:w="829" w:type="pct"/>
            <w:shd w:val="clear" w:color="auto" w:fill="auto"/>
            <w:noWrap/>
            <w:vAlign w:val="center"/>
            <w:hideMark/>
          </w:tcPr>
          <w:p w14:paraId="71584777"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0 (0%)</w:t>
            </w:r>
          </w:p>
        </w:tc>
        <w:tc>
          <w:tcPr>
            <w:tcW w:w="829" w:type="pct"/>
            <w:shd w:val="clear" w:color="auto" w:fill="auto"/>
            <w:noWrap/>
            <w:vAlign w:val="center"/>
            <w:hideMark/>
          </w:tcPr>
          <w:p w14:paraId="62BA9F3B"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0 (0%)</w:t>
            </w:r>
          </w:p>
        </w:tc>
        <w:tc>
          <w:tcPr>
            <w:tcW w:w="506" w:type="pct"/>
            <w:shd w:val="clear" w:color="auto" w:fill="auto"/>
            <w:noWrap/>
            <w:vAlign w:val="center"/>
            <w:hideMark/>
          </w:tcPr>
          <w:p w14:paraId="2C7B9624"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0 (0%)</w:t>
            </w:r>
          </w:p>
        </w:tc>
        <w:tc>
          <w:tcPr>
            <w:tcW w:w="838" w:type="pct"/>
            <w:shd w:val="clear" w:color="auto" w:fill="auto"/>
            <w:noWrap/>
            <w:vAlign w:val="center"/>
            <w:hideMark/>
          </w:tcPr>
          <w:p w14:paraId="1C3BB8A6"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1 (7.14%)</w:t>
            </w:r>
          </w:p>
        </w:tc>
        <w:tc>
          <w:tcPr>
            <w:tcW w:w="593" w:type="pct"/>
            <w:shd w:val="clear" w:color="auto" w:fill="auto"/>
            <w:vAlign w:val="center"/>
            <w:hideMark/>
          </w:tcPr>
          <w:p w14:paraId="3A277C6A"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1</w:t>
            </w:r>
          </w:p>
        </w:tc>
      </w:tr>
      <w:tr w:rsidR="00FE2D87" w:rsidRPr="009979BF" w14:paraId="14E07446" w14:textId="77777777" w:rsidTr="00FE2D87">
        <w:trPr>
          <w:trHeight w:val="315"/>
        </w:trPr>
        <w:tc>
          <w:tcPr>
            <w:tcW w:w="1405" w:type="pct"/>
            <w:shd w:val="clear" w:color="auto" w:fill="auto"/>
            <w:noWrap/>
            <w:vAlign w:val="center"/>
            <w:hideMark/>
          </w:tcPr>
          <w:p w14:paraId="0CA2A8A3"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theme="minorHAnsi"/>
                <w:b/>
                <w:bCs/>
                <w:color w:val="auto"/>
                <w:sz w:val="16"/>
                <w:szCs w:val="16"/>
              </w:rPr>
              <w:t>Break up in the last 30 days</w:t>
            </w:r>
          </w:p>
        </w:tc>
        <w:tc>
          <w:tcPr>
            <w:tcW w:w="829" w:type="pct"/>
            <w:shd w:val="clear" w:color="auto" w:fill="auto"/>
            <w:noWrap/>
            <w:vAlign w:val="center"/>
            <w:hideMark/>
          </w:tcPr>
          <w:p w14:paraId="572C2385"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Calibri"/>
                <w:b/>
                <w:bCs/>
                <w:color w:val="auto"/>
                <w:sz w:val="16"/>
                <w:szCs w:val="16"/>
              </w:rPr>
              <w:t> </w:t>
            </w:r>
          </w:p>
        </w:tc>
        <w:tc>
          <w:tcPr>
            <w:tcW w:w="829" w:type="pct"/>
            <w:shd w:val="clear" w:color="auto" w:fill="auto"/>
            <w:noWrap/>
            <w:vAlign w:val="center"/>
            <w:hideMark/>
          </w:tcPr>
          <w:p w14:paraId="535B88E5"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Calibri"/>
                <w:b/>
                <w:bCs/>
                <w:color w:val="auto"/>
                <w:sz w:val="16"/>
                <w:szCs w:val="16"/>
              </w:rPr>
              <w:t> </w:t>
            </w:r>
          </w:p>
        </w:tc>
        <w:tc>
          <w:tcPr>
            <w:tcW w:w="506" w:type="pct"/>
            <w:shd w:val="clear" w:color="auto" w:fill="auto"/>
            <w:noWrap/>
            <w:vAlign w:val="center"/>
            <w:hideMark/>
          </w:tcPr>
          <w:p w14:paraId="799FA263"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Calibri"/>
                <w:b/>
                <w:bCs/>
                <w:color w:val="auto"/>
                <w:sz w:val="16"/>
                <w:szCs w:val="16"/>
              </w:rPr>
              <w:t> </w:t>
            </w:r>
          </w:p>
        </w:tc>
        <w:tc>
          <w:tcPr>
            <w:tcW w:w="838" w:type="pct"/>
            <w:shd w:val="clear" w:color="auto" w:fill="auto"/>
            <w:noWrap/>
            <w:vAlign w:val="center"/>
            <w:hideMark/>
          </w:tcPr>
          <w:p w14:paraId="7C25B110"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Calibri"/>
                <w:b/>
                <w:bCs/>
                <w:color w:val="auto"/>
                <w:sz w:val="16"/>
                <w:szCs w:val="16"/>
              </w:rPr>
              <w:t> </w:t>
            </w:r>
          </w:p>
        </w:tc>
        <w:tc>
          <w:tcPr>
            <w:tcW w:w="593" w:type="pct"/>
            <w:shd w:val="clear" w:color="auto" w:fill="auto"/>
            <w:vAlign w:val="center"/>
            <w:hideMark/>
          </w:tcPr>
          <w:p w14:paraId="4D06B1D1" w14:textId="77777777" w:rsidR="00FE2D87" w:rsidRPr="009979BF" w:rsidRDefault="00FE2D87" w:rsidP="00FE2D87">
            <w:pPr>
              <w:jc w:val="center"/>
              <w:rPr>
                <w:rFonts w:ascii="Calibri" w:hAnsi="Calibri" w:cs="Calibri"/>
                <w:b/>
                <w:bCs/>
                <w:color w:val="auto"/>
                <w:sz w:val="16"/>
                <w:szCs w:val="16"/>
              </w:rPr>
            </w:pPr>
            <w:r w:rsidRPr="009979BF">
              <w:rPr>
                <w:rFonts w:ascii="Calibri" w:hAnsi="Calibri" w:cstheme="minorHAnsi"/>
                <w:b/>
                <w:bCs/>
                <w:color w:val="auto"/>
                <w:sz w:val="16"/>
                <w:szCs w:val="16"/>
              </w:rPr>
              <w:t> </w:t>
            </w:r>
          </w:p>
        </w:tc>
      </w:tr>
      <w:tr w:rsidR="00FE2D87" w:rsidRPr="009979BF" w14:paraId="35D40BC6" w14:textId="77777777" w:rsidTr="00FE2D87">
        <w:trPr>
          <w:trHeight w:val="315"/>
        </w:trPr>
        <w:tc>
          <w:tcPr>
            <w:tcW w:w="1405" w:type="pct"/>
            <w:shd w:val="clear" w:color="auto" w:fill="auto"/>
            <w:noWrap/>
            <w:vAlign w:val="center"/>
            <w:hideMark/>
          </w:tcPr>
          <w:p w14:paraId="01D950A3"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Yes</w:t>
            </w:r>
          </w:p>
        </w:tc>
        <w:tc>
          <w:tcPr>
            <w:tcW w:w="829" w:type="pct"/>
            <w:shd w:val="clear" w:color="auto" w:fill="auto"/>
            <w:noWrap/>
            <w:vAlign w:val="center"/>
            <w:hideMark/>
          </w:tcPr>
          <w:p w14:paraId="08F74154"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1 (14.29%)</w:t>
            </w:r>
          </w:p>
        </w:tc>
        <w:tc>
          <w:tcPr>
            <w:tcW w:w="829" w:type="pct"/>
            <w:shd w:val="clear" w:color="auto" w:fill="auto"/>
            <w:noWrap/>
            <w:vAlign w:val="center"/>
            <w:hideMark/>
          </w:tcPr>
          <w:p w14:paraId="1091EB45"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0 (0%)</w:t>
            </w:r>
          </w:p>
        </w:tc>
        <w:tc>
          <w:tcPr>
            <w:tcW w:w="506" w:type="pct"/>
            <w:shd w:val="clear" w:color="auto" w:fill="auto"/>
            <w:noWrap/>
            <w:vAlign w:val="center"/>
            <w:hideMark/>
          </w:tcPr>
          <w:p w14:paraId="48FB5F91"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3 (13.04%)</w:t>
            </w:r>
          </w:p>
        </w:tc>
        <w:tc>
          <w:tcPr>
            <w:tcW w:w="838" w:type="pct"/>
            <w:shd w:val="clear" w:color="auto" w:fill="auto"/>
            <w:noWrap/>
            <w:vAlign w:val="center"/>
            <w:hideMark/>
          </w:tcPr>
          <w:p w14:paraId="6E8E2064"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5 (35.71%)</w:t>
            </w:r>
          </w:p>
        </w:tc>
        <w:tc>
          <w:tcPr>
            <w:tcW w:w="593" w:type="pct"/>
            <w:shd w:val="clear" w:color="auto" w:fill="auto"/>
            <w:vAlign w:val="center"/>
            <w:hideMark/>
          </w:tcPr>
          <w:p w14:paraId="5D7D9543"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9</w:t>
            </w:r>
          </w:p>
        </w:tc>
      </w:tr>
      <w:tr w:rsidR="00FE2D87" w:rsidRPr="009979BF" w14:paraId="74513D7C" w14:textId="77777777" w:rsidTr="00FE2D87">
        <w:trPr>
          <w:trHeight w:val="315"/>
        </w:trPr>
        <w:tc>
          <w:tcPr>
            <w:tcW w:w="1405" w:type="pct"/>
            <w:shd w:val="clear" w:color="auto" w:fill="auto"/>
            <w:noWrap/>
            <w:vAlign w:val="center"/>
            <w:hideMark/>
          </w:tcPr>
          <w:p w14:paraId="22D47C01"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No</w:t>
            </w:r>
          </w:p>
        </w:tc>
        <w:tc>
          <w:tcPr>
            <w:tcW w:w="829" w:type="pct"/>
            <w:shd w:val="clear" w:color="auto" w:fill="auto"/>
            <w:noWrap/>
            <w:vAlign w:val="center"/>
            <w:hideMark/>
          </w:tcPr>
          <w:p w14:paraId="4CA5FA5E"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6 (85.71%)</w:t>
            </w:r>
          </w:p>
        </w:tc>
        <w:tc>
          <w:tcPr>
            <w:tcW w:w="829" w:type="pct"/>
            <w:shd w:val="clear" w:color="auto" w:fill="auto"/>
            <w:noWrap/>
            <w:vAlign w:val="center"/>
            <w:hideMark/>
          </w:tcPr>
          <w:p w14:paraId="1682D758"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2 (100%)</w:t>
            </w:r>
          </w:p>
        </w:tc>
        <w:tc>
          <w:tcPr>
            <w:tcW w:w="506" w:type="pct"/>
            <w:shd w:val="clear" w:color="auto" w:fill="auto"/>
            <w:noWrap/>
            <w:vAlign w:val="center"/>
            <w:hideMark/>
          </w:tcPr>
          <w:p w14:paraId="348C13BA"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20 (86.96%)</w:t>
            </w:r>
          </w:p>
        </w:tc>
        <w:tc>
          <w:tcPr>
            <w:tcW w:w="838" w:type="pct"/>
            <w:shd w:val="clear" w:color="auto" w:fill="auto"/>
            <w:noWrap/>
            <w:vAlign w:val="center"/>
            <w:hideMark/>
          </w:tcPr>
          <w:p w14:paraId="7CDD885B" w14:textId="77777777" w:rsidR="00FE2D87" w:rsidRPr="009979BF" w:rsidRDefault="00FE2D87" w:rsidP="00FE2D87">
            <w:pPr>
              <w:jc w:val="center"/>
              <w:rPr>
                <w:rFonts w:ascii="Calibri" w:hAnsi="Calibri" w:cs="Calibri"/>
                <w:color w:val="auto"/>
                <w:sz w:val="16"/>
                <w:szCs w:val="16"/>
              </w:rPr>
            </w:pPr>
            <w:r w:rsidRPr="009979BF">
              <w:rPr>
                <w:rFonts w:ascii="Calibri" w:hAnsi="Calibri" w:cs="Calibri"/>
                <w:color w:val="auto"/>
                <w:sz w:val="16"/>
                <w:szCs w:val="16"/>
              </w:rPr>
              <w:t>9 (64.29%)</w:t>
            </w:r>
          </w:p>
        </w:tc>
        <w:tc>
          <w:tcPr>
            <w:tcW w:w="593" w:type="pct"/>
            <w:shd w:val="clear" w:color="auto" w:fill="auto"/>
            <w:vAlign w:val="center"/>
            <w:hideMark/>
          </w:tcPr>
          <w:p w14:paraId="59C4F754" w14:textId="77777777" w:rsidR="00FE2D87" w:rsidRPr="009979BF" w:rsidRDefault="00FE2D87" w:rsidP="00FE2D87">
            <w:pPr>
              <w:jc w:val="center"/>
              <w:rPr>
                <w:rFonts w:ascii="Calibri" w:hAnsi="Calibri" w:cs="Calibri"/>
                <w:color w:val="auto"/>
                <w:sz w:val="16"/>
                <w:szCs w:val="16"/>
              </w:rPr>
            </w:pPr>
            <w:r w:rsidRPr="009979BF">
              <w:rPr>
                <w:rFonts w:ascii="Calibri" w:hAnsi="Calibri" w:cstheme="minorHAnsi"/>
                <w:color w:val="auto"/>
                <w:sz w:val="16"/>
                <w:szCs w:val="16"/>
              </w:rPr>
              <w:t>37</w:t>
            </w:r>
          </w:p>
        </w:tc>
      </w:tr>
    </w:tbl>
    <w:p w14:paraId="6BB0B46E" w14:textId="77777777" w:rsidR="004D5897" w:rsidRPr="009979BF" w:rsidRDefault="004D5897" w:rsidP="004D5897">
      <w:pPr>
        <w:jc w:val="both"/>
        <w:rPr>
          <w:color w:val="auto"/>
          <w:u w:val="single"/>
        </w:rPr>
      </w:pPr>
    </w:p>
    <w:p w14:paraId="7506DFDC" w14:textId="77777777" w:rsidR="00D119E7" w:rsidRPr="009979BF" w:rsidRDefault="00D119E7" w:rsidP="004D5897">
      <w:pPr>
        <w:jc w:val="both"/>
        <w:rPr>
          <w:b/>
          <w:color w:val="auto"/>
          <w:sz w:val="20"/>
          <w:szCs w:val="20"/>
        </w:rPr>
      </w:pPr>
    </w:p>
    <w:p w14:paraId="23C6FD86" w14:textId="77777777" w:rsidR="00D119E7" w:rsidRPr="009979BF" w:rsidRDefault="00D119E7" w:rsidP="004D5897">
      <w:pPr>
        <w:jc w:val="both"/>
        <w:rPr>
          <w:b/>
          <w:color w:val="auto"/>
          <w:sz w:val="20"/>
          <w:szCs w:val="20"/>
        </w:rPr>
      </w:pPr>
    </w:p>
    <w:p w14:paraId="23F8C83C" w14:textId="77777777" w:rsidR="00D119E7" w:rsidRPr="009979BF" w:rsidRDefault="00D119E7" w:rsidP="004D5897">
      <w:pPr>
        <w:jc w:val="both"/>
        <w:rPr>
          <w:b/>
          <w:color w:val="auto"/>
          <w:sz w:val="20"/>
          <w:szCs w:val="20"/>
        </w:rPr>
      </w:pPr>
    </w:p>
    <w:p w14:paraId="1A267560" w14:textId="77777777" w:rsidR="00D119E7" w:rsidRPr="009979BF" w:rsidRDefault="00D119E7" w:rsidP="004D5897">
      <w:pPr>
        <w:jc w:val="both"/>
        <w:rPr>
          <w:b/>
          <w:color w:val="auto"/>
          <w:sz w:val="20"/>
          <w:szCs w:val="20"/>
        </w:rPr>
      </w:pPr>
    </w:p>
    <w:p w14:paraId="5071939B" w14:textId="77777777" w:rsidR="00D119E7" w:rsidRPr="009979BF" w:rsidRDefault="00D119E7" w:rsidP="004D5897">
      <w:pPr>
        <w:jc w:val="both"/>
        <w:rPr>
          <w:b/>
          <w:color w:val="auto"/>
          <w:sz w:val="20"/>
          <w:szCs w:val="20"/>
        </w:rPr>
      </w:pPr>
    </w:p>
    <w:p w14:paraId="30386FD6" w14:textId="77777777" w:rsidR="00D119E7" w:rsidRPr="009979BF" w:rsidRDefault="00D119E7" w:rsidP="004D5897">
      <w:pPr>
        <w:jc w:val="both"/>
        <w:rPr>
          <w:b/>
          <w:color w:val="auto"/>
          <w:sz w:val="20"/>
          <w:szCs w:val="20"/>
        </w:rPr>
      </w:pPr>
    </w:p>
    <w:p w14:paraId="00272602" w14:textId="77777777" w:rsidR="00D119E7" w:rsidRPr="009979BF" w:rsidRDefault="00D119E7" w:rsidP="004D5897">
      <w:pPr>
        <w:jc w:val="both"/>
        <w:rPr>
          <w:b/>
          <w:color w:val="auto"/>
          <w:sz w:val="20"/>
          <w:szCs w:val="20"/>
        </w:rPr>
      </w:pPr>
    </w:p>
    <w:p w14:paraId="78E9D637" w14:textId="77777777" w:rsidR="00D119E7" w:rsidRPr="009979BF" w:rsidRDefault="00D119E7" w:rsidP="004D5897">
      <w:pPr>
        <w:jc w:val="both"/>
        <w:rPr>
          <w:b/>
          <w:color w:val="auto"/>
          <w:sz w:val="20"/>
          <w:szCs w:val="20"/>
        </w:rPr>
      </w:pPr>
    </w:p>
    <w:p w14:paraId="3DCC04BA" w14:textId="77777777" w:rsidR="00D119E7" w:rsidRPr="009979BF" w:rsidRDefault="00D119E7" w:rsidP="004D5897">
      <w:pPr>
        <w:jc w:val="both"/>
        <w:rPr>
          <w:b/>
          <w:color w:val="auto"/>
          <w:sz w:val="20"/>
          <w:szCs w:val="20"/>
        </w:rPr>
      </w:pPr>
    </w:p>
    <w:p w14:paraId="56DE2877" w14:textId="77777777" w:rsidR="00D119E7" w:rsidRPr="009979BF" w:rsidRDefault="00D119E7" w:rsidP="004D5897">
      <w:pPr>
        <w:jc w:val="both"/>
        <w:rPr>
          <w:b/>
          <w:color w:val="auto"/>
          <w:sz w:val="20"/>
          <w:szCs w:val="20"/>
        </w:rPr>
      </w:pPr>
    </w:p>
    <w:p w14:paraId="23C32F5B" w14:textId="77777777" w:rsidR="00D119E7" w:rsidRPr="009979BF" w:rsidRDefault="00D119E7" w:rsidP="004D5897">
      <w:pPr>
        <w:jc w:val="both"/>
        <w:rPr>
          <w:b/>
          <w:color w:val="auto"/>
          <w:sz w:val="20"/>
          <w:szCs w:val="20"/>
        </w:rPr>
      </w:pPr>
    </w:p>
    <w:p w14:paraId="11FC6C89" w14:textId="77777777" w:rsidR="00D119E7" w:rsidRPr="009979BF" w:rsidRDefault="00D119E7" w:rsidP="004D5897">
      <w:pPr>
        <w:jc w:val="both"/>
        <w:rPr>
          <w:b/>
          <w:color w:val="auto"/>
          <w:sz w:val="20"/>
          <w:szCs w:val="20"/>
        </w:rPr>
      </w:pPr>
    </w:p>
    <w:p w14:paraId="1BDC7945" w14:textId="77777777" w:rsidR="00D119E7" w:rsidRPr="009979BF" w:rsidRDefault="00D119E7" w:rsidP="004D5897">
      <w:pPr>
        <w:jc w:val="both"/>
        <w:rPr>
          <w:b/>
          <w:color w:val="auto"/>
          <w:sz w:val="20"/>
          <w:szCs w:val="20"/>
        </w:rPr>
      </w:pPr>
    </w:p>
    <w:p w14:paraId="74251A10" w14:textId="77777777" w:rsidR="00D119E7" w:rsidRPr="009979BF" w:rsidRDefault="00D119E7" w:rsidP="004D5897">
      <w:pPr>
        <w:jc w:val="both"/>
        <w:rPr>
          <w:b/>
          <w:color w:val="auto"/>
          <w:sz w:val="20"/>
          <w:szCs w:val="20"/>
        </w:rPr>
      </w:pPr>
    </w:p>
    <w:p w14:paraId="4E65DB63" w14:textId="77777777" w:rsidR="00D119E7" w:rsidRPr="009979BF" w:rsidRDefault="00D119E7" w:rsidP="004D5897">
      <w:pPr>
        <w:jc w:val="both"/>
        <w:rPr>
          <w:b/>
          <w:color w:val="auto"/>
          <w:sz w:val="20"/>
          <w:szCs w:val="20"/>
        </w:rPr>
      </w:pPr>
    </w:p>
    <w:p w14:paraId="349E3D4E" w14:textId="77777777" w:rsidR="00D119E7" w:rsidRPr="009979BF" w:rsidRDefault="00D119E7" w:rsidP="004D5897">
      <w:pPr>
        <w:jc w:val="both"/>
        <w:rPr>
          <w:b/>
          <w:color w:val="auto"/>
          <w:sz w:val="20"/>
          <w:szCs w:val="20"/>
        </w:rPr>
      </w:pPr>
    </w:p>
    <w:p w14:paraId="35A2B918" w14:textId="77777777" w:rsidR="00D119E7" w:rsidRPr="009979BF" w:rsidRDefault="00D119E7" w:rsidP="004D5897">
      <w:pPr>
        <w:jc w:val="both"/>
        <w:rPr>
          <w:b/>
          <w:color w:val="auto"/>
          <w:sz w:val="20"/>
          <w:szCs w:val="20"/>
        </w:rPr>
      </w:pPr>
    </w:p>
    <w:p w14:paraId="3EA3ACCE" w14:textId="77777777" w:rsidR="00D119E7" w:rsidRPr="009979BF" w:rsidRDefault="00D119E7" w:rsidP="004D5897">
      <w:pPr>
        <w:jc w:val="both"/>
        <w:rPr>
          <w:b/>
          <w:color w:val="auto"/>
          <w:sz w:val="20"/>
          <w:szCs w:val="20"/>
        </w:rPr>
      </w:pPr>
    </w:p>
    <w:p w14:paraId="28292192" w14:textId="77777777" w:rsidR="00D119E7" w:rsidRPr="009979BF" w:rsidRDefault="00D119E7" w:rsidP="004D5897">
      <w:pPr>
        <w:jc w:val="both"/>
        <w:rPr>
          <w:b/>
          <w:color w:val="auto"/>
          <w:sz w:val="20"/>
          <w:szCs w:val="20"/>
        </w:rPr>
      </w:pPr>
    </w:p>
    <w:p w14:paraId="4CF9A37F" w14:textId="77777777" w:rsidR="00D119E7" w:rsidRPr="009979BF" w:rsidRDefault="00D119E7" w:rsidP="004D5897">
      <w:pPr>
        <w:jc w:val="both"/>
        <w:rPr>
          <w:b/>
          <w:color w:val="auto"/>
          <w:sz w:val="20"/>
          <w:szCs w:val="20"/>
        </w:rPr>
      </w:pPr>
    </w:p>
    <w:p w14:paraId="20022797" w14:textId="77777777" w:rsidR="00D119E7" w:rsidRPr="009979BF" w:rsidRDefault="00D119E7" w:rsidP="004D5897">
      <w:pPr>
        <w:jc w:val="both"/>
        <w:rPr>
          <w:b/>
          <w:color w:val="auto"/>
          <w:sz w:val="20"/>
          <w:szCs w:val="20"/>
        </w:rPr>
      </w:pPr>
    </w:p>
    <w:p w14:paraId="0DB58747" w14:textId="77777777" w:rsidR="00D119E7" w:rsidRPr="009979BF" w:rsidRDefault="00D119E7" w:rsidP="004D5897">
      <w:pPr>
        <w:jc w:val="both"/>
        <w:rPr>
          <w:b/>
          <w:color w:val="auto"/>
          <w:sz w:val="20"/>
          <w:szCs w:val="20"/>
        </w:rPr>
      </w:pPr>
    </w:p>
    <w:p w14:paraId="081363D9" w14:textId="77777777" w:rsidR="00D119E7" w:rsidRPr="009979BF" w:rsidRDefault="00D119E7" w:rsidP="004D5897">
      <w:pPr>
        <w:jc w:val="both"/>
        <w:rPr>
          <w:b/>
          <w:color w:val="auto"/>
          <w:sz w:val="20"/>
          <w:szCs w:val="20"/>
        </w:rPr>
      </w:pPr>
    </w:p>
    <w:p w14:paraId="6AEA2005" w14:textId="77777777" w:rsidR="00D119E7" w:rsidRPr="009979BF" w:rsidRDefault="00D119E7" w:rsidP="004D5897">
      <w:pPr>
        <w:jc w:val="both"/>
        <w:rPr>
          <w:b/>
          <w:color w:val="auto"/>
          <w:sz w:val="20"/>
          <w:szCs w:val="20"/>
        </w:rPr>
      </w:pPr>
    </w:p>
    <w:p w14:paraId="32DB55C1" w14:textId="77777777" w:rsidR="00D119E7" w:rsidRPr="009979BF" w:rsidRDefault="00D119E7" w:rsidP="004D5897">
      <w:pPr>
        <w:jc w:val="both"/>
        <w:rPr>
          <w:b/>
          <w:color w:val="auto"/>
          <w:sz w:val="20"/>
          <w:szCs w:val="20"/>
        </w:rPr>
      </w:pPr>
    </w:p>
    <w:p w14:paraId="2375A35C" w14:textId="77777777" w:rsidR="00D119E7" w:rsidRPr="009979BF" w:rsidRDefault="00D119E7" w:rsidP="004D5897">
      <w:pPr>
        <w:jc w:val="both"/>
        <w:rPr>
          <w:b/>
          <w:color w:val="auto"/>
          <w:sz w:val="20"/>
          <w:szCs w:val="20"/>
        </w:rPr>
      </w:pPr>
    </w:p>
    <w:p w14:paraId="7308B684" w14:textId="77777777" w:rsidR="00D119E7" w:rsidRPr="009979BF" w:rsidRDefault="00D119E7" w:rsidP="004D5897">
      <w:pPr>
        <w:jc w:val="both"/>
        <w:rPr>
          <w:b/>
          <w:color w:val="auto"/>
          <w:sz w:val="20"/>
          <w:szCs w:val="20"/>
        </w:rPr>
      </w:pPr>
    </w:p>
    <w:p w14:paraId="304EEBB4" w14:textId="77777777" w:rsidR="00D119E7" w:rsidRPr="009979BF" w:rsidRDefault="00D119E7" w:rsidP="004D5897">
      <w:pPr>
        <w:jc w:val="both"/>
        <w:rPr>
          <w:b/>
          <w:color w:val="auto"/>
          <w:sz w:val="20"/>
          <w:szCs w:val="20"/>
        </w:rPr>
      </w:pPr>
    </w:p>
    <w:p w14:paraId="5EB514B5" w14:textId="77777777" w:rsidR="00D119E7" w:rsidRPr="009979BF" w:rsidRDefault="00D119E7" w:rsidP="004D5897">
      <w:pPr>
        <w:jc w:val="both"/>
        <w:rPr>
          <w:b/>
          <w:color w:val="auto"/>
          <w:sz w:val="20"/>
          <w:szCs w:val="20"/>
        </w:rPr>
      </w:pPr>
    </w:p>
    <w:p w14:paraId="63E8460F" w14:textId="77777777" w:rsidR="00D119E7" w:rsidRPr="009979BF" w:rsidRDefault="00D119E7" w:rsidP="004D5897">
      <w:pPr>
        <w:jc w:val="both"/>
        <w:rPr>
          <w:b/>
          <w:color w:val="auto"/>
          <w:sz w:val="20"/>
          <w:szCs w:val="20"/>
        </w:rPr>
      </w:pPr>
    </w:p>
    <w:p w14:paraId="60D49346" w14:textId="77777777" w:rsidR="00D119E7" w:rsidRPr="009979BF" w:rsidRDefault="00D119E7" w:rsidP="004D5897">
      <w:pPr>
        <w:jc w:val="both"/>
        <w:rPr>
          <w:b/>
          <w:color w:val="auto"/>
          <w:sz w:val="20"/>
          <w:szCs w:val="20"/>
        </w:rPr>
      </w:pPr>
    </w:p>
    <w:p w14:paraId="5622DEDD" w14:textId="77777777" w:rsidR="00D119E7" w:rsidRPr="009979BF" w:rsidRDefault="00D119E7" w:rsidP="004D5897">
      <w:pPr>
        <w:jc w:val="both"/>
        <w:rPr>
          <w:b/>
          <w:color w:val="auto"/>
          <w:sz w:val="20"/>
          <w:szCs w:val="20"/>
        </w:rPr>
      </w:pPr>
    </w:p>
    <w:p w14:paraId="12CC967C" w14:textId="77777777" w:rsidR="00D119E7" w:rsidRPr="009979BF" w:rsidRDefault="00D119E7" w:rsidP="004D5897">
      <w:pPr>
        <w:jc w:val="both"/>
        <w:rPr>
          <w:b/>
          <w:color w:val="auto"/>
          <w:sz w:val="20"/>
          <w:szCs w:val="20"/>
        </w:rPr>
      </w:pPr>
    </w:p>
    <w:p w14:paraId="4DB5D07D" w14:textId="77777777" w:rsidR="00D119E7" w:rsidRPr="009979BF" w:rsidRDefault="00D119E7" w:rsidP="004D5897">
      <w:pPr>
        <w:jc w:val="both"/>
        <w:rPr>
          <w:b/>
          <w:color w:val="auto"/>
          <w:sz w:val="20"/>
          <w:szCs w:val="20"/>
        </w:rPr>
      </w:pPr>
    </w:p>
    <w:p w14:paraId="530C2326" w14:textId="77777777" w:rsidR="00D119E7" w:rsidRPr="009979BF" w:rsidRDefault="00D119E7" w:rsidP="004D5897">
      <w:pPr>
        <w:jc w:val="both"/>
        <w:rPr>
          <w:b/>
          <w:color w:val="auto"/>
          <w:sz w:val="20"/>
          <w:szCs w:val="20"/>
        </w:rPr>
      </w:pPr>
    </w:p>
    <w:p w14:paraId="13AD5D8C" w14:textId="77777777" w:rsidR="00D119E7" w:rsidRPr="009979BF" w:rsidRDefault="00D119E7" w:rsidP="004D5897">
      <w:pPr>
        <w:jc w:val="both"/>
        <w:rPr>
          <w:b/>
          <w:color w:val="auto"/>
          <w:sz w:val="20"/>
          <w:szCs w:val="20"/>
        </w:rPr>
      </w:pPr>
    </w:p>
    <w:p w14:paraId="7CEA772F" w14:textId="77777777" w:rsidR="00D119E7" w:rsidRPr="009979BF" w:rsidRDefault="00D119E7" w:rsidP="004D5897">
      <w:pPr>
        <w:jc w:val="both"/>
        <w:rPr>
          <w:b/>
          <w:color w:val="auto"/>
          <w:sz w:val="20"/>
          <w:szCs w:val="20"/>
        </w:rPr>
      </w:pPr>
    </w:p>
    <w:p w14:paraId="49EB302C" w14:textId="77777777" w:rsidR="00D119E7" w:rsidRPr="009979BF" w:rsidRDefault="00D119E7" w:rsidP="004D5897">
      <w:pPr>
        <w:jc w:val="both"/>
        <w:rPr>
          <w:b/>
          <w:color w:val="auto"/>
          <w:sz w:val="20"/>
          <w:szCs w:val="20"/>
        </w:rPr>
      </w:pPr>
    </w:p>
    <w:p w14:paraId="5EA3E99D" w14:textId="77777777" w:rsidR="00D119E7" w:rsidRPr="009979BF" w:rsidRDefault="00D119E7" w:rsidP="004D5897">
      <w:pPr>
        <w:jc w:val="both"/>
        <w:rPr>
          <w:b/>
          <w:color w:val="auto"/>
          <w:sz w:val="20"/>
          <w:szCs w:val="20"/>
        </w:rPr>
      </w:pPr>
    </w:p>
    <w:p w14:paraId="51461FE0" w14:textId="77777777" w:rsidR="00D119E7" w:rsidRPr="009979BF" w:rsidRDefault="00D119E7" w:rsidP="004D5897">
      <w:pPr>
        <w:jc w:val="both"/>
        <w:rPr>
          <w:b/>
          <w:color w:val="auto"/>
          <w:sz w:val="20"/>
          <w:szCs w:val="20"/>
        </w:rPr>
      </w:pPr>
    </w:p>
    <w:p w14:paraId="0A41A72D" w14:textId="77777777" w:rsidR="00D119E7" w:rsidRPr="009979BF" w:rsidRDefault="00D119E7" w:rsidP="004D5897">
      <w:pPr>
        <w:jc w:val="both"/>
        <w:rPr>
          <w:b/>
          <w:color w:val="auto"/>
          <w:sz w:val="20"/>
          <w:szCs w:val="20"/>
        </w:rPr>
      </w:pPr>
    </w:p>
    <w:p w14:paraId="13B711D0" w14:textId="77777777" w:rsidR="00D119E7" w:rsidRPr="009979BF" w:rsidRDefault="00D119E7" w:rsidP="004D5897">
      <w:pPr>
        <w:jc w:val="both"/>
        <w:rPr>
          <w:b/>
          <w:color w:val="auto"/>
          <w:sz w:val="20"/>
          <w:szCs w:val="20"/>
        </w:rPr>
      </w:pPr>
    </w:p>
    <w:p w14:paraId="71330F55" w14:textId="77777777" w:rsidR="00D119E7" w:rsidRPr="009979BF" w:rsidRDefault="00D119E7" w:rsidP="004D5897">
      <w:pPr>
        <w:jc w:val="both"/>
        <w:rPr>
          <w:b/>
          <w:color w:val="auto"/>
          <w:sz w:val="20"/>
          <w:szCs w:val="20"/>
        </w:rPr>
      </w:pPr>
    </w:p>
    <w:p w14:paraId="4EE0279D" w14:textId="77777777" w:rsidR="00D119E7" w:rsidRPr="009979BF" w:rsidRDefault="00D119E7" w:rsidP="004D5897">
      <w:pPr>
        <w:jc w:val="both"/>
        <w:rPr>
          <w:b/>
          <w:color w:val="auto"/>
          <w:sz w:val="20"/>
          <w:szCs w:val="20"/>
        </w:rPr>
      </w:pPr>
    </w:p>
    <w:p w14:paraId="085C9611" w14:textId="77777777" w:rsidR="00D119E7" w:rsidRPr="009979BF" w:rsidRDefault="00D119E7" w:rsidP="004D5897">
      <w:pPr>
        <w:jc w:val="both"/>
        <w:rPr>
          <w:b/>
          <w:color w:val="auto"/>
          <w:sz w:val="20"/>
          <w:szCs w:val="20"/>
        </w:rPr>
      </w:pPr>
    </w:p>
    <w:p w14:paraId="62F5D075" w14:textId="77777777" w:rsidR="00D119E7" w:rsidRPr="009979BF" w:rsidRDefault="00D119E7" w:rsidP="004D5897">
      <w:pPr>
        <w:jc w:val="both"/>
        <w:rPr>
          <w:b/>
          <w:color w:val="auto"/>
          <w:sz w:val="20"/>
          <w:szCs w:val="20"/>
        </w:rPr>
      </w:pPr>
    </w:p>
    <w:p w14:paraId="0B4B00E2" w14:textId="77777777" w:rsidR="00D119E7" w:rsidRPr="009979BF" w:rsidRDefault="00D119E7" w:rsidP="004D5897">
      <w:pPr>
        <w:jc w:val="both"/>
        <w:rPr>
          <w:b/>
          <w:color w:val="auto"/>
          <w:sz w:val="20"/>
          <w:szCs w:val="20"/>
        </w:rPr>
      </w:pPr>
    </w:p>
    <w:p w14:paraId="576D928D" w14:textId="77777777" w:rsidR="00D119E7" w:rsidRPr="009979BF" w:rsidRDefault="00D119E7" w:rsidP="004D5897">
      <w:pPr>
        <w:jc w:val="both"/>
        <w:rPr>
          <w:b/>
          <w:color w:val="auto"/>
          <w:sz w:val="20"/>
          <w:szCs w:val="20"/>
        </w:rPr>
      </w:pPr>
    </w:p>
    <w:p w14:paraId="219C0AC2" w14:textId="77777777" w:rsidR="00D119E7" w:rsidRPr="009979BF" w:rsidRDefault="00D119E7" w:rsidP="004D5897">
      <w:pPr>
        <w:jc w:val="both"/>
        <w:rPr>
          <w:b/>
          <w:color w:val="auto"/>
          <w:sz w:val="20"/>
          <w:szCs w:val="20"/>
        </w:rPr>
      </w:pPr>
    </w:p>
    <w:p w14:paraId="7A557EA7" w14:textId="77777777" w:rsidR="004D5897" w:rsidRPr="009979BF" w:rsidRDefault="004D5897" w:rsidP="004D5897">
      <w:pPr>
        <w:jc w:val="both"/>
        <w:rPr>
          <w:b/>
          <w:color w:val="auto"/>
          <w:sz w:val="20"/>
          <w:szCs w:val="20"/>
        </w:rPr>
      </w:pPr>
      <w:r w:rsidRPr="009979BF">
        <w:rPr>
          <w:b/>
          <w:color w:val="auto"/>
          <w:sz w:val="20"/>
          <w:szCs w:val="20"/>
        </w:rPr>
        <w:t xml:space="preserve">Table 2 </w:t>
      </w:r>
      <w:r w:rsidRPr="009979BF">
        <w:rPr>
          <w:color w:val="auto"/>
          <w:sz w:val="20"/>
          <w:szCs w:val="20"/>
          <w:u w:val="single"/>
        </w:rPr>
        <w:t>Distribution of psychosocial scores by final diagnosis</w:t>
      </w:r>
      <w:r w:rsidRPr="009979BF">
        <w:rPr>
          <w:color w:val="auto"/>
          <w:sz w:val="20"/>
          <w:szCs w:val="20"/>
        </w:rPr>
        <w:t xml:space="preserve"> </w:t>
      </w:r>
    </w:p>
    <w:p w14:paraId="3CE8C621" w14:textId="77777777" w:rsidR="004D5897" w:rsidRPr="009979BF" w:rsidRDefault="00C45E5C" w:rsidP="004D5897">
      <w:pPr>
        <w:rPr>
          <w:color w:val="auto"/>
          <w:sz w:val="20"/>
          <w:szCs w:val="20"/>
        </w:rPr>
      </w:pPr>
      <w:r w:rsidRPr="009979BF">
        <w:rPr>
          <w:b/>
          <w:color w:val="auto"/>
          <w:sz w:val="20"/>
          <w:szCs w:val="20"/>
        </w:rPr>
        <w:t>Tab 2.a</w:t>
      </w:r>
      <w:r w:rsidRPr="009979BF">
        <w:rPr>
          <w:color w:val="auto"/>
          <w:sz w:val="20"/>
          <w:szCs w:val="20"/>
        </w:rPr>
        <w:t xml:space="preserve"> Distribution of psychosocial scores by final diagnosis within the baseline group and results from </w:t>
      </w:r>
      <w:r w:rsidR="004776E6" w:rsidRPr="009979BF">
        <w:rPr>
          <w:color w:val="auto"/>
          <w:sz w:val="20"/>
          <w:szCs w:val="20"/>
        </w:rPr>
        <w:t>student’s</w:t>
      </w:r>
      <w:r w:rsidRPr="009979BF">
        <w:rPr>
          <w:color w:val="auto"/>
          <w:sz w:val="20"/>
          <w:szCs w:val="20"/>
        </w:rPr>
        <w:t xml:space="preserve"> t-test</w:t>
      </w:r>
      <w:r w:rsidR="004D5897" w:rsidRPr="009979BF">
        <w:rPr>
          <w:color w:val="auto"/>
          <w:sz w:val="20"/>
          <w:szCs w:val="20"/>
        </w:rPr>
        <w:t xml:space="preserve"> </w:t>
      </w:r>
    </w:p>
    <w:p w14:paraId="4905A466" w14:textId="77777777" w:rsidR="004D5897" w:rsidRPr="009979BF" w:rsidRDefault="004D5897" w:rsidP="004D5897">
      <w:pPr>
        <w:rPr>
          <w:color w:val="auto"/>
          <w:sz w:val="20"/>
          <w:szCs w:val="20"/>
        </w:rPr>
      </w:pPr>
    </w:p>
    <w:tbl>
      <w:tblPr>
        <w:tblW w:w="5000" w:type="pct"/>
        <w:tblLook w:val="04A0" w:firstRow="1" w:lastRow="0" w:firstColumn="1" w:lastColumn="0" w:noHBand="0" w:noVBand="1"/>
      </w:tblPr>
      <w:tblGrid>
        <w:gridCol w:w="1905"/>
        <w:gridCol w:w="725"/>
        <w:gridCol w:w="725"/>
        <w:gridCol w:w="1031"/>
        <w:gridCol w:w="743"/>
        <w:gridCol w:w="743"/>
        <w:gridCol w:w="749"/>
        <w:gridCol w:w="741"/>
        <w:gridCol w:w="738"/>
        <w:gridCol w:w="1142"/>
      </w:tblGrid>
      <w:tr w:rsidR="00F21EFE" w:rsidRPr="009979BF" w14:paraId="7630CF03" w14:textId="77777777" w:rsidTr="00F21EFE">
        <w:trPr>
          <w:trHeight w:val="900"/>
        </w:trPr>
        <w:tc>
          <w:tcPr>
            <w:tcW w:w="1031" w:type="pct"/>
            <w:tcBorders>
              <w:top w:val="nil"/>
              <w:left w:val="nil"/>
              <w:bottom w:val="nil"/>
              <w:right w:val="nil"/>
            </w:tcBorders>
            <w:shd w:val="clear" w:color="auto" w:fill="auto"/>
            <w:noWrap/>
            <w:vAlign w:val="center"/>
            <w:hideMark/>
          </w:tcPr>
          <w:p w14:paraId="7880B0AC" w14:textId="77777777" w:rsidR="00F21EFE" w:rsidRPr="009979BF" w:rsidRDefault="00F21EFE" w:rsidP="00F21EFE">
            <w:pPr>
              <w:rPr>
                <w:rFonts w:cstheme="minorHAnsi"/>
                <w:color w:val="auto"/>
                <w:sz w:val="20"/>
                <w:szCs w:val="20"/>
              </w:rPr>
            </w:pPr>
          </w:p>
        </w:tc>
        <w:tc>
          <w:tcPr>
            <w:tcW w:w="392" w:type="pct"/>
            <w:tcBorders>
              <w:top w:val="nil"/>
              <w:left w:val="nil"/>
              <w:bottom w:val="nil"/>
              <w:right w:val="nil"/>
            </w:tcBorders>
            <w:shd w:val="clear" w:color="auto" w:fill="auto"/>
            <w:noWrap/>
            <w:vAlign w:val="center"/>
            <w:hideMark/>
          </w:tcPr>
          <w:p w14:paraId="7C06AB98" w14:textId="77777777" w:rsidR="00F21EFE" w:rsidRPr="009979BF" w:rsidRDefault="00F21EFE" w:rsidP="00F21EFE">
            <w:pPr>
              <w:rPr>
                <w:rFonts w:cstheme="minorHAnsi"/>
                <w:color w:val="auto"/>
                <w:sz w:val="20"/>
                <w:szCs w:val="20"/>
              </w:rPr>
            </w:pPr>
          </w:p>
        </w:tc>
        <w:tc>
          <w:tcPr>
            <w:tcW w:w="392" w:type="pct"/>
            <w:tcBorders>
              <w:top w:val="single" w:sz="8" w:space="0" w:color="auto"/>
              <w:left w:val="single" w:sz="8" w:space="0" w:color="auto"/>
              <w:bottom w:val="nil"/>
              <w:right w:val="single" w:sz="4" w:space="0" w:color="auto"/>
            </w:tcBorders>
            <w:shd w:val="clear" w:color="auto" w:fill="auto"/>
            <w:vAlign w:val="center"/>
            <w:hideMark/>
          </w:tcPr>
          <w:p w14:paraId="26F1E2D4" w14:textId="77777777" w:rsidR="00F21EFE" w:rsidRPr="009979BF" w:rsidRDefault="00F21EFE" w:rsidP="00F21EFE">
            <w:pPr>
              <w:jc w:val="center"/>
              <w:rPr>
                <w:rFonts w:cstheme="minorHAnsi"/>
                <w:b/>
                <w:bCs/>
                <w:color w:val="auto"/>
                <w:sz w:val="20"/>
                <w:szCs w:val="20"/>
              </w:rPr>
            </w:pPr>
            <w:r w:rsidRPr="009979BF">
              <w:rPr>
                <w:rFonts w:cstheme="minorHAnsi"/>
                <w:b/>
                <w:bCs/>
                <w:color w:val="auto"/>
                <w:sz w:val="20"/>
                <w:szCs w:val="20"/>
              </w:rPr>
              <w:t>Score</w:t>
            </w:r>
          </w:p>
        </w:tc>
        <w:tc>
          <w:tcPr>
            <w:tcW w:w="558" w:type="pct"/>
            <w:tcBorders>
              <w:top w:val="single" w:sz="8" w:space="0" w:color="auto"/>
              <w:left w:val="nil"/>
              <w:bottom w:val="nil"/>
              <w:right w:val="single" w:sz="4" w:space="0" w:color="auto"/>
            </w:tcBorders>
            <w:shd w:val="clear" w:color="auto" w:fill="auto"/>
            <w:vAlign w:val="center"/>
            <w:hideMark/>
          </w:tcPr>
          <w:p w14:paraId="28979531" w14:textId="77777777" w:rsidR="00F21EFE" w:rsidRPr="009979BF" w:rsidRDefault="00F21EFE" w:rsidP="00F21EFE">
            <w:pPr>
              <w:jc w:val="center"/>
              <w:rPr>
                <w:rFonts w:cstheme="minorHAnsi"/>
                <w:b/>
                <w:bCs/>
                <w:color w:val="auto"/>
                <w:sz w:val="20"/>
                <w:szCs w:val="20"/>
              </w:rPr>
            </w:pPr>
            <w:r w:rsidRPr="009979BF">
              <w:rPr>
                <w:rFonts w:cstheme="minorHAnsi"/>
                <w:b/>
                <w:bCs/>
                <w:color w:val="auto"/>
                <w:sz w:val="20"/>
                <w:szCs w:val="20"/>
              </w:rPr>
              <w:t>95% CI</w:t>
            </w:r>
          </w:p>
        </w:tc>
        <w:tc>
          <w:tcPr>
            <w:tcW w:w="402" w:type="pct"/>
            <w:tcBorders>
              <w:top w:val="single" w:sz="8" w:space="0" w:color="auto"/>
              <w:left w:val="nil"/>
              <w:bottom w:val="single" w:sz="8" w:space="0" w:color="auto"/>
              <w:right w:val="single" w:sz="8" w:space="0" w:color="auto"/>
            </w:tcBorders>
            <w:shd w:val="clear" w:color="auto" w:fill="auto"/>
            <w:vAlign w:val="center"/>
            <w:hideMark/>
          </w:tcPr>
          <w:p w14:paraId="5A4338CA" w14:textId="77777777" w:rsidR="00F21EFE" w:rsidRPr="009979BF" w:rsidRDefault="00F21EFE" w:rsidP="00F21EFE">
            <w:pPr>
              <w:jc w:val="center"/>
              <w:rPr>
                <w:rFonts w:cstheme="minorHAnsi"/>
                <w:b/>
                <w:color w:val="auto"/>
                <w:sz w:val="20"/>
                <w:szCs w:val="20"/>
              </w:rPr>
            </w:pPr>
            <w:r w:rsidRPr="009979BF">
              <w:rPr>
                <w:rFonts w:cstheme="minorHAnsi"/>
                <w:b/>
                <w:color w:val="auto"/>
                <w:sz w:val="20"/>
                <w:szCs w:val="20"/>
              </w:rPr>
              <w:t>p-value  NSGI vs. CT</w:t>
            </w:r>
          </w:p>
        </w:tc>
        <w:tc>
          <w:tcPr>
            <w:tcW w:w="402" w:type="pct"/>
            <w:tcBorders>
              <w:top w:val="single" w:sz="8" w:space="0" w:color="auto"/>
              <w:left w:val="nil"/>
              <w:bottom w:val="single" w:sz="8" w:space="0" w:color="auto"/>
              <w:right w:val="single" w:sz="8" w:space="0" w:color="auto"/>
            </w:tcBorders>
            <w:shd w:val="clear" w:color="auto" w:fill="auto"/>
            <w:vAlign w:val="center"/>
            <w:hideMark/>
          </w:tcPr>
          <w:p w14:paraId="5FE67BDE" w14:textId="77777777" w:rsidR="00F21EFE" w:rsidRPr="009979BF" w:rsidRDefault="00F21EFE" w:rsidP="00F21EFE">
            <w:pPr>
              <w:jc w:val="center"/>
              <w:rPr>
                <w:rFonts w:cstheme="minorHAnsi"/>
                <w:b/>
                <w:color w:val="auto"/>
                <w:sz w:val="20"/>
                <w:szCs w:val="20"/>
              </w:rPr>
            </w:pPr>
            <w:r w:rsidRPr="009979BF">
              <w:rPr>
                <w:rFonts w:cstheme="minorHAnsi"/>
                <w:b/>
                <w:color w:val="auto"/>
                <w:sz w:val="20"/>
                <w:szCs w:val="20"/>
              </w:rPr>
              <w:t>p-value  NSGI vs. NAD</w:t>
            </w:r>
          </w:p>
        </w:tc>
        <w:tc>
          <w:tcPr>
            <w:tcW w:w="405" w:type="pct"/>
            <w:tcBorders>
              <w:top w:val="single" w:sz="8" w:space="0" w:color="auto"/>
              <w:left w:val="nil"/>
              <w:bottom w:val="single" w:sz="8" w:space="0" w:color="auto"/>
              <w:right w:val="single" w:sz="8" w:space="0" w:color="auto"/>
            </w:tcBorders>
            <w:shd w:val="clear" w:color="auto" w:fill="auto"/>
            <w:vAlign w:val="center"/>
            <w:hideMark/>
          </w:tcPr>
          <w:p w14:paraId="282ACF5D" w14:textId="77777777" w:rsidR="00F21EFE" w:rsidRPr="009979BF" w:rsidRDefault="00F21EFE" w:rsidP="00F21EFE">
            <w:pPr>
              <w:jc w:val="center"/>
              <w:rPr>
                <w:rFonts w:cstheme="minorHAnsi"/>
                <w:b/>
                <w:color w:val="auto"/>
                <w:sz w:val="20"/>
                <w:szCs w:val="20"/>
              </w:rPr>
            </w:pPr>
            <w:r w:rsidRPr="009979BF">
              <w:rPr>
                <w:rFonts w:cstheme="minorHAnsi"/>
                <w:b/>
                <w:color w:val="auto"/>
                <w:sz w:val="20"/>
                <w:szCs w:val="20"/>
              </w:rPr>
              <w:t>p-value   CT vs. NAD</w:t>
            </w:r>
          </w:p>
        </w:tc>
        <w:tc>
          <w:tcPr>
            <w:tcW w:w="401" w:type="pct"/>
            <w:tcBorders>
              <w:top w:val="single" w:sz="8" w:space="0" w:color="auto"/>
              <w:left w:val="nil"/>
              <w:bottom w:val="single" w:sz="8" w:space="0" w:color="auto"/>
              <w:right w:val="single" w:sz="8" w:space="0" w:color="auto"/>
            </w:tcBorders>
            <w:vAlign w:val="center"/>
          </w:tcPr>
          <w:p w14:paraId="0D61E2DA" w14:textId="77777777" w:rsidR="00F21EFE" w:rsidRPr="009979BF" w:rsidRDefault="00F21EFE" w:rsidP="00F21EFE">
            <w:pPr>
              <w:jc w:val="center"/>
              <w:rPr>
                <w:rFonts w:cstheme="minorHAnsi"/>
                <w:b/>
                <w:color w:val="auto"/>
                <w:sz w:val="20"/>
                <w:szCs w:val="20"/>
              </w:rPr>
            </w:pPr>
            <w:r w:rsidRPr="009979BF">
              <w:rPr>
                <w:rFonts w:cstheme="minorHAnsi"/>
                <w:b/>
                <w:color w:val="auto"/>
                <w:sz w:val="20"/>
                <w:szCs w:val="20"/>
              </w:rPr>
              <w:t>p-value NG vs. CT</w:t>
            </w:r>
          </w:p>
        </w:tc>
        <w:tc>
          <w:tcPr>
            <w:tcW w:w="399" w:type="pct"/>
            <w:tcBorders>
              <w:top w:val="single" w:sz="8" w:space="0" w:color="auto"/>
              <w:left w:val="nil"/>
              <w:bottom w:val="single" w:sz="8" w:space="0" w:color="auto"/>
              <w:right w:val="single" w:sz="8" w:space="0" w:color="auto"/>
            </w:tcBorders>
          </w:tcPr>
          <w:p w14:paraId="7F488448" w14:textId="77777777" w:rsidR="00F21EFE" w:rsidRPr="009979BF" w:rsidRDefault="00F21EFE" w:rsidP="00F21EFE">
            <w:pPr>
              <w:jc w:val="center"/>
              <w:rPr>
                <w:rFonts w:cstheme="minorHAnsi"/>
                <w:b/>
                <w:color w:val="auto"/>
                <w:sz w:val="20"/>
                <w:szCs w:val="20"/>
              </w:rPr>
            </w:pPr>
            <w:r w:rsidRPr="009979BF">
              <w:rPr>
                <w:rFonts w:cstheme="minorHAnsi"/>
                <w:b/>
                <w:color w:val="auto"/>
                <w:sz w:val="20"/>
                <w:szCs w:val="20"/>
              </w:rPr>
              <w:t>p-value NG vs. NSGI</w:t>
            </w:r>
          </w:p>
        </w:tc>
        <w:tc>
          <w:tcPr>
            <w:tcW w:w="618" w:type="pct"/>
            <w:tcBorders>
              <w:top w:val="single" w:sz="8" w:space="0" w:color="auto"/>
              <w:left w:val="nil"/>
              <w:bottom w:val="single" w:sz="8" w:space="0" w:color="auto"/>
              <w:right w:val="single" w:sz="8" w:space="0" w:color="auto"/>
            </w:tcBorders>
          </w:tcPr>
          <w:p w14:paraId="1C07BC1D" w14:textId="77777777" w:rsidR="00F21EFE" w:rsidRPr="009979BF" w:rsidRDefault="00F21EFE" w:rsidP="00F21EFE">
            <w:pPr>
              <w:jc w:val="center"/>
              <w:rPr>
                <w:rFonts w:cstheme="minorHAnsi"/>
                <w:b/>
                <w:color w:val="auto"/>
                <w:sz w:val="20"/>
                <w:szCs w:val="20"/>
              </w:rPr>
            </w:pPr>
            <w:r w:rsidRPr="009979BF">
              <w:rPr>
                <w:rFonts w:cstheme="minorHAnsi"/>
                <w:b/>
                <w:color w:val="auto"/>
                <w:sz w:val="20"/>
                <w:szCs w:val="20"/>
              </w:rPr>
              <w:t xml:space="preserve">p-value </w:t>
            </w:r>
          </w:p>
          <w:p w14:paraId="6FC8650C" w14:textId="77777777" w:rsidR="00F21EFE" w:rsidRPr="009979BF" w:rsidRDefault="00F21EFE" w:rsidP="00F21EFE">
            <w:pPr>
              <w:jc w:val="center"/>
              <w:rPr>
                <w:rFonts w:cstheme="minorHAnsi"/>
                <w:b/>
                <w:color w:val="auto"/>
                <w:sz w:val="20"/>
                <w:szCs w:val="20"/>
              </w:rPr>
            </w:pPr>
            <w:r w:rsidRPr="009979BF">
              <w:rPr>
                <w:rFonts w:cstheme="minorHAnsi"/>
                <w:b/>
                <w:color w:val="auto"/>
                <w:sz w:val="20"/>
                <w:szCs w:val="20"/>
              </w:rPr>
              <w:t xml:space="preserve">NG </w:t>
            </w:r>
          </w:p>
          <w:p w14:paraId="75D96642" w14:textId="77777777" w:rsidR="00F21EFE" w:rsidRPr="009979BF" w:rsidRDefault="00F21EFE" w:rsidP="00F21EFE">
            <w:pPr>
              <w:jc w:val="center"/>
              <w:rPr>
                <w:rFonts w:cstheme="minorHAnsi"/>
                <w:b/>
                <w:color w:val="auto"/>
                <w:sz w:val="20"/>
                <w:szCs w:val="20"/>
              </w:rPr>
            </w:pPr>
            <w:r w:rsidRPr="009979BF">
              <w:rPr>
                <w:rFonts w:cstheme="minorHAnsi"/>
                <w:b/>
                <w:color w:val="auto"/>
                <w:sz w:val="20"/>
                <w:szCs w:val="20"/>
              </w:rPr>
              <w:t xml:space="preserve">vs. </w:t>
            </w:r>
          </w:p>
          <w:p w14:paraId="3034D735" w14:textId="77777777" w:rsidR="00F21EFE" w:rsidRPr="009979BF" w:rsidRDefault="00F21EFE" w:rsidP="00F21EFE">
            <w:pPr>
              <w:jc w:val="center"/>
              <w:rPr>
                <w:rFonts w:cstheme="minorHAnsi"/>
                <w:b/>
                <w:color w:val="auto"/>
                <w:sz w:val="20"/>
                <w:szCs w:val="20"/>
              </w:rPr>
            </w:pPr>
            <w:r w:rsidRPr="009979BF">
              <w:rPr>
                <w:rFonts w:cstheme="minorHAnsi"/>
                <w:b/>
                <w:color w:val="auto"/>
                <w:sz w:val="20"/>
                <w:szCs w:val="20"/>
              </w:rPr>
              <w:t>NAD</w:t>
            </w:r>
          </w:p>
        </w:tc>
      </w:tr>
      <w:tr w:rsidR="00F21EFE" w:rsidRPr="009979BF" w14:paraId="15C17482" w14:textId="77777777" w:rsidTr="00F21EFE">
        <w:trPr>
          <w:trHeight w:val="293"/>
        </w:trPr>
        <w:tc>
          <w:tcPr>
            <w:tcW w:w="1031" w:type="pct"/>
            <w:vMerge w:val="restart"/>
            <w:tcBorders>
              <w:top w:val="single" w:sz="8" w:space="0" w:color="auto"/>
              <w:left w:val="single" w:sz="8" w:space="0" w:color="auto"/>
              <w:right w:val="nil"/>
            </w:tcBorders>
            <w:shd w:val="clear" w:color="auto" w:fill="auto"/>
            <w:vAlign w:val="center"/>
          </w:tcPr>
          <w:p w14:paraId="4982A039" w14:textId="77777777" w:rsidR="00F21EFE" w:rsidRPr="009979BF" w:rsidRDefault="00F21EFE" w:rsidP="00F21EFE">
            <w:pPr>
              <w:rPr>
                <w:rFonts w:cstheme="minorHAnsi"/>
                <w:b/>
                <w:color w:val="auto"/>
                <w:sz w:val="20"/>
                <w:szCs w:val="20"/>
              </w:rPr>
            </w:pPr>
            <w:r w:rsidRPr="009979BF">
              <w:rPr>
                <w:rFonts w:cstheme="minorHAnsi"/>
                <w:b/>
                <w:color w:val="auto"/>
                <w:sz w:val="20"/>
                <w:szCs w:val="20"/>
              </w:rPr>
              <w:t xml:space="preserve">EQ-ED-5L </w:t>
            </w:r>
          </w:p>
          <w:p w14:paraId="3349878B" w14:textId="77777777" w:rsidR="00F21EFE" w:rsidRPr="009979BF" w:rsidRDefault="00F21EFE" w:rsidP="00F21EFE">
            <w:pPr>
              <w:rPr>
                <w:rFonts w:cstheme="minorHAnsi"/>
                <w:b/>
                <w:color w:val="auto"/>
                <w:sz w:val="20"/>
                <w:szCs w:val="20"/>
              </w:rPr>
            </w:pPr>
            <w:r w:rsidRPr="009979BF">
              <w:rPr>
                <w:rFonts w:cstheme="minorHAnsi"/>
                <w:b/>
                <w:color w:val="auto"/>
                <w:sz w:val="20"/>
                <w:szCs w:val="20"/>
              </w:rPr>
              <w:t>(index value)</w:t>
            </w:r>
          </w:p>
        </w:tc>
        <w:tc>
          <w:tcPr>
            <w:tcW w:w="392" w:type="pct"/>
            <w:tcBorders>
              <w:top w:val="single" w:sz="8" w:space="0" w:color="auto"/>
              <w:left w:val="single" w:sz="8" w:space="0" w:color="auto"/>
              <w:bottom w:val="single" w:sz="4" w:space="0" w:color="auto"/>
              <w:right w:val="single" w:sz="8" w:space="0" w:color="auto"/>
            </w:tcBorders>
            <w:shd w:val="clear" w:color="auto" w:fill="auto"/>
            <w:noWrap/>
            <w:vAlign w:val="center"/>
          </w:tcPr>
          <w:p w14:paraId="26E1BB5C" w14:textId="77777777" w:rsidR="00F21EFE" w:rsidRPr="009979BF" w:rsidRDefault="00F21EFE" w:rsidP="00F21EFE">
            <w:pPr>
              <w:rPr>
                <w:rFonts w:cstheme="minorHAnsi"/>
                <w:b/>
                <w:color w:val="auto"/>
                <w:sz w:val="20"/>
                <w:szCs w:val="20"/>
              </w:rPr>
            </w:pPr>
            <w:r w:rsidRPr="009979BF">
              <w:rPr>
                <w:rFonts w:cstheme="minorHAnsi"/>
                <w:b/>
                <w:color w:val="auto"/>
                <w:sz w:val="20"/>
                <w:szCs w:val="20"/>
              </w:rPr>
              <w:t>NG</w:t>
            </w:r>
          </w:p>
        </w:tc>
        <w:tc>
          <w:tcPr>
            <w:tcW w:w="392" w:type="pct"/>
            <w:tcBorders>
              <w:top w:val="single" w:sz="8" w:space="0" w:color="auto"/>
              <w:left w:val="nil"/>
              <w:bottom w:val="single" w:sz="4" w:space="0" w:color="auto"/>
              <w:right w:val="single" w:sz="4" w:space="0" w:color="auto"/>
            </w:tcBorders>
            <w:shd w:val="clear" w:color="auto" w:fill="auto"/>
            <w:vAlign w:val="center"/>
          </w:tcPr>
          <w:p w14:paraId="3CDD866C"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t>0.46</w:t>
            </w:r>
          </w:p>
        </w:tc>
        <w:tc>
          <w:tcPr>
            <w:tcW w:w="558" w:type="pct"/>
            <w:tcBorders>
              <w:top w:val="single" w:sz="8" w:space="0" w:color="auto"/>
              <w:left w:val="nil"/>
              <w:bottom w:val="single" w:sz="4" w:space="0" w:color="auto"/>
              <w:right w:val="single" w:sz="4" w:space="0" w:color="auto"/>
            </w:tcBorders>
            <w:shd w:val="clear" w:color="auto" w:fill="auto"/>
            <w:vAlign w:val="center"/>
          </w:tcPr>
          <w:p w14:paraId="197ABA73"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t>0.28-0.64</w:t>
            </w:r>
          </w:p>
        </w:tc>
        <w:tc>
          <w:tcPr>
            <w:tcW w:w="402" w:type="pct"/>
            <w:vMerge w:val="restart"/>
            <w:tcBorders>
              <w:top w:val="nil"/>
              <w:left w:val="nil"/>
              <w:right w:val="nil"/>
            </w:tcBorders>
            <w:shd w:val="clear" w:color="auto" w:fill="auto"/>
            <w:noWrap/>
            <w:vAlign w:val="center"/>
          </w:tcPr>
          <w:p w14:paraId="144F7FC2"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t>0.238</w:t>
            </w:r>
          </w:p>
        </w:tc>
        <w:tc>
          <w:tcPr>
            <w:tcW w:w="402" w:type="pct"/>
            <w:vMerge w:val="restart"/>
            <w:tcBorders>
              <w:top w:val="nil"/>
              <w:left w:val="single" w:sz="8" w:space="0" w:color="auto"/>
              <w:right w:val="nil"/>
            </w:tcBorders>
            <w:shd w:val="clear" w:color="auto" w:fill="auto"/>
            <w:noWrap/>
            <w:vAlign w:val="center"/>
          </w:tcPr>
          <w:p w14:paraId="48E4EEDF"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t>0.367</w:t>
            </w:r>
          </w:p>
        </w:tc>
        <w:tc>
          <w:tcPr>
            <w:tcW w:w="405" w:type="pct"/>
            <w:vMerge w:val="restart"/>
            <w:tcBorders>
              <w:top w:val="nil"/>
              <w:left w:val="single" w:sz="8" w:space="0" w:color="auto"/>
              <w:right w:val="single" w:sz="8" w:space="0" w:color="auto"/>
            </w:tcBorders>
            <w:shd w:val="clear" w:color="auto" w:fill="auto"/>
            <w:noWrap/>
            <w:vAlign w:val="center"/>
          </w:tcPr>
          <w:p w14:paraId="11ACC019"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t>0.708</w:t>
            </w:r>
          </w:p>
        </w:tc>
        <w:tc>
          <w:tcPr>
            <w:tcW w:w="401" w:type="pct"/>
            <w:vMerge w:val="restart"/>
            <w:tcBorders>
              <w:top w:val="nil"/>
              <w:left w:val="single" w:sz="8" w:space="0" w:color="auto"/>
              <w:right w:val="single" w:sz="8" w:space="0" w:color="auto"/>
            </w:tcBorders>
            <w:vAlign w:val="center"/>
          </w:tcPr>
          <w:p w14:paraId="2B5245D1"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t>0.700</w:t>
            </w:r>
          </w:p>
        </w:tc>
        <w:tc>
          <w:tcPr>
            <w:tcW w:w="399" w:type="pct"/>
            <w:vMerge w:val="restart"/>
            <w:tcBorders>
              <w:top w:val="nil"/>
              <w:left w:val="single" w:sz="8" w:space="0" w:color="auto"/>
              <w:right w:val="single" w:sz="8" w:space="0" w:color="auto"/>
            </w:tcBorders>
            <w:vAlign w:val="center"/>
          </w:tcPr>
          <w:p w14:paraId="0E4D2863"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t>0.794</w:t>
            </w:r>
          </w:p>
        </w:tc>
        <w:tc>
          <w:tcPr>
            <w:tcW w:w="618" w:type="pct"/>
            <w:vMerge w:val="restart"/>
            <w:tcBorders>
              <w:top w:val="nil"/>
              <w:left w:val="single" w:sz="8" w:space="0" w:color="auto"/>
              <w:right w:val="single" w:sz="8" w:space="0" w:color="auto"/>
            </w:tcBorders>
            <w:vAlign w:val="center"/>
          </w:tcPr>
          <w:p w14:paraId="4113200D"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t>0.882</w:t>
            </w:r>
          </w:p>
        </w:tc>
      </w:tr>
      <w:tr w:rsidR="00F21EFE" w:rsidRPr="009979BF" w14:paraId="33A81FF3" w14:textId="77777777" w:rsidTr="00F21EFE">
        <w:trPr>
          <w:trHeight w:val="300"/>
        </w:trPr>
        <w:tc>
          <w:tcPr>
            <w:tcW w:w="1031" w:type="pct"/>
            <w:vMerge/>
            <w:tcBorders>
              <w:left w:val="single" w:sz="8" w:space="0" w:color="auto"/>
              <w:right w:val="nil"/>
            </w:tcBorders>
            <w:shd w:val="clear" w:color="auto" w:fill="auto"/>
            <w:vAlign w:val="center"/>
            <w:hideMark/>
          </w:tcPr>
          <w:p w14:paraId="399F5447" w14:textId="77777777" w:rsidR="00F21EFE" w:rsidRPr="009979BF" w:rsidRDefault="00F21EFE" w:rsidP="00F21EFE">
            <w:pPr>
              <w:rPr>
                <w:rFonts w:cstheme="minorHAnsi"/>
                <w:b/>
                <w:color w:val="auto"/>
                <w:sz w:val="20"/>
                <w:szCs w:val="20"/>
              </w:rPr>
            </w:pPr>
          </w:p>
        </w:tc>
        <w:tc>
          <w:tcPr>
            <w:tcW w:w="392"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070F259" w14:textId="77777777" w:rsidR="00F21EFE" w:rsidRPr="009979BF" w:rsidRDefault="00B907B3" w:rsidP="00F21EFE">
            <w:pPr>
              <w:rPr>
                <w:rFonts w:cstheme="minorHAnsi"/>
                <w:b/>
                <w:color w:val="auto"/>
                <w:sz w:val="20"/>
                <w:szCs w:val="20"/>
              </w:rPr>
            </w:pPr>
            <w:r w:rsidRPr="009979BF">
              <w:rPr>
                <w:rFonts w:cstheme="minorHAnsi"/>
                <w:b/>
                <w:color w:val="auto"/>
                <w:sz w:val="20"/>
                <w:szCs w:val="20"/>
              </w:rPr>
              <w:t>NSGI</w:t>
            </w:r>
          </w:p>
        </w:tc>
        <w:tc>
          <w:tcPr>
            <w:tcW w:w="392" w:type="pct"/>
            <w:tcBorders>
              <w:top w:val="single" w:sz="8" w:space="0" w:color="auto"/>
              <w:left w:val="nil"/>
              <w:bottom w:val="single" w:sz="4" w:space="0" w:color="auto"/>
              <w:right w:val="single" w:sz="4" w:space="0" w:color="auto"/>
            </w:tcBorders>
            <w:shd w:val="clear" w:color="auto" w:fill="auto"/>
            <w:vAlign w:val="center"/>
            <w:hideMark/>
          </w:tcPr>
          <w:p w14:paraId="780E0FE7" w14:textId="77777777" w:rsidR="00F21EFE" w:rsidRPr="009979BF" w:rsidRDefault="00B907B3" w:rsidP="00F21EFE">
            <w:pPr>
              <w:jc w:val="center"/>
              <w:rPr>
                <w:rFonts w:cstheme="minorHAnsi"/>
                <w:color w:val="auto"/>
                <w:sz w:val="20"/>
                <w:szCs w:val="20"/>
              </w:rPr>
            </w:pPr>
            <w:r w:rsidRPr="009979BF">
              <w:rPr>
                <w:rFonts w:cstheme="minorHAnsi"/>
                <w:color w:val="auto"/>
                <w:sz w:val="20"/>
                <w:szCs w:val="20"/>
              </w:rPr>
              <w:t>0.59</w:t>
            </w:r>
          </w:p>
        </w:tc>
        <w:tc>
          <w:tcPr>
            <w:tcW w:w="558" w:type="pct"/>
            <w:tcBorders>
              <w:top w:val="single" w:sz="8" w:space="0" w:color="auto"/>
              <w:left w:val="nil"/>
              <w:bottom w:val="single" w:sz="4" w:space="0" w:color="auto"/>
              <w:right w:val="single" w:sz="4" w:space="0" w:color="auto"/>
            </w:tcBorders>
            <w:shd w:val="clear" w:color="auto" w:fill="auto"/>
            <w:vAlign w:val="center"/>
          </w:tcPr>
          <w:p w14:paraId="4E850D60" w14:textId="77777777" w:rsidR="00F21EFE" w:rsidRPr="009979BF" w:rsidRDefault="00B907B3" w:rsidP="00F21EFE">
            <w:pPr>
              <w:jc w:val="center"/>
              <w:rPr>
                <w:rFonts w:cstheme="minorHAnsi"/>
                <w:color w:val="auto"/>
                <w:sz w:val="20"/>
                <w:szCs w:val="20"/>
              </w:rPr>
            </w:pPr>
            <w:r w:rsidRPr="009979BF">
              <w:rPr>
                <w:rFonts w:cstheme="minorHAnsi"/>
                <w:color w:val="auto"/>
                <w:sz w:val="20"/>
                <w:szCs w:val="20"/>
              </w:rPr>
              <w:t>0.46-0.72</w:t>
            </w:r>
          </w:p>
        </w:tc>
        <w:tc>
          <w:tcPr>
            <w:tcW w:w="402" w:type="pct"/>
            <w:vMerge/>
            <w:tcBorders>
              <w:left w:val="nil"/>
              <w:right w:val="nil"/>
            </w:tcBorders>
            <w:shd w:val="clear" w:color="auto" w:fill="auto"/>
            <w:noWrap/>
            <w:vAlign w:val="center"/>
            <w:hideMark/>
          </w:tcPr>
          <w:p w14:paraId="615EEA79" w14:textId="77777777" w:rsidR="00F21EFE" w:rsidRPr="009979BF" w:rsidRDefault="00F21EFE" w:rsidP="00F21EFE">
            <w:pPr>
              <w:jc w:val="center"/>
              <w:rPr>
                <w:rFonts w:cstheme="minorHAnsi"/>
                <w:color w:val="auto"/>
                <w:sz w:val="20"/>
                <w:szCs w:val="20"/>
              </w:rPr>
            </w:pPr>
          </w:p>
        </w:tc>
        <w:tc>
          <w:tcPr>
            <w:tcW w:w="402" w:type="pct"/>
            <w:vMerge/>
            <w:tcBorders>
              <w:left w:val="single" w:sz="8" w:space="0" w:color="auto"/>
              <w:right w:val="nil"/>
            </w:tcBorders>
            <w:shd w:val="clear" w:color="auto" w:fill="auto"/>
            <w:noWrap/>
            <w:vAlign w:val="center"/>
            <w:hideMark/>
          </w:tcPr>
          <w:p w14:paraId="1156128E" w14:textId="77777777" w:rsidR="00F21EFE" w:rsidRPr="009979BF" w:rsidRDefault="00F21EFE" w:rsidP="00F21EFE">
            <w:pPr>
              <w:jc w:val="center"/>
              <w:rPr>
                <w:rFonts w:cstheme="minorHAnsi"/>
                <w:color w:val="auto"/>
                <w:sz w:val="20"/>
                <w:szCs w:val="20"/>
              </w:rPr>
            </w:pPr>
          </w:p>
        </w:tc>
        <w:tc>
          <w:tcPr>
            <w:tcW w:w="405" w:type="pct"/>
            <w:vMerge/>
            <w:tcBorders>
              <w:left w:val="single" w:sz="8" w:space="0" w:color="auto"/>
              <w:right w:val="single" w:sz="8" w:space="0" w:color="auto"/>
            </w:tcBorders>
            <w:shd w:val="clear" w:color="auto" w:fill="auto"/>
            <w:noWrap/>
            <w:vAlign w:val="center"/>
            <w:hideMark/>
          </w:tcPr>
          <w:p w14:paraId="2E1288F6" w14:textId="77777777" w:rsidR="00F21EFE" w:rsidRPr="009979BF" w:rsidRDefault="00F21EFE" w:rsidP="00F21EFE">
            <w:pPr>
              <w:jc w:val="center"/>
              <w:rPr>
                <w:rFonts w:cstheme="minorHAnsi"/>
                <w:color w:val="auto"/>
                <w:sz w:val="20"/>
                <w:szCs w:val="20"/>
              </w:rPr>
            </w:pPr>
          </w:p>
        </w:tc>
        <w:tc>
          <w:tcPr>
            <w:tcW w:w="401" w:type="pct"/>
            <w:vMerge/>
            <w:tcBorders>
              <w:left w:val="single" w:sz="8" w:space="0" w:color="auto"/>
              <w:right w:val="single" w:sz="8" w:space="0" w:color="auto"/>
            </w:tcBorders>
            <w:vAlign w:val="center"/>
          </w:tcPr>
          <w:p w14:paraId="181D01C3" w14:textId="77777777" w:rsidR="00F21EFE" w:rsidRPr="009979BF" w:rsidRDefault="00F21EFE" w:rsidP="00F21EFE">
            <w:pPr>
              <w:jc w:val="center"/>
              <w:rPr>
                <w:rFonts w:cstheme="minorHAnsi"/>
                <w:color w:val="auto"/>
                <w:sz w:val="20"/>
                <w:szCs w:val="20"/>
              </w:rPr>
            </w:pPr>
          </w:p>
        </w:tc>
        <w:tc>
          <w:tcPr>
            <w:tcW w:w="399" w:type="pct"/>
            <w:vMerge/>
            <w:tcBorders>
              <w:left w:val="single" w:sz="8" w:space="0" w:color="auto"/>
              <w:right w:val="single" w:sz="8" w:space="0" w:color="auto"/>
            </w:tcBorders>
            <w:vAlign w:val="center"/>
          </w:tcPr>
          <w:p w14:paraId="2BD958C1" w14:textId="77777777" w:rsidR="00F21EFE" w:rsidRPr="009979BF" w:rsidRDefault="00F21EFE" w:rsidP="00F21EFE">
            <w:pPr>
              <w:jc w:val="center"/>
              <w:rPr>
                <w:rFonts w:cstheme="minorHAnsi"/>
                <w:color w:val="auto"/>
                <w:sz w:val="20"/>
                <w:szCs w:val="20"/>
              </w:rPr>
            </w:pPr>
          </w:p>
        </w:tc>
        <w:tc>
          <w:tcPr>
            <w:tcW w:w="618" w:type="pct"/>
            <w:vMerge/>
            <w:tcBorders>
              <w:left w:val="single" w:sz="8" w:space="0" w:color="auto"/>
              <w:right w:val="single" w:sz="8" w:space="0" w:color="auto"/>
            </w:tcBorders>
            <w:vAlign w:val="center"/>
          </w:tcPr>
          <w:p w14:paraId="4C2E9F75" w14:textId="77777777" w:rsidR="00F21EFE" w:rsidRPr="009979BF" w:rsidRDefault="00F21EFE" w:rsidP="00F21EFE">
            <w:pPr>
              <w:jc w:val="center"/>
              <w:rPr>
                <w:rFonts w:cstheme="minorHAnsi"/>
                <w:color w:val="auto"/>
                <w:sz w:val="20"/>
                <w:szCs w:val="20"/>
              </w:rPr>
            </w:pPr>
          </w:p>
        </w:tc>
      </w:tr>
      <w:tr w:rsidR="00F21EFE" w:rsidRPr="009979BF" w14:paraId="5817623A" w14:textId="77777777" w:rsidTr="00F21EFE">
        <w:trPr>
          <w:trHeight w:val="300"/>
        </w:trPr>
        <w:tc>
          <w:tcPr>
            <w:tcW w:w="1031" w:type="pct"/>
            <w:vMerge/>
            <w:tcBorders>
              <w:left w:val="single" w:sz="8" w:space="0" w:color="auto"/>
              <w:right w:val="nil"/>
            </w:tcBorders>
            <w:vAlign w:val="center"/>
            <w:hideMark/>
          </w:tcPr>
          <w:p w14:paraId="53DE7BF3" w14:textId="77777777" w:rsidR="00F21EFE" w:rsidRPr="009979BF" w:rsidRDefault="00F21EFE" w:rsidP="00F21EFE">
            <w:pPr>
              <w:rPr>
                <w:rFonts w:cstheme="minorHAnsi"/>
                <w:b/>
                <w:color w:val="auto"/>
                <w:sz w:val="20"/>
                <w:szCs w:val="20"/>
              </w:rPr>
            </w:pPr>
          </w:p>
        </w:tc>
        <w:tc>
          <w:tcPr>
            <w:tcW w:w="392" w:type="pct"/>
            <w:tcBorders>
              <w:top w:val="nil"/>
              <w:left w:val="single" w:sz="8" w:space="0" w:color="auto"/>
              <w:bottom w:val="single" w:sz="4" w:space="0" w:color="auto"/>
              <w:right w:val="single" w:sz="8" w:space="0" w:color="auto"/>
            </w:tcBorders>
            <w:shd w:val="clear" w:color="auto" w:fill="auto"/>
            <w:noWrap/>
            <w:vAlign w:val="center"/>
            <w:hideMark/>
          </w:tcPr>
          <w:p w14:paraId="19460ED8" w14:textId="77777777" w:rsidR="00F21EFE" w:rsidRPr="009979BF" w:rsidRDefault="00B907B3" w:rsidP="00F21EFE">
            <w:pPr>
              <w:rPr>
                <w:rFonts w:cstheme="minorHAnsi"/>
                <w:b/>
                <w:color w:val="auto"/>
                <w:sz w:val="20"/>
                <w:szCs w:val="20"/>
              </w:rPr>
            </w:pPr>
            <w:r w:rsidRPr="009979BF">
              <w:rPr>
                <w:rFonts w:cstheme="minorHAnsi"/>
                <w:b/>
                <w:color w:val="auto"/>
                <w:sz w:val="20"/>
                <w:szCs w:val="20"/>
              </w:rPr>
              <w:t>CT</w:t>
            </w:r>
          </w:p>
        </w:tc>
        <w:tc>
          <w:tcPr>
            <w:tcW w:w="392" w:type="pct"/>
            <w:tcBorders>
              <w:top w:val="nil"/>
              <w:left w:val="nil"/>
              <w:bottom w:val="single" w:sz="4" w:space="0" w:color="auto"/>
              <w:right w:val="single" w:sz="4" w:space="0" w:color="auto"/>
            </w:tcBorders>
            <w:shd w:val="clear" w:color="auto" w:fill="auto"/>
            <w:vAlign w:val="center"/>
            <w:hideMark/>
          </w:tcPr>
          <w:p w14:paraId="2FB427B9" w14:textId="77777777" w:rsidR="00F21EFE" w:rsidRPr="009979BF" w:rsidRDefault="00B907B3" w:rsidP="00F21EFE">
            <w:pPr>
              <w:jc w:val="center"/>
              <w:rPr>
                <w:rFonts w:cstheme="minorHAnsi"/>
                <w:color w:val="auto"/>
                <w:sz w:val="20"/>
                <w:szCs w:val="20"/>
              </w:rPr>
            </w:pPr>
            <w:r w:rsidRPr="009979BF">
              <w:rPr>
                <w:rFonts w:cstheme="minorHAnsi"/>
                <w:color w:val="auto"/>
                <w:sz w:val="20"/>
                <w:szCs w:val="20"/>
              </w:rPr>
              <w:t>0.44</w:t>
            </w:r>
          </w:p>
        </w:tc>
        <w:tc>
          <w:tcPr>
            <w:tcW w:w="558" w:type="pct"/>
            <w:tcBorders>
              <w:top w:val="nil"/>
              <w:left w:val="nil"/>
              <w:bottom w:val="single" w:sz="4" w:space="0" w:color="auto"/>
              <w:right w:val="single" w:sz="4" w:space="0" w:color="auto"/>
            </w:tcBorders>
            <w:shd w:val="clear" w:color="auto" w:fill="auto"/>
            <w:vAlign w:val="center"/>
          </w:tcPr>
          <w:p w14:paraId="2D64A0FA" w14:textId="77777777" w:rsidR="00F21EFE" w:rsidRPr="009979BF" w:rsidRDefault="00B907B3" w:rsidP="00F21EFE">
            <w:pPr>
              <w:jc w:val="center"/>
              <w:rPr>
                <w:rFonts w:cstheme="minorHAnsi"/>
                <w:color w:val="auto"/>
                <w:sz w:val="20"/>
                <w:szCs w:val="20"/>
              </w:rPr>
            </w:pPr>
            <w:r w:rsidRPr="009979BF">
              <w:rPr>
                <w:rFonts w:cstheme="minorHAnsi"/>
                <w:color w:val="auto"/>
                <w:sz w:val="20"/>
                <w:szCs w:val="20"/>
              </w:rPr>
              <w:t>0.19-0.69</w:t>
            </w:r>
          </w:p>
        </w:tc>
        <w:tc>
          <w:tcPr>
            <w:tcW w:w="402" w:type="pct"/>
            <w:vMerge/>
            <w:tcBorders>
              <w:left w:val="nil"/>
              <w:right w:val="nil"/>
            </w:tcBorders>
            <w:vAlign w:val="center"/>
            <w:hideMark/>
          </w:tcPr>
          <w:p w14:paraId="08805637" w14:textId="77777777" w:rsidR="00F21EFE" w:rsidRPr="009979BF" w:rsidRDefault="00F21EFE" w:rsidP="00F21EFE">
            <w:pPr>
              <w:jc w:val="center"/>
              <w:rPr>
                <w:rFonts w:cstheme="minorHAnsi"/>
                <w:color w:val="auto"/>
                <w:sz w:val="20"/>
                <w:szCs w:val="20"/>
              </w:rPr>
            </w:pPr>
          </w:p>
        </w:tc>
        <w:tc>
          <w:tcPr>
            <w:tcW w:w="402" w:type="pct"/>
            <w:vMerge/>
            <w:tcBorders>
              <w:left w:val="single" w:sz="8" w:space="0" w:color="auto"/>
              <w:right w:val="nil"/>
            </w:tcBorders>
            <w:vAlign w:val="center"/>
            <w:hideMark/>
          </w:tcPr>
          <w:p w14:paraId="3E7822B8" w14:textId="77777777" w:rsidR="00F21EFE" w:rsidRPr="009979BF" w:rsidRDefault="00F21EFE" w:rsidP="00F21EFE">
            <w:pPr>
              <w:jc w:val="center"/>
              <w:rPr>
                <w:rFonts w:cstheme="minorHAnsi"/>
                <w:color w:val="auto"/>
                <w:sz w:val="20"/>
                <w:szCs w:val="20"/>
              </w:rPr>
            </w:pPr>
          </w:p>
        </w:tc>
        <w:tc>
          <w:tcPr>
            <w:tcW w:w="405" w:type="pct"/>
            <w:vMerge/>
            <w:tcBorders>
              <w:left w:val="single" w:sz="8" w:space="0" w:color="auto"/>
              <w:right w:val="single" w:sz="8" w:space="0" w:color="auto"/>
            </w:tcBorders>
            <w:vAlign w:val="center"/>
            <w:hideMark/>
          </w:tcPr>
          <w:p w14:paraId="21D8C32A" w14:textId="77777777" w:rsidR="00F21EFE" w:rsidRPr="009979BF" w:rsidRDefault="00F21EFE" w:rsidP="00F21EFE">
            <w:pPr>
              <w:jc w:val="center"/>
              <w:rPr>
                <w:rFonts w:cstheme="minorHAnsi"/>
                <w:color w:val="auto"/>
                <w:sz w:val="20"/>
                <w:szCs w:val="20"/>
              </w:rPr>
            </w:pPr>
          </w:p>
        </w:tc>
        <w:tc>
          <w:tcPr>
            <w:tcW w:w="401" w:type="pct"/>
            <w:vMerge/>
            <w:tcBorders>
              <w:left w:val="single" w:sz="8" w:space="0" w:color="auto"/>
              <w:right w:val="single" w:sz="8" w:space="0" w:color="auto"/>
            </w:tcBorders>
            <w:vAlign w:val="center"/>
          </w:tcPr>
          <w:p w14:paraId="13C3DF54" w14:textId="77777777" w:rsidR="00F21EFE" w:rsidRPr="009979BF" w:rsidRDefault="00F21EFE" w:rsidP="00F21EFE">
            <w:pPr>
              <w:jc w:val="center"/>
              <w:rPr>
                <w:rFonts w:cstheme="minorHAnsi"/>
                <w:color w:val="auto"/>
                <w:sz w:val="20"/>
                <w:szCs w:val="20"/>
              </w:rPr>
            </w:pPr>
          </w:p>
        </w:tc>
        <w:tc>
          <w:tcPr>
            <w:tcW w:w="399" w:type="pct"/>
            <w:vMerge/>
            <w:tcBorders>
              <w:left w:val="single" w:sz="8" w:space="0" w:color="auto"/>
              <w:right w:val="single" w:sz="8" w:space="0" w:color="auto"/>
            </w:tcBorders>
            <w:vAlign w:val="center"/>
          </w:tcPr>
          <w:p w14:paraId="5C5B4E6A" w14:textId="77777777" w:rsidR="00F21EFE" w:rsidRPr="009979BF" w:rsidRDefault="00F21EFE" w:rsidP="00F21EFE">
            <w:pPr>
              <w:jc w:val="center"/>
              <w:rPr>
                <w:rFonts w:cstheme="minorHAnsi"/>
                <w:color w:val="auto"/>
                <w:sz w:val="20"/>
                <w:szCs w:val="20"/>
              </w:rPr>
            </w:pPr>
          </w:p>
        </w:tc>
        <w:tc>
          <w:tcPr>
            <w:tcW w:w="618" w:type="pct"/>
            <w:vMerge/>
            <w:tcBorders>
              <w:left w:val="single" w:sz="8" w:space="0" w:color="auto"/>
              <w:right w:val="single" w:sz="8" w:space="0" w:color="auto"/>
            </w:tcBorders>
            <w:vAlign w:val="center"/>
          </w:tcPr>
          <w:p w14:paraId="35DC1B7D" w14:textId="77777777" w:rsidR="00F21EFE" w:rsidRPr="009979BF" w:rsidRDefault="00F21EFE" w:rsidP="00F21EFE">
            <w:pPr>
              <w:jc w:val="center"/>
              <w:rPr>
                <w:rFonts w:cstheme="minorHAnsi"/>
                <w:color w:val="auto"/>
                <w:sz w:val="20"/>
                <w:szCs w:val="20"/>
              </w:rPr>
            </w:pPr>
          </w:p>
        </w:tc>
      </w:tr>
      <w:tr w:rsidR="00F21EFE" w:rsidRPr="009979BF" w14:paraId="6A2ABD08" w14:textId="77777777" w:rsidTr="00F21EFE">
        <w:trPr>
          <w:trHeight w:val="300"/>
        </w:trPr>
        <w:tc>
          <w:tcPr>
            <w:tcW w:w="1031" w:type="pct"/>
            <w:vMerge/>
            <w:tcBorders>
              <w:left w:val="single" w:sz="8" w:space="0" w:color="auto"/>
              <w:bottom w:val="nil"/>
              <w:right w:val="nil"/>
            </w:tcBorders>
            <w:vAlign w:val="center"/>
            <w:hideMark/>
          </w:tcPr>
          <w:p w14:paraId="1420206B" w14:textId="77777777" w:rsidR="00F21EFE" w:rsidRPr="009979BF" w:rsidRDefault="00F21EFE" w:rsidP="00F21EFE">
            <w:pPr>
              <w:rPr>
                <w:rFonts w:cstheme="minorHAnsi"/>
                <w:b/>
                <w:color w:val="auto"/>
                <w:sz w:val="20"/>
                <w:szCs w:val="20"/>
              </w:rPr>
            </w:pPr>
          </w:p>
        </w:tc>
        <w:tc>
          <w:tcPr>
            <w:tcW w:w="392" w:type="pct"/>
            <w:tcBorders>
              <w:top w:val="nil"/>
              <w:left w:val="single" w:sz="8" w:space="0" w:color="auto"/>
              <w:bottom w:val="single" w:sz="8" w:space="0" w:color="auto"/>
              <w:right w:val="single" w:sz="8" w:space="0" w:color="auto"/>
            </w:tcBorders>
            <w:shd w:val="clear" w:color="auto" w:fill="auto"/>
            <w:noWrap/>
            <w:vAlign w:val="center"/>
            <w:hideMark/>
          </w:tcPr>
          <w:p w14:paraId="2F885814" w14:textId="77777777" w:rsidR="00F21EFE" w:rsidRPr="009979BF" w:rsidRDefault="00B907B3" w:rsidP="00F21EFE">
            <w:pPr>
              <w:rPr>
                <w:rFonts w:cstheme="minorHAnsi"/>
                <w:b/>
                <w:color w:val="auto"/>
                <w:sz w:val="20"/>
                <w:szCs w:val="20"/>
              </w:rPr>
            </w:pPr>
            <w:r w:rsidRPr="009979BF">
              <w:rPr>
                <w:rFonts w:cstheme="minorHAnsi"/>
                <w:b/>
                <w:color w:val="auto"/>
                <w:sz w:val="20"/>
                <w:szCs w:val="20"/>
              </w:rPr>
              <w:t>NAD</w:t>
            </w:r>
          </w:p>
        </w:tc>
        <w:tc>
          <w:tcPr>
            <w:tcW w:w="392" w:type="pct"/>
            <w:tcBorders>
              <w:top w:val="nil"/>
              <w:left w:val="nil"/>
              <w:bottom w:val="single" w:sz="8" w:space="0" w:color="auto"/>
              <w:right w:val="single" w:sz="4" w:space="0" w:color="auto"/>
            </w:tcBorders>
            <w:shd w:val="clear" w:color="auto" w:fill="auto"/>
            <w:vAlign w:val="center"/>
            <w:hideMark/>
          </w:tcPr>
          <w:p w14:paraId="1CA7BB61" w14:textId="77777777" w:rsidR="00F21EFE" w:rsidRPr="009979BF" w:rsidRDefault="00B907B3" w:rsidP="00F21EFE">
            <w:pPr>
              <w:jc w:val="center"/>
              <w:rPr>
                <w:rFonts w:cstheme="minorHAnsi"/>
                <w:color w:val="auto"/>
                <w:sz w:val="20"/>
                <w:szCs w:val="20"/>
              </w:rPr>
            </w:pPr>
            <w:r w:rsidRPr="009979BF">
              <w:rPr>
                <w:rFonts w:cstheme="minorHAnsi"/>
                <w:color w:val="auto"/>
                <w:sz w:val="20"/>
                <w:szCs w:val="20"/>
              </w:rPr>
              <w:t>0.49</w:t>
            </w:r>
          </w:p>
        </w:tc>
        <w:tc>
          <w:tcPr>
            <w:tcW w:w="558" w:type="pct"/>
            <w:tcBorders>
              <w:top w:val="nil"/>
              <w:left w:val="nil"/>
              <w:bottom w:val="single" w:sz="8" w:space="0" w:color="auto"/>
              <w:right w:val="single" w:sz="4" w:space="0" w:color="auto"/>
            </w:tcBorders>
            <w:shd w:val="clear" w:color="auto" w:fill="auto"/>
            <w:vAlign w:val="center"/>
          </w:tcPr>
          <w:p w14:paraId="69CC2FFC" w14:textId="77777777" w:rsidR="00F21EFE" w:rsidRPr="009979BF" w:rsidRDefault="00B907B3" w:rsidP="00F21EFE">
            <w:pPr>
              <w:jc w:val="center"/>
              <w:rPr>
                <w:rFonts w:cstheme="minorHAnsi"/>
                <w:color w:val="auto"/>
                <w:sz w:val="20"/>
                <w:szCs w:val="20"/>
              </w:rPr>
            </w:pPr>
            <w:r w:rsidRPr="009979BF">
              <w:rPr>
                <w:rFonts w:cstheme="minorHAnsi"/>
                <w:color w:val="auto"/>
                <w:sz w:val="20"/>
                <w:szCs w:val="20"/>
              </w:rPr>
              <w:t>0.32-0.67</w:t>
            </w:r>
          </w:p>
        </w:tc>
        <w:tc>
          <w:tcPr>
            <w:tcW w:w="402" w:type="pct"/>
            <w:vMerge/>
            <w:tcBorders>
              <w:left w:val="nil"/>
              <w:bottom w:val="nil"/>
              <w:right w:val="nil"/>
            </w:tcBorders>
            <w:vAlign w:val="center"/>
            <w:hideMark/>
          </w:tcPr>
          <w:p w14:paraId="5959B5C8" w14:textId="77777777" w:rsidR="00F21EFE" w:rsidRPr="009979BF" w:rsidRDefault="00F21EFE" w:rsidP="00F21EFE">
            <w:pPr>
              <w:jc w:val="center"/>
              <w:rPr>
                <w:rFonts w:cstheme="minorHAnsi"/>
                <w:color w:val="auto"/>
                <w:sz w:val="20"/>
                <w:szCs w:val="20"/>
              </w:rPr>
            </w:pPr>
          </w:p>
        </w:tc>
        <w:tc>
          <w:tcPr>
            <w:tcW w:w="402" w:type="pct"/>
            <w:vMerge/>
            <w:tcBorders>
              <w:left w:val="single" w:sz="8" w:space="0" w:color="auto"/>
              <w:bottom w:val="nil"/>
              <w:right w:val="nil"/>
            </w:tcBorders>
            <w:vAlign w:val="center"/>
            <w:hideMark/>
          </w:tcPr>
          <w:p w14:paraId="619F8E53" w14:textId="77777777" w:rsidR="00F21EFE" w:rsidRPr="009979BF" w:rsidRDefault="00F21EFE" w:rsidP="00F21EFE">
            <w:pPr>
              <w:jc w:val="center"/>
              <w:rPr>
                <w:rFonts w:cstheme="minorHAnsi"/>
                <w:color w:val="auto"/>
                <w:sz w:val="20"/>
                <w:szCs w:val="20"/>
              </w:rPr>
            </w:pPr>
          </w:p>
        </w:tc>
        <w:tc>
          <w:tcPr>
            <w:tcW w:w="405" w:type="pct"/>
            <w:vMerge/>
            <w:tcBorders>
              <w:left w:val="single" w:sz="8" w:space="0" w:color="auto"/>
              <w:bottom w:val="nil"/>
              <w:right w:val="single" w:sz="8" w:space="0" w:color="auto"/>
            </w:tcBorders>
            <w:vAlign w:val="center"/>
            <w:hideMark/>
          </w:tcPr>
          <w:p w14:paraId="4123E9BB" w14:textId="77777777" w:rsidR="00F21EFE" w:rsidRPr="009979BF" w:rsidRDefault="00F21EFE" w:rsidP="00F21EFE">
            <w:pPr>
              <w:jc w:val="center"/>
              <w:rPr>
                <w:rFonts w:cstheme="minorHAnsi"/>
                <w:color w:val="auto"/>
                <w:sz w:val="20"/>
                <w:szCs w:val="20"/>
              </w:rPr>
            </w:pPr>
          </w:p>
        </w:tc>
        <w:tc>
          <w:tcPr>
            <w:tcW w:w="401" w:type="pct"/>
            <w:vMerge/>
            <w:tcBorders>
              <w:left w:val="single" w:sz="8" w:space="0" w:color="auto"/>
              <w:bottom w:val="nil"/>
              <w:right w:val="single" w:sz="8" w:space="0" w:color="auto"/>
            </w:tcBorders>
            <w:vAlign w:val="center"/>
          </w:tcPr>
          <w:p w14:paraId="19CA9423" w14:textId="77777777" w:rsidR="00F21EFE" w:rsidRPr="009979BF" w:rsidRDefault="00F21EFE" w:rsidP="00F21EFE">
            <w:pPr>
              <w:jc w:val="center"/>
              <w:rPr>
                <w:rFonts w:cstheme="minorHAnsi"/>
                <w:color w:val="auto"/>
                <w:sz w:val="20"/>
                <w:szCs w:val="20"/>
              </w:rPr>
            </w:pPr>
          </w:p>
        </w:tc>
        <w:tc>
          <w:tcPr>
            <w:tcW w:w="399" w:type="pct"/>
            <w:vMerge/>
            <w:tcBorders>
              <w:left w:val="single" w:sz="8" w:space="0" w:color="auto"/>
              <w:bottom w:val="nil"/>
              <w:right w:val="single" w:sz="8" w:space="0" w:color="auto"/>
            </w:tcBorders>
            <w:vAlign w:val="center"/>
          </w:tcPr>
          <w:p w14:paraId="0BA1B718" w14:textId="77777777" w:rsidR="00F21EFE" w:rsidRPr="009979BF" w:rsidRDefault="00F21EFE" w:rsidP="00F21EFE">
            <w:pPr>
              <w:jc w:val="center"/>
              <w:rPr>
                <w:rFonts w:cstheme="minorHAnsi"/>
                <w:color w:val="auto"/>
                <w:sz w:val="20"/>
                <w:szCs w:val="20"/>
              </w:rPr>
            </w:pPr>
          </w:p>
        </w:tc>
        <w:tc>
          <w:tcPr>
            <w:tcW w:w="618" w:type="pct"/>
            <w:vMerge/>
            <w:tcBorders>
              <w:left w:val="single" w:sz="8" w:space="0" w:color="auto"/>
              <w:bottom w:val="nil"/>
              <w:right w:val="single" w:sz="8" w:space="0" w:color="auto"/>
            </w:tcBorders>
            <w:vAlign w:val="center"/>
          </w:tcPr>
          <w:p w14:paraId="55F9C5EB" w14:textId="77777777" w:rsidR="00F21EFE" w:rsidRPr="009979BF" w:rsidRDefault="00F21EFE" w:rsidP="00F21EFE">
            <w:pPr>
              <w:jc w:val="center"/>
              <w:rPr>
                <w:rFonts w:cstheme="minorHAnsi"/>
                <w:color w:val="auto"/>
                <w:sz w:val="20"/>
                <w:szCs w:val="20"/>
              </w:rPr>
            </w:pPr>
          </w:p>
        </w:tc>
      </w:tr>
      <w:tr w:rsidR="00F21EFE" w:rsidRPr="009979BF" w14:paraId="0755E27A" w14:textId="77777777" w:rsidTr="00F21EFE">
        <w:trPr>
          <w:trHeight w:val="300"/>
        </w:trPr>
        <w:tc>
          <w:tcPr>
            <w:tcW w:w="1031" w:type="pct"/>
            <w:vMerge w:val="restart"/>
            <w:tcBorders>
              <w:top w:val="single" w:sz="8" w:space="0" w:color="auto"/>
              <w:left w:val="single" w:sz="8" w:space="0" w:color="auto"/>
              <w:right w:val="single" w:sz="8" w:space="0" w:color="auto"/>
            </w:tcBorders>
            <w:shd w:val="clear" w:color="auto" w:fill="auto"/>
            <w:vAlign w:val="center"/>
          </w:tcPr>
          <w:p w14:paraId="04A2D4FF" w14:textId="77777777" w:rsidR="00F21EFE" w:rsidRPr="009979BF" w:rsidRDefault="00F21EFE" w:rsidP="00F21EFE">
            <w:pPr>
              <w:rPr>
                <w:rFonts w:cstheme="minorHAnsi"/>
                <w:b/>
                <w:color w:val="auto"/>
                <w:sz w:val="20"/>
                <w:szCs w:val="20"/>
              </w:rPr>
            </w:pPr>
            <w:r w:rsidRPr="009979BF">
              <w:rPr>
                <w:rFonts w:cstheme="minorHAnsi"/>
                <w:b/>
                <w:color w:val="auto"/>
                <w:sz w:val="20"/>
                <w:szCs w:val="20"/>
              </w:rPr>
              <w:t>Rosenberg Self Esteem Scale</w:t>
            </w:r>
          </w:p>
        </w:tc>
        <w:tc>
          <w:tcPr>
            <w:tcW w:w="392" w:type="pct"/>
            <w:tcBorders>
              <w:top w:val="nil"/>
              <w:left w:val="nil"/>
              <w:bottom w:val="single" w:sz="4" w:space="0" w:color="auto"/>
              <w:right w:val="single" w:sz="8" w:space="0" w:color="auto"/>
            </w:tcBorders>
            <w:shd w:val="clear" w:color="auto" w:fill="auto"/>
            <w:noWrap/>
            <w:vAlign w:val="center"/>
          </w:tcPr>
          <w:p w14:paraId="75D1DC20" w14:textId="77777777" w:rsidR="00F21EFE" w:rsidRPr="009979BF" w:rsidRDefault="00F21EFE" w:rsidP="00F21EFE">
            <w:pPr>
              <w:rPr>
                <w:rFonts w:cstheme="minorHAnsi"/>
                <w:b/>
                <w:color w:val="auto"/>
                <w:sz w:val="20"/>
                <w:szCs w:val="20"/>
              </w:rPr>
            </w:pPr>
            <w:r w:rsidRPr="009979BF">
              <w:rPr>
                <w:rFonts w:cstheme="minorHAnsi"/>
                <w:b/>
                <w:color w:val="auto"/>
                <w:sz w:val="20"/>
                <w:szCs w:val="20"/>
              </w:rPr>
              <w:t>NG</w:t>
            </w:r>
          </w:p>
        </w:tc>
        <w:tc>
          <w:tcPr>
            <w:tcW w:w="392" w:type="pct"/>
            <w:tcBorders>
              <w:top w:val="nil"/>
              <w:left w:val="nil"/>
              <w:bottom w:val="single" w:sz="4" w:space="0" w:color="auto"/>
              <w:right w:val="single" w:sz="4" w:space="0" w:color="auto"/>
            </w:tcBorders>
            <w:shd w:val="clear" w:color="auto" w:fill="auto"/>
            <w:vAlign w:val="center"/>
          </w:tcPr>
          <w:p w14:paraId="0EF6BF40"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t>15.5</w:t>
            </w:r>
          </w:p>
        </w:tc>
        <w:tc>
          <w:tcPr>
            <w:tcW w:w="558" w:type="pct"/>
            <w:tcBorders>
              <w:top w:val="nil"/>
              <w:left w:val="nil"/>
              <w:bottom w:val="single" w:sz="4" w:space="0" w:color="auto"/>
              <w:right w:val="single" w:sz="4" w:space="0" w:color="auto"/>
            </w:tcBorders>
            <w:shd w:val="clear" w:color="auto" w:fill="auto"/>
            <w:vAlign w:val="center"/>
          </w:tcPr>
          <w:p w14:paraId="2B13A509"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t>0.0-72.7</w:t>
            </w:r>
          </w:p>
        </w:tc>
        <w:tc>
          <w:tcPr>
            <w:tcW w:w="402" w:type="pct"/>
            <w:vMerge w:val="restart"/>
            <w:tcBorders>
              <w:top w:val="single" w:sz="8" w:space="0" w:color="auto"/>
              <w:left w:val="single" w:sz="8" w:space="0" w:color="auto"/>
              <w:right w:val="nil"/>
            </w:tcBorders>
            <w:shd w:val="clear" w:color="auto" w:fill="auto"/>
            <w:noWrap/>
            <w:vAlign w:val="center"/>
          </w:tcPr>
          <w:p w14:paraId="2BAF193F"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t>0.35 8</w:t>
            </w:r>
          </w:p>
        </w:tc>
        <w:tc>
          <w:tcPr>
            <w:tcW w:w="402" w:type="pct"/>
            <w:vMerge w:val="restart"/>
            <w:tcBorders>
              <w:top w:val="single" w:sz="8" w:space="0" w:color="auto"/>
              <w:left w:val="single" w:sz="8" w:space="0" w:color="auto"/>
              <w:right w:val="nil"/>
            </w:tcBorders>
            <w:shd w:val="clear" w:color="auto" w:fill="auto"/>
            <w:noWrap/>
            <w:vAlign w:val="center"/>
          </w:tcPr>
          <w:p w14:paraId="77684A98"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t>0.816</w:t>
            </w:r>
          </w:p>
        </w:tc>
        <w:tc>
          <w:tcPr>
            <w:tcW w:w="405" w:type="pct"/>
            <w:vMerge w:val="restart"/>
            <w:tcBorders>
              <w:top w:val="single" w:sz="8" w:space="0" w:color="auto"/>
              <w:left w:val="single" w:sz="8" w:space="0" w:color="auto"/>
              <w:right w:val="single" w:sz="8" w:space="0" w:color="auto"/>
            </w:tcBorders>
            <w:shd w:val="clear" w:color="auto" w:fill="auto"/>
            <w:noWrap/>
            <w:vAlign w:val="center"/>
          </w:tcPr>
          <w:p w14:paraId="770298B6"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t>0.354</w:t>
            </w:r>
          </w:p>
        </w:tc>
        <w:tc>
          <w:tcPr>
            <w:tcW w:w="401" w:type="pct"/>
            <w:vMerge w:val="restart"/>
            <w:tcBorders>
              <w:top w:val="single" w:sz="8" w:space="0" w:color="auto"/>
              <w:left w:val="single" w:sz="8" w:space="0" w:color="auto"/>
              <w:right w:val="single" w:sz="8" w:space="0" w:color="auto"/>
            </w:tcBorders>
            <w:vAlign w:val="center"/>
          </w:tcPr>
          <w:p w14:paraId="39A962BF"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t>0.09</w:t>
            </w:r>
          </w:p>
        </w:tc>
        <w:tc>
          <w:tcPr>
            <w:tcW w:w="399" w:type="pct"/>
            <w:vMerge w:val="restart"/>
            <w:tcBorders>
              <w:top w:val="single" w:sz="8" w:space="0" w:color="auto"/>
              <w:left w:val="single" w:sz="8" w:space="0" w:color="auto"/>
              <w:right w:val="single" w:sz="8" w:space="0" w:color="auto"/>
            </w:tcBorders>
            <w:vAlign w:val="center"/>
          </w:tcPr>
          <w:p w14:paraId="323E1121" w14:textId="77777777" w:rsidR="00F21EFE" w:rsidRPr="009979BF" w:rsidRDefault="00F21EFE" w:rsidP="00F21EFE">
            <w:pPr>
              <w:jc w:val="center"/>
              <w:rPr>
                <w:rFonts w:cstheme="minorHAnsi"/>
                <w:b/>
                <w:color w:val="auto"/>
                <w:sz w:val="20"/>
                <w:szCs w:val="20"/>
              </w:rPr>
            </w:pPr>
            <w:r w:rsidRPr="009979BF">
              <w:rPr>
                <w:rFonts w:cstheme="minorHAnsi"/>
                <w:b/>
                <w:color w:val="auto"/>
                <w:sz w:val="20"/>
                <w:szCs w:val="20"/>
              </w:rPr>
              <w:t>0.035</w:t>
            </w:r>
          </w:p>
        </w:tc>
        <w:tc>
          <w:tcPr>
            <w:tcW w:w="618" w:type="pct"/>
            <w:vMerge w:val="restart"/>
            <w:tcBorders>
              <w:top w:val="single" w:sz="8" w:space="0" w:color="auto"/>
              <w:left w:val="single" w:sz="8" w:space="0" w:color="auto"/>
              <w:right w:val="single" w:sz="8" w:space="0" w:color="auto"/>
            </w:tcBorders>
            <w:vAlign w:val="center"/>
          </w:tcPr>
          <w:p w14:paraId="1223ED5E"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t>0.071</w:t>
            </w:r>
          </w:p>
        </w:tc>
      </w:tr>
      <w:tr w:rsidR="00F21EFE" w:rsidRPr="009979BF" w14:paraId="30AFB1FD" w14:textId="77777777" w:rsidTr="00F21EFE">
        <w:trPr>
          <w:trHeight w:val="300"/>
        </w:trPr>
        <w:tc>
          <w:tcPr>
            <w:tcW w:w="1031" w:type="pct"/>
            <w:vMerge/>
            <w:tcBorders>
              <w:left w:val="single" w:sz="8" w:space="0" w:color="auto"/>
              <w:right w:val="single" w:sz="8" w:space="0" w:color="auto"/>
            </w:tcBorders>
            <w:shd w:val="clear" w:color="auto" w:fill="auto"/>
            <w:vAlign w:val="center"/>
            <w:hideMark/>
          </w:tcPr>
          <w:p w14:paraId="04DE260F" w14:textId="77777777" w:rsidR="00F21EFE" w:rsidRPr="009979BF" w:rsidRDefault="00F21EFE" w:rsidP="00F21EFE">
            <w:pPr>
              <w:rPr>
                <w:rFonts w:cstheme="minorHAnsi"/>
                <w:b/>
                <w:color w:val="auto"/>
                <w:sz w:val="20"/>
                <w:szCs w:val="20"/>
              </w:rPr>
            </w:pPr>
          </w:p>
        </w:tc>
        <w:tc>
          <w:tcPr>
            <w:tcW w:w="392" w:type="pct"/>
            <w:tcBorders>
              <w:top w:val="nil"/>
              <w:left w:val="nil"/>
              <w:bottom w:val="single" w:sz="4" w:space="0" w:color="auto"/>
              <w:right w:val="single" w:sz="8" w:space="0" w:color="auto"/>
            </w:tcBorders>
            <w:shd w:val="clear" w:color="auto" w:fill="auto"/>
            <w:noWrap/>
            <w:vAlign w:val="center"/>
            <w:hideMark/>
          </w:tcPr>
          <w:p w14:paraId="5966C8B7" w14:textId="77777777" w:rsidR="00F21EFE" w:rsidRPr="009979BF" w:rsidRDefault="00F21EFE" w:rsidP="00F21EFE">
            <w:pPr>
              <w:rPr>
                <w:rFonts w:cstheme="minorHAnsi"/>
                <w:b/>
                <w:color w:val="auto"/>
                <w:sz w:val="20"/>
                <w:szCs w:val="20"/>
              </w:rPr>
            </w:pPr>
            <w:r w:rsidRPr="009979BF">
              <w:rPr>
                <w:rFonts w:cstheme="minorHAnsi"/>
                <w:b/>
                <w:color w:val="auto"/>
                <w:sz w:val="20"/>
                <w:szCs w:val="20"/>
              </w:rPr>
              <w:t>NSGI</w:t>
            </w:r>
          </w:p>
        </w:tc>
        <w:tc>
          <w:tcPr>
            <w:tcW w:w="392" w:type="pct"/>
            <w:tcBorders>
              <w:top w:val="nil"/>
              <w:left w:val="nil"/>
              <w:bottom w:val="single" w:sz="4" w:space="0" w:color="auto"/>
              <w:right w:val="single" w:sz="4" w:space="0" w:color="auto"/>
            </w:tcBorders>
            <w:shd w:val="clear" w:color="auto" w:fill="auto"/>
            <w:vAlign w:val="center"/>
            <w:hideMark/>
          </w:tcPr>
          <w:p w14:paraId="572F0852"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t>22.0</w:t>
            </w:r>
          </w:p>
        </w:tc>
        <w:tc>
          <w:tcPr>
            <w:tcW w:w="558" w:type="pct"/>
            <w:tcBorders>
              <w:top w:val="nil"/>
              <w:left w:val="nil"/>
              <w:bottom w:val="single" w:sz="4" w:space="0" w:color="auto"/>
              <w:right w:val="single" w:sz="4" w:space="0" w:color="auto"/>
            </w:tcBorders>
            <w:shd w:val="clear" w:color="auto" w:fill="auto"/>
            <w:vAlign w:val="center"/>
          </w:tcPr>
          <w:p w14:paraId="425F0496"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t>20.0-24.0</w:t>
            </w:r>
          </w:p>
        </w:tc>
        <w:tc>
          <w:tcPr>
            <w:tcW w:w="402" w:type="pct"/>
            <w:vMerge/>
            <w:tcBorders>
              <w:left w:val="single" w:sz="8" w:space="0" w:color="auto"/>
              <w:right w:val="nil"/>
            </w:tcBorders>
            <w:shd w:val="clear" w:color="auto" w:fill="auto"/>
            <w:noWrap/>
            <w:vAlign w:val="center"/>
            <w:hideMark/>
          </w:tcPr>
          <w:p w14:paraId="523FBD51" w14:textId="77777777" w:rsidR="00F21EFE" w:rsidRPr="009979BF" w:rsidRDefault="00F21EFE" w:rsidP="00F21EFE">
            <w:pPr>
              <w:jc w:val="center"/>
              <w:rPr>
                <w:rFonts w:cstheme="minorHAnsi"/>
                <w:color w:val="auto"/>
                <w:sz w:val="20"/>
                <w:szCs w:val="20"/>
              </w:rPr>
            </w:pPr>
          </w:p>
        </w:tc>
        <w:tc>
          <w:tcPr>
            <w:tcW w:w="402" w:type="pct"/>
            <w:vMerge/>
            <w:tcBorders>
              <w:left w:val="single" w:sz="8" w:space="0" w:color="auto"/>
              <w:right w:val="nil"/>
            </w:tcBorders>
            <w:shd w:val="clear" w:color="auto" w:fill="auto"/>
            <w:noWrap/>
            <w:vAlign w:val="center"/>
            <w:hideMark/>
          </w:tcPr>
          <w:p w14:paraId="724EA98F" w14:textId="77777777" w:rsidR="00F21EFE" w:rsidRPr="009979BF" w:rsidRDefault="00F21EFE" w:rsidP="00F21EFE">
            <w:pPr>
              <w:jc w:val="center"/>
              <w:rPr>
                <w:rFonts w:cstheme="minorHAnsi"/>
                <w:color w:val="auto"/>
                <w:sz w:val="20"/>
                <w:szCs w:val="20"/>
              </w:rPr>
            </w:pPr>
          </w:p>
        </w:tc>
        <w:tc>
          <w:tcPr>
            <w:tcW w:w="405" w:type="pct"/>
            <w:vMerge/>
            <w:tcBorders>
              <w:left w:val="single" w:sz="8" w:space="0" w:color="auto"/>
              <w:right w:val="single" w:sz="8" w:space="0" w:color="auto"/>
            </w:tcBorders>
            <w:shd w:val="clear" w:color="auto" w:fill="auto"/>
            <w:noWrap/>
            <w:vAlign w:val="center"/>
            <w:hideMark/>
          </w:tcPr>
          <w:p w14:paraId="4ECBCAAF" w14:textId="77777777" w:rsidR="00F21EFE" w:rsidRPr="009979BF" w:rsidRDefault="00F21EFE" w:rsidP="00F21EFE">
            <w:pPr>
              <w:jc w:val="center"/>
              <w:rPr>
                <w:rFonts w:cstheme="minorHAnsi"/>
                <w:color w:val="auto"/>
                <w:sz w:val="20"/>
                <w:szCs w:val="20"/>
              </w:rPr>
            </w:pPr>
          </w:p>
        </w:tc>
        <w:tc>
          <w:tcPr>
            <w:tcW w:w="401" w:type="pct"/>
            <w:vMerge/>
            <w:tcBorders>
              <w:left w:val="single" w:sz="8" w:space="0" w:color="auto"/>
              <w:right w:val="single" w:sz="8" w:space="0" w:color="auto"/>
            </w:tcBorders>
            <w:vAlign w:val="center"/>
          </w:tcPr>
          <w:p w14:paraId="7B2B7F9A" w14:textId="77777777" w:rsidR="00F21EFE" w:rsidRPr="009979BF" w:rsidRDefault="00F21EFE" w:rsidP="00F21EFE">
            <w:pPr>
              <w:jc w:val="center"/>
              <w:rPr>
                <w:rFonts w:cstheme="minorHAnsi"/>
                <w:color w:val="auto"/>
                <w:sz w:val="20"/>
                <w:szCs w:val="20"/>
              </w:rPr>
            </w:pPr>
          </w:p>
        </w:tc>
        <w:tc>
          <w:tcPr>
            <w:tcW w:w="399" w:type="pct"/>
            <w:vMerge/>
            <w:tcBorders>
              <w:left w:val="single" w:sz="8" w:space="0" w:color="auto"/>
              <w:right w:val="single" w:sz="8" w:space="0" w:color="auto"/>
            </w:tcBorders>
            <w:vAlign w:val="center"/>
          </w:tcPr>
          <w:p w14:paraId="4ECB2397" w14:textId="77777777" w:rsidR="00F21EFE" w:rsidRPr="009979BF" w:rsidRDefault="00F21EFE" w:rsidP="00F21EFE">
            <w:pPr>
              <w:jc w:val="center"/>
              <w:rPr>
                <w:rFonts w:cstheme="minorHAnsi"/>
                <w:color w:val="auto"/>
                <w:sz w:val="20"/>
                <w:szCs w:val="20"/>
              </w:rPr>
            </w:pPr>
          </w:p>
        </w:tc>
        <w:tc>
          <w:tcPr>
            <w:tcW w:w="618" w:type="pct"/>
            <w:vMerge/>
            <w:tcBorders>
              <w:left w:val="single" w:sz="8" w:space="0" w:color="auto"/>
              <w:right w:val="single" w:sz="8" w:space="0" w:color="auto"/>
            </w:tcBorders>
            <w:vAlign w:val="center"/>
          </w:tcPr>
          <w:p w14:paraId="62214061" w14:textId="77777777" w:rsidR="00F21EFE" w:rsidRPr="009979BF" w:rsidRDefault="00F21EFE" w:rsidP="00F21EFE">
            <w:pPr>
              <w:jc w:val="center"/>
              <w:rPr>
                <w:rFonts w:cstheme="minorHAnsi"/>
                <w:color w:val="auto"/>
                <w:sz w:val="20"/>
                <w:szCs w:val="20"/>
              </w:rPr>
            </w:pPr>
          </w:p>
        </w:tc>
      </w:tr>
      <w:tr w:rsidR="00F21EFE" w:rsidRPr="009979BF" w14:paraId="5759650A" w14:textId="77777777" w:rsidTr="00F21EFE">
        <w:trPr>
          <w:trHeight w:val="300"/>
        </w:trPr>
        <w:tc>
          <w:tcPr>
            <w:tcW w:w="1031" w:type="pct"/>
            <w:vMerge/>
            <w:tcBorders>
              <w:left w:val="single" w:sz="8" w:space="0" w:color="auto"/>
              <w:right w:val="single" w:sz="8" w:space="0" w:color="auto"/>
            </w:tcBorders>
            <w:vAlign w:val="center"/>
            <w:hideMark/>
          </w:tcPr>
          <w:p w14:paraId="5F4C0E33" w14:textId="77777777" w:rsidR="00F21EFE" w:rsidRPr="009979BF" w:rsidRDefault="00F21EFE" w:rsidP="00F21EFE">
            <w:pPr>
              <w:rPr>
                <w:rFonts w:cstheme="minorHAnsi"/>
                <w:b/>
                <w:color w:val="auto"/>
                <w:sz w:val="20"/>
                <w:szCs w:val="20"/>
              </w:rPr>
            </w:pPr>
          </w:p>
        </w:tc>
        <w:tc>
          <w:tcPr>
            <w:tcW w:w="392" w:type="pct"/>
            <w:tcBorders>
              <w:top w:val="nil"/>
              <w:left w:val="nil"/>
              <w:bottom w:val="single" w:sz="4" w:space="0" w:color="auto"/>
              <w:right w:val="single" w:sz="8" w:space="0" w:color="auto"/>
            </w:tcBorders>
            <w:shd w:val="clear" w:color="auto" w:fill="auto"/>
            <w:noWrap/>
            <w:vAlign w:val="center"/>
            <w:hideMark/>
          </w:tcPr>
          <w:p w14:paraId="03C9ABD3" w14:textId="77777777" w:rsidR="00F21EFE" w:rsidRPr="009979BF" w:rsidRDefault="00F21EFE" w:rsidP="00F21EFE">
            <w:pPr>
              <w:rPr>
                <w:rFonts w:cstheme="minorHAnsi"/>
                <w:b/>
                <w:color w:val="auto"/>
                <w:sz w:val="20"/>
                <w:szCs w:val="20"/>
              </w:rPr>
            </w:pPr>
            <w:r w:rsidRPr="009979BF">
              <w:rPr>
                <w:rFonts w:cstheme="minorHAnsi"/>
                <w:b/>
                <w:color w:val="auto"/>
                <w:sz w:val="20"/>
                <w:szCs w:val="20"/>
              </w:rPr>
              <w:t>CT</w:t>
            </w:r>
          </w:p>
        </w:tc>
        <w:tc>
          <w:tcPr>
            <w:tcW w:w="392" w:type="pct"/>
            <w:tcBorders>
              <w:top w:val="nil"/>
              <w:left w:val="nil"/>
              <w:bottom w:val="single" w:sz="4" w:space="0" w:color="auto"/>
              <w:right w:val="single" w:sz="4" w:space="0" w:color="auto"/>
            </w:tcBorders>
            <w:shd w:val="clear" w:color="auto" w:fill="auto"/>
            <w:vAlign w:val="center"/>
            <w:hideMark/>
          </w:tcPr>
          <w:p w14:paraId="6AD16357"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t>20.4</w:t>
            </w:r>
          </w:p>
        </w:tc>
        <w:tc>
          <w:tcPr>
            <w:tcW w:w="558" w:type="pct"/>
            <w:tcBorders>
              <w:top w:val="nil"/>
              <w:left w:val="nil"/>
              <w:bottom w:val="single" w:sz="4" w:space="0" w:color="auto"/>
              <w:right w:val="single" w:sz="4" w:space="0" w:color="auto"/>
            </w:tcBorders>
            <w:shd w:val="clear" w:color="auto" w:fill="auto"/>
            <w:vAlign w:val="center"/>
          </w:tcPr>
          <w:p w14:paraId="7DDCE874"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t>17.5-23.4</w:t>
            </w:r>
          </w:p>
        </w:tc>
        <w:tc>
          <w:tcPr>
            <w:tcW w:w="402" w:type="pct"/>
            <w:vMerge/>
            <w:tcBorders>
              <w:left w:val="single" w:sz="8" w:space="0" w:color="auto"/>
              <w:right w:val="nil"/>
            </w:tcBorders>
            <w:vAlign w:val="center"/>
            <w:hideMark/>
          </w:tcPr>
          <w:p w14:paraId="1ECEA10E" w14:textId="77777777" w:rsidR="00F21EFE" w:rsidRPr="009979BF" w:rsidRDefault="00F21EFE" w:rsidP="00F21EFE">
            <w:pPr>
              <w:jc w:val="center"/>
              <w:rPr>
                <w:rFonts w:cstheme="minorHAnsi"/>
                <w:color w:val="auto"/>
                <w:sz w:val="20"/>
                <w:szCs w:val="20"/>
              </w:rPr>
            </w:pPr>
          </w:p>
        </w:tc>
        <w:tc>
          <w:tcPr>
            <w:tcW w:w="402" w:type="pct"/>
            <w:vMerge/>
            <w:tcBorders>
              <w:left w:val="single" w:sz="8" w:space="0" w:color="auto"/>
              <w:right w:val="nil"/>
            </w:tcBorders>
            <w:vAlign w:val="center"/>
            <w:hideMark/>
          </w:tcPr>
          <w:p w14:paraId="780553C0" w14:textId="77777777" w:rsidR="00F21EFE" w:rsidRPr="009979BF" w:rsidRDefault="00F21EFE" w:rsidP="00F21EFE">
            <w:pPr>
              <w:jc w:val="center"/>
              <w:rPr>
                <w:rFonts w:cstheme="minorHAnsi"/>
                <w:color w:val="auto"/>
                <w:sz w:val="20"/>
                <w:szCs w:val="20"/>
              </w:rPr>
            </w:pPr>
          </w:p>
        </w:tc>
        <w:tc>
          <w:tcPr>
            <w:tcW w:w="405" w:type="pct"/>
            <w:vMerge/>
            <w:tcBorders>
              <w:left w:val="single" w:sz="8" w:space="0" w:color="auto"/>
              <w:right w:val="single" w:sz="8" w:space="0" w:color="auto"/>
            </w:tcBorders>
            <w:vAlign w:val="center"/>
            <w:hideMark/>
          </w:tcPr>
          <w:p w14:paraId="7F6AD964" w14:textId="77777777" w:rsidR="00F21EFE" w:rsidRPr="009979BF" w:rsidRDefault="00F21EFE" w:rsidP="00F21EFE">
            <w:pPr>
              <w:jc w:val="center"/>
              <w:rPr>
                <w:rFonts w:cstheme="minorHAnsi"/>
                <w:color w:val="auto"/>
                <w:sz w:val="20"/>
                <w:szCs w:val="20"/>
              </w:rPr>
            </w:pPr>
          </w:p>
        </w:tc>
        <w:tc>
          <w:tcPr>
            <w:tcW w:w="401" w:type="pct"/>
            <w:vMerge/>
            <w:tcBorders>
              <w:left w:val="single" w:sz="8" w:space="0" w:color="auto"/>
              <w:right w:val="single" w:sz="8" w:space="0" w:color="auto"/>
            </w:tcBorders>
            <w:vAlign w:val="center"/>
          </w:tcPr>
          <w:p w14:paraId="4122E037" w14:textId="77777777" w:rsidR="00F21EFE" w:rsidRPr="009979BF" w:rsidRDefault="00F21EFE" w:rsidP="00F21EFE">
            <w:pPr>
              <w:jc w:val="center"/>
              <w:rPr>
                <w:rFonts w:cstheme="minorHAnsi"/>
                <w:color w:val="auto"/>
                <w:sz w:val="20"/>
                <w:szCs w:val="20"/>
              </w:rPr>
            </w:pPr>
          </w:p>
        </w:tc>
        <w:tc>
          <w:tcPr>
            <w:tcW w:w="399" w:type="pct"/>
            <w:vMerge/>
            <w:tcBorders>
              <w:left w:val="single" w:sz="8" w:space="0" w:color="auto"/>
              <w:right w:val="single" w:sz="8" w:space="0" w:color="auto"/>
            </w:tcBorders>
            <w:vAlign w:val="center"/>
          </w:tcPr>
          <w:p w14:paraId="720086CD" w14:textId="77777777" w:rsidR="00F21EFE" w:rsidRPr="009979BF" w:rsidRDefault="00F21EFE" w:rsidP="00F21EFE">
            <w:pPr>
              <w:jc w:val="center"/>
              <w:rPr>
                <w:rFonts w:cstheme="minorHAnsi"/>
                <w:color w:val="auto"/>
                <w:sz w:val="20"/>
                <w:szCs w:val="20"/>
              </w:rPr>
            </w:pPr>
          </w:p>
        </w:tc>
        <w:tc>
          <w:tcPr>
            <w:tcW w:w="618" w:type="pct"/>
            <w:vMerge/>
            <w:tcBorders>
              <w:left w:val="single" w:sz="8" w:space="0" w:color="auto"/>
              <w:right w:val="single" w:sz="8" w:space="0" w:color="auto"/>
            </w:tcBorders>
            <w:vAlign w:val="center"/>
          </w:tcPr>
          <w:p w14:paraId="19406B19" w14:textId="77777777" w:rsidR="00F21EFE" w:rsidRPr="009979BF" w:rsidRDefault="00F21EFE" w:rsidP="00F21EFE">
            <w:pPr>
              <w:jc w:val="center"/>
              <w:rPr>
                <w:rFonts w:cstheme="minorHAnsi"/>
                <w:color w:val="auto"/>
                <w:sz w:val="20"/>
                <w:szCs w:val="20"/>
              </w:rPr>
            </w:pPr>
          </w:p>
        </w:tc>
      </w:tr>
      <w:tr w:rsidR="00F21EFE" w:rsidRPr="009979BF" w14:paraId="7718A1C1" w14:textId="77777777" w:rsidTr="00F21EFE">
        <w:trPr>
          <w:trHeight w:val="300"/>
        </w:trPr>
        <w:tc>
          <w:tcPr>
            <w:tcW w:w="1031" w:type="pct"/>
            <w:vMerge/>
            <w:tcBorders>
              <w:left w:val="single" w:sz="8" w:space="0" w:color="auto"/>
              <w:bottom w:val="nil"/>
              <w:right w:val="single" w:sz="8" w:space="0" w:color="auto"/>
            </w:tcBorders>
            <w:vAlign w:val="center"/>
            <w:hideMark/>
          </w:tcPr>
          <w:p w14:paraId="1B860B00" w14:textId="77777777" w:rsidR="00F21EFE" w:rsidRPr="009979BF" w:rsidRDefault="00F21EFE" w:rsidP="00F21EFE">
            <w:pPr>
              <w:rPr>
                <w:rFonts w:cstheme="minorHAnsi"/>
                <w:b/>
                <w:color w:val="auto"/>
                <w:sz w:val="20"/>
                <w:szCs w:val="20"/>
              </w:rPr>
            </w:pPr>
          </w:p>
        </w:tc>
        <w:tc>
          <w:tcPr>
            <w:tcW w:w="392" w:type="pct"/>
            <w:tcBorders>
              <w:top w:val="nil"/>
              <w:left w:val="nil"/>
              <w:bottom w:val="single" w:sz="8" w:space="0" w:color="auto"/>
              <w:right w:val="single" w:sz="8" w:space="0" w:color="auto"/>
            </w:tcBorders>
            <w:shd w:val="clear" w:color="auto" w:fill="auto"/>
            <w:noWrap/>
            <w:vAlign w:val="center"/>
            <w:hideMark/>
          </w:tcPr>
          <w:p w14:paraId="0060B4BA" w14:textId="77777777" w:rsidR="00F21EFE" w:rsidRPr="009979BF" w:rsidRDefault="00F21EFE" w:rsidP="00F21EFE">
            <w:pPr>
              <w:rPr>
                <w:rFonts w:cstheme="minorHAnsi"/>
                <w:b/>
                <w:color w:val="auto"/>
                <w:sz w:val="20"/>
                <w:szCs w:val="20"/>
              </w:rPr>
            </w:pPr>
            <w:r w:rsidRPr="009979BF">
              <w:rPr>
                <w:rFonts w:cstheme="minorHAnsi"/>
                <w:b/>
                <w:color w:val="auto"/>
                <w:sz w:val="20"/>
                <w:szCs w:val="20"/>
              </w:rPr>
              <w:t>NAD</w:t>
            </w:r>
          </w:p>
        </w:tc>
        <w:tc>
          <w:tcPr>
            <w:tcW w:w="392" w:type="pct"/>
            <w:tcBorders>
              <w:top w:val="nil"/>
              <w:left w:val="nil"/>
              <w:bottom w:val="single" w:sz="8" w:space="0" w:color="auto"/>
              <w:right w:val="single" w:sz="4" w:space="0" w:color="auto"/>
            </w:tcBorders>
            <w:shd w:val="clear" w:color="auto" w:fill="auto"/>
            <w:vAlign w:val="center"/>
          </w:tcPr>
          <w:p w14:paraId="1902001D"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t>22.4</w:t>
            </w:r>
          </w:p>
        </w:tc>
        <w:tc>
          <w:tcPr>
            <w:tcW w:w="558" w:type="pct"/>
            <w:tcBorders>
              <w:top w:val="nil"/>
              <w:left w:val="nil"/>
              <w:bottom w:val="single" w:sz="8" w:space="0" w:color="auto"/>
              <w:right w:val="single" w:sz="4" w:space="0" w:color="auto"/>
            </w:tcBorders>
            <w:shd w:val="clear" w:color="auto" w:fill="auto"/>
            <w:vAlign w:val="center"/>
          </w:tcPr>
          <w:p w14:paraId="7CCB2962"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t>19.6-25.6</w:t>
            </w:r>
          </w:p>
        </w:tc>
        <w:tc>
          <w:tcPr>
            <w:tcW w:w="402" w:type="pct"/>
            <w:vMerge/>
            <w:tcBorders>
              <w:left w:val="single" w:sz="8" w:space="0" w:color="auto"/>
              <w:bottom w:val="nil"/>
              <w:right w:val="nil"/>
            </w:tcBorders>
            <w:vAlign w:val="center"/>
            <w:hideMark/>
          </w:tcPr>
          <w:p w14:paraId="18FF7C70" w14:textId="77777777" w:rsidR="00F21EFE" w:rsidRPr="009979BF" w:rsidRDefault="00F21EFE" w:rsidP="00F21EFE">
            <w:pPr>
              <w:jc w:val="center"/>
              <w:rPr>
                <w:rFonts w:cstheme="minorHAnsi"/>
                <w:color w:val="auto"/>
                <w:sz w:val="20"/>
                <w:szCs w:val="20"/>
              </w:rPr>
            </w:pPr>
          </w:p>
        </w:tc>
        <w:tc>
          <w:tcPr>
            <w:tcW w:w="402" w:type="pct"/>
            <w:vMerge/>
            <w:tcBorders>
              <w:left w:val="single" w:sz="8" w:space="0" w:color="auto"/>
              <w:bottom w:val="nil"/>
              <w:right w:val="nil"/>
            </w:tcBorders>
            <w:vAlign w:val="center"/>
            <w:hideMark/>
          </w:tcPr>
          <w:p w14:paraId="1C5586AB" w14:textId="77777777" w:rsidR="00F21EFE" w:rsidRPr="009979BF" w:rsidRDefault="00F21EFE" w:rsidP="00F21EFE">
            <w:pPr>
              <w:jc w:val="center"/>
              <w:rPr>
                <w:rFonts w:cstheme="minorHAnsi"/>
                <w:color w:val="auto"/>
                <w:sz w:val="20"/>
                <w:szCs w:val="20"/>
              </w:rPr>
            </w:pPr>
          </w:p>
        </w:tc>
        <w:tc>
          <w:tcPr>
            <w:tcW w:w="405" w:type="pct"/>
            <w:vMerge/>
            <w:tcBorders>
              <w:left w:val="single" w:sz="8" w:space="0" w:color="auto"/>
              <w:bottom w:val="nil"/>
              <w:right w:val="single" w:sz="8" w:space="0" w:color="auto"/>
            </w:tcBorders>
            <w:vAlign w:val="center"/>
            <w:hideMark/>
          </w:tcPr>
          <w:p w14:paraId="181C0785" w14:textId="77777777" w:rsidR="00F21EFE" w:rsidRPr="009979BF" w:rsidRDefault="00F21EFE" w:rsidP="00F21EFE">
            <w:pPr>
              <w:jc w:val="center"/>
              <w:rPr>
                <w:rFonts w:cstheme="minorHAnsi"/>
                <w:color w:val="auto"/>
                <w:sz w:val="20"/>
                <w:szCs w:val="20"/>
              </w:rPr>
            </w:pPr>
          </w:p>
        </w:tc>
        <w:tc>
          <w:tcPr>
            <w:tcW w:w="401" w:type="pct"/>
            <w:vMerge/>
            <w:tcBorders>
              <w:left w:val="single" w:sz="8" w:space="0" w:color="auto"/>
              <w:bottom w:val="nil"/>
              <w:right w:val="single" w:sz="8" w:space="0" w:color="auto"/>
            </w:tcBorders>
            <w:vAlign w:val="center"/>
          </w:tcPr>
          <w:p w14:paraId="0659320A" w14:textId="77777777" w:rsidR="00F21EFE" w:rsidRPr="009979BF" w:rsidRDefault="00F21EFE" w:rsidP="00F21EFE">
            <w:pPr>
              <w:jc w:val="center"/>
              <w:rPr>
                <w:rFonts w:cstheme="minorHAnsi"/>
                <w:color w:val="auto"/>
                <w:sz w:val="20"/>
                <w:szCs w:val="20"/>
              </w:rPr>
            </w:pPr>
          </w:p>
        </w:tc>
        <w:tc>
          <w:tcPr>
            <w:tcW w:w="399" w:type="pct"/>
            <w:vMerge/>
            <w:tcBorders>
              <w:left w:val="single" w:sz="8" w:space="0" w:color="auto"/>
              <w:bottom w:val="nil"/>
              <w:right w:val="single" w:sz="8" w:space="0" w:color="auto"/>
            </w:tcBorders>
            <w:vAlign w:val="center"/>
          </w:tcPr>
          <w:p w14:paraId="26E1705E" w14:textId="77777777" w:rsidR="00F21EFE" w:rsidRPr="009979BF" w:rsidRDefault="00F21EFE" w:rsidP="00F21EFE">
            <w:pPr>
              <w:jc w:val="center"/>
              <w:rPr>
                <w:rFonts w:cstheme="minorHAnsi"/>
                <w:color w:val="auto"/>
                <w:sz w:val="20"/>
                <w:szCs w:val="20"/>
              </w:rPr>
            </w:pPr>
          </w:p>
        </w:tc>
        <w:tc>
          <w:tcPr>
            <w:tcW w:w="618" w:type="pct"/>
            <w:vMerge/>
            <w:tcBorders>
              <w:left w:val="single" w:sz="8" w:space="0" w:color="auto"/>
              <w:bottom w:val="nil"/>
              <w:right w:val="single" w:sz="8" w:space="0" w:color="auto"/>
            </w:tcBorders>
            <w:vAlign w:val="center"/>
          </w:tcPr>
          <w:p w14:paraId="31A08B9C" w14:textId="77777777" w:rsidR="00F21EFE" w:rsidRPr="009979BF" w:rsidRDefault="00F21EFE" w:rsidP="00F21EFE">
            <w:pPr>
              <w:jc w:val="center"/>
              <w:rPr>
                <w:rFonts w:cstheme="minorHAnsi"/>
                <w:color w:val="auto"/>
                <w:sz w:val="20"/>
                <w:szCs w:val="20"/>
              </w:rPr>
            </w:pPr>
          </w:p>
        </w:tc>
      </w:tr>
      <w:tr w:rsidR="00F21EFE" w:rsidRPr="009979BF" w14:paraId="5D257614" w14:textId="77777777" w:rsidTr="00F21EFE">
        <w:trPr>
          <w:trHeight w:val="300"/>
        </w:trPr>
        <w:tc>
          <w:tcPr>
            <w:tcW w:w="1031" w:type="pct"/>
            <w:vMerge w:val="restart"/>
            <w:tcBorders>
              <w:top w:val="single" w:sz="8" w:space="0" w:color="auto"/>
              <w:left w:val="single" w:sz="8" w:space="0" w:color="auto"/>
              <w:right w:val="single" w:sz="8" w:space="0" w:color="auto"/>
            </w:tcBorders>
            <w:shd w:val="clear" w:color="auto" w:fill="auto"/>
            <w:vAlign w:val="center"/>
          </w:tcPr>
          <w:p w14:paraId="07027143" w14:textId="77777777" w:rsidR="00F21EFE" w:rsidRPr="009979BF" w:rsidRDefault="00F21EFE" w:rsidP="00F21EFE">
            <w:pPr>
              <w:rPr>
                <w:rFonts w:cstheme="minorHAnsi"/>
                <w:b/>
                <w:color w:val="auto"/>
                <w:sz w:val="20"/>
                <w:szCs w:val="20"/>
              </w:rPr>
            </w:pPr>
            <w:r w:rsidRPr="009979BF">
              <w:rPr>
                <w:rFonts w:cstheme="minorHAnsi"/>
                <w:b/>
                <w:color w:val="auto"/>
                <w:sz w:val="20"/>
                <w:szCs w:val="20"/>
              </w:rPr>
              <w:t>Multidimensional scale of social support</w:t>
            </w:r>
          </w:p>
        </w:tc>
        <w:tc>
          <w:tcPr>
            <w:tcW w:w="392" w:type="pct"/>
            <w:tcBorders>
              <w:top w:val="nil"/>
              <w:left w:val="nil"/>
              <w:bottom w:val="single" w:sz="4" w:space="0" w:color="auto"/>
              <w:right w:val="single" w:sz="8" w:space="0" w:color="auto"/>
            </w:tcBorders>
            <w:shd w:val="clear" w:color="auto" w:fill="auto"/>
            <w:noWrap/>
            <w:vAlign w:val="center"/>
          </w:tcPr>
          <w:p w14:paraId="03BFCC78" w14:textId="77777777" w:rsidR="00F21EFE" w:rsidRPr="009979BF" w:rsidRDefault="00F21EFE" w:rsidP="00F21EFE">
            <w:pPr>
              <w:rPr>
                <w:rFonts w:cstheme="minorHAnsi"/>
                <w:b/>
                <w:color w:val="auto"/>
                <w:sz w:val="20"/>
                <w:szCs w:val="20"/>
              </w:rPr>
            </w:pPr>
            <w:r w:rsidRPr="009979BF">
              <w:rPr>
                <w:rFonts w:cstheme="minorHAnsi"/>
                <w:b/>
                <w:color w:val="auto"/>
                <w:sz w:val="20"/>
                <w:szCs w:val="20"/>
              </w:rPr>
              <w:t>NG</w:t>
            </w:r>
          </w:p>
        </w:tc>
        <w:tc>
          <w:tcPr>
            <w:tcW w:w="392" w:type="pct"/>
            <w:tcBorders>
              <w:top w:val="nil"/>
              <w:left w:val="nil"/>
              <w:bottom w:val="single" w:sz="4" w:space="0" w:color="auto"/>
              <w:right w:val="single" w:sz="4" w:space="0" w:color="auto"/>
            </w:tcBorders>
            <w:shd w:val="clear" w:color="auto" w:fill="auto"/>
            <w:vAlign w:val="center"/>
          </w:tcPr>
          <w:p w14:paraId="7013C2C0"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t>2.5</w:t>
            </w:r>
          </w:p>
        </w:tc>
        <w:tc>
          <w:tcPr>
            <w:tcW w:w="558" w:type="pct"/>
            <w:tcBorders>
              <w:top w:val="nil"/>
              <w:left w:val="nil"/>
              <w:bottom w:val="single" w:sz="4" w:space="0" w:color="auto"/>
              <w:right w:val="single" w:sz="4" w:space="0" w:color="auto"/>
            </w:tcBorders>
            <w:shd w:val="clear" w:color="auto" w:fill="auto"/>
            <w:vAlign w:val="center"/>
          </w:tcPr>
          <w:p w14:paraId="41233191"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t>2.0-3.0</w:t>
            </w:r>
          </w:p>
        </w:tc>
        <w:tc>
          <w:tcPr>
            <w:tcW w:w="402" w:type="pct"/>
            <w:vMerge w:val="restart"/>
            <w:tcBorders>
              <w:top w:val="single" w:sz="8" w:space="0" w:color="auto"/>
              <w:left w:val="single" w:sz="8" w:space="0" w:color="auto"/>
              <w:right w:val="nil"/>
            </w:tcBorders>
            <w:shd w:val="clear" w:color="auto" w:fill="auto"/>
            <w:noWrap/>
            <w:vAlign w:val="center"/>
          </w:tcPr>
          <w:p w14:paraId="7E315E37"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t>0.583</w:t>
            </w:r>
          </w:p>
        </w:tc>
        <w:tc>
          <w:tcPr>
            <w:tcW w:w="402" w:type="pct"/>
            <w:vMerge w:val="restart"/>
            <w:tcBorders>
              <w:top w:val="single" w:sz="8" w:space="0" w:color="auto"/>
              <w:left w:val="single" w:sz="8" w:space="0" w:color="auto"/>
              <w:right w:val="nil"/>
            </w:tcBorders>
            <w:shd w:val="clear" w:color="auto" w:fill="auto"/>
            <w:noWrap/>
            <w:vAlign w:val="center"/>
          </w:tcPr>
          <w:p w14:paraId="46F85C51"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t>0.610</w:t>
            </w:r>
          </w:p>
        </w:tc>
        <w:tc>
          <w:tcPr>
            <w:tcW w:w="405" w:type="pct"/>
            <w:vMerge w:val="restart"/>
            <w:tcBorders>
              <w:top w:val="single" w:sz="8" w:space="0" w:color="auto"/>
              <w:left w:val="single" w:sz="8" w:space="0" w:color="auto"/>
              <w:right w:val="single" w:sz="8" w:space="0" w:color="auto"/>
            </w:tcBorders>
            <w:shd w:val="clear" w:color="auto" w:fill="auto"/>
            <w:noWrap/>
            <w:vAlign w:val="center"/>
          </w:tcPr>
          <w:p w14:paraId="40FA5E7A"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t>0.918</w:t>
            </w:r>
          </w:p>
        </w:tc>
        <w:tc>
          <w:tcPr>
            <w:tcW w:w="401" w:type="pct"/>
            <w:vMerge w:val="restart"/>
            <w:tcBorders>
              <w:top w:val="single" w:sz="8" w:space="0" w:color="auto"/>
              <w:left w:val="single" w:sz="8" w:space="0" w:color="auto"/>
              <w:right w:val="single" w:sz="8" w:space="0" w:color="auto"/>
            </w:tcBorders>
            <w:vAlign w:val="center"/>
          </w:tcPr>
          <w:p w14:paraId="600739FF" w14:textId="77777777" w:rsidR="00F21EFE" w:rsidRPr="009979BF" w:rsidRDefault="00F21EFE" w:rsidP="00F21EFE">
            <w:pPr>
              <w:jc w:val="center"/>
              <w:rPr>
                <w:rFonts w:cstheme="minorHAnsi"/>
                <w:b/>
                <w:color w:val="auto"/>
                <w:sz w:val="20"/>
                <w:szCs w:val="20"/>
              </w:rPr>
            </w:pPr>
            <w:r w:rsidRPr="009979BF">
              <w:rPr>
                <w:rFonts w:cstheme="minorHAnsi"/>
                <w:b/>
                <w:color w:val="auto"/>
                <w:sz w:val="20"/>
                <w:szCs w:val="20"/>
              </w:rPr>
              <w:t>0.059</w:t>
            </w:r>
          </w:p>
        </w:tc>
        <w:tc>
          <w:tcPr>
            <w:tcW w:w="399" w:type="pct"/>
            <w:vMerge w:val="restart"/>
            <w:tcBorders>
              <w:top w:val="single" w:sz="8" w:space="0" w:color="auto"/>
              <w:left w:val="single" w:sz="8" w:space="0" w:color="auto"/>
              <w:right w:val="single" w:sz="8" w:space="0" w:color="auto"/>
            </w:tcBorders>
            <w:vAlign w:val="center"/>
          </w:tcPr>
          <w:p w14:paraId="1048D703" w14:textId="77777777" w:rsidR="00F21EFE" w:rsidRPr="009979BF" w:rsidRDefault="00F21EFE" w:rsidP="00F21EFE">
            <w:pPr>
              <w:jc w:val="center"/>
              <w:rPr>
                <w:rFonts w:cstheme="minorHAnsi"/>
                <w:b/>
                <w:color w:val="auto"/>
                <w:sz w:val="20"/>
                <w:szCs w:val="20"/>
              </w:rPr>
            </w:pPr>
            <w:r w:rsidRPr="009979BF">
              <w:rPr>
                <w:rFonts w:cstheme="minorHAnsi"/>
                <w:b/>
                <w:color w:val="auto"/>
                <w:sz w:val="20"/>
                <w:szCs w:val="20"/>
              </w:rPr>
              <w:t>0.016</w:t>
            </w:r>
          </w:p>
        </w:tc>
        <w:tc>
          <w:tcPr>
            <w:tcW w:w="618" w:type="pct"/>
            <w:vMerge w:val="restart"/>
            <w:tcBorders>
              <w:top w:val="single" w:sz="8" w:space="0" w:color="auto"/>
              <w:left w:val="single" w:sz="8" w:space="0" w:color="auto"/>
              <w:right w:val="single" w:sz="8" w:space="0" w:color="auto"/>
            </w:tcBorders>
            <w:vAlign w:val="center"/>
          </w:tcPr>
          <w:p w14:paraId="556D4CBB" w14:textId="77777777" w:rsidR="00F21EFE" w:rsidRPr="009979BF" w:rsidRDefault="00F21EFE" w:rsidP="00F21EFE">
            <w:pPr>
              <w:jc w:val="center"/>
              <w:rPr>
                <w:rFonts w:cstheme="minorHAnsi"/>
                <w:b/>
                <w:color w:val="auto"/>
                <w:sz w:val="20"/>
                <w:szCs w:val="20"/>
              </w:rPr>
            </w:pPr>
            <w:r w:rsidRPr="009979BF">
              <w:rPr>
                <w:rFonts w:cstheme="minorHAnsi"/>
                <w:b/>
                <w:color w:val="auto"/>
                <w:sz w:val="20"/>
                <w:szCs w:val="20"/>
              </w:rPr>
              <w:t>0.040</w:t>
            </w:r>
          </w:p>
        </w:tc>
      </w:tr>
      <w:tr w:rsidR="00F21EFE" w:rsidRPr="009979BF" w14:paraId="47AE74B4" w14:textId="77777777" w:rsidTr="00F21EFE">
        <w:trPr>
          <w:trHeight w:val="300"/>
        </w:trPr>
        <w:tc>
          <w:tcPr>
            <w:tcW w:w="1031" w:type="pct"/>
            <w:vMerge/>
            <w:tcBorders>
              <w:left w:val="single" w:sz="8" w:space="0" w:color="auto"/>
              <w:right w:val="single" w:sz="8" w:space="0" w:color="auto"/>
            </w:tcBorders>
            <w:shd w:val="clear" w:color="auto" w:fill="auto"/>
            <w:vAlign w:val="center"/>
            <w:hideMark/>
          </w:tcPr>
          <w:p w14:paraId="012FB66F" w14:textId="77777777" w:rsidR="00F21EFE" w:rsidRPr="009979BF" w:rsidRDefault="00F21EFE" w:rsidP="00F21EFE">
            <w:pPr>
              <w:rPr>
                <w:rFonts w:cstheme="minorHAnsi"/>
                <w:b/>
                <w:color w:val="auto"/>
                <w:sz w:val="20"/>
                <w:szCs w:val="20"/>
              </w:rPr>
            </w:pPr>
          </w:p>
        </w:tc>
        <w:tc>
          <w:tcPr>
            <w:tcW w:w="392" w:type="pct"/>
            <w:tcBorders>
              <w:top w:val="nil"/>
              <w:left w:val="nil"/>
              <w:bottom w:val="single" w:sz="4" w:space="0" w:color="auto"/>
              <w:right w:val="single" w:sz="8" w:space="0" w:color="auto"/>
            </w:tcBorders>
            <w:shd w:val="clear" w:color="auto" w:fill="auto"/>
            <w:noWrap/>
            <w:vAlign w:val="center"/>
            <w:hideMark/>
          </w:tcPr>
          <w:p w14:paraId="1E7679A6" w14:textId="77777777" w:rsidR="00F21EFE" w:rsidRPr="009979BF" w:rsidRDefault="00F21EFE" w:rsidP="00F21EFE">
            <w:pPr>
              <w:rPr>
                <w:rFonts w:cstheme="minorHAnsi"/>
                <w:b/>
                <w:color w:val="auto"/>
                <w:sz w:val="20"/>
                <w:szCs w:val="20"/>
              </w:rPr>
            </w:pPr>
            <w:r w:rsidRPr="009979BF">
              <w:rPr>
                <w:rFonts w:cstheme="minorHAnsi"/>
                <w:b/>
                <w:color w:val="auto"/>
                <w:sz w:val="20"/>
                <w:szCs w:val="20"/>
              </w:rPr>
              <w:t>NSGI</w:t>
            </w:r>
          </w:p>
        </w:tc>
        <w:tc>
          <w:tcPr>
            <w:tcW w:w="392" w:type="pct"/>
            <w:tcBorders>
              <w:top w:val="nil"/>
              <w:left w:val="nil"/>
              <w:bottom w:val="single" w:sz="4" w:space="0" w:color="auto"/>
              <w:right w:val="single" w:sz="4" w:space="0" w:color="auto"/>
            </w:tcBorders>
            <w:shd w:val="clear" w:color="auto" w:fill="auto"/>
            <w:vAlign w:val="center"/>
            <w:hideMark/>
          </w:tcPr>
          <w:p w14:paraId="4225870F"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t>3.1</w:t>
            </w:r>
          </w:p>
        </w:tc>
        <w:tc>
          <w:tcPr>
            <w:tcW w:w="558" w:type="pct"/>
            <w:tcBorders>
              <w:top w:val="nil"/>
              <w:left w:val="nil"/>
              <w:bottom w:val="single" w:sz="4" w:space="0" w:color="auto"/>
              <w:right w:val="single" w:sz="4" w:space="0" w:color="auto"/>
            </w:tcBorders>
            <w:shd w:val="clear" w:color="auto" w:fill="auto"/>
            <w:vAlign w:val="center"/>
          </w:tcPr>
          <w:p w14:paraId="34BB20CE"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t>2.9-3.2</w:t>
            </w:r>
          </w:p>
        </w:tc>
        <w:tc>
          <w:tcPr>
            <w:tcW w:w="402" w:type="pct"/>
            <w:vMerge/>
            <w:tcBorders>
              <w:left w:val="single" w:sz="8" w:space="0" w:color="auto"/>
              <w:right w:val="nil"/>
            </w:tcBorders>
            <w:shd w:val="clear" w:color="auto" w:fill="auto"/>
            <w:noWrap/>
            <w:vAlign w:val="center"/>
            <w:hideMark/>
          </w:tcPr>
          <w:p w14:paraId="09E6529C" w14:textId="77777777" w:rsidR="00F21EFE" w:rsidRPr="009979BF" w:rsidRDefault="00F21EFE" w:rsidP="00F21EFE">
            <w:pPr>
              <w:jc w:val="center"/>
              <w:rPr>
                <w:rFonts w:cstheme="minorHAnsi"/>
                <w:color w:val="auto"/>
                <w:sz w:val="20"/>
                <w:szCs w:val="20"/>
              </w:rPr>
            </w:pPr>
          </w:p>
        </w:tc>
        <w:tc>
          <w:tcPr>
            <w:tcW w:w="402" w:type="pct"/>
            <w:vMerge/>
            <w:tcBorders>
              <w:left w:val="single" w:sz="8" w:space="0" w:color="auto"/>
              <w:right w:val="nil"/>
            </w:tcBorders>
            <w:shd w:val="clear" w:color="auto" w:fill="auto"/>
            <w:noWrap/>
            <w:vAlign w:val="center"/>
            <w:hideMark/>
          </w:tcPr>
          <w:p w14:paraId="63FBE0FE" w14:textId="77777777" w:rsidR="00F21EFE" w:rsidRPr="009979BF" w:rsidRDefault="00F21EFE" w:rsidP="00F21EFE">
            <w:pPr>
              <w:jc w:val="center"/>
              <w:rPr>
                <w:rFonts w:cstheme="minorHAnsi"/>
                <w:color w:val="auto"/>
                <w:sz w:val="20"/>
                <w:szCs w:val="20"/>
              </w:rPr>
            </w:pPr>
          </w:p>
        </w:tc>
        <w:tc>
          <w:tcPr>
            <w:tcW w:w="405" w:type="pct"/>
            <w:vMerge/>
            <w:tcBorders>
              <w:left w:val="single" w:sz="8" w:space="0" w:color="auto"/>
              <w:right w:val="single" w:sz="8" w:space="0" w:color="auto"/>
            </w:tcBorders>
            <w:shd w:val="clear" w:color="auto" w:fill="auto"/>
            <w:noWrap/>
            <w:vAlign w:val="center"/>
            <w:hideMark/>
          </w:tcPr>
          <w:p w14:paraId="50F36490" w14:textId="77777777" w:rsidR="00F21EFE" w:rsidRPr="009979BF" w:rsidRDefault="00F21EFE" w:rsidP="00F21EFE">
            <w:pPr>
              <w:jc w:val="center"/>
              <w:rPr>
                <w:rFonts w:cstheme="minorHAnsi"/>
                <w:color w:val="auto"/>
                <w:sz w:val="20"/>
                <w:szCs w:val="20"/>
              </w:rPr>
            </w:pPr>
          </w:p>
        </w:tc>
        <w:tc>
          <w:tcPr>
            <w:tcW w:w="401" w:type="pct"/>
            <w:vMerge/>
            <w:tcBorders>
              <w:left w:val="single" w:sz="8" w:space="0" w:color="auto"/>
              <w:right w:val="single" w:sz="8" w:space="0" w:color="auto"/>
            </w:tcBorders>
            <w:vAlign w:val="center"/>
          </w:tcPr>
          <w:p w14:paraId="2465BE8F" w14:textId="77777777" w:rsidR="00F21EFE" w:rsidRPr="009979BF" w:rsidRDefault="00F21EFE" w:rsidP="00F21EFE">
            <w:pPr>
              <w:jc w:val="center"/>
              <w:rPr>
                <w:rFonts w:cstheme="minorHAnsi"/>
                <w:color w:val="auto"/>
                <w:sz w:val="20"/>
                <w:szCs w:val="20"/>
              </w:rPr>
            </w:pPr>
          </w:p>
        </w:tc>
        <w:tc>
          <w:tcPr>
            <w:tcW w:w="399" w:type="pct"/>
            <w:vMerge/>
            <w:tcBorders>
              <w:left w:val="single" w:sz="8" w:space="0" w:color="auto"/>
              <w:right w:val="single" w:sz="8" w:space="0" w:color="auto"/>
            </w:tcBorders>
          </w:tcPr>
          <w:p w14:paraId="6E4C2A0C" w14:textId="77777777" w:rsidR="00F21EFE" w:rsidRPr="009979BF" w:rsidRDefault="00F21EFE" w:rsidP="00F21EFE">
            <w:pPr>
              <w:jc w:val="center"/>
              <w:rPr>
                <w:rFonts w:cstheme="minorHAnsi"/>
                <w:color w:val="auto"/>
                <w:sz w:val="20"/>
                <w:szCs w:val="20"/>
              </w:rPr>
            </w:pPr>
          </w:p>
        </w:tc>
        <w:tc>
          <w:tcPr>
            <w:tcW w:w="618" w:type="pct"/>
            <w:vMerge/>
            <w:tcBorders>
              <w:left w:val="single" w:sz="8" w:space="0" w:color="auto"/>
              <w:right w:val="single" w:sz="8" w:space="0" w:color="auto"/>
            </w:tcBorders>
          </w:tcPr>
          <w:p w14:paraId="7AF5EDBD" w14:textId="77777777" w:rsidR="00F21EFE" w:rsidRPr="009979BF" w:rsidRDefault="00F21EFE" w:rsidP="00F21EFE">
            <w:pPr>
              <w:jc w:val="center"/>
              <w:rPr>
                <w:rFonts w:cstheme="minorHAnsi"/>
                <w:color w:val="auto"/>
                <w:sz w:val="20"/>
                <w:szCs w:val="20"/>
              </w:rPr>
            </w:pPr>
          </w:p>
        </w:tc>
      </w:tr>
      <w:tr w:rsidR="00F21EFE" w:rsidRPr="009979BF" w14:paraId="03D4C529" w14:textId="77777777" w:rsidTr="00F21EFE">
        <w:trPr>
          <w:trHeight w:val="300"/>
        </w:trPr>
        <w:tc>
          <w:tcPr>
            <w:tcW w:w="1031" w:type="pct"/>
            <w:vMerge/>
            <w:tcBorders>
              <w:left w:val="single" w:sz="8" w:space="0" w:color="auto"/>
              <w:right w:val="single" w:sz="8" w:space="0" w:color="auto"/>
            </w:tcBorders>
            <w:vAlign w:val="center"/>
            <w:hideMark/>
          </w:tcPr>
          <w:p w14:paraId="0ABFFFC6" w14:textId="77777777" w:rsidR="00F21EFE" w:rsidRPr="009979BF" w:rsidRDefault="00F21EFE" w:rsidP="00F21EFE">
            <w:pPr>
              <w:rPr>
                <w:rFonts w:cstheme="minorHAnsi"/>
                <w:b/>
                <w:color w:val="auto"/>
                <w:sz w:val="20"/>
                <w:szCs w:val="20"/>
              </w:rPr>
            </w:pPr>
          </w:p>
        </w:tc>
        <w:tc>
          <w:tcPr>
            <w:tcW w:w="392" w:type="pct"/>
            <w:tcBorders>
              <w:top w:val="nil"/>
              <w:left w:val="nil"/>
              <w:bottom w:val="single" w:sz="4" w:space="0" w:color="auto"/>
              <w:right w:val="single" w:sz="8" w:space="0" w:color="auto"/>
            </w:tcBorders>
            <w:shd w:val="clear" w:color="auto" w:fill="auto"/>
            <w:noWrap/>
            <w:vAlign w:val="center"/>
            <w:hideMark/>
          </w:tcPr>
          <w:p w14:paraId="02C4155E" w14:textId="77777777" w:rsidR="00F21EFE" w:rsidRPr="009979BF" w:rsidRDefault="00F21EFE" w:rsidP="00F21EFE">
            <w:pPr>
              <w:rPr>
                <w:rFonts w:cstheme="minorHAnsi"/>
                <w:b/>
                <w:color w:val="auto"/>
                <w:sz w:val="20"/>
                <w:szCs w:val="20"/>
              </w:rPr>
            </w:pPr>
            <w:r w:rsidRPr="009979BF">
              <w:rPr>
                <w:rFonts w:cstheme="minorHAnsi"/>
                <w:b/>
                <w:color w:val="auto"/>
                <w:sz w:val="20"/>
                <w:szCs w:val="20"/>
              </w:rPr>
              <w:t>CT</w:t>
            </w:r>
          </w:p>
        </w:tc>
        <w:tc>
          <w:tcPr>
            <w:tcW w:w="392" w:type="pct"/>
            <w:tcBorders>
              <w:top w:val="nil"/>
              <w:left w:val="nil"/>
              <w:bottom w:val="single" w:sz="4" w:space="0" w:color="auto"/>
              <w:right w:val="single" w:sz="4" w:space="0" w:color="auto"/>
            </w:tcBorders>
            <w:shd w:val="clear" w:color="auto" w:fill="auto"/>
            <w:vAlign w:val="center"/>
            <w:hideMark/>
          </w:tcPr>
          <w:p w14:paraId="377460BC"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t>3.2</w:t>
            </w:r>
          </w:p>
        </w:tc>
        <w:tc>
          <w:tcPr>
            <w:tcW w:w="558" w:type="pct"/>
            <w:tcBorders>
              <w:top w:val="nil"/>
              <w:left w:val="nil"/>
              <w:bottom w:val="single" w:sz="4" w:space="0" w:color="auto"/>
              <w:right w:val="single" w:sz="4" w:space="0" w:color="auto"/>
            </w:tcBorders>
            <w:shd w:val="clear" w:color="auto" w:fill="auto"/>
            <w:vAlign w:val="center"/>
          </w:tcPr>
          <w:p w14:paraId="06AFDEE0"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t>2.8-3.6</w:t>
            </w:r>
          </w:p>
        </w:tc>
        <w:tc>
          <w:tcPr>
            <w:tcW w:w="402" w:type="pct"/>
            <w:vMerge/>
            <w:tcBorders>
              <w:left w:val="single" w:sz="8" w:space="0" w:color="auto"/>
              <w:right w:val="nil"/>
            </w:tcBorders>
            <w:vAlign w:val="center"/>
            <w:hideMark/>
          </w:tcPr>
          <w:p w14:paraId="2405E1F0" w14:textId="77777777" w:rsidR="00F21EFE" w:rsidRPr="009979BF" w:rsidRDefault="00F21EFE" w:rsidP="00F21EFE">
            <w:pPr>
              <w:rPr>
                <w:rFonts w:cstheme="minorHAnsi"/>
                <w:color w:val="auto"/>
                <w:sz w:val="20"/>
                <w:szCs w:val="20"/>
              </w:rPr>
            </w:pPr>
          </w:p>
        </w:tc>
        <w:tc>
          <w:tcPr>
            <w:tcW w:w="402" w:type="pct"/>
            <w:vMerge/>
            <w:tcBorders>
              <w:left w:val="single" w:sz="8" w:space="0" w:color="auto"/>
              <w:right w:val="nil"/>
            </w:tcBorders>
            <w:vAlign w:val="center"/>
            <w:hideMark/>
          </w:tcPr>
          <w:p w14:paraId="10B96E43" w14:textId="77777777" w:rsidR="00F21EFE" w:rsidRPr="009979BF" w:rsidRDefault="00F21EFE" w:rsidP="00F21EFE">
            <w:pPr>
              <w:rPr>
                <w:rFonts w:cstheme="minorHAnsi"/>
                <w:color w:val="auto"/>
                <w:sz w:val="20"/>
                <w:szCs w:val="20"/>
              </w:rPr>
            </w:pPr>
          </w:p>
        </w:tc>
        <w:tc>
          <w:tcPr>
            <w:tcW w:w="405" w:type="pct"/>
            <w:vMerge/>
            <w:tcBorders>
              <w:left w:val="single" w:sz="8" w:space="0" w:color="auto"/>
              <w:right w:val="single" w:sz="8" w:space="0" w:color="auto"/>
            </w:tcBorders>
            <w:vAlign w:val="center"/>
            <w:hideMark/>
          </w:tcPr>
          <w:p w14:paraId="34C7AB0D" w14:textId="77777777" w:rsidR="00F21EFE" w:rsidRPr="009979BF" w:rsidRDefault="00F21EFE" w:rsidP="00F21EFE">
            <w:pPr>
              <w:rPr>
                <w:rFonts w:cstheme="minorHAnsi"/>
                <w:color w:val="auto"/>
                <w:sz w:val="20"/>
                <w:szCs w:val="20"/>
              </w:rPr>
            </w:pPr>
          </w:p>
        </w:tc>
        <w:tc>
          <w:tcPr>
            <w:tcW w:w="401" w:type="pct"/>
            <w:vMerge/>
            <w:tcBorders>
              <w:left w:val="single" w:sz="8" w:space="0" w:color="auto"/>
              <w:right w:val="single" w:sz="8" w:space="0" w:color="auto"/>
            </w:tcBorders>
          </w:tcPr>
          <w:p w14:paraId="6AF9D9BA" w14:textId="77777777" w:rsidR="00F21EFE" w:rsidRPr="009979BF" w:rsidRDefault="00F21EFE" w:rsidP="00F21EFE">
            <w:pPr>
              <w:rPr>
                <w:rFonts w:cstheme="minorHAnsi"/>
                <w:color w:val="auto"/>
                <w:sz w:val="20"/>
                <w:szCs w:val="20"/>
              </w:rPr>
            </w:pPr>
          </w:p>
        </w:tc>
        <w:tc>
          <w:tcPr>
            <w:tcW w:w="399" w:type="pct"/>
            <w:vMerge/>
            <w:tcBorders>
              <w:left w:val="single" w:sz="8" w:space="0" w:color="auto"/>
              <w:right w:val="single" w:sz="8" w:space="0" w:color="auto"/>
            </w:tcBorders>
          </w:tcPr>
          <w:p w14:paraId="0E22A3C4" w14:textId="77777777" w:rsidR="00F21EFE" w:rsidRPr="009979BF" w:rsidRDefault="00F21EFE" w:rsidP="00F21EFE">
            <w:pPr>
              <w:rPr>
                <w:rFonts w:cstheme="minorHAnsi"/>
                <w:color w:val="auto"/>
                <w:sz w:val="20"/>
                <w:szCs w:val="20"/>
              </w:rPr>
            </w:pPr>
          </w:p>
        </w:tc>
        <w:tc>
          <w:tcPr>
            <w:tcW w:w="618" w:type="pct"/>
            <w:vMerge/>
            <w:tcBorders>
              <w:left w:val="single" w:sz="8" w:space="0" w:color="auto"/>
              <w:right w:val="single" w:sz="8" w:space="0" w:color="auto"/>
            </w:tcBorders>
          </w:tcPr>
          <w:p w14:paraId="61F15EF5" w14:textId="77777777" w:rsidR="00F21EFE" w:rsidRPr="009979BF" w:rsidRDefault="00F21EFE" w:rsidP="00F21EFE">
            <w:pPr>
              <w:rPr>
                <w:rFonts w:cstheme="minorHAnsi"/>
                <w:color w:val="auto"/>
                <w:sz w:val="20"/>
                <w:szCs w:val="20"/>
              </w:rPr>
            </w:pPr>
          </w:p>
        </w:tc>
      </w:tr>
      <w:tr w:rsidR="00F21EFE" w:rsidRPr="009979BF" w14:paraId="06DD342C" w14:textId="77777777" w:rsidTr="00F21EFE">
        <w:trPr>
          <w:trHeight w:val="300"/>
        </w:trPr>
        <w:tc>
          <w:tcPr>
            <w:tcW w:w="1031" w:type="pct"/>
            <w:vMerge/>
            <w:tcBorders>
              <w:left w:val="single" w:sz="8" w:space="0" w:color="auto"/>
              <w:bottom w:val="single" w:sz="8" w:space="0" w:color="000000"/>
              <w:right w:val="single" w:sz="8" w:space="0" w:color="auto"/>
            </w:tcBorders>
            <w:vAlign w:val="center"/>
            <w:hideMark/>
          </w:tcPr>
          <w:p w14:paraId="149C5571" w14:textId="77777777" w:rsidR="00F21EFE" w:rsidRPr="009979BF" w:rsidRDefault="00F21EFE" w:rsidP="00F21EFE">
            <w:pPr>
              <w:rPr>
                <w:rFonts w:cstheme="minorHAnsi"/>
                <w:b/>
                <w:color w:val="auto"/>
                <w:sz w:val="20"/>
                <w:szCs w:val="20"/>
              </w:rPr>
            </w:pPr>
          </w:p>
        </w:tc>
        <w:tc>
          <w:tcPr>
            <w:tcW w:w="392" w:type="pct"/>
            <w:tcBorders>
              <w:top w:val="nil"/>
              <w:left w:val="nil"/>
              <w:bottom w:val="single" w:sz="8" w:space="0" w:color="auto"/>
              <w:right w:val="single" w:sz="8" w:space="0" w:color="auto"/>
            </w:tcBorders>
            <w:shd w:val="clear" w:color="auto" w:fill="auto"/>
            <w:noWrap/>
            <w:vAlign w:val="center"/>
            <w:hideMark/>
          </w:tcPr>
          <w:p w14:paraId="4C869595" w14:textId="77777777" w:rsidR="00F21EFE" w:rsidRPr="009979BF" w:rsidRDefault="00F21EFE" w:rsidP="00F21EFE">
            <w:pPr>
              <w:rPr>
                <w:rFonts w:cstheme="minorHAnsi"/>
                <w:b/>
                <w:color w:val="auto"/>
                <w:sz w:val="20"/>
                <w:szCs w:val="20"/>
              </w:rPr>
            </w:pPr>
            <w:r w:rsidRPr="009979BF">
              <w:rPr>
                <w:rFonts w:cstheme="minorHAnsi"/>
                <w:b/>
                <w:color w:val="auto"/>
                <w:sz w:val="20"/>
                <w:szCs w:val="20"/>
              </w:rPr>
              <w:t>NAD</w:t>
            </w:r>
          </w:p>
        </w:tc>
        <w:tc>
          <w:tcPr>
            <w:tcW w:w="392" w:type="pct"/>
            <w:tcBorders>
              <w:top w:val="nil"/>
              <w:left w:val="nil"/>
              <w:bottom w:val="single" w:sz="8" w:space="0" w:color="auto"/>
              <w:right w:val="single" w:sz="4" w:space="0" w:color="auto"/>
            </w:tcBorders>
            <w:shd w:val="clear" w:color="auto" w:fill="auto"/>
            <w:vAlign w:val="center"/>
            <w:hideMark/>
          </w:tcPr>
          <w:p w14:paraId="6225648C"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t>3.2</w:t>
            </w:r>
          </w:p>
        </w:tc>
        <w:tc>
          <w:tcPr>
            <w:tcW w:w="558" w:type="pct"/>
            <w:tcBorders>
              <w:top w:val="nil"/>
              <w:left w:val="nil"/>
              <w:bottom w:val="single" w:sz="8" w:space="0" w:color="auto"/>
              <w:right w:val="single" w:sz="4" w:space="0" w:color="auto"/>
            </w:tcBorders>
            <w:shd w:val="clear" w:color="auto" w:fill="auto"/>
            <w:vAlign w:val="center"/>
          </w:tcPr>
          <w:p w14:paraId="4F8F2C85"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t>2.9-3.4</w:t>
            </w:r>
          </w:p>
        </w:tc>
        <w:tc>
          <w:tcPr>
            <w:tcW w:w="402" w:type="pct"/>
            <w:vMerge/>
            <w:tcBorders>
              <w:left w:val="single" w:sz="8" w:space="0" w:color="auto"/>
              <w:bottom w:val="single" w:sz="8" w:space="0" w:color="000000"/>
              <w:right w:val="nil"/>
            </w:tcBorders>
            <w:vAlign w:val="center"/>
            <w:hideMark/>
          </w:tcPr>
          <w:p w14:paraId="42ABC61B" w14:textId="77777777" w:rsidR="00F21EFE" w:rsidRPr="009979BF" w:rsidRDefault="00F21EFE" w:rsidP="00F21EFE">
            <w:pPr>
              <w:rPr>
                <w:rFonts w:cstheme="minorHAnsi"/>
                <w:color w:val="auto"/>
                <w:sz w:val="20"/>
                <w:szCs w:val="20"/>
              </w:rPr>
            </w:pPr>
          </w:p>
        </w:tc>
        <w:tc>
          <w:tcPr>
            <w:tcW w:w="402" w:type="pct"/>
            <w:vMerge/>
            <w:tcBorders>
              <w:left w:val="single" w:sz="8" w:space="0" w:color="auto"/>
              <w:bottom w:val="single" w:sz="8" w:space="0" w:color="000000"/>
              <w:right w:val="nil"/>
            </w:tcBorders>
            <w:vAlign w:val="center"/>
            <w:hideMark/>
          </w:tcPr>
          <w:p w14:paraId="52DBC0D7" w14:textId="77777777" w:rsidR="00F21EFE" w:rsidRPr="009979BF" w:rsidRDefault="00F21EFE" w:rsidP="00F21EFE">
            <w:pPr>
              <w:rPr>
                <w:rFonts w:cstheme="minorHAnsi"/>
                <w:color w:val="auto"/>
                <w:sz w:val="20"/>
                <w:szCs w:val="20"/>
              </w:rPr>
            </w:pPr>
          </w:p>
        </w:tc>
        <w:tc>
          <w:tcPr>
            <w:tcW w:w="405" w:type="pct"/>
            <w:vMerge/>
            <w:tcBorders>
              <w:left w:val="single" w:sz="8" w:space="0" w:color="auto"/>
              <w:bottom w:val="single" w:sz="8" w:space="0" w:color="000000"/>
              <w:right w:val="single" w:sz="8" w:space="0" w:color="auto"/>
            </w:tcBorders>
            <w:vAlign w:val="center"/>
            <w:hideMark/>
          </w:tcPr>
          <w:p w14:paraId="5381D970" w14:textId="77777777" w:rsidR="00F21EFE" w:rsidRPr="009979BF" w:rsidRDefault="00F21EFE" w:rsidP="00F21EFE">
            <w:pPr>
              <w:rPr>
                <w:rFonts w:cstheme="minorHAnsi"/>
                <w:color w:val="auto"/>
                <w:sz w:val="20"/>
                <w:szCs w:val="20"/>
              </w:rPr>
            </w:pPr>
          </w:p>
        </w:tc>
        <w:tc>
          <w:tcPr>
            <w:tcW w:w="401" w:type="pct"/>
            <w:vMerge/>
            <w:tcBorders>
              <w:left w:val="single" w:sz="8" w:space="0" w:color="auto"/>
              <w:bottom w:val="single" w:sz="8" w:space="0" w:color="000000"/>
              <w:right w:val="single" w:sz="8" w:space="0" w:color="auto"/>
            </w:tcBorders>
          </w:tcPr>
          <w:p w14:paraId="377F75A7" w14:textId="77777777" w:rsidR="00F21EFE" w:rsidRPr="009979BF" w:rsidRDefault="00F21EFE" w:rsidP="00F21EFE">
            <w:pPr>
              <w:rPr>
                <w:rFonts w:cstheme="minorHAnsi"/>
                <w:color w:val="auto"/>
                <w:sz w:val="20"/>
                <w:szCs w:val="20"/>
              </w:rPr>
            </w:pPr>
          </w:p>
        </w:tc>
        <w:tc>
          <w:tcPr>
            <w:tcW w:w="399" w:type="pct"/>
            <w:vMerge/>
            <w:tcBorders>
              <w:left w:val="single" w:sz="8" w:space="0" w:color="auto"/>
              <w:bottom w:val="single" w:sz="8" w:space="0" w:color="000000"/>
              <w:right w:val="single" w:sz="8" w:space="0" w:color="auto"/>
            </w:tcBorders>
          </w:tcPr>
          <w:p w14:paraId="2FD16AF3" w14:textId="77777777" w:rsidR="00F21EFE" w:rsidRPr="009979BF" w:rsidRDefault="00F21EFE" w:rsidP="00F21EFE">
            <w:pPr>
              <w:rPr>
                <w:rFonts w:cstheme="minorHAnsi"/>
                <w:color w:val="auto"/>
                <w:sz w:val="20"/>
                <w:szCs w:val="20"/>
              </w:rPr>
            </w:pPr>
          </w:p>
        </w:tc>
        <w:tc>
          <w:tcPr>
            <w:tcW w:w="618" w:type="pct"/>
            <w:vMerge/>
            <w:tcBorders>
              <w:left w:val="single" w:sz="8" w:space="0" w:color="auto"/>
              <w:bottom w:val="single" w:sz="8" w:space="0" w:color="000000"/>
              <w:right w:val="single" w:sz="8" w:space="0" w:color="auto"/>
            </w:tcBorders>
          </w:tcPr>
          <w:p w14:paraId="1000B99B" w14:textId="77777777" w:rsidR="00F21EFE" w:rsidRPr="009979BF" w:rsidRDefault="00F21EFE" w:rsidP="00F21EFE">
            <w:pPr>
              <w:rPr>
                <w:rFonts w:cstheme="minorHAnsi"/>
                <w:color w:val="auto"/>
                <w:sz w:val="20"/>
                <w:szCs w:val="20"/>
              </w:rPr>
            </w:pPr>
          </w:p>
        </w:tc>
      </w:tr>
    </w:tbl>
    <w:p w14:paraId="6F272CAF" w14:textId="77777777" w:rsidR="00F21EFE" w:rsidRPr="009979BF" w:rsidRDefault="00F21EFE" w:rsidP="00F21EFE">
      <w:pPr>
        <w:rPr>
          <w:color w:val="auto"/>
        </w:rPr>
      </w:pPr>
    </w:p>
    <w:p w14:paraId="4CEA3853" w14:textId="77777777" w:rsidR="00F21EFE" w:rsidRPr="009979BF" w:rsidRDefault="00F21EFE" w:rsidP="00F21EFE">
      <w:pPr>
        <w:jc w:val="both"/>
        <w:rPr>
          <w:color w:val="auto"/>
          <w:sz w:val="20"/>
          <w:szCs w:val="20"/>
        </w:rPr>
      </w:pPr>
      <w:r w:rsidRPr="009979BF">
        <w:rPr>
          <w:b/>
          <w:color w:val="auto"/>
          <w:sz w:val="20"/>
          <w:szCs w:val="20"/>
        </w:rPr>
        <w:t>Tab 2.b</w:t>
      </w:r>
      <w:r w:rsidRPr="009979BF">
        <w:rPr>
          <w:color w:val="auto"/>
          <w:sz w:val="20"/>
          <w:szCs w:val="20"/>
        </w:rPr>
        <w:t xml:space="preserve"> Distribution of psychosocial scores by final diagnosis within the FU group and within the Baseline group restricted to those with a FU record comparing Baseline and FU scores</w:t>
      </w:r>
    </w:p>
    <w:p w14:paraId="507FA0A4" w14:textId="77777777" w:rsidR="00F21EFE" w:rsidRPr="009979BF" w:rsidRDefault="00F21EFE" w:rsidP="00F21EFE">
      <w:pPr>
        <w:jc w:val="both"/>
        <w:rPr>
          <w:color w:val="auto"/>
        </w:rPr>
      </w:pPr>
    </w:p>
    <w:tbl>
      <w:tblPr>
        <w:tblW w:w="5000" w:type="pct"/>
        <w:tblLook w:val="04A0" w:firstRow="1" w:lastRow="0" w:firstColumn="1" w:lastColumn="0" w:noHBand="0" w:noVBand="1"/>
      </w:tblPr>
      <w:tblGrid>
        <w:gridCol w:w="2040"/>
        <w:gridCol w:w="738"/>
        <w:gridCol w:w="828"/>
        <w:gridCol w:w="982"/>
        <w:gridCol w:w="774"/>
        <w:gridCol w:w="982"/>
        <w:gridCol w:w="1486"/>
        <w:gridCol w:w="1412"/>
      </w:tblGrid>
      <w:tr w:rsidR="00F21EFE" w:rsidRPr="009979BF" w14:paraId="2568B746" w14:textId="77777777" w:rsidTr="00F21EFE">
        <w:trPr>
          <w:trHeight w:val="711"/>
        </w:trPr>
        <w:tc>
          <w:tcPr>
            <w:tcW w:w="1104" w:type="pct"/>
            <w:tcBorders>
              <w:top w:val="nil"/>
              <w:left w:val="nil"/>
              <w:bottom w:val="nil"/>
              <w:right w:val="nil"/>
            </w:tcBorders>
            <w:shd w:val="clear" w:color="auto" w:fill="auto"/>
            <w:noWrap/>
            <w:vAlign w:val="center"/>
          </w:tcPr>
          <w:p w14:paraId="4B42A146" w14:textId="77777777" w:rsidR="00F21EFE" w:rsidRPr="009979BF" w:rsidRDefault="00F21EFE" w:rsidP="00F21EFE">
            <w:pPr>
              <w:jc w:val="both"/>
              <w:rPr>
                <w:rFonts w:cstheme="minorHAnsi"/>
                <w:color w:val="auto"/>
                <w:sz w:val="20"/>
                <w:szCs w:val="20"/>
              </w:rPr>
            </w:pPr>
          </w:p>
        </w:tc>
        <w:tc>
          <w:tcPr>
            <w:tcW w:w="399" w:type="pct"/>
            <w:tcBorders>
              <w:top w:val="nil"/>
              <w:left w:val="nil"/>
              <w:bottom w:val="nil"/>
              <w:right w:val="single" w:sz="4" w:space="0" w:color="auto"/>
            </w:tcBorders>
            <w:shd w:val="clear" w:color="auto" w:fill="auto"/>
            <w:noWrap/>
            <w:vAlign w:val="center"/>
          </w:tcPr>
          <w:p w14:paraId="5631D145" w14:textId="77777777" w:rsidR="00F21EFE" w:rsidRPr="009979BF" w:rsidRDefault="00F21EFE" w:rsidP="00F21EFE">
            <w:pPr>
              <w:jc w:val="both"/>
              <w:rPr>
                <w:rFonts w:cstheme="minorHAnsi"/>
                <w:color w:val="auto"/>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631E9" w14:textId="77777777" w:rsidR="00F21EFE" w:rsidRPr="009979BF" w:rsidRDefault="00F21EFE" w:rsidP="00F21EFE">
            <w:pPr>
              <w:jc w:val="center"/>
              <w:rPr>
                <w:rFonts w:cstheme="minorHAnsi"/>
                <w:b/>
                <w:bCs/>
                <w:color w:val="auto"/>
                <w:sz w:val="20"/>
                <w:szCs w:val="20"/>
              </w:rPr>
            </w:pPr>
            <w:r w:rsidRPr="009979BF">
              <w:rPr>
                <w:rFonts w:cstheme="minorHAnsi"/>
                <w:b/>
                <w:bCs/>
                <w:color w:val="auto"/>
                <w:sz w:val="20"/>
                <w:szCs w:val="20"/>
              </w:rPr>
              <w:t>Baseline*</w:t>
            </w:r>
          </w:p>
        </w:tc>
        <w:tc>
          <w:tcPr>
            <w:tcW w:w="950" w:type="pct"/>
            <w:gridSpan w:val="2"/>
            <w:tcBorders>
              <w:top w:val="single" w:sz="4" w:space="0" w:color="auto"/>
              <w:left w:val="single" w:sz="4" w:space="0" w:color="auto"/>
              <w:bottom w:val="single" w:sz="4" w:space="0" w:color="auto"/>
              <w:right w:val="single" w:sz="4" w:space="0" w:color="auto"/>
            </w:tcBorders>
            <w:vAlign w:val="center"/>
          </w:tcPr>
          <w:p w14:paraId="4A259C6C" w14:textId="77777777" w:rsidR="00F21EFE" w:rsidRPr="009979BF" w:rsidRDefault="00F21EFE" w:rsidP="00F21EFE">
            <w:pPr>
              <w:jc w:val="center"/>
              <w:rPr>
                <w:rFonts w:cstheme="minorHAnsi"/>
                <w:b/>
                <w:bCs/>
                <w:color w:val="auto"/>
                <w:sz w:val="20"/>
                <w:szCs w:val="20"/>
              </w:rPr>
            </w:pPr>
            <w:r w:rsidRPr="009979BF">
              <w:rPr>
                <w:rFonts w:cstheme="minorHAnsi"/>
                <w:b/>
                <w:bCs/>
                <w:color w:val="auto"/>
                <w:sz w:val="20"/>
                <w:szCs w:val="20"/>
              </w:rPr>
              <w:t>FU-1</w:t>
            </w:r>
          </w:p>
        </w:tc>
        <w:tc>
          <w:tcPr>
            <w:tcW w:w="15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EEC0D7" w14:textId="77777777" w:rsidR="00F21EFE" w:rsidRPr="009979BF" w:rsidRDefault="00F21EFE" w:rsidP="00F21EFE">
            <w:pPr>
              <w:jc w:val="both"/>
              <w:rPr>
                <w:rFonts w:cstheme="minorHAnsi"/>
                <w:b/>
                <w:bCs/>
                <w:color w:val="auto"/>
                <w:sz w:val="20"/>
                <w:szCs w:val="20"/>
              </w:rPr>
            </w:pPr>
          </w:p>
        </w:tc>
      </w:tr>
      <w:tr w:rsidR="00F21EFE" w:rsidRPr="009979BF" w14:paraId="1C78987D" w14:textId="77777777" w:rsidTr="00F21EFE">
        <w:trPr>
          <w:trHeight w:val="711"/>
        </w:trPr>
        <w:tc>
          <w:tcPr>
            <w:tcW w:w="1104" w:type="pct"/>
            <w:tcBorders>
              <w:top w:val="nil"/>
              <w:left w:val="nil"/>
              <w:bottom w:val="nil"/>
              <w:right w:val="nil"/>
            </w:tcBorders>
            <w:shd w:val="clear" w:color="auto" w:fill="auto"/>
            <w:noWrap/>
            <w:vAlign w:val="center"/>
            <w:hideMark/>
          </w:tcPr>
          <w:p w14:paraId="3D4BB0A0" w14:textId="77777777" w:rsidR="00F21EFE" w:rsidRPr="009979BF" w:rsidRDefault="00F21EFE" w:rsidP="00F21EFE">
            <w:pPr>
              <w:jc w:val="both"/>
              <w:rPr>
                <w:rFonts w:cstheme="minorHAnsi"/>
                <w:color w:val="auto"/>
                <w:sz w:val="20"/>
                <w:szCs w:val="20"/>
              </w:rPr>
            </w:pPr>
          </w:p>
        </w:tc>
        <w:tc>
          <w:tcPr>
            <w:tcW w:w="399" w:type="pct"/>
            <w:tcBorders>
              <w:top w:val="nil"/>
              <w:left w:val="nil"/>
              <w:bottom w:val="nil"/>
              <w:right w:val="single" w:sz="4" w:space="0" w:color="auto"/>
            </w:tcBorders>
            <w:shd w:val="clear" w:color="auto" w:fill="auto"/>
            <w:noWrap/>
            <w:vAlign w:val="center"/>
            <w:hideMark/>
          </w:tcPr>
          <w:p w14:paraId="1BC3CCCF" w14:textId="77777777" w:rsidR="00F21EFE" w:rsidRPr="009979BF" w:rsidRDefault="00F21EFE" w:rsidP="00F21EFE">
            <w:pPr>
              <w:jc w:val="both"/>
              <w:rPr>
                <w:rFonts w:cstheme="minorHAnsi"/>
                <w:color w:val="auto"/>
                <w:sz w:val="20"/>
                <w:szCs w:val="20"/>
              </w:rPr>
            </w:pP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94DD24" w14:textId="77777777" w:rsidR="00F21EFE" w:rsidRPr="009979BF" w:rsidRDefault="00F21EFE" w:rsidP="00F21EFE">
            <w:pPr>
              <w:jc w:val="both"/>
              <w:rPr>
                <w:rFonts w:cstheme="minorHAnsi"/>
                <w:b/>
                <w:bCs/>
                <w:color w:val="auto"/>
                <w:sz w:val="20"/>
                <w:szCs w:val="20"/>
              </w:rPr>
            </w:pPr>
            <w:r w:rsidRPr="009979BF">
              <w:rPr>
                <w:rFonts w:cstheme="minorHAnsi"/>
                <w:b/>
                <w:bCs/>
                <w:color w:val="auto"/>
                <w:sz w:val="20"/>
                <w:szCs w:val="20"/>
              </w:rPr>
              <w:t>Score</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F493E9" w14:textId="77777777" w:rsidR="00F21EFE" w:rsidRPr="009979BF" w:rsidRDefault="00F21EFE" w:rsidP="00F21EFE">
            <w:pPr>
              <w:jc w:val="center"/>
              <w:rPr>
                <w:rFonts w:cstheme="minorHAnsi"/>
                <w:b/>
                <w:bCs/>
                <w:color w:val="auto"/>
                <w:sz w:val="20"/>
                <w:szCs w:val="20"/>
              </w:rPr>
            </w:pPr>
            <w:r w:rsidRPr="009979BF">
              <w:rPr>
                <w:rFonts w:cstheme="minorHAnsi"/>
                <w:b/>
                <w:bCs/>
                <w:color w:val="auto"/>
                <w:sz w:val="20"/>
                <w:szCs w:val="20"/>
              </w:rPr>
              <w:t>95% CI</w:t>
            </w:r>
          </w:p>
        </w:tc>
        <w:tc>
          <w:tcPr>
            <w:tcW w:w="419" w:type="pct"/>
            <w:tcBorders>
              <w:top w:val="single" w:sz="4" w:space="0" w:color="auto"/>
              <w:left w:val="single" w:sz="4" w:space="0" w:color="auto"/>
              <w:bottom w:val="single" w:sz="4" w:space="0" w:color="auto"/>
              <w:right w:val="single" w:sz="4" w:space="0" w:color="auto"/>
            </w:tcBorders>
            <w:vAlign w:val="center"/>
          </w:tcPr>
          <w:p w14:paraId="6FDAFF59" w14:textId="77777777" w:rsidR="00F21EFE" w:rsidRPr="009979BF" w:rsidRDefault="00F21EFE" w:rsidP="00F21EFE">
            <w:pPr>
              <w:jc w:val="center"/>
              <w:rPr>
                <w:rFonts w:cstheme="minorHAnsi"/>
                <w:b/>
                <w:bCs/>
                <w:color w:val="auto"/>
                <w:sz w:val="20"/>
                <w:szCs w:val="20"/>
              </w:rPr>
            </w:pPr>
            <w:r w:rsidRPr="009979BF">
              <w:rPr>
                <w:rFonts w:cstheme="minorHAnsi"/>
                <w:b/>
                <w:bCs/>
                <w:color w:val="auto"/>
                <w:sz w:val="20"/>
                <w:szCs w:val="20"/>
              </w:rPr>
              <w:t>Score</w:t>
            </w:r>
          </w:p>
        </w:tc>
        <w:tc>
          <w:tcPr>
            <w:tcW w:w="531" w:type="pct"/>
            <w:tcBorders>
              <w:top w:val="single" w:sz="4" w:space="0" w:color="auto"/>
              <w:left w:val="single" w:sz="4" w:space="0" w:color="auto"/>
              <w:bottom w:val="single" w:sz="4" w:space="0" w:color="auto"/>
              <w:right w:val="single" w:sz="4" w:space="0" w:color="auto"/>
            </w:tcBorders>
            <w:vAlign w:val="center"/>
          </w:tcPr>
          <w:p w14:paraId="3F82F1E4" w14:textId="77777777" w:rsidR="00F21EFE" w:rsidRPr="009979BF" w:rsidRDefault="00F21EFE" w:rsidP="00F21EFE">
            <w:pPr>
              <w:jc w:val="center"/>
              <w:rPr>
                <w:rFonts w:cstheme="minorHAnsi"/>
                <w:b/>
                <w:bCs/>
                <w:color w:val="auto"/>
                <w:sz w:val="20"/>
                <w:szCs w:val="20"/>
              </w:rPr>
            </w:pPr>
            <w:r w:rsidRPr="009979BF">
              <w:rPr>
                <w:rFonts w:cstheme="minorHAnsi"/>
                <w:b/>
                <w:bCs/>
                <w:color w:val="auto"/>
                <w:sz w:val="20"/>
                <w:szCs w:val="20"/>
              </w:rPr>
              <w:t>95% CI</w:t>
            </w:r>
          </w:p>
        </w:tc>
        <w:tc>
          <w:tcPr>
            <w:tcW w:w="804" w:type="pct"/>
            <w:tcBorders>
              <w:top w:val="nil"/>
              <w:left w:val="single" w:sz="4" w:space="0" w:color="auto"/>
              <w:bottom w:val="single" w:sz="4" w:space="0" w:color="auto"/>
              <w:right w:val="single" w:sz="8" w:space="0" w:color="auto"/>
            </w:tcBorders>
            <w:shd w:val="clear" w:color="auto" w:fill="auto"/>
            <w:vAlign w:val="center"/>
            <w:hideMark/>
          </w:tcPr>
          <w:p w14:paraId="1D869BB6" w14:textId="77777777" w:rsidR="00F21EFE" w:rsidRPr="009979BF" w:rsidRDefault="00F21EFE" w:rsidP="00F21EFE">
            <w:pPr>
              <w:jc w:val="center"/>
              <w:rPr>
                <w:rFonts w:cstheme="minorHAnsi"/>
                <w:b/>
                <w:bCs/>
                <w:color w:val="auto"/>
                <w:sz w:val="20"/>
                <w:szCs w:val="20"/>
              </w:rPr>
            </w:pPr>
            <w:r w:rsidRPr="009979BF">
              <w:rPr>
                <w:rFonts w:cstheme="minorHAnsi"/>
                <w:b/>
                <w:bCs/>
                <w:color w:val="auto"/>
                <w:sz w:val="20"/>
                <w:szCs w:val="20"/>
              </w:rPr>
              <w:t>% difference of score Baseline* and FU-1</w:t>
            </w:r>
          </w:p>
        </w:tc>
        <w:tc>
          <w:tcPr>
            <w:tcW w:w="764" w:type="pct"/>
            <w:tcBorders>
              <w:top w:val="nil"/>
              <w:left w:val="nil"/>
              <w:bottom w:val="single" w:sz="8" w:space="0" w:color="auto"/>
              <w:right w:val="single" w:sz="8" w:space="0" w:color="auto"/>
            </w:tcBorders>
            <w:shd w:val="clear" w:color="auto" w:fill="auto"/>
            <w:vAlign w:val="center"/>
            <w:hideMark/>
          </w:tcPr>
          <w:p w14:paraId="50104D76" w14:textId="77777777" w:rsidR="00F21EFE" w:rsidRPr="009979BF" w:rsidRDefault="00F21EFE" w:rsidP="00F21EFE">
            <w:pPr>
              <w:jc w:val="center"/>
              <w:rPr>
                <w:rFonts w:cstheme="minorHAnsi"/>
                <w:b/>
                <w:bCs/>
                <w:color w:val="auto"/>
                <w:sz w:val="20"/>
                <w:szCs w:val="20"/>
              </w:rPr>
            </w:pPr>
            <w:r w:rsidRPr="009979BF">
              <w:rPr>
                <w:rFonts w:cstheme="minorHAnsi"/>
                <w:b/>
                <w:bCs/>
                <w:color w:val="auto"/>
                <w:sz w:val="20"/>
                <w:szCs w:val="20"/>
              </w:rPr>
              <w:t>p-value Baseline* vs. FU- 1</w:t>
            </w:r>
          </w:p>
        </w:tc>
      </w:tr>
      <w:tr w:rsidR="00F21EFE" w:rsidRPr="009979BF" w14:paraId="60A0FF17" w14:textId="77777777" w:rsidTr="00F21EFE">
        <w:trPr>
          <w:trHeight w:val="303"/>
        </w:trPr>
        <w:tc>
          <w:tcPr>
            <w:tcW w:w="110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97EA71C" w14:textId="77777777" w:rsidR="00F21EFE" w:rsidRPr="009979BF" w:rsidRDefault="00F21EFE" w:rsidP="00F21EFE">
            <w:pPr>
              <w:jc w:val="both"/>
              <w:rPr>
                <w:rFonts w:cstheme="minorHAnsi"/>
                <w:b/>
                <w:bCs/>
                <w:color w:val="auto"/>
                <w:sz w:val="20"/>
                <w:szCs w:val="20"/>
              </w:rPr>
            </w:pPr>
            <w:r w:rsidRPr="009979BF">
              <w:rPr>
                <w:rFonts w:cstheme="minorHAnsi"/>
                <w:b/>
                <w:bCs/>
                <w:color w:val="auto"/>
                <w:sz w:val="20"/>
                <w:szCs w:val="20"/>
              </w:rPr>
              <w:t>EQ-ED-5L</w:t>
            </w:r>
          </w:p>
          <w:p w14:paraId="6ADDC3BF" w14:textId="77777777" w:rsidR="00F21EFE" w:rsidRPr="009979BF" w:rsidRDefault="00F21EFE" w:rsidP="00F21EFE">
            <w:pPr>
              <w:jc w:val="both"/>
              <w:rPr>
                <w:rFonts w:cstheme="minorHAnsi"/>
                <w:b/>
                <w:bCs/>
                <w:color w:val="auto"/>
                <w:sz w:val="20"/>
                <w:szCs w:val="20"/>
              </w:rPr>
            </w:pPr>
            <w:r w:rsidRPr="009979BF">
              <w:rPr>
                <w:rFonts w:cstheme="minorHAnsi"/>
                <w:b/>
                <w:bCs/>
                <w:color w:val="auto"/>
                <w:sz w:val="20"/>
                <w:szCs w:val="20"/>
              </w:rPr>
              <w:t>(index value)</w:t>
            </w:r>
          </w:p>
        </w:tc>
        <w:tc>
          <w:tcPr>
            <w:tcW w:w="399" w:type="pct"/>
            <w:tcBorders>
              <w:top w:val="single" w:sz="8" w:space="0" w:color="auto"/>
              <w:left w:val="nil"/>
              <w:bottom w:val="single" w:sz="8" w:space="0" w:color="auto"/>
              <w:right w:val="single" w:sz="4" w:space="0" w:color="auto"/>
            </w:tcBorders>
            <w:shd w:val="clear" w:color="auto" w:fill="auto"/>
            <w:noWrap/>
            <w:vAlign w:val="center"/>
            <w:hideMark/>
          </w:tcPr>
          <w:p w14:paraId="58AB69C6" w14:textId="77777777" w:rsidR="00F21EFE" w:rsidRPr="009979BF" w:rsidRDefault="00F21EFE" w:rsidP="00F21EFE">
            <w:pPr>
              <w:jc w:val="both"/>
              <w:rPr>
                <w:rFonts w:cstheme="minorHAnsi"/>
                <w:b/>
                <w:bCs/>
                <w:color w:val="auto"/>
                <w:sz w:val="20"/>
                <w:szCs w:val="20"/>
              </w:rPr>
            </w:pPr>
            <w:r w:rsidRPr="009979BF">
              <w:rPr>
                <w:rFonts w:cstheme="minorHAnsi"/>
                <w:b/>
                <w:bCs/>
                <w:color w:val="auto"/>
                <w:sz w:val="20"/>
                <w:szCs w:val="20"/>
              </w:rPr>
              <w:t>NSGI</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05C6A4"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t>0.82</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A26921"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t>0.79-0.86</w:t>
            </w:r>
          </w:p>
        </w:tc>
        <w:tc>
          <w:tcPr>
            <w:tcW w:w="419" w:type="pct"/>
            <w:tcBorders>
              <w:top w:val="single" w:sz="4" w:space="0" w:color="auto"/>
              <w:left w:val="single" w:sz="4" w:space="0" w:color="auto"/>
              <w:bottom w:val="single" w:sz="4" w:space="0" w:color="auto"/>
              <w:right w:val="single" w:sz="4" w:space="0" w:color="auto"/>
            </w:tcBorders>
            <w:vAlign w:val="center"/>
          </w:tcPr>
          <w:p w14:paraId="24A7F1E1"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t>0.96</w:t>
            </w:r>
          </w:p>
        </w:tc>
        <w:tc>
          <w:tcPr>
            <w:tcW w:w="531" w:type="pct"/>
            <w:tcBorders>
              <w:top w:val="single" w:sz="4" w:space="0" w:color="auto"/>
              <w:left w:val="single" w:sz="4" w:space="0" w:color="auto"/>
              <w:bottom w:val="single" w:sz="4" w:space="0" w:color="auto"/>
              <w:right w:val="single" w:sz="4" w:space="0" w:color="auto"/>
            </w:tcBorders>
            <w:vAlign w:val="center"/>
          </w:tcPr>
          <w:p w14:paraId="59F704E0"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t>0.85-1.07</w:t>
            </w:r>
          </w:p>
        </w:tc>
        <w:tc>
          <w:tcPr>
            <w:tcW w:w="804" w:type="pct"/>
            <w:tcBorders>
              <w:top w:val="nil"/>
              <w:left w:val="single" w:sz="4" w:space="0" w:color="auto"/>
              <w:bottom w:val="single" w:sz="4" w:space="0" w:color="auto"/>
              <w:right w:val="single" w:sz="8" w:space="0" w:color="auto"/>
            </w:tcBorders>
            <w:shd w:val="clear" w:color="auto" w:fill="auto"/>
            <w:vAlign w:val="center"/>
          </w:tcPr>
          <w:p w14:paraId="7482F1CB"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t>17%</w:t>
            </w:r>
          </w:p>
        </w:tc>
        <w:tc>
          <w:tcPr>
            <w:tcW w:w="764" w:type="pct"/>
            <w:tcBorders>
              <w:top w:val="nil"/>
              <w:left w:val="nil"/>
              <w:bottom w:val="single" w:sz="8" w:space="0" w:color="auto"/>
              <w:right w:val="single" w:sz="8" w:space="0" w:color="auto"/>
            </w:tcBorders>
            <w:shd w:val="clear" w:color="auto" w:fill="auto"/>
            <w:vAlign w:val="center"/>
            <w:hideMark/>
          </w:tcPr>
          <w:p w14:paraId="5E82F294" w14:textId="77777777" w:rsidR="00F21EFE" w:rsidRPr="009979BF" w:rsidRDefault="00F21EFE" w:rsidP="00F21EFE">
            <w:pPr>
              <w:jc w:val="center"/>
              <w:rPr>
                <w:rFonts w:cstheme="minorHAnsi"/>
                <w:b/>
                <w:color w:val="auto"/>
                <w:sz w:val="20"/>
                <w:szCs w:val="20"/>
              </w:rPr>
            </w:pPr>
            <w:r w:rsidRPr="009979BF">
              <w:rPr>
                <w:rFonts w:cstheme="minorHAnsi"/>
                <w:b/>
                <w:color w:val="auto"/>
                <w:sz w:val="20"/>
                <w:szCs w:val="20"/>
              </w:rPr>
              <w:t>0.006</w:t>
            </w:r>
          </w:p>
        </w:tc>
      </w:tr>
      <w:tr w:rsidR="00F21EFE" w:rsidRPr="009979BF" w14:paraId="307F051A" w14:textId="77777777" w:rsidTr="00F21EFE">
        <w:trPr>
          <w:trHeight w:val="303"/>
        </w:trPr>
        <w:tc>
          <w:tcPr>
            <w:tcW w:w="1104" w:type="pct"/>
            <w:vMerge/>
            <w:tcBorders>
              <w:top w:val="single" w:sz="8" w:space="0" w:color="auto"/>
              <w:left w:val="single" w:sz="8" w:space="0" w:color="auto"/>
              <w:bottom w:val="single" w:sz="8" w:space="0" w:color="000000"/>
              <w:right w:val="single" w:sz="8" w:space="0" w:color="auto"/>
            </w:tcBorders>
            <w:vAlign w:val="center"/>
            <w:hideMark/>
          </w:tcPr>
          <w:p w14:paraId="1B6701B4" w14:textId="77777777" w:rsidR="00F21EFE" w:rsidRPr="009979BF" w:rsidRDefault="00F21EFE" w:rsidP="00F21EFE">
            <w:pPr>
              <w:jc w:val="both"/>
              <w:rPr>
                <w:rFonts w:cstheme="minorHAnsi"/>
                <w:b/>
                <w:bCs/>
                <w:color w:val="auto"/>
                <w:sz w:val="20"/>
                <w:szCs w:val="20"/>
              </w:rPr>
            </w:pPr>
            <w:commentRangeStart w:id="2"/>
          </w:p>
        </w:tc>
        <w:tc>
          <w:tcPr>
            <w:tcW w:w="399" w:type="pct"/>
            <w:tcBorders>
              <w:top w:val="nil"/>
              <w:left w:val="nil"/>
              <w:bottom w:val="single" w:sz="8" w:space="0" w:color="auto"/>
              <w:right w:val="single" w:sz="4" w:space="0" w:color="auto"/>
            </w:tcBorders>
            <w:shd w:val="clear" w:color="auto" w:fill="auto"/>
            <w:noWrap/>
            <w:vAlign w:val="center"/>
            <w:hideMark/>
          </w:tcPr>
          <w:p w14:paraId="59B922E4" w14:textId="77777777" w:rsidR="00F21EFE" w:rsidRPr="009979BF" w:rsidRDefault="00B907B3" w:rsidP="00F21EFE">
            <w:pPr>
              <w:jc w:val="both"/>
              <w:rPr>
                <w:rFonts w:cstheme="minorHAnsi"/>
                <w:b/>
                <w:bCs/>
                <w:color w:val="auto"/>
                <w:sz w:val="20"/>
                <w:szCs w:val="20"/>
              </w:rPr>
            </w:pPr>
            <w:r w:rsidRPr="009979BF">
              <w:rPr>
                <w:rFonts w:cstheme="minorHAnsi"/>
                <w:b/>
                <w:bCs/>
                <w:color w:val="auto"/>
                <w:sz w:val="20"/>
                <w:szCs w:val="20"/>
              </w:rPr>
              <w:t>CT</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7C7020" w14:textId="77777777" w:rsidR="00F21EFE" w:rsidRPr="009979BF" w:rsidRDefault="00B907B3" w:rsidP="00F21EFE">
            <w:pPr>
              <w:jc w:val="center"/>
              <w:rPr>
                <w:rFonts w:cstheme="minorHAnsi"/>
                <w:color w:val="auto"/>
                <w:sz w:val="20"/>
                <w:szCs w:val="20"/>
              </w:rPr>
            </w:pPr>
            <w:r w:rsidRPr="009979BF">
              <w:rPr>
                <w:rFonts w:cstheme="minorHAnsi"/>
                <w:color w:val="auto"/>
                <w:sz w:val="20"/>
                <w:szCs w:val="20"/>
              </w:rPr>
              <w:t>0.27</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E659A8" w14:textId="77777777" w:rsidR="00F21EFE" w:rsidRPr="009979BF" w:rsidRDefault="00B907B3" w:rsidP="00F21EFE">
            <w:pPr>
              <w:jc w:val="center"/>
              <w:rPr>
                <w:rFonts w:cstheme="minorHAnsi"/>
                <w:color w:val="auto"/>
                <w:sz w:val="20"/>
                <w:szCs w:val="20"/>
              </w:rPr>
            </w:pPr>
            <w:r w:rsidRPr="009979BF">
              <w:rPr>
                <w:rFonts w:cstheme="minorHAnsi"/>
                <w:color w:val="auto"/>
                <w:sz w:val="20"/>
                <w:szCs w:val="20"/>
              </w:rPr>
              <w:t>0.14-0.39</w:t>
            </w:r>
          </w:p>
        </w:tc>
        <w:tc>
          <w:tcPr>
            <w:tcW w:w="419" w:type="pct"/>
            <w:tcBorders>
              <w:top w:val="single" w:sz="4" w:space="0" w:color="auto"/>
              <w:left w:val="single" w:sz="4" w:space="0" w:color="auto"/>
              <w:bottom w:val="single" w:sz="4" w:space="0" w:color="auto"/>
              <w:right w:val="single" w:sz="4" w:space="0" w:color="auto"/>
            </w:tcBorders>
            <w:vAlign w:val="center"/>
          </w:tcPr>
          <w:p w14:paraId="7E0A80A8" w14:textId="77777777" w:rsidR="00F21EFE" w:rsidRPr="009979BF" w:rsidRDefault="00B907B3" w:rsidP="00F21EFE">
            <w:pPr>
              <w:jc w:val="center"/>
              <w:rPr>
                <w:rFonts w:cstheme="minorHAnsi"/>
                <w:color w:val="auto"/>
                <w:sz w:val="20"/>
                <w:szCs w:val="20"/>
              </w:rPr>
            </w:pPr>
            <w:r w:rsidRPr="009979BF">
              <w:rPr>
                <w:rFonts w:cstheme="minorHAnsi"/>
                <w:color w:val="auto"/>
                <w:sz w:val="20"/>
                <w:szCs w:val="20"/>
              </w:rPr>
              <w:t>0.85</w:t>
            </w:r>
          </w:p>
        </w:tc>
        <w:tc>
          <w:tcPr>
            <w:tcW w:w="531" w:type="pct"/>
            <w:tcBorders>
              <w:top w:val="single" w:sz="4" w:space="0" w:color="auto"/>
              <w:left w:val="single" w:sz="4" w:space="0" w:color="auto"/>
              <w:bottom w:val="single" w:sz="4" w:space="0" w:color="auto"/>
              <w:right w:val="single" w:sz="4" w:space="0" w:color="auto"/>
            </w:tcBorders>
            <w:vAlign w:val="center"/>
          </w:tcPr>
          <w:p w14:paraId="73F6AC55" w14:textId="77777777" w:rsidR="00F21EFE" w:rsidRPr="009979BF" w:rsidRDefault="00B907B3" w:rsidP="00F21EFE">
            <w:pPr>
              <w:jc w:val="center"/>
              <w:rPr>
                <w:rFonts w:cstheme="minorHAnsi"/>
                <w:color w:val="auto"/>
                <w:sz w:val="20"/>
                <w:szCs w:val="20"/>
              </w:rPr>
            </w:pPr>
            <w:r w:rsidRPr="009979BF">
              <w:rPr>
                <w:rFonts w:cstheme="minorHAnsi"/>
                <w:color w:val="auto"/>
                <w:sz w:val="20"/>
                <w:szCs w:val="20"/>
              </w:rPr>
              <w:t>0.56-1.14</w:t>
            </w:r>
          </w:p>
        </w:tc>
        <w:tc>
          <w:tcPr>
            <w:tcW w:w="804" w:type="pct"/>
            <w:tcBorders>
              <w:top w:val="single" w:sz="4" w:space="0" w:color="auto"/>
              <w:left w:val="single" w:sz="4" w:space="0" w:color="auto"/>
              <w:bottom w:val="single" w:sz="8" w:space="0" w:color="auto"/>
              <w:right w:val="single" w:sz="8" w:space="0" w:color="auto"/>
            </w:tcBorders>
            <w:shd w:val="clear" w:color="auto" w:fill="auto"/>
            <w:vAlign w:val="center"/>
          </w:tcPr>
          <w:p w14:paraId="593E2A18" w14:textId="77777777" w:rsidR="00F21EFE" w:rsidRPr="009979BF" w:rsidRDefault="00B907B3" w:rsidP="00F21EFE">
            <w:pPr>
              <w:jc w:val="center"/>
              <w:rPr>
                <w:rFonts w:cstheme="minorHAnsi"/>
                <w:color w:val="auto"/>
                <w:sz w:val="20"/>
                <w:szCs w:val="20"/>
              </w:rPr>
            </w:pPr>
            <w:r w:rsidRPr="009979BF">
              <w:rPr>
                <w:rFonts w:cstheme="minorHAnsi"/>
                <w:color w:val="auto"/>
                <w:sz w:val="20"/>
                <w:szCs w:val="20"/>
              </w:rPr>
              <w:t>219%</w:t>
            </w:r>
          </w:p>
        </w:tc>
        <w:tc>
          <w:tcPr>
            <w:tcW w:w="764" w:type="pct"/>
            <w:tcBorders>
              <w:top w:val="nil"/>
              <w:left w:val="nil"/>
              <w:bottom w:val="single" w:sz="8" w:space="0" w:color="auto"/>
              <w:right w:val="single" w:sz="8" w:space="0" w:color="auto"/>
            </w:tcBorders>
            <w:shd w:val="clear" w:color="auto" w:fill="auto"/>
            <w:vAlign w:val="center"/>
            <w:hideMark/>
          </w:tcPr>
          <w:p w14:paraId="40E1C63E" w14:textId="77777777" w:rsidR="00F21EFE" w:rsidRPr="009979BF" w:rsidRDefault="00B907B3" w:rsidP="00F21EFE">
            <w:pPr>
              <w:jc w:val="center"/>
              <w:rPr>
                <w:rFonts w:cstheme="minorHAnsi"/>
                <w:b/>
                <w:color w:val="auto"/>
                <w:sz w:val="20"/>
                <w:szCs w:val="20"/>
              </w:rPr>
            </w:pPr>
            <w:r w:rsidRPr="009979BF">
              <w:rPr>
                <w:rFonts w:cstheme="minorHAnsi"/>
                <w:b/>
                <w:color w:val="auto"/>
                <w:sz w:val="20"/>
                <w:szCs w:val="20"/>
              </w:rPr>
              <w:t>0.005</w:t>
            </w:r>
            <w:r w:rsidR="00F21EFE" w:rsidRPr="009979BF">
              <w:rPr>
                <w:rStyle w:val="CommentReference"/>
              </w:rPr>
              <w:commentReference w:id="2"/>
            </w:r>
          </w:p>
        </w:tc>
      </w:tr>
      <w:commentRangeEnd w:id="2"/>
      <w:tr w:rsidR="00F21EFE" w:rsidRPr="009979BF" w14:paraId="17D70741" w14:textId="77777777" w:rsidTr="00F21EFE">
        <w:trPr>
          <w:trHeight w:val="303"/>
        </w:trPr>
        <w:tc>
          <w:tcPr>
            <w:tcW w:w="1104" w:type="pct"/>
            <w:vMerge/>
            <w:tcBorders>
              <w:top w:val="single" w:sz="8" w:space="0" w:color="auto"/>
              <w:left w:val="single" w:sz="8" w:space="0" w:color="auto"/>
              <w:bottom w:val="single" w:sz="8" w:space="0" w:color="000000"/>
              <w:right w:val="single" w:sz="8" w:space="0" w:color="auto"/>
            </w:tcBorders>
            <w:vAlign w:val="center"/>
            <w:hideMark/>
          </w:tcPr>
          <w:p w14:paraId="13F3825A" w14:textId="77777777" w:rsidR="00F21EFE" w:rsidRPr="009979BF" w:rsidRDefault="00F21EFE" w:rsidP="00F21EFE">
            <w:pPr>
              <w:jc w:val="both"/>
              <w:rPr>
                <w:rFonts w:cstheme="minorHAnsi"/>
                <w:b/>
                <w:bCs/>
                <w:color w:val="auto"/>
                <w:sz w:val="20"/>
                <w:szCs w:val="20"/>
              </w:rPr>
            </w:pPr>
          </w:p>
        </w:tc>
        <w:tc>
          <w:tcPr>
            <w:tcW w:w="399" w:type="pct"/>
            <w:tcBorders>
              <w:top w:val="nil"/>
              <w:left w:val="nil"/>
              <w:bottom w:val="single" w:sz="8" w:space="0" w:color="auto"/>
              <w:right w:val="single" w:sz="4" w:space="0" w:color="auto"/>
            </w:tcBorders>
            <w:shd w:val="clear" w:color="auto" w:fill="auto"/>
            <w:noWrap/>
            <w:vAlign w:val="center"/>
            <w:hideMark/>
          </w:tcPr>
          <w:p w14:paraId="7FDC6A3E" w14:textId="77777777" w:rsidR="00F21EFE" w:rsidRPr="009979BF" w:rsidRDefault="00B907B3" w:rsidP="00F21EFE">
            <w:pPr>
              <w:jc w:val="both"/>
              <w:rPr>
                <w:rFonts w:cstheme="minorHAnsi"/>
                <w:b/>
                <w:bCs/>
                <w:color w:val="auto"/>
                <w:sz w:val="20"/>
                <w:szCs w:val="20"/>
              </w:rPr>
            </w:pPr>
            <w:r w:rsidRPr="009979BF">
              <w:rPr>
                <w:rFonts w:cstheme="minorHAnsi"/>
                <w:b/>
                <w:bCs/>
                <w:color w:val="auto"/>
                <w:sz w:val="20"/>
                <w:szCs w:val="20"/>
              </w:rPr>
              <w:t>NAD</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E4CB87" w14:textId="77777777" w:rsidR="00F21EFE" w:rsidRPr="009979BF" w:rsidRDefault="00B907B3" w:rsidP="00F21EFE">
            <w:pPr>
              <w:jc w:val="center"/>
              <w:rPr>
                <w:rFonts w:cstheme="minorHAnsi"/>
                <w:color w:val="auto"/>
                <w:sz w:val="20"/>
                <w:szCs w:val="20"/>
              </w:rPr>
            </w:pPr>
            <w:r w:rsidRPr="009979BF">
              <w:rPr>
                <w:rFonts w:cstheme="minorHAnsi"/>
                <w:color w:val="auto"/>
                <w:sz w:val="20"/>
                <w:szCs w:val="20"/>
              </w:rPr>
              <w:t>0.59</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60CF62" w14:textId="77777777" w:rsidR="00F21EFE" w:rsidRPr="009979BF" w:rsidRDefault="00B907B3" w:rsidP="00F21EFE">
            <w:pPr>
              <w:jc w:val="center"/>
              <w:rPr>
                <w:rFonts w:cstheme="minorHAnsi"/>
                <w:color w:val="auto"/>
                <w:sz w:val="20"/>
                <w:szCs w:val="20"/>
              </w:rPr>
            </w:pPr>
            <w:r w:rsidRPr="009979BF">
              <w:rPr>
                <w:rFonts w:cstheme="minorHAnsi"/>
                <w:color w:val="auto"/>
                <w:sz w:val="20"/>
                <w:szCs w:val="20"/>
              </w:rPr>
              <w:t>0.16-1.00</w:t>
            </w:r>
          </w:p>
        </w:tc>
        <w:tc>
          <w:tcPr>
            <w:tcW w:w="419" w:type="pct"/>
            <w:tcBorders>
              <w:top w:val="single" w:sz="4" w:space="0" w:color="auto"/>
              <w:left w:val="single" w:sz="4" w:space="0" w:color="auto"/>
              <w:bottom w:val="single" w:sz="4" w:space="0" w:color="auto"/>
              <w:right w:val="single" w:sz="4" w:space="0" w:color="auto"/>
            </w:tcBorders>
            <w:vAlign w:val="center"/>
          </w:tcPr>
          <w:p w14:paraId="1E00DE89" w14:textId="77777777" w:rsidR="00F21EFE" w:rsidRPr="009979BF" w:rsidRDefault="00B907B3" w:rsidP="00F21EFE">
            <w:pPr>
              <w:jc w:val="center"/>
              <w:rPr>
                <w:rFonts w:cstheme="minorHAnsi"/>
                <w:color w:val="auto"/>
                <w:sz w:val="20"/>
                <w:szCs w:val="20"/>
              </w:rPr>
            </w:pPr>
            <w:r w:rsidRPr="009979BF">
              <w:rPr>
                <w:rFonts w:cstheme="minorHAnsi"/>
                <w:color w:val="auto"/>
                <w:sz w:val="20"/>
                <w:szCs w:val="20"/>
              </w:rPr>
              <w:t>0.75</w:t>
            </w:r>
          </w:p>
        </w:tc>
        <w:tc>
          <w:tcPr>
            <w:tcW w:w="531" w:type="pct"/>
            <w:tcBorders>
              <w:top w:val="single" w:sz="4" w:space="0" w:color="auto"/>
              <w:left w:val="single" w:sz="4" w:space="0" w:color="auto"/>
              <w:bottom w:val="single" w:sz="4" w:space="0" w:color="auto"/>
              <w:right w:val="single" w:sz="4" w:space="0" w:color="auto"/>
            </w:tcBorders>
            <w:vAlign w:val="center"/>
          </w:tcPr>
          <w:p w14:paraId="2265F208" w14:textId="77777777" w:rsidR="00F21EFE" w:rsidRPr="009979BF" w:rsidRDefault="00B907B3" w:rsidP="00F21EFE">
            <w:pPr>
              <w:jc w:val="center"/>
              <w:rPr>
                <w:rFonts w:cstheme="minorHAnsi"/>
                <w:color w:val="auto"/>
                <w:sz w:val="20"/>
                <w:szCs w:val="20"/>
              </w:rPr>
            </w:pPr>
            <w:r w:rsidRPr="009979BF">
              <w:rPr>
                <w:rFonts w:cstheme="minorHAnsi"/>
                <w:color w:val="auto"/>
                <w:sz w:val="20"/>
                <w:szCs w:val="20"/>
              </w:rPr>
              <w:t>0.25-1.24</w:t>
            </w:r>
          </w:p>
        </w:tc>
        <w:tc>
          <w:tcPr>
            <w:tcW w:w="804" w:type="pct"/>
            <w:tcBorders>
              <w:top w:val="nil"/>
              <w:left w:val="single" w:sz="4" w:space="0" w:color="auto"/>
              <w:bottom w:val="single" w:sz="8" w:space="0" w:color="auto"/>
              <w:right w:val="single" w:sz="8" w:space="0" w:color="auto"/>
            </w:tcBorders>
            <w:shd w:val="clear" w:color="auto" w:fill="auto"/>
            <w:vAlign w:val="center"/>
          </w:tcPr>
          <w:p w14:paraId="3C02E297" w14:textId="77777777" w:rsidR="00F21EFE" w:rsidRPr="009979BF" w:rsidRDefault="00B907B3" w:rsidP="00F21EFE">
            <w:pPr>
              <w:jc w:val="center"/>
              <w:rPr>
                <w:rFonts w:cstheme="minorHAnsi"/>
                <w:color w:val="auto"/>
                <w:sz w:val="20"/>
                <w:szCs w:val="20"/>
              </w:rPr>
            </w:pPr>
            <w:r w:rsidRPr="009979BF">
              <w:rPr>
                <w:rFonts w:cstheme="minorHAnsi"/>
                <w:color w:val="auto"/>
                <w:sz w:val="20"/>
                <w:szCs w:val="20"/>
              </w:rPr>
              <w:t>27%</w:t>
            </w:r>
          </w:p>
        </w:tc>
        <w:tc>
          <w:tcPr>
            <w:tcW w:w="764" w:type="pct"/>
            <w:tcBorders>
              <w:top w:val="nil"/>
              <w:left w:val="nil"/>
              <w:bottom w:val="single" w:sz="8" w:space="0" w:color="auto"/>
              <w:right w:val="single" w:sz="8" w:space="0" w:color="auto"/>
            </w:tcBorders>
            <w:shd w:val="clear" w:color="auto" w:fill="auto"/>
            <w:vAlign w:val="center"/>
            <w:hideMark/>
          </w:tcPr>
          <w:p w14:paraId="55BB91D9" w14:textId="77777777" w:rsidR="00F21EFE" w:rsidRPr="009979BF" w:rsidRDefault="00B907B3" w:rsidP="00F21EFE">
            <w:pPr>
              <w:jc w:val="center"/>
              <w:rPr>
                <w:rFonts w:cstheme="minorHAnsi"/>
                <w:color w:val="auto"/>
                <w:sz w:val="20"/>
                <w:szCs w:val="20"/>
              </w:rPr>
            </w:pPr>
            <w:r w:rsidRPr="009979BF">
              <w:rPr>
                <w:rFonts w:cstheme="minorHAnsi"/>
                <w:color w:val="auto"/>
                <w:sz w:val="20"/>
                <w:szCs w:val="20"/>
              </w:rPr>
              <w:t>0.658</w:t>
            </w:r>
          </w:p>
        </w:tc>
      </w:tr>
      <w:tr w:rsidR="00F21EFE" w:rsidRPr="009979BF" w14:paraId="7B4493C9" w14:textId="77777777" w:rsidTr="00F21EFE">
        <w:trPr>
          <w:trHeight w:val="317"/>
        </w:trPr>
        <w:tc>
          <w:tcPr>
            <w:tcW w:w="1104" w:type="pct"/>
            <w:vMerge w:val="restart"/>
            <w:tcBorders>
              <w:top w:val="nil"/>
              <w:left w:val="single" w:sz="8" w:space="0" w:color="auto"/>
              <w:bottom w:val="single" w:sz="8" w:space="0" w:color="000000"/>
              <w:right w:val="single" w:sz="8" w:space="0" w:color="auto"/>
            </w:tcBorders>
            <w:shd w:val="clear" w:color="auto" w:fill="auto"/>
            <w:vAlign w:val="center"/>
            <w:hideMark/>
          </w:tcPr>
          <w:p w14:paraId="2F3DFECA" w14:textId="77777777" w:rsidR="00F21EFE" w:rsidRPr="009979BF" w:rsidRDefault="00F21EFE" w:rsidP="00F21EFE">
            <w:pPr>
              <w:rPr>
                <w:rFonts w:cstheme="minorHAnsi"/>
                <w:b/>
                <w:color w:val="auto"/>
                <w:sz w:val="20"/>
                <w:szCs w:val="20"/>
              </w:rPr>
            </w:pPr>
            <w:r w:rsidRPr="009979BF">
              <w:rPr>
                <w:rFonts w:cstheme="minorHAnsi"/>
                <w:b/>
                <w:color w:val="auto"/>
                <w:sz w:val="20"/>
                <w:szCs w:val="20"/>
              </w:rPr>
              <w:t>Rosenberg Self Esteem Scale</w:t>
            </w:r>
          </w:p>
        </w:tc>
        <w:tc>
          <w:tcPr>
            <w:tcW w:w="399" w:type="pct"/>
            <w:tcBorders>
              <w:top w:val="nil"/>
              <w:left w:val="nil"/>
              <w:bottom w:val="single" w:sz="8" w:space="0" w:color="auto"/>
              <w:right w:val="single" w:sz="4" w:space="0" w:color="auto"/>
            </w:tcBorders>
            <w:shd w:val="clear" w:color="auto" w:fill="auto"/>
            <w:noWrap/>
            <w:vAlign w:val="center"/>
            <w:hideMark/>
          </w:tcPr>
          <w:p w14:paraId="78644B5E" w14:textId="77777777" w:rsidR="00F21EFE" w:rsidRPr="009979BF" w:rsidRDefault="00F21EFE" w:rsidP="00F21EFE">
            <w:pPr>
              <w:jc w:val="both"/>
              <w:rPr>
                <w:rFonts w:cstheme="minorHAnsi"/>
                <w:b/>
                <w:bCs/>
                <w:color w:val="auto"/>
                <w:sz w:val="20"/>
                <w:szCs w:val="20"/>
              </w:rPr>
            </w:pPr>
            <w:r w:rsidRPr="009979BF">
              <w:rPr>
                <w:rFonts w:cstheme="minorHAnsi"/>
                <w:b/>
                <w:bCs/>
                <w:color w:val="auto"/>
                <w:sz w:val="20"/>
                <w:szCs w:val="20"/>
              </w:rPr>
              <w:t>NSGI</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AC59FF"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t>22.5</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05676E"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t>14.6-30.3</w:t>
            </w:r>
          </w:p>
        </w:tc>
        <w:tc>
          <w:tcPr>
            <w:tcW w:w="419" w:type="pct"/>
            <w:tcBorders>
              <w:top w:val="single" w:sz="4" w:space="0" w:color="auto"/>
              <w:left w:val="single" w:sz="4" w:space="0" w:color="auto"/>
              <w:bottom w:val="single" w:sz="4" w:space="0" w:color="auto"/>
              <w:right w:val="single" w:sz="4" w:space="0" w:color="auto"/>
            </w:tcBorders>
            <w:vAlign w:val="center"/>
          </w:tcPr>
          <w:p w14:paraId="475D87A1"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t>15.7</w:t>
            </w:r>
          </w:p>
        </w:tc>
        <w:tc>
          <w:tcPr>
            <w:tcW w:w="531" w:type="pct"/>
            <w:tcBorders>
              <w:top w:val="single" w:sz="4" w:space="0" w:color="auto"/>
              <w:left w:val="single" w:sz="4" w:space="0" w:color="auto"/>
              <w:bottom w:val="single" w:sz="4" w:space="0" w:color="auto"/>
              <w:right w:val="single" w:sz="4" w:space="0" w:color="auto"/>
            </w:tcBorders>
            <w:vAlign w:val="center"/>
          </w:tcPr>
          <w:p w14:paraId="6A290CD2"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t>7.81-23.69</w:t>
            </w:r>
          </w:p>
        </w:tc>
        <w:tc>
          <w:tcPr>
            <w:tcW w:w="804" w:type="pct"/>
            <w:tcBorders>
              <w:top w:val="nil"/>
              <w:left w:val="single" w:sz="4" w:space="0" w:color="auto"/>
              <w:bottom w:val="single" w:sz="8" w:space="0" w:color="auto"/>
              <w:right w:val="single" w:sz="8" w:space="0" w:color="auto"/>
            </w:tcBorders>
            <w:shd w:val="clear" w:color="auto" w:fill="auto"/>
            <w:vAlign w:val="center"/>
          </w:tcPr>
          <w:p w14:paraId="43DDB7B8"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t>-30%</w:t>
            </w:r>
          </w:p>
        </w:tc>
        <w:tc>
          <w:tcPr>
            <w:tcW w:w="764" w:type="pct"/>
            <w:tcBorders>
              <w:top w:val="nil"/>
              <w:left w:val="nil"/>
              <w:bottom w:val="single" w:sz="8" w:space="0" w:color="auto"/>
              <w:right w:val="single" w:sz="8" w:space="0" w:color="auto"/>
            </w:tcBorders>
            <w:shd w:val="clear" w:color="auto" w:fill="auto"/>
            <w:vAlign w:val="center"/>
            <w:hideMark/>
          </w:tcPr>
          <w:p w14:paraId="2BDDE91C" w14:textId="77777777" w:rsidR="00F21EFE" w:rsidRPr="009979BF" w:rsidRDefault="00F21EFE" w:rsidP="00F21EFE">
            <w:pPr>
              <w:jc w:val="center"/>
              <w:rPr>
                <w:rFonts w:cstheme="minorHAnsi"/>
                <w:b/>
                <w:color w:val="auto"/>
                <w:sz w:val="20"/>
                <w:szCs w:val="20"/>
              </w:rPr>
            </w:pPr>
            <w:r w:rsidRPr="009979BF">
              <w:rPr>
                <w:rFonts w:cstheme="minorHAnsi"/>
                <w:b/>
                <w:color w:val="auto"/>
                <w:sz w:val="20"/>
                <w:szCs w:val="20"/>
              </w:rPr>
              <w:t>0.050</w:t>
            </w:r>
          </w:p>
        </w:tc>
      </w:tr>
      <w:tr w:rsidR="00F21EFE" w:rsidRPr="009979BF" w14:paraId="26B766EA" w14:textId="77777777" w:rsidTr="00F21EFE">
        <w:trPr>
          <w:trHeight w:val="303"/>
        </w:trPr>
        <w:tc>
          <w:tcPr>
            <w:tcW w:w="1104" w:type="pct"/>
            <w:vMerge/>
            <w:tcBorders>
              <w:top w:val="nil"/>
              <w:left w:val="single" w:sz="8" w:space="0" w:color="auto"/>
              <w:bottom w:val="single" w:sz="8" w:space="0" w:color="000000"/>
              <w:right w:val="single" w:sz="8" w:space="0" w:color="auto"/>
            </w:tcBorders>
            <w:vAlign w:val="center"/>
            <w:hideMark/>
          </w:tcPr>
          <w:p w14:paraId="10E68434" w14:textId="77777777" w:rsidR="00F21EFE" w:rsidRPr="009979BF" w:rsidRDefault="00F21EFE" w:rsidP="00F21EFE">
            <w:pPr>
              <w:jc w:val="both"/>
              <w:rPr>
                <w:rFonts w:cstheme="minorHAnsi"/>
                <w:b/>
                <w:bCs/>
                <w:color w:val="auto"/>
                <w:sz w:val="20"/>
                <w:szCs w:val="20"/>
              </w:rPr>
            </w:pPr>
          </w:p>
        </w:tc>
        <w:tc>
          <w:tcPr>
            <w:tcW w:w="399" w:type="pct"/>
            <w:tcBorders>
              <w:top w:val="nil"/>
              <w:left w:val="nil"/>
              <w:bottom w:val="single" w:sz="8" w:space="0" w:color="auto"/>
              <w:right w:val="single" w:sz="4" w:space="0" w:color="auto"/>
            </w:tcBorders>
            <w:shd w:val="clear" w:color="auto" w:fill="auto"/>
            <w:noWrap/>
            <w:vAlign w:val="center"/>
            <w:hideMark/>
          </w:tcPr>
          <w:p w14:paraId="766A6DDE" w14:textId="77777777" w:rsidR="00F21EFE" w:rsidRPr="009979BF" w:rsidRDefault="00F21EFE" w:rsidP="00F21EFE">
            <w:pPr>
              <w:jc w:val="both"/>
              <w:rPr>
                <w:rFonts w:cstheme="minorHAnsi"/>
                <w:b/>
                <w:bCs/>
                <w:color w:val="auto"/>
                <w:sz w:val="20"/>
                <w:szCs w:val="20"/>
              </w:rPr>
            </w:pPr>
            <w:r w:rsidRPr="009979BF">
              <w:rPr>
                <w:rFonts w:cstheme="minorHAnsi"/>
                <w:b/>
                <w:bCs/>
                <w:color w:val="auto"/>
                <w:sz w:val="20"/>
                <w:szCs w:val="20"/>
              </w:rPr>
              <w:t>CT</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05D994"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t>20.7</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78ED64"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t>12.81-28.69</w:t>
            </w:r>
          </w:p>
        </w:tc>
        <w:tc>
          <w:tcPr>
            <w:tcW w:w="419" w:type="pct"/>
            <w:tcBorders>
              <w:top w:val="single" w:sz="4" w:space="0" w:color="auto"/>
              <w:left w:val="single" w:sz="4" w:space="0" w:color="auto"/>
              <w:bottom w:val="single" w:sz="4" w:space="0" w:color="auto"/>
              <w:right w:val="single" w:sz="4" w:space="0" w:color="auto"/>
            </w:tcBorders>
            <w:vAlign w:val="center"/>
          </w:tcPr>
          <w:p w14:paraId="3537DB16"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t>20.0</w:t>
            </w:r>
          </w:p>
        </w:tc>
        <w:tc>
          <w:tcPr>
            <w:tcW w:w="531" w:type="pct"/>
            <w:tcBorders>
              <w:top w:val="single" w:sz="4" w:space="0" w:color="auto"/>
              <w:left w:val="single" w:sz="4" w:space="0" w:color="auto"/>
              <w:bottom w:val="single" w:sz="4" w:space="0" w:color="auto"/>
              <w:right w:val="single" w:sz="4" w:space="0" w:color="auto"/>
            </w:tcBorders>
            <w:vAlign w:val="center"/>
          </w:tcPr>
          <w:p w14:paraId="3ADCB8F4"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t>5.71-34.29</w:t>
            </w:r>
          </w:p>
        </w:tc>
        <w:tc>
          <w:tcPr>
            <w:tcW w:w="804" w:type="pct"/>
            <w:tcBorders>
              <w:top w:val="nil"/>
              <w:left w:val="single" w:sz="4" w:space="0" w:color="auto"/>
              <w:bottom w:val="single" w:sz="8" w:space="0" w:color="auto"/>
              <w:right w:val="single" w:sz="8" w:space="0" w:color="auto"/>
            </w:tcBorders>
            <w:shd w:val="clear" w:color="auto" w:fill="auto"/>
            <w:vAlign w:val="center"/>
          </w:tcPr>
          <w:p w14:paraId="40B039F0"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t>-3%</w:t>
            </w:r>
          </w:p>
        </w:tc>
        <w:tc>
          <w:tcPr>
            <w:tcW w:w="764" w:type="pct"/>
            <w:tcBorders>
              <w:top w:val="nil"/>
              <w:left w:val="nil"/>
              <w:bottom w:val="single" w:sz="8" w:space="0" w:color="auto"/>
              <w:right w:val="single" w:sz="8" w:space="0" w:color="auto"/>
            </w:tcBorders>
            <w:shd w:val="clear" w:color="auto" w:fill="auto"/>
            <w:vAlign w:val="center"/>
            <w:hideMark/>
          </w:tcPr>
          <w:p w14:paraId="43AB8919" w14:textId="77777777" w:rsidR="00F21EFE" w:rsidRPr="009979BF" w:rsidRDefault="00F21EFE" w:rsidP="00F21EFE">
            <w:pPr>
              <w:jc w:val="center"/>
              <w:rPr>
                <w:rFonts w:cstheme="minorHAnsi"/>
                <w:b/>
                <w:color w:val="auto"/>
                <w:sz w:val="20"/>
                <w:szCs w:val="20"/>
              </w:rPr>
            </w:pPr>
            <w:r w:rsidRPr="009979BF">
              <w:rPr>
                <w:rFonts w:cstheme="minorHAnsi"/>
                <w:b/>
                <w:color w:val="auto"/>
                <w:sz w:val="20"/>
                <w:szCs w:val="20"/>
              </w:rPr>
              <w:t>0.444</w:t>
            </w:r>
          </w:p>
        </w:tc>
      </w:tr>
      <w:tr w:rsidR="00F21EFE" w:rsidRPr="009979BF" w14:paraId="51358A1B" w14:textId="77777777" w:rsidTr="00F21EFE">
        <w:trPr>
          <w:trHeight w:val="303"/>
        </w:trPr>
        <w:tc>
          <w:tcPr>
            <w:tcW w:w="1104" w:type="pct"/>
            <w:vMerge/>
            <w:tcBorders>
              <w:top w:val="nil"/>
              <w:left w:val="single" w:sz="8" w:space="0" w:color="auto"/>
              <w:bottom w:val="single" w:sz="8" w:space="0" w:color="000000"/>
              <w:right w:val="single" w:sz="8" w:space="0" w:color="auto"/>
            </w:tcBorders>
            <w:vAlign w:val="center"/>
            <w:hideMark/>
          </w:tcPr>
          <w:p w14:paraId="64F3E8E3" w14:textId="77777777" w:rsidR="00F21EFE" w:rsidRPr="009979BF" w:rsidRDefault="00F21EFE" w:rsidP="00F21EFE">
            <w:pPr>
              <w:jc w:val="both"/>
              <w:rPr>
                <w:rFonts w:cstheme="minorHAnsi"/>
                <w:b/>
                <w:bCs/>
                <w:color w:val="auto"/>
                <w:sz w:val="20"/>
                <w:szCs w:val="20"/>
              </w:rPr>
            </w:pPr>
          </w:p>
        </w:tc>
        <w:tc>
          <w:tcPr>
            <w:tcW w:w="399" w:type="pct"/>
            <w:tcBorders>
              <w:top w:val="nil"/>
              <w:left w:val="nil"/>
              <w:bottom w:val="single" w:sz="8" w:space="0" w:color="auto"/>
              <w:right w:val="single" w:sz="4" w:space="0" w:color="auto"/>
            </w:tcBorders>
            <w:shd w:val="clear" w:color="auto" w:fill="auto"/>
            <w:noWrap/>
            <w:vAlign w:val="center"/>
            <w:hideMark/>
          </w:tcPr>
          <w:p w14:paraId="7C3A2A0C" w14:textId="77777777" w:rsidR="00F21EFE" w:rsidRPr="009979BF" w:rsidRDefault="00F21EFE" w:rsidP="00F21EFE">
            <w:pPr>
              <w:jc w:val="both"/>
              <w:rPr>
                <w:rFonts w:cstheme="minorHAnsi"/>
                <w:b/>
                <w:bCs/>
                <w:color w:val="auto"/>
                <w:sz w:val="20"/>
                <w:szCs w:val="20"/>
              </w:rPr>
            </w:pPr>
            <w:r w:rsidRPr="009979BF">
              <w:rPr>
                <w:rFonts w:cstheme="minorHAnsi"/>
                <w:b/>
                <w:bCs/>
                <w:color w:val="auto"/>
                <w:sz w:val="20"/>
                <w:szCs w:val="20"/>
              </w:rPr>
              <w:t>NAD</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6C098A"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t>22.7</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B6E4A5"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t>8.11-</w:t>
            </w:r>
            <w:r w:rsidRPr="009979BF">
              <w:rPr>
                <w:rFonts w:cstheme="minorHAnsi"/>
                <w:color w:val="auto"/>
                <w:sz w:val="20"/>
                <w:szCs w:val="20"/>
              </w:rPr>
              <w:lastRenderedPageBreak/>
              <w:t>37.22</w:t>
            </w:r>
          </w:p>
        </w:tc>
        <w:tc>
          <w:tcPr>
            <w:tcW w:w="419" w:type="pct"/>
            <w:tcBorders>
              <w:top w:val="single" w:sz="4" w:space="0" w:color="auto"/>
              <w:left w:val="single" w:sz="4" w:space="0" w:color="auto"/>
              <w:bottom w:val="single" w:sz="4" w:space="0" w:color="auto"/>
              <w:right w:val="single" w:sz="4" w:space="0" w:color="auto"/>
            </w:tcBorders>
            <w:vAlign w:val="center"/>
          </w:tcPr>
          <w:p w14:paraId="106E9544"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lastRenderedPageBreak/>
              <w:t> 19.3</w:t>
            </w:r>
          </w:p>
        </w:tc>
        <w:tc>
          <w:tcPr>
            <w:tcW w:w="531" w:type="pct"/>
            <w:tcBorders>
              <w:top w:val="single" w:sz="4" w:space="0" w:color="auto"/>
              <w:left w:val="single" w:sz="4" w:space="0" w:color="auto"/>
              <w:bottom w:val="single" w:sz="4" w:space="0" w:color="auto"/>
              <w:right w:val="single" w:sz="4" w:space="0" w:color="auto"/>
            </w:tcBorders>
            <w:vAlign w:val="center"/>
          </w:tcPr>
          <w:p w14:paraId="7D6106F9"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t>15.5-</w:t>
            </w:r>
            <w:r w:rsidRPr="009979BF">
              <w:rPr>
                <w:rFonts w:cstheme="minorHAnsi"/>
                <w:color w:val="auto"/>
                <w:sz w:val="20"/>
                <w:szCs w:val="20"/>
              </w:rPr>
              <w:lastRenderedPageBreak/>
              <w:t>23.1</w:t>
            </w:r>
          </w:p>
        </w:tc>
        <w:tc>
          <w:tcPr>
            <w:tcW w:w="804" w:type="pct"/>
            <w:tcBorders>
              <w:top w:val="nil"/>
              <w:left w:val="single" w:sz="4" w:space="0" w:color="auto"/>
              <w:bottom w:val="single" w:sz="8" w:space="0" w:color="auto"/>
              <w:right w:val="single" w:sz="8" w:space="0" w:color="auto"/>
            </w:tcBorders>
            <w:shd w:val="clear" w:color="auto" w:fill="auto"/>
            <w:vAlign w:val="center"/>
          </w:tcPr>
          <w:p w14:paraId="0E558448" w14:textId="77777777" w:rsidR="00F21EFE" w:rsidRPr="009979BF" w:rsidRDefault="00F21EFE" w:rsidP="00F21EFE">
            <w:pPr>
              <w:jc w:val="center"/>
              <w:rPr>
                <w:rFonts w:cstheme="minorHAnsi"/>
                <w:color w:val="auto"/>
                <w:sz w:val="20"/>
                <w:szCs w:val="20"/>
              </w:rPr>
            </w:pPr>
            <w:r w:rsidRPr="009979BF">
              <w:rPr>
                <w:rFonts w:cstheme="minorHAnsi"/>
                <w:color w:val="auto"/>
                <w:sz w:val="20"/>
                <w:szCs w:val="20"/>
              </w:rPr>
              <w:lastRenderedPageBreak/>
              <w:t>-15%</w:t>
            </w:r>
          </w:p>
        </w:tc>
        <w:tc>
          <w:tcPr>
            <w:tcW w:w="764" w:type="pct"/>
            <w:tcBorders>
              <w:top w:val="nil"/>
              <w:left w:val="nil"/>
              <w:bottom w:val="single" w:sz="8" w:space="0" w:color="auto"/>
              <w:right w:val="single" w:sz="8" w:space="0" w:color="auto"/>
            </w:tcBorders>
            <w:shd w:val="clear" w:color="auto" w:fill="auto"/>
            <w:vAlign w:val="center"/>
            <w:hideMark/>
          </w:tcPr>
          <w:p w14:paraId="01C08185" w14:textId="77777777" w:rsidR="00F21EFE" w:rsidRPr="009979BF" w:rsidRDefault="00F21EFE" w:rsidP="00F21EFE">
            <w:pPr>
              <w:jc w:val="center"/>
              <w:rPr>
                <w:rFonts w:cstheme="minorHAnsi"/>
                <w:b/>
                <w:color w:val="auto"/>
                <w:sz w:val="20"/>
                <w:szCs w:val="20"/>
              </w:rPr>
            </w:pPr>
            <w:r w:rsidRPr="009979BF">
              <w:rPr>
                <w:rFonts w:cstheme="minorHAnsi"/>
                <w:b/>
                <w:color w:val="auto"/>
                <w:sz w:val="20"/>
                <w:szCs w:val="20"/>
              </w:rPr>
              <w:t>0.197</w:t>
            </w:r>
          </w:p>
        </w:tc>
      </w:tr>
    </w:tbl>
    <w:p w14:paraId="0E000FE5" w14:textId="77777777" w:rsidR="00F21EFE" w:rsidRPr="009979BF" w:rsidRDefault="00F21EFE" w:rsidP="004D5897">
      <w:pPr>
        <w:jc w:val="both"/>
        <w:rPr>
          <w:rFonts w:ascii="Calibri" w:hAnsi="Calibri" w:cs="Calibri"/>
          <w:color w:val="auto"/>
          <w:sz w:val="20"/>
          <w:szCs w:val="20"/>
        </w:rPr>
      </w:pPr>
    </w:p>
    <w:p w14:paraId="336E85C1" w14:textId="77777777" w:rsidR="004D5897" w:rsidRPr="009979BF" w:rsidRDefault="00C45E5C" w:rsidP="004D5897">
      <w:pPr>
        <w:jc w:val="both"/>
        <w:rPr>
          <w:color w:val="auto"/>
        </w:rPr>
      </w:pPr>
      <w:r w:rsidRPr="009979BF">
        <w:rPr>
          <w:rFonts w:ascii="Calibri" w:hAnsi="Calibri" w:cs="Calibri"/>
          <w:color w:val="auto"/>
          <w:sz w:val="18"/>
          <w:szCs w:val="18"/>
        </w:rPr>
        <w:t>*restricted to patients w</w:t>
      </w:r>
      <w:r w:rsidR="0005025B" w:rsidRPr="009979BF">
        <w:rPr>
          <w:rFonts w:ascii="Calibri" w:hAnsi="Calibri" w:cs="Calibri"/>
          <w:color w:val="auto"/>
          <w:sz w:val="18"/>
          <w:szCs w:val="18"/>
        </w:rPr>
        <w:t>ho completed FU-1: no patients diagnosed with NG were present at FU-1.</w:t>
      </w:r>
    </w:p>
    <w:p w14:paraId="320E147B" w14:textId="77777777" w:rsidR="00D119E7" w:rsidRPr="009979BF" w:rsidRDefault="00D119E7" w:rsidP="004D5897">
      <w:pPr>
        <w:rPr>
          <w:color w:val="auto"/>
          <w:sz w:val="18"/>
          <w:szCs w:val="18"/>
          <w:u w:val="single"/>
        </w:rPr>
      </w:pPr>
    </w:p>
    <w:p w14:paraId="61348494" w14:textId="77777777" w:rsidR="004D5897" w:rsidRPr="009979BF" w:rsidRDefault="004D5897" w:rsidP="004D5897">
      <w:pPr>
        <w:rPr>
          <w:color w:val="auto"/>
          <w:sz w:val="18"/>
          <w:szCs w:val="18"/>
          <w:u w:val="single"/>
        </w:rPr>
      </w:pPr>
      <w:r w:rsidRPr="009979BF">
        <w:rPr>
          <w:color w:val="auto"/>
          <w:sz w:val="18"/>
          <w:szCs w:val="18"/>
          <w:u w:val="single"/>
        </w:rPr>
        <w:t>Abbreviations used in Tables 2 a and b</w:t>
      </w:r>
    </w:p>
    <w:p w14:paraId="36CF1010" w14:textId="77777777" w:rsidR="004D5897" w:rsidRPr="009979BF" w:rsidRDefault="004D5897" w:rsidP="004D5897">
      <w:pPr>
        <w:rPr>
          <w:color w:val="auto"/>
          <w:sz w:val="18"/>
          <w:szCs w:val="18"/>
        </w:rPr>
      </w:pPr>
      <w:r w:rsidRPr="009979BF">
        <w:rPr>
          <w:color w:val="auto"/>
          <w:sz w:val="18"/>
          <w:szCs w:val="18"/>
        </w:rPr>
        <w:t>CT-</w:t>
      </w:r>
      <w:r w:rsidRPr="009979BF">
        <w:rPr>
          <w:color w:val="auto"/>
          <w:sz w:val="18"/>
          <w:szCs w:val="18"/>
        </w:rPr>
        <w:tab/>
      </w:r>
      <w:r w:rsidRPr="009979BF">
        <w:rPr>
          <w:i/>
          <w:color w:val="auto"/>
          <w:sz w:val="18"/>
          <w:szCs w:val="18"/>
        </w:rPr>
        <w:t>Chlamydia trachomatis</w:t>
      </w:r>
    </w:p>
    <w:p w14:paraId="40A7F7AD" w14:textId="77777777" w:rsidR="004D5897" w:rsidRPr="009979BF" w:rsidRDefault="004D5897" w:rsidP="004D5897">
      <w:pPr>
        <w:rPr>
          <w:color w:val="auto"/>
          <w:sz w:val="18"/>
          <w:szCs w:val="18"/>
        </w:rPr>
      </w:pPr>
      <w:r w:rsidRPr="009979BF">
        <w:rPr>
          <w:color w:val="auto"/>
          <w:sz w:val="18"/>
          <w:szCs w:val="18"/>
        </w:rPr>
        <w:t xml:space="preserve">NG- </w:t>
      </w:r>
      <w:r w:rsidRPr="009979BF">
        <w:rPr>
          <w:color w:val="auto"/>
          <w:sz w:val="18"/>
          <w:szCs w:val="18"/>
        </w:rPr>
        <w:tab/>
      </w:r>
      <w:r w:rsidRPr="009979BF">
        <w:rPr>
          <w:i/>
          <w:color w:val="auto"/>
          <w:sz w:val="18"/>
          <w:szCs w:val="18"/>
        </w:rPr>
        <w:t>Neisseria gonorrhoea</w:t>
      </w:r>
      <w:r w:rsidR="00C22058" w:rsidRPr="009979BF">
        <w:rPr>
          <w:i/>
          <w:color w:val="auto"/>
          <w:sz w:val="18"/>
          <w:szCs w:val="18"/>
        </w:rPr>
        <w:t>e</w:t>
      </w:r>
    </w:p>
    <w:p w14:paraId="06D574BA" w14:textId="77777777" w:rsidR="004D5897" w:rsidRPr="009979BF" w:rsidRDefault="004D5897" w:rsidP="004D5897">
      <w:pPr>
        <w:rPr>
          <w:color w:val="auto"/>
          <w:sz w:val="18"/>
          <w:szCs w:val="18"/>
        </w:rPr>
      </w:pPr>
      <w:r w:rsidRPr="009979BF">
        <w:rPr>
          <w:color w:val="auto"/>
          <w:sz w:val="18"/>
          <w:szCs w:val="18"/>
        </w:rPr>
        <w:t xml:space="preserve">NSGI- </w:t>
      </w:r>
      <w:r w:rsidRPr="009979BF">
        <w:rPr>
          <w:color w:val="auto"/>
          <w:sz w:val="18"/>
          <w:szCs w:val="18"/>
        </w:rPr>
        <w:tab/>
        <w:t>Non specific genital infection</w:t>
      </w:r>
    </w:p>
    <w:p w14:paraId="45EBC4FC" w14:textId="77777777" w:rsidR="004D5897" w:rsidRPr="009979BF" w:rsidRDefault="004D5897" w:rsidP="004D5897">
      <w:pPr>
        <w:rPr>
          <w:color w:val="auto"/>
          <w:sz w:val="18"/>
          <w:szCs w:val="18"/>
        </w:rPr>
      </w:pPr>
      <w:r w:rsidRPr="009979BF">
        <w:rPr>
          <w:color w:val="auto"/>
          <w:sz w:val="18"/>
          <w:szCs w:val="18"/>
        </w:rPr>
        <w:t xml:space="preserve">NAD-     </w:t>
      </w:r>
      <w:r w:rsidRPr="009979BF">
        <w:rPr>
          <w:color w:val="auto"/>
          <w:sz w:val="18"/>
          <w:szCs w:val="18"/>
        </w:rPr>
        <w:tab/>
        <w:t>No abnormality detected</w:t>
      </w:r>
    </w:p>
    <w:p w14:paraId="00F0C0FB" w14:textId="77777777" w:rsidR="001C135D" w:rsidRPr="009979BF" w:rsidRDefault="004D5897" w:rsidP="004D5897">
      <w:pPr>
        <w:rPr>
          <w:color w:val="auto"/>
          <w:sz w:val="20"/>
          <w:szCs w:val="20"/>
        </w:rPr>
      </w:pPr>
      <w:r w:rsidRPr="009979BF">
        <w:rPr>
          <w:color w:val="auto"/>
          <w:sz w:val="18"/>
          <w:szCs w:val="18"/>
        </w:rPr>
        <w:t>FU-</w:t>
      </w:r>
      <w:r w:rsidRPr="009979BF">
        <w:rPr>
          <w:color w:val="auto"/>
          <w:sz w:val="18"/>
          <w:szCs w:val="18"/>
        </w:rPr>
        <w:tab/>
        <w:t>Follow-up</w:t>
      </w:r>
    </w:p>
    <w:p w14:paraId="2F2810F6" w14:textId="77777777" w:rsidR="004D5897" w:rsidRPr="009979BF" w:rsidRDefault="004D5897" w:rsidP="004D5897">
      <w:pPr>
        <w:rPr>
          <w:b/>
          <w:color w:val="auto"/>
          <w:sz w:val="20"/>
          <w:szCs w:val="20"/>
        </w:rPr>
      </w:pPr>
      <w:r w:rsidRPr="009979BF">
        <w:rPr>
          <w:b/>
          <w:color w:val="auto"/>
          <w:sz w:val="20"/>
          <w:szCs w:val="20"/>
        </w:rPr>
        <w:t>Ethical Approval</w:t>
      </w:r>
    </w:p>
    <w:p w14:paraId="2F1F748D" w14:textId="77777777" w:rsidR="004D5897" w:rsidRPr="009979BF" w:rsidRDefault="004D5897" w:rsidP="004D5897">
      <w:pPr>
        <w:rPr>
          <w:color w:val="auto"/>
          <w:sz w:val="20"/>
          <w:szCs w:val="20"/>
        </w:rPr>
      </w:pPr>
      <w:r w:rsidRPr="009979BF">
        <w:rPr>
          <w:color w:val="auto"/>
          <w:sz w:val="20"/>
          <w:szCs w:val="20"/>
        </w:rPr>
        <w:t xml:space="preserve">This study was approved by the London Bridge Research Ethics Committee (REC reference </w:t>
      </w:r>
      <w:r w:rsidRPr="009979BF">
        <w:rPr>
          <w:rFonts w:cs="Tahoma"/>
          <w:color w:val="auto"/>
          <w:sz w:val="20"/>
          <w:szCs w:val="20"/>
        </w:rPr>
        <w:t>16/LO/0955</w:t>
      </w:r>
      <w:r w:rsidRPr="009979BF">
        <w:rPr>
          <w:color w:val="auto"/>
          <w:sz w:val="20"/>
          <w:szCs w:val="20"/>
        </w:rPr>
        <w:t>).</w:t>
      </w:r>
    </w:p>
    <w:p w14:paraId="64C719A1" w14:textId="77777777" w:rsidR="004D5897" w:rsidRPr="009979BF" w:rsidRDefault="004D5897" w:rsidP="004D5897">
      <w:pPr>
        <w:rPr>
          <w:b/>
          <w:color w:val="auto"/>
          <w:sz w:val="20"/>
          <w:szCs w:val="20"/>
        </w:rPr>
      </w:pPr>
    </w:p>
    <w:p w14:paraId="452F13DC" w14:textId="77777777" w:rsidR="004D5897" w:rsidRPr="009979BF" w:rsidRDefault="004D5897" w:rsidP="004D5897">
      <w:pPr>
        <w:rPr>
          <w:b/>
          <w:color w:val="auto"/>
          <w:sz w:val="20"/>
          <w:szCs w:val="20"/>
        </w:rPr>
      </w:pPr>
      <w:r w:rsidRPr="009979BF">
        <w:rPr>
          <w:b/>
          <w:color w:val="auto"/>
          <w:sz w:val="20"/>
          <w:szCs w:val="20"/>
        </w:rPr>
        <w:t>Acknowledgements</w:t>
      </w:r>
    </w:p>
    <w:p w14:paraId="3A19C354" w14:textId="77777777" w:rsidR="004D5897" w:rsidRPr="009979BF" w:rsidRDefault="004D5897" w:rsidP="004D5897">
      <w:pPr>
        <w:rPr>
          <w:color w:val="auto"/>
          <w:sz w:val="20"/>
          <w:szCs w:val="20"/>
        </w:rPr>
      </w:pPr>
      <w:r w:rsidRPr="009979BF">
        <w:rPr>
          <w:color w:val="auto"/>
          <w:sz w:val="20"/>
          <w:szCs w:val="20"/>
        </w:rPr>
        <w:t>Thank you to the participants who took part in the study, our collaborators and the steering committee for their advice, including: Atlas Genetics, who were awarded the Innovate UK SBRI grant; Aquarius Population Health; Scientific Steering Committee (Chris Price, Kate Folkard, David Livermore), and the clinical leads at participating clinics (Richard Lau, Paul Lister).</w:t>
      </w:r>
    </w:p>
    <w:p w14:paraId="09673048" w14:textId="77777777" w:rsidR="004D5897" w:rsidRPr="009979BF" w:rsidRDefault="004D5897" w:rsidP="004D5897">
      <w:pPr>
        <w:rPr>
          <w:color w:val="auto"/>
          <w:sz w:val="20"/>
          <w:szCs w:val="20"/>
        </w:rPr>
      </w:pPr>
    </w:p>
    <w:p w14:paraId="56B3E790" w14:textId="77777777" w:rsidR="004D5897" w:rsidRPr="009979BF" w:rsidRDefault="004D5897" w:rsidP="004D5897">
      <w:pPr>
        <w:rPr>
          <w:b/>
          <w:color w:val="auto"/>
          <w:sz w:val="20"/>
          <w:szCs w:val="20"/>
        </w:rPr>
      </w:pPr>
      <w:r w:rsidRPr="009979BF">
        <w:rPr>
          <w:b/>
          <w:color w:val="auto"/>
          <w:sz w:val="20"/>
          <w:szCs w:val="20"/>
        </w:rPr>
        <w:t>Contributor Statement</w:t>
      </w:r>
    </w:p>
    <w:p w14:paraId="4EC75C00" w14:textId="77777777" w:rsidR="004D5897" w:rsidRPr="009979BF" w:rsidRDefault="004D5897" w:rsidP="004D5897">
      <w:pPr>
        <w:rPr>
          <w:color w:val="auto"/>
          <w:sz w:val="20"/>
          <w:szCs w:val="20"/>
        </w:rPr>
      </w:pPr>
      <w:r w:rsidRPr="009979BF">
        <w:rPr>
          <w:color w:val="auto"/>
          <w:sz w:val="20"/>
          <w:szCs w:val="20"/>
        </w:rPr>
        <w:t xml:space="preserve">STS conceived of the Study. RHT, SSF and EHE initiated the study design. AP, SSF, RHT and EHE implemented the study. MF and EHE provided statistical oversight. RHT wrote the initial draft of the manuscript. All authors contributed to and approved the final manuscript. </w:t>
      </w:r>
    </w:p>
    <w:p w14:paraId="512139ED" w14:textId="77777777" w:rsidR="004D5897" w:rsidRPr="009979BF" w:rsidRDefault="004D5897" w:rsidP="004D5897">
      <w:pPr>
        <w:rPr>
          <w:color w:val="auto"/>
          <w:sz w:val="20"/>
          <w:szCs w:val="20"/>
        </w:rPr>
      </w:pPr>
    </w:p>
    <w:p w14:paraId="02B80F58" w14:textId="77777777" w:rsidR="004D5897" w:rsidRPr="009979BF" w:rsidRDefault="004D5897" w:rsidP="004D5897">
      <w:pPr>
        <w:rPr>
          <w:b/>
          <w:color w:val="auto"/>
          <w:sz w:val="20"/>
          <w:szCs w:val="20"/>
        </w:rPr>
      </w:pPr>
      <w:r w:rsidRPr="009979BF">
        <w:rPr>
          <w:b/>
          <w:color w:val="auto"/>
          <w:sz w:val="20"/>
          <w:szCs w:val="20"/>
        </w:rPr>
        <w:t xml:space="preserve">Competing Interests </w:t>
      </w:r>
    </w:p>
    <w:p w14:paraId="6A315911" w14:textId="77777777" w:rsidR="004D5897" w:rsidRPr="009979BF" w:rsidRDefault="004D5897" w:rsidP="004D5897">
      <w:pPr>
        <w:rPr>
          <w:color w:val="auto"/>
          <w:sz w:val="20"/>
          <w:szCs w:val="20"/>
        </w:rPr>
      </w:pPr>
      <w:r w:rsidRPr="009979BF">
        <w:rPr>
          <w:rFonts w:ascii="Calibri" w:hAnsi="Calibri"/>
          <w:color w:val="auto"/>
          <w:sz w:val="20"/>
          <w:szCs w:val="20"/>
        </w:rPr>
        <w:t>The Applied Diagnostic Research and Evaluation Unit at St George’s, University of London (STS, EHE, SF, AP), receives funding from the National Institute of Health Research (NIHR) i4i Programme (grant number II-LB-0214-20005), Atlas Genetics, Alere, Hologic Cepheid, SpeeDx, Sekisui and Becton Dickinson to develop Point of Care Tests for STIs. SF and EHE are members of Becton Dickenson’s Advisory Board for the provision of sexual health in the UK. MF and RHT have no competing interests. The views expressed are those of the authors and not necessarily those of the NIHR, the NHS or the Department of Health.</w:t>
      </w:r>
    </w:p>
    <w:p w14:paraId="0232C091" w14:textId="77777777" w:rsidR="004D5897" w:rsidRPr="009979BF" w:rsidRDefault="004D5897" w:rsidP="004D5897">
      <w:pPr>
        <w:rPr>
          <w:color w:val="auto"/>
          <w:sz w:val="20"/>
          <w:szCs w:val="20"/>
        </w:rPr>
      </w:pPr>
    </w:p>
    <w:p w14:paraId="7012278E" w14:textId="77777777" w:rsidR="004D5897" w:rsidRPr="009979BF" w:rsidRDefault="004D5897" w:rsidP="004D5897">
      <w:pPr>
        <w:rPr>
          <w:b/>
          <w:color w:val="auto"/>
          <w:sz w:val="20"/>
          <w:szCs w:val="20"/>
        </w:rPr>
      </w:pPr>
      <w:r w:rsidRPr="009979BF">
        <w:rPr>
          <w:b/>
          <w:color w:val="auto"/>
          <w:sz w:val="20"/>
          <w:szCs w:val="20"/>
        </w:rPr>
        <w:t xml:space="preserve">Funding </w:t>
      </w:r>
    </w:p>
    <w:p w14:paraId="03846B3A" w14:textId="77777777" w:rsidR="004D5897" w:rsidRPr="009979BF" w:rsidRDefault="004D5897">
      <w:pPr>
        <w:rPr>
          <w:color w:val="auto"/>
          <w:sz w:val="20"/>
          <w:szCs w:val="20"/>
        </w:rPr>
      </w:pPr>
      <w:r w:rsidRPr="009979BF">
        <w:rPr>
          <w:color w:val="auto"/>
          <w:sz w:val="20"/>
          <w:szCs w:val="20"/>
        </w:rPr>
        <w:t>This study was funded by an Innovate UK (SBRI grant no. 971452) awarded to Atlas Genetics Ltd.  Neither Atlas Genetics nor Innovate UK had a role in the design, collection, management, analysis, interpretation of data or decision to submit a report.</w:t>
      </w:r>
    </w:p>
    <w:p w14:paraId="0A124533" w14:textId="77777777" w:rsidR="00587C21" w:rsidRPr="009979BF" w:rsidRDefault="00587C21">
      <w:pPr>
        <w:rPr>
          <w:color w:val="auto"/>
          <w:sz w:val="20"/>
          <w:szCs w:val="20"/>
        </w:rPr>
      </w:pPr>
    </w:p>
    <w:p w14:paraId="79F560AF" w14:textId="77777777" w:rsidR="00587C21" w:rsidRPr="009979BF" w:rsidRDefault="00587C21">
      <w:pPr>
        <w:rPr>
          <w:b/>
          <w:color w:val="auto"/>
          <w:sz w:val="20"/>
          <w:szCs w:val="20"/>
        </w:rPr>
      </w:pPr>
      <w:r w:rsidRPr="009979BF">
        <w:rPr>
          <w:b/>
          <w:color w:val="auto"/>
          <w:sz w:val="20"/>
          <w:szCs w:val="20"/>
        </w:rPr>
        <w:t>Data Sharing Statement</w:t>
      </w:r>
    </w:p>
    <w:p w14:paraId="558B0B64" w14:textId="77777777" w:rsidR="00587C21" w:rsidRPr="009979BF" w:rsidRDefault="00587C21">
      <w:pPr>
        <w:rPr>
          <w:color w:val="auto"/>
          <w:sz w:val="20"/>
          <w:szCs w:val="20"/>
        </w:rPr>
      </w:pPr>
      <w:r w:rsidRPr="009979BF">
        <w:rPr>
          <w:color w:val="auto"/>
          <w:sz w:val="20"/>
          <w:szCs w:val="20"/>
        </w:rPr>
        <w:t>Due to ethical concerns regarding the sensitive nature of the research, transcripts of qualitative interviews are not available for data sharing. All other data supporting this study are provided as supplementary information accompanying this paper.</w:t>
      </w:r>
    </w:p>
    <w:p w14:paraId="5240D1DF" w14:textId="77777777" w:rsidR="004D5897" w:rsidRPr="009979BF" w:rsidRDefault="004D5897">
      <w:pPr>
        <w:rPr>
          <w:b/>
          <w:color w:val="auto"/>
          <w:sz w:val="20"/>
          <w:szCs w:val="20"/>
        </w:rPr>
      </w:pPr>
    </w:p>
    <w:p w14:paraId="1BC029FC" w14:textId="77777777" w:rsidR="001557DD" w:rsidRPr="009979BF" w:rsidRDefault="001557DD" w:rsidP="00DD6D0C">
      <w:pPr>
        <w:rPr>
          <w:color w:val="auto"/>
          <w:sz w:val="20"/>
          <w:szCs w:val="20"/>
        </w:rPr>
      </w:pPr>
    </w:p>
    <w:p w14:paraId="36177773" w14:textId="77777777" w:rsidR="005F265D" w:rsidRPr="009979BF" w:rsidRDefault="005436C3" w:rsidP="005F265D">
      <w:pPr>
        <w:rPr>
          <w:b/>
          <w:color w:val="auto"/>
          <w:sz w:val="20"/>
          <w:szCs w:val="20"/>
        </w:rPr>
      </w:pPr>
      <w:r w:rsidRPr="009979BF">
        <w:rPr>
          <w:b/>
          <w:color w:val="auto"/>
          <w:sz w:val="20"/>
          <w:szCs w:val="20"/>
        </w:rPr>
        <w:t>REFERENCES</w:t>
      </w:r>
    </w:p>
    <w:p w14:paraId="3D4E3485" w14:textId="77777777" w:rsidR="006F23EA" w:rsidRPr="009979BF" w:rsidRDefault="006F23EA" w:rsidP="005F265D">
      <w:pPr>
        <w:rPr>
          <w:b/>
          <w:color w:val="auto"/>
          <w:sz w:val="20"/>
          <w:szCs w:val="20"/>
        </w:rPr>
      </w:pPr>
    </w:p>
    <w:p w14:paraId="7C419F90" w14:textId="77777777" w:rsidR="006F23EA" w:rsidRPr="009979BF" w:rsidRDefault="006F23EA" w:rsidP="005F265D">
      <w:pPr>
        <w:rPr>
          <w:b/>
          <w:color w:val="auto"/>
          <w:sz w:val="20"/>
          <w:szCs w:val="20"/>
        </w:rPr>
      </w:pPr>
    </w:p>
    <w:p w14:paraId="7C9361ED" w14:textId="77777777" w:rsidR="006F23EA" w:rsidRPr="009979BF" w:rsidRDefault="006F23EA" w:rsidP="005F265D">
      <w:pPr>
        <w:rPr>
          <w:b/>
          <w:color w:val="auto"/>
          <w:sz w:val="20"/>
          <w:szCs w:val="20"/>
        </w:rPr>
      </w:pPr>
    </w:p>
    <w:p w14:paraId="3D20C2CD" w14:textId="77777777" w:rsidR="006F23EA" w:rsidRPr="009979BF" w:rsidRDefault="006F23EA" w:rsidP="005F265D">
      <w:pPr>
        <w:rPr>
          <w:b/>
          <w:color w:val="auto"/>
          <w:sz w:val="20"/>
          <w:szCs w:val="20"/>
        </w:rPr>
      </w:pPr>
    </w:p>
    <w:p w14:paraId="2CDDF622" w14:textId="77777777" w:rsidR="00975228" w:rsidRPr="009979BF" w:rsidRDefault="00975228" w:rsidP="005F265D">
      <w:pPr>
        <w:rPr>
          <w:b/>
          <w:color w:val="auto"/>
          <w:sz w:val="20"/>
          <w:szCs w:val="20"/>
        </w:rPr>
      </w:pPr>
    </w:p>
    <w:p w14:paraId="5A385103" w14:textId="77777777" w:rsidR="006F23EA" w:rsidRPr="009979BF" w:rsidRDefault="00B907B3" w:rsidP="006F23EA">
      <w:pPr>
        <w:widowControl w:val="0"/>
        <w:autoSpaceDE w:val="0"/>
        <w:autoSpaceDN w:val="0"/>
        <w:adjustRightInd w:val="0"/>
        <w:ind w:left="640" w:hanging="640"/>
        <w:rPr>
          <w:rFonts w:ascii="Calibri" w:hAnsi="Calibri" w:cs="Times New Roman"/>
          <w:noProof/>
          <w:sz w:val="20"/>
          <w:szCs w:val="24"/>
        </w:rPr>
      </w:pPr>
      <w:r w:rsidRPr="009979BF">
        <w:rPr>
          <w:b/>
          <w:color w:val="auto"/>
          <w:sz w:val="20"/>
          <w:szCs w:val="20"/>
        </w:rPr>
        <w:fldChar w:fldCharType="begin" w:fldLock="1"/>
      </w:r>
      <w:r w:rsidR="00975228" w:rsidRPr="009979BF">
        <w:rPr>
          <w:b/>
          <w:color w:val="auto"/>
          <w:sz w:val="20"/>
          <w:szCs w:val="20"/>
        </w:rPr>
        <w:instrText xml:space="preserve">ADDIN Mendeley Bibliography CSL_BIBLIOGRAPHY </w:instrText>
      </w:r>
      <w:r w:rsidRPr="009979BF">
        <w:rPr>
          <w:b/>
          <w:color w:val="auto"/>
          <w:sz w:val="20"/>
          <w:szCs w:val="20"/>
        </w:rPr>
        <w:fldChar w:fldCharType="separate"/>
      </w:r>
      <w:r w:rsidR="006F23EA" w:rsidRPr="009979BF">
        <w:rPr>
          <w:rFonts w:ascii="Calibri" w:hAnsi="Calibri" w:cs="Times New Roman"/>
          <w:noProof/>
          <w:sz w:val="20"/>
          <w:szCs w:val="24"/>
        </w:rPr>
        <w:t xml:space="preserve">1 </w:t>
      </w:r>
      <w:r w:rsidR="006F23EA" w:rsidRPr="009979BF">
        <w:rPr>
          <w:rFonts w:ascii="Calibri" w:hAnsi="Calibri" w:cs="Times New Roman"/>
          <w:noProof/>
          <w:sz w:val="20"/>
          <w:szCs w:val="24"/>
        </w:rPr>
        <w:tab/>
        <w:t>Table 4: All STI diagnoses &amp; services by gender &amp; sexual risk, 2010 - 2014. Public Health England. https://www.gov.uk/government/statistics/sexually-transmitted-infections-stis-annual-data-tables (accessed 29 Mar2016).</w:t>
      </w:r>
    </w:p>
    <w:p w14:paraId="3D88D80D" w14:textId="77777777" w:rsidR="006F23EA" w:rsidRPr="009979BF" w:rsidRDefault="006F23EA" w:rsidP="006F23EA">
      <w:pPr>
        <w:widowControl w:val="0"/>
        <w:autoSpaceDE w:val="0"/>
        <w:autoSpaceDN w:val="0"/>
        <w:adjustRightInd w:val="0"/>
        <w:ind w:left="640" w:hanging="640"/>
        <w:rPr>
          <w:rFonts w:ascii="Calibri" w:hAnsi="Calibri" w:cs="Times New Roman"/>
          <w:noProof/>
          <w:sz w:val="20"/>
          <w:szCs w:val="24"/>
        </w:rPr>
      </w:pPr>
      <w:r w:rsidRPr="009979BF">
        <w:rPr>
          <w:rFonts w:ascii="Calibri" w:hAnsi="Calibri" w:cs="Times New Roman"/>
          <w:noProof/>
          <w:sz w:val="20"/>
          <w:szCs w:val="24"/>
        </w:rPr>
        <w:t xml:space="preserve">2 </w:t>
      </w:r>
      <w:r w:rsidRPr="009979BF">
        <w:rPr>
          <w:rFonts w:ascii="Calibri" w:hAnsi="Calibri" w:cs="Times New Roman"/>
          <w:noProof/>
          <w:sz w:val="20"/>
          <w:szCs w:val="24"/>
        </w:rPr>
        <w:tab/>
        <w:t xml:space="preserve">Horner P, Blee K, O’Mahony C, </w:t>
      </w:r>
      <w:r w:rsidRPr="009979BF">
        <w:rPr>
          <w:rFonts w:ascii="Calibri" w:hAnsi="Calibri" w:cs="Times New Roman"/>
          <w:i/>
          <w:iCs/>
          <w:noProof/>
          <w:sz w:val="20"/>
          <w:szCs w:val="24"/>
        </w:rPr>
        <w:t>et al.</w:t>
      </w:r>
      <w:r w:rsidRPr="009979BF">
        <w:rPr>
          <w:rFonts w:ascii="Calibri" w:hAnsi="Calibri" w:cs="Times New Roman"/>
          <w:noProof/>
          <w:sz w:val="20"/>
          <w:szCs w:val="24"/>
        </w:rPr>
        <w:t xml:space="preserve"> 2015 UK National Guideline on the management of non-gonococcal urethritis. </w:t>
      </w:r>
      <w:r w:rsidRPr="009979BF">
        <w:rPr>
          <w:rFonts w:ascii="Calibri" w:hAnsi="Calibri" w:cs="Times New Roman"/>
          <w:i/>
          <w:iCs/>
          <w:noProof/>
          <w:sz w:val="20"/>
          <w:szCs w:val="24"/>
        </w:rPr>
        <w:t>Int J STD AIDS</w:t>
      </w:r>
      <w:r w:rsidRPr="009979BF">
        <w:rPr>
          <w:rFonts w:ascii="Calibri" w:hAnsi="Calibri" w:cs="Times New Roman"/>
          <w:noProof/>
          <w:sz w:val="20"/>
          <w:szCs w:val="24"/>
        </w:rPr>
        <w:t xml:space="preserve"> 2016;</w:t>
      </w:r>
      <w:r w:rsidRPr="009979BF">
        <w:rPr>
          <w:rFonts w:ascii="Calibri" w:hAnsi="Calibri" w:cs="Times New Roman"/>
          <w:b/>
          <w:bCs/>
          <w:noProof/>
          <w:sz w:val="20"/>
          <w:szCs w:val="24"/>
        </w:rPr>
        <w:t>27</w:t>
      </w:r>
      <w:r w:rsidRPr="009979BF">
        <w:rPr>
          <w:rFonts w:ascii="Calibri" w:hAnsi="Calibri" w:cs="Times New Roman"/>
          <w:noProof/>
          <w:sz w:val="20"/>
          <w:szCs w:val="24"/>
        </w:rPr>
        <w:t>:85–96. doi:10.1177/0956462415586675</w:t>
      </w:r>
    </w:p>
    <w:p w14:paraId="45D53D25" w14:textId="77777777" w:rsidR="006F23EA" w:rsidRPr="009979BF" w:rsidRDefault="006F23EA" w:rsidP="006F23EA">
      <w:pPr>
        <w:widowControl w:val="0"/>
        <w:autoSpaceDE w:val="0"/>
        <w:autoSpaceDN w:val="0"/>
        <w:adjustRightInd w:val="0"/>
        <w:ind w:left="640" w:hanging="640"/>
        <w:rPr>
          <w:rFonts w:ascii="Calibri" w:hAnsi="Calibri" w:cs="Times New Roman"/>
          <w:noProof/>
          <w:sz w:val="20"/>
          <w:szCs w:val="24"/>
        </w:rPr>
      </w:pPr>
      <w:r w:rsidRPr="009979BF">
        <w:rPr>
          <w:rFonts w:ascii="Calibri" w:hAnsi="Calibri" w:cs="Times New Roman"/>
          <w:noProof/>
          <w:sz w:val="20"/>
          <w:szCs w:val="24"/>
        </w:rPr>
        <w:t xml:space="preserve">3 </w:t>
      </w:r>
      <w:r w:rsidRPr="009979BF">
        <w:rPr>
          <w:rFonts w:ascii="Calibri" w:hAnsi="Calibri" w:cs="Times New Roman"/>
          <w:noProof/>
          <w:sz w:val="20"/>
          <w:szCs w:val="24"/>
        </w:rPr>
        <w:tab/>
        <w:t xml:space="preserve">Pond MJ, Nori A V, Patel S, </w:t>
      </w:r>
      <w:r w:rsidRPr="009979BF">
        <w:rPr>
          <w:rFonts w:ascii="Calibri" w:hAnsi="Calibri" w:cs="Times New Roman"/>
          <w:i/>
          <w:iCs/>
          <w:noProof/>
          <w:sz w:val="20"/>
          <w:szCs w:val="24"/>
        </w:rPr>
        <w:t>et al.</w:t>
      </w:r>
      <w:r w:rsidRPr="009979BF">
        <w:rPr>
          <w:rFonts w:ascii="Calibri" w:hAnsi="Calibri" w:cs="Times New Roman"/>
          <w:noProof/>
          <w:sz w:val="20"/>
          <w:szCs w:val="24"/>
        </w:rPr>
        <w:t xml:space="preserve"> Performance evaluation of automated urine microscopy as a rapid, non-invasive approach for the diagnosis of non-gonococcal urethritis. </w:t>
      </w:r>
      <w:r w:rsidRPr="009979BF">
        <w:rPr>
          <w:rFonts w:ascii="Calibri" w:hAnsi="Calibri" w:cs="Times New Roman"/>
          <w:i/>
          <w:iCs/>
          <w:noProof/>
          <w:sz w:val="20"/>
          <w:szCs w:val="24"/>
        </w:rPr>
        <w:t>Sex Transm Infect</w:t>
      </w:r>
      <w:r w:rsidRPr="009979BF">
        <w:rPr>
          <w:rFonts w:ascii="Calibri" w:hAnsi="Calibri" w:cs="Times New Roman"/>
          <w:noProof/>
          <w:sz w:val="20"/>
          <w:szCs w:val="24"/>
        </w:rPr>
        <w:t xml:space="preserve"> 2015;</w:t>
      </w:r>
      <w:r w:rsidRPr="009979BF">
        <w:rPr>
          <w:rFonts w:ascii="Calibri" w:hAnsi="Calibri" w:cs="Times New Roman"/>
          <w:b/>
          <w:bCs/>
          <w:noProof/>
          <w:sz w:val="20"/>
          <w:szCs w:val="24"/>
        </w:rPr>
        <w:t>91</w:t>
      </w:r>
      <w:r w:rsidRPr="009979BF">
        <w:rPr>
          <w:rFonts w:ascii="Calibri" w:hAnsi="Calibri" w:cs="Times New Roman"/>
          <w:noProof/>
          <w:sz w:val="20"/>
          <w:szCs w:val="24"/>
        </w:rPr>
        <w:t>:165–70. doi:10.1136/sextrans-2014-051761</w:t>
      </w:r>
    </w:p>
    <w:p w14:paraId="209786CA" w14:textId="77777777" w:rsidR="006F23EA" w:rsidRPr="009979BF" w:rsidRDefault="006F23EA" w:rsidP="006F23EA">
      <w:pPr>
        <w:widowControl w:val="0"/>
        <w:autoSpaceDE w:val="0"/>
        <w:autoSpaceDN w:val="0"/>
        <w:adjustRightInd w:val="0"/>
        <w:ind w:left="640" w:hanging="640"/>
        <w:rPr>
          <w:rFonts w:ascii="Calibri" w:hAnsi="Calibri" w:cs="Times New Roman"/>
          <w:noProof/>
          <w:sz w:val="20"/>
          <w:szCs w:val="24"/>
        </w:rPr>
      </w:pPr>
      <w:r w:rsidRPr="009979BF">
        <w:rPr>
          <w:rFonts w:ascii="Calibri" w:hAnsi="Calibri" w:cs="Times New Roman"/>
          <w:noProof/>
          <w:sz w:val="20"/>
          <w:szCs w:val="24"/>
        </w:rPr>
        <w:lastRenderedPageBreak/>
        <w:t xml:space="preserve">4 </w:t>
      </w:r>
      <w:r w:rsidRPr="009979BF">
        <w:rPr>
          <w:rFonts w:ascii="Calibri" w:hAnsi="Calibri" w:cs="Times New Roman"/>
          <w:noProof/>
          <w:sz w:val="20"/>
          <w:szCs w:val="24"/>
        </w:rPr>
        <w:tab/>
        <w:t xml:space="preserve">Smith R, Copas AJ, Prince M, </w:t>
      </w:r>
      <w:r w:rsidRPr="009979BF">
        <w:rPr>
          <w:rFonts w:ascii="Calibri" w:hAnsi="Calibri" w:cs="Times New Roman"/>
          <w:i/>
          <w:iCs/>
          <w:noProof/>
          <w:sz w:val="20"/>
          <w:szCs w:val="24"/>
        </w:rPr>
        <w:t>et al.</w:t>
      </w:r>
      <w:r w:rsidRPr="009979BF">
        <w:rPr>
          <w:rFonts w:ascii="Calibri" w:hAnsi="Calibri" w:cs="Times New Roman"/>
          <w:noProof/>
          <w:sz w:val="20"/>
          <w:szCs w:val="24"/>
        </w:rPr>
        <w:t xml:space="preserve"> Poor sensitivity and consistency of microscopy in the diagnosis of low grade non-gonococcal urethritis. </w:t>
      </w:r>
      <w:r w:rsidRPr="009979BF">
        <w:rPr>
          <w:rFonts w:ascii="Calibri" w:hAnsi="Calibri" w:cs="Times New Roman"/>
          <w:i/>
          <w:iCs/>
          <w:noProof/>
          <w:sz w:val="20"/>
          <w:szCs w:val="24"/>
        </w:rPr>
        <w:t>Sex Transm Infect</w:t>
      </w:r>
      <w:r w:rsidRPr="009979BF">
        <w:rPr>
          <w:rFonts w:ascii="Calibri" w:hAnsi="Calibri" w:cs="Times New Roman"/>
          <w:noProof/>
          <w:sz w:val="20"/>
          <w:szCs w:val="24"/>
        </w:rPr>
        <w:t xml:space="preserve"> 2003;</w:t>
      </w:r>
      <w:r w:rsidRPr="009979BF">
        <w:rPr>
          <w:rFonts w:ascii="Calibri" w:hAnsi="Calibri" w:cs="Times New Roman"/>
          <w:b/>
          <w:bCs/>
          <w:noProof/>
          <w:sz w:val="20"/>
          <w:szCs w:val="24"/>
        </w:rPr>
        <w:t>79</w:t>
      </w:r>
      <w:r w:rsidRPr="009979BF">
        <w:rPr>
          <w:rFonts w:ascii="Calibri" w:hAnsi="Calibri" w:cs="Times New Roman"/>
          <w:noProof/>
          <w:sz w:val="20"/>
          <w:szCs w:val="24"/>
        </w:rPr>
        <w:t>:487–90. doi:10.1136/sti.79.6.487</w:t>
      </w:r>
    </w:p>
    <w:p w14:paraId="701ABEC2" w14:textId="77777777" w:rsidR="006F23EA" w:rsidRPr="009979BF" w:rsidRDefault="006F23EA" w:rsidP="006F23EA">
      <w:pPr>
        <w:widowControl w:val="0"/>
        <w:autoSpaceDE w:val="0"/>
        <w:autoSpaceDN w:val="0"/>
        <w:adjustRightInd w:val="0"/>
        <w:ind w:left="640" w:hanging="640"/>
        <w:rPr>
          <w:rFonts w:ascii="Calibri" w:hAnsi="Calibri" w:cs="Times New Roman"/>
          <w:noProof/>
          <w:sz w:val="20"/>
          <w:szCs w:val="24"/>
        </w:rPr>
      </w:pPr>
      <w:r w:rsidRPr="009979BF">
        <w:rPr>
          <w:rFonts w:ascii="Calibri" w:hAnsi="Calibri" w:cs="Times New Roman"/>
          <w:noProof/>
          <w:sz w:val="20"/>
          <w:szCs w:val="24"/>
        </w:rPr>
        <w:t xml:space="preserve">5 </w:t>
      </w:r>
      <w:r w:rsidRPr="009979BF">
        <w:rPr>
          <w:rFonts w:ascii="Calibri" w:hAnsi="Calibri" w:cs="Times New Roman"/>
          <w:noProof/>
          <w:sz w:val="20"/>
          <w:szCs w:val="24"/>
        </w:rPr>
        <w:tab/>
        <w:t xml:space="preserve">Menon-Johansson AS, McNaught F, Mandalia S, </w:t>
      </w:r>
      <w:r w:rsidRPr="009979BF">
        <w:rPr>
          <w:rFonts w:ascii="Calibri" w:hAnsi="Calibri" w:cs="Times New Roman"/>
          <w:i/>
          <w:iCs/>
          <w:noProof/>
          <w:sz w:val="20"/>
          <w:szCs w:val="24"/>
        </w:rPr>
        <w:t>et al.</w:t>
      </w:r>
      <w:r w:rsidRPr="009979BF">
        <w:rPr>
          <w:rFonts w:ascii="Calibri" w:hAnsi="Calibri" w:cs="Times New Roman"/>
          <w:noProof/>
          <w:sz w:val="20"/>
          <w:szCs w:val="24"/>
        </w:rPr>
        <w:t xml:space="preserve"> Texting decreases the time to treatment for genital Chlamydia trachomatis infection. </w:t>
      </w:r>
      <w:r w:rsidRPr="009979BF">
        <w:rPr>
          <w:rFonts w:ascii="Calibri" w:hAnsi="Calibri" w:cs="Times New Roman"/>
          <w:i/>
          <w:iCs/>
          <w:noProof/>
          <w:sz w:val="20"/>
          <w:szCs w:val="24"/>
        </w:rPr>
        <w:t>Sex Transm Infect</w:t>
      </w:r>
      <w:r w:rsidRPr="009979BF">
        <w:rPr>
          <w:rFonts w:ascii="Calibri" w:hAnsi="Calibri" w:cs="Times New Roman"/>
          <w:noProof/>
          <w:sz w:val="20"/>
          <w:szCs w:val="24"/>
        </w:rPr>
        <w:t xml:space="preserve"> 2006;</w:t>
      </w:r>
      <w:r w:rsidRPr="009979BF">
        <w:rPr>
          <w:rFonts w:ascii="Calibri" w:hAnsi="Calibri" w:cs="Times New Roman"/>
          <w:b/>
          <w:bCs/>
          <w:noProof/>
          <w:sz w:val="20"/>
          <w:szCs w:val="24"/>
        </w:rPr>
        <w:t>82</w:t>
      </w:r>
      <w:r w:rsidRPr="009979BF">
        <w:rPr>
          <w:rFonts w:ascii="Calibri" w:hAnsi="Calibri" w:cs="Times New Roman"/>
          <w:noProof/>
          <w:sz w:val="20"/>
          <w:szCs w:val="24"/>
        </w:rPr>
        <w:t>:49–51. doi:10.1136/sti.2004.014381</w:t>
      </w:r>
    </w:p>
    <w:p w14:paraId="4D150E57" w14:textId="77777777" w:rsidR="006F23EA" w:rsidRPr="009979BF" w:rsidRDefault="006F23EA" w:rsidP="006F23EA">
      <w:pPr>
        <w:widowControl w:val="0"/>
        <w:autoSpaceDE w:val="0"/>
        <w:autoSpaceDN w:val="0"/>
        <w:adjustRightInd w:val="0"/>
        <w:ind w:left="640" w:hanging="640"/>
        <w:rPr>
          <w:rFonts w:ascii="Calibri" w:hAnsi="Calibri" w:cs="Times New Roman"/>
          <w:noProof/>
          <w:sz w:val="20"/>
          <w:szCs w:val="24"/>
        </w:rPr>
      </w:pPr>
      <w:r w:rsidRPr="009979BF">
        <w:rPr>
          <w:rFonts w:ascii="Calibri" w:hAnsi="Calibri" w:cs="Times New Roman"/>
          <w:noProof/>
          <w:sz w:val="20"/>
          <w:szCs w:val="24"/>
        </w:rPr>
        <w:t xml:space="preserve">6 </w:t>
      </w:r>
      <w:r w:rsidRPr="009979BF">
        <w:rPr>
          <w:rFonts w:ascii="Calibri" w:hAnsi="Calibri" w:cs="Times New Roman"/>
          <w:noProof/>
          <w:sz w:val="20"/>
          <w:szCs w:val="24"/>
        </w:rPr>
        <w:tab/>
        <w:t xml:space="preserve">Bowie WR, Alexander ER, Stimson JB, </w:t>
      </w:r>
      <w:r w:rsidRPr="009979BF">
        <w:rPr>
          <w:rFonts w:ascii="Calibri" w:hAnsi="Calibri" w:cs="Times New Roman"/>
          <w:i/>
          <w:iCs/>
          <w:noProof/>
          <w:sz w:val="20"/>
          <w:szCs w:val="24"/>
        </w:rPr>
        <w:t>et al.</w:t>
      </w:r>
      <w:r w:rsidRPr="009979BF">
        <w:rPr>
          <w:rFonts w:ascii="Calibri" w:hAnsi="Calibri" w:cs="Times New Roman"/>
          <w:noProof/>
          <w:sz w:val="20"/>
          <w:szCs w:val="24"/>
        </w:rPr>
        <w:t xml:space="preserve"> Therapy for nongonococcal urethritis: double-blind randomized comparison of two doses and two durations of minocycline. </w:t>
      </w:r>
      <w:r w:rsidRPr="009979BF">
        <w:rPr>
          <w:rFonts w:ascii="Calibri" w:hAnsi="Calibri" w:cs="Times New Roman"/>
          <w:i/>
          <w:iCs/>
          <w:noProof/>
          <w:sz w:val="20"/>
          <w:szCs w:val="24"/>
        </w:rPr>
        <w:t>Ann Intern Med</w:t>
      </w:r>
      <w:r w:rsidRPr="009979BF">
        <w:rPr>
          <w:rFonts w:ascii="Calibri" w:hAnsi="Calibri" w:cs="Times New Roman"/>
          <w:noProof/>
          <w:sz w:val="20"/>
          <w:szCs w:val="24"/>
        </w:rPr>
        <w:t xml:space="preserve"> 1981;</w:t>
      </w:r>
      <w:r w:rsidRPr="009979BF">
        <w:rPr>
          <w:rFonts w:ascii="Calibri" w:hAnsi="Calibri" w:cs="Times New Roman"/>
          <w:b/>
          <w:bCs/>
          <w:noProof/>
          <w:sz w:val="20"/>
          <w:szCs w:val="24"/>
        </w:rPr>
        <w:t>95</w:t>
      </w:r>
      <w:r w:rsidRPr="009979BF">
        <w:rPr>
          <w:rFonts w:ascii="Calibri" w:hAnsi="Calibri" w:cs="Times New Roman"/>
          <w:noProof/>
          <w:sz w:val="20"/>
          <w:szCs w:val="24"/>
        </w:rPr>
        <w:t>:306–11.http://www.ncbi.nlm.nih.gov/pubmed/7271091 (accessed 24 Mar2016).</w:t>
      </w:r>
    </w:p>
    <w:p w14:paraId="3BD3EECE" w14:textId="77777777" w:rsidR="006F23EA" w:rsidRPr="009979BF" w:rsidRDefault="006F23EA" w:rsidP="006F23EA">
      <w:pPr>
        <w:widowControl w:val="0"/>
        <w:autoSpaceDE w:val="0"/>
        <w:autoSpaceDN w:val="0"/>
        <w:adjustRightInd w:val="0"/>
        <w:ind w:left="640" w:hanging="640"/>
        <w:rPr>
          <w:rFonts w:ascii="Calibri" w:hAnsi="Calibri" w:cs="Times New Roman"/>
          <w:noProof/>
          <w:sz w:val="20"/>
          <w:szCs w:val="24"/>
        </w:rPr>
      </w:pPr>
      <w:r w:rsidRPr="009979BF">
        <w:rPr>
          <w:rFonts w:ascii="Calibri" w:hAnsi="Calibri" w:cs="Times New Roman"/>
          <w:noProof/>
          <w:sz w:val="20"/>
          <w:szCs w:val="24"/>
        </w:rPr>
        <w:t xml:space="preserve">7 </w:t>
      </w:r>
      <w:r w:rsidRPr="009979BF">
        <w:rPr>
          <w:rFonts w:ascii="Calibri" w:hAnsi="Calibri" w:cs="Times New Roman"/>
          <w:noProof/>
          <w:sz w:val="20"/>
          <w:szCs w:val="24"/>
        </w:rPr>
        <w:tab/>
        <w:t xml:space="preserve">Horner P, Thomas B, Gilroy CB, </w:t>
      </w:r>
      <w:r w:rsidRPr="009979BF">
        <w:rPr>
          <w:rFonts w:ascii="Calibri" w:hAnsi="Calibri" w:cs="Times New Roman"/>
          <w:i/>
          <w:iCs/>
          <w:noProof/>
          <w:sz w:val="20"/>
          <w:szCs w:val="24"/>
        </w:rPr>
        <w:t>et al.</w:t>
      </w:r>
      <w:r w:rsidRPr="009979BF">
        <w:rPr>
          <w:rFonts w:ascii="Calibri" w:hAnsi="Calibri" w:cs="Times New Roman"/>
          <w:noProof/>
          <w:sz w:val="20"/>
          <w:szCs w:val="24"/>
        </w:rPr>
        <w:t xml:space="preserve"> Role of Mycoplasma genitalium and Ureaplasma urealyticum in acute and chronic nongonococcal urethritis. </w:t>
      </w:r>
      <w:r w:rsidRPr="009979BF">
        <w:rPr>
          <w:rFonts w:ascii="Calibri" w:hAnsi="Calibri" w:cs="Times New Roman"/>
          <w:i/>
          <w:iCs/>
          <w:noProof/>
          <w:sz w:val="20"/>
          <w:szCs w:val="24"/>
        </w:rPr>
        <w:t>Clin Infect Dis</w:t>
      </w:r>
      <w:r w:rsidRPr="009979BF">
        <w:rPr>
          <w:rFonts w:ascii="Calibri" w:hAnsi="Calibri" w:cs="Times New Roman"/>
          <w:noProof/>
          <w:sz w:val="20"/>
          <w:szCs w:val="24"/>
        </w:rPr>
        <w:t xml:space="preserve"> 2001;</w:t>
      </w:r>
      <w:r w:rsidRPr="009979BF">
        <w:rPr>
          <w:rFonts w:ascii="Calibri" w:hAnsi="Calibri" w:cs="Times New Roman"/>
          <w:b/>
          <w:bCs/>
          <w:noProof/>
          <w:sz w:val="20"/>
          <w:szCs w:val="24"/>
        </w:rPr>
        <w:t>32</w:t>
      </w:r>
      <w:r w:rsidRPr="009979BF">
        <w:rPr>
          <w:rFonts w:ascii="Calibri" w:hAnsi="Calibri" w:cs="Times New Roman"/>
          <w:noProof/>
          <w:sz w:val="20"/>
          <w:szCs w:val="24"/>
        </w:rPr>
        <w:t>:995–1003. doi:10.1086/319594</w:t>
      </w:r>
    </w:p>
    <w:p w14:paraId="4C7D2E73" w14:textId="77777777" w:rsidR="006F23EA" w:rsidRPr="009979BF" w:rsidRDefault="006F23EA" w:rsidP="006F23EA">
      <w:pPr>
        <w:widowControl w:val="0"/>
        <w:autoSpaceDE w:val="0"/>
        <w:autoSpaceDN w:val="0"/>
        <w:adjustRightInd w:val="0"/>
        <w:ind w:left="640" w:hanging="640"/>
        <w:rPr>
          <w:rFonts w:ascii="Calibri" w:hAnsi="Calibri" w:cs="Times New Roman"/>
          <w:noProof/>
          <w:sz w:val="20"/>
          <w:szCs w:val="24"/>
        </w:rPr>
      </w:pPr>
      <w:r w:rsidRPr="009979BF">
        <w:rPr>
          <w:rFonts w:ascii="Calibri" w:hAnsi="Calibri" w:cs="Times New Roman"/>
          <w:noProof/>
          <w:sz w:val="20"/>
          <w:szCs w:val="24"/>
        </w:rPr>
        <w:t xml:space="preserve">8 </w:t>
      </w:r>
      <w:r w:rsidRPr="009979BF">
        <w:rPr>
          <w:rFonts w:ascii="Calibri" w:hAnsi="Calibri" w:cs="Times New Roman"/>
          <w:noProof/>
          <w:sz w:val="20"/>
          <w:szCs w:val="24"/>
        </w:rPr>
        <w:tab/>
        <w:t xml:space="preserve">Darroch J, Myers L, Cassell J. Sex differences in the experience of testing positive for genital chlamydia infection: a qualitative study with implications for public health and for a national screening programme. </w:t>
      </w:r>
      <w:r w:rsidRPr="009979BF">
        <w:rPr>
          <w:rFonts w:ascii="Calibri" w:hAnsi="Calibri" w:cs="Times New Roman"/>
          <w:i/>
          <w:iCs/>
          <w:noProof/>
          <w:sz w:val="20"/>
          <w:szCs w:val="24"/>
        </w:rPr>
        <w:t>Sex Transm Infect</w:t>
      </w:r>
      <w:r w:rsidRPr="009979BF">
        <w:rPr>
          <w:rFonts w:ascii="Calibri" w:hAnsi="Calibri" w:cs="Times New Roman"/>
          <w:noProof/>
          <w:sz w:val="20"/>
          <w:szCs w:val="24"/>
        </w:rPr>
        <w:t xml:space="preserve"> 2003;</w:t>
      </w:r>
      <w:r w:rsidRPr="009979BF">
        <w:rPr>
          <w:rFonts w:ascii="Calibri" w:hAnsi="Calibri" w:cs="Times New Roman"/>
          <w:b/>
          <w:bCs/>
          <w:noProof/>
          <w:sz w:val="20"/>
          <w:szCs w:val="24"/>
        </w:rPr>
        <w:t>79</w:t>
      </w:r>
      <w:r w:rsidRPr="009979BF">
        <w:rPr>
          <w:rFonts w:ascii="Calibri" w:hAnsi="Calibri" w:cs="Times New Roman"/>
          <w:noProof/>
          <w:sz w:val="20"/>
          <w:szCs w:val="24"/>
        </w:rPr>
        <w:t>:372–3.http://www.ncbi.nlm.nih.gov/pubmed/14573831 (accessed 10 Mar2016).</w:t>
      </w:r>
    </w:p>
    <w:p w14:paraId="796BD4E7" w14:textId="77777777" w:rsidR="006F23EA" w:rsidRPr="009979BF" w:rsidRDefault="006F23EA" w:rsidP="006F23EA">
      <w:pPr>
        <w:widowControl w:val="0"/>
        <w:autoSpaceDE w:val="0"/>
        <w:autoSpaceDN w:val="0"/>
        <w:adjustRightInd w:val="0"/>
        <w:ind w:left="640" w:hanging="640"/>
        <w:rPr>
          <w:rFonts w:ascii="Calibri" w:hAnsi="Calibri" w:cs="Times New Roman"/>
          <w:noProof/>
          <w:sz w:val="20"/>
          <w:szCs w:val="24"/>
        </w:rPr>
      </w:pPr>
      <w:r w:rsidRPr="009979BF">
        <w:rPr>
          <w:rFonts w:ascii="Calibri" w:hAnsi="Calibri" w:cs="Times New Roman"/>
          <w:noProof/>
          <w:sz w:val="20"/>
          <w:szCs w:val="24"/>
        </w:rPr>
        <w:t xml:space="preserve">9 </w:t>
      </w:r>
      <w:r w:rsidRPr="009979BF">
        <w:rPr>
          <w:rFonts w:ascii="Calibri" w:hAnsi="Calibri" w:cs="Times New Roman"/>
          <w:noProof/>
          <w:sz w:val="20"/>
          <w:szCs w:val="24"/>
        </w:rPr>
        <w:tab/>
        <w:t xml:space="preserve">Kangas I, Andersen B, Olesen F, </w:t>
      </w:r>
      <w:r w:rsidRPr="009979BF">
        <w:rPr>
          <w:rFonts w:ascii="Calibri" w:hAnsi="Calibri" w:cs="Times New Roman"/>
          <w:i/>
          <w:iCs/>
          <w:noProof/>
          <w:sz w:val="20"/>
          <w:szCs w:val="24"/>
        </w:rPr>
        <w:t>et al.</w:t>
      </w:r>
      <w:r w:rsidRPr="009979BF">
        <w:rPr>
          <w:rFonts w:ascii="Calibri" w:hAnsi="Calibri" w:cs="Times New Roman"/>
          <w:noProof/>
          <w:sz w:val="20"/>
          <w:szCs w:val="24"/>
        </w:rPr>
        <w:t xml:space="preserve"> Psychosocial impact of Chlamydia trachomatis testing in general practice. </w:t>
      </w:r>
      <w:r w:rsidRPr="009979BF">
        <w:rPr>
          <w:rFonts w:ascii="Calibri" w:hAnsi="Calibri" w:cs="Times New Roman"/>
          <w:i/>
          <w:iCs/>
          <w:noProof/>
          <w:sz w:val="20"/>
          <w:szCs w:val="24"/>
        </w:rPr>
        <w:t>Br J Gen Pract</w:t>
      </w:r>
      <w:r w:rsidRPr="009979BF">
        <w:rPr>
          <w:rFonts w:ascii="Calibri" w:hAnsi="Calibri" w:cs="Times New Roman"/>
          <w:noProof/>
          <w:sz w:val="20"/>
          <w:szCs w:val="24"/>
        </w:rPr>
        <w:t xml:space="preserve"> 2006;</w:t>
      </w:r>
      <w:r w:rsidRPr="009979BF">
        <w:rPr>
          <w:rFonts w:ascii="Calibri" w:hAnsi="Calibri" w:cs="Times New Roman"/>
          <w:b/>
          <w:bCs/>
          <w:noProof/>
          <w:sz w:val="20"/>
          <w:szCs w:val="24"/>
        </w:rPr>
        <w:t>56</w:t>
      </w:r>
      <w:r w:rsidRPr="009979BF">
        <w:rPr>
          <w:rFonts w:ascii="Calibri" w:hAnsi="Calibri" w:cs="Times New Roman"/>
          <w:noProof/>
          <w:sz w:val="20"/>
          <w:szCs w:val="24"/>
        </w:rPr>
        <w:t>:587–93.http://www.ncbi.nlm.nih.gov/pubmed/16882376 (accessed 10 Mar2016).</w:t>
      </w:r>
    </w:p>
    <w:p w14:paraId="38D3AE09" w14:textId="77777777" w:rsidR="006F23EA" w:rsidRPr="009979BF" w:rsidRDefault="006F23EA" w:rsidP="006F23EA">
      <w:pPr>
        <w:widowControl w:val="0"/>
        <w:autoSpaceDE w:val="0"/>
        <w:autoSpaceDN w:val="0"/>
        <w:adjustRightInd w:val="0"/>
        <w:ind w:left="640" w:hanging="640"/>
        <w:rPr>
          <w:rFonts w:ascii="Calibri" w:hAnsi="Calibri" w:cs="Times New Roman"/>
          <w:noProof/>
          <w:sz w:val="20"/>
          <w:szCs w:val="24"/>
        </w:rPr>
      </w:pPr>
      <w:r w:rsidRPr="009979BF">
        <w:rPr>
          <w:rFonts w:ascii="Calibri" w:hAnsi="Calibri" w:cs="Times New Roman"/>
          <w:noProof/>
          <w:sz w:val="20"/>
          <w:szCs w:val="24"/>
        </w:rPr>
        <w:t xml:space="preserve">10 </w:t>
      </w:r>
      <w:r w:rsidRPr="009979BF">
        <w:rPr>
          <w:rFonts w:ascii="Calibri" w:hAnsi="Calibri" w:cs="Times New Roman"/>
          <w:noProof/>
          <w:sz w:val="20"/>
          <w:szCs w:val="24"/>
        </w:rPr>
        <w:tab/>
        <w:t xml:space="preserve">Holgate HS, Longman C. Some peoples’ psychological experiences of attending a sexual health clinic and having a sexually transmitted infection. </w:t>
      </w:r>
      <w:r w:rsidRPr="009979BF">
        <w:rPr>
          <w:rFonts w:ascii="Calibri" w:hAnsi="Calibri" w:cs="Times New Roman"/>
          <w:i/>
          <w:iCs/>
          <w:noProof/>
          <w:sz w:val="20"/>
          <w:szCs w:val="24"/>
        </w:rPr>
        <w:t>J R Soc Health</w:t>
      </w:r>
      <w:r w:rsidRPr="009979BF">
        <w:rPr>
          <w:rFonts w:ascii="Calibri" w:hAnsi="Calibri" w:cs="Times New Roman"/>
          <w:noProof/>
          <w:sz w:val="20"/>
          <w:szCs w:val="24"/>
        </w:rPr>
        <w:t xml:space="preserve"> 1998;</w:t>
      </w:r>
      <w:r w:rsidRPr="009979BF">
        <w:rPr>
          <w:rFonts w:ascii="Calibri" w:hAnsi="Calibri" w:cs="Times New Roman"/>
          <w:b/>
          <w:bCs/>
          <w:noProof/>
          <w:sz w:val="20"/>
          <w:szCs w:val="24"/>
        </w:rPr>
        <w:t>118</w:t>
      </w:r>
      <w:r w:rsidRPr="009979BF">
        <w:rPr>
          <w:rFonts w:ascii="Calibri" w:hAnsi="Calibri" w:cs="Times New Roman"/>
          <w:noProof/>
          <w:sz w:val="20"/>
          <w:szCs w:val="24"/>
        </w:rPr>
        <w:t>:94–6.http://www.ncbi.nlm.nih.gov/pubmed/10076643 (accessed 10 Mar2016).</w:t>
      </w:r>
    </w:p>
    <w:p w14:paraId="2BC85C86" w14:textId="77777777" w:rsidR="006F23EA" w:rsidRPr="009979BF" w:rsidRDefault="006F23EA" w:rsidP="006F23EA">
      <w:pPr>
        <w:widowControl w:val="0"/>
        <w:autoSpaceDE w:val="0"/>
        <w:autoSpaceDN w:val="0"/>
        <w:adjustRightInd w:val="0"/>
        <w:ind w:left="640" w:hanging="640"/>
        <w:rPr>
          <w:rFonts w:ascii="Calibri" w:hAnsi="Calibri" w:cs="Times New Roman"/>
          <w:noProof/>
          <w:sz w:val="20"/>
          <w:szCs w:val="24"/>
        </w:rPr>
      </w:pPr>
      <w:r w:rsidRPr="009979BF">
        <w:rPr>
          <w:rFonts w:ascii="Calibri" w:hAnsi="Calibri" w:cs="Times New Roman"/>
          <w:noProof/>
          <w:sz w:val="20"/>
          <w:szCs w:val="24"/>
        </w:rPr>
        <w:t xml:space="preserve">11 </w:t>
      </w:r>
      <w:r w:rsidRPr="009979BF">
        <w:rPr>
          <w:rFonts w:ascii="Calibri" w:hAnsi="Calibri" w:cs="Times New Roman"/>
          <w:noProof/>
          <w:sz w:val="20"/>
          <w:szCs w:val="24"/>
        </w:rPr>
        <w:tab/>
        <w:t xml:space="preserve">Morris JL, Lippman SA, Philip S, </w:t>
      </w:r>
      <w:r w:rsidRPr="009979BF">
        <w:rPr>
          <w:rFonts w:ascii="Calibri" w:hAnsi="Calibri" w:cs="Times New Roman"/>
          <w:i/>
          <w:iCs/>
          <w:noProof/>
          <w:sz w:val="20"/>
          <w:szCs w:val="24"/>
        </w:rPr>
        <w:t>et al.</w:t>
      </w:r>
      <w:r w:rsidRPr="009979BF">
        <w:rPr>
          <w:rFonts w:ascii="Calibri" w:hAnsi="Calibri" w:cs="Times New Roman"/>
          <w:noProof/>
          <w:sz w:val="20"/>
          <w:szCs w:val="24"/>
        </w:rPr>
        <w:t xml:space="preserve"> Sexually transmitted infection related stigma and shame among African American male youth: implications for testing practices, partner notification, and treatment. </w:t>
      </w:r>
      <w:r w:rsidRPr="009979BF">
        <w:rPr>
          <w:rFonts w:ascii="Calibri" w:hAnsi="Calibri" w:cs="Times New Roman"/>
          <w:i/>
          <w:iCs/>
          <w:noProof/>
          <w:sz w:val="20"/>
          <w:szCs w:val="24"/>
        </w:rPr>
        <w:t>AIDS Patient Care STDS</w:t>
      </w:r>
      <w:r w:rsidRPr="009979BF">
        <w:rPr>
          <w:rFonts w:ascii="Calibri" w:hAnsi="Calibri" w:cs="Times New Roman"/>
          <w:noProof/>
          <w:sz w:val="20"/>
          <w:szCs w:val="24"/>
        </w:rPr>
        <w:t xml:space="preserve"> 2014;</w:t>
      </w:r>
      <w:r w:rsidRPr="009979BF">
        <w:rPr>
          <w:rFonts w:ascii="Calibri" w:hAnsi="Calibri" w:cs="Times New Roman"/>
          <w:b/>
          <w:bCs/>
          <w:noProof/>
          <w:sz w:val="20"/>
          <w:szCs w:val="24"/>
        </w:rPr>
        <w:t>28</w:t>
      </w:r>
      <w:r w:rsidRPr="009979BF">
        <w:rPr>
          <w:rFonts w:ascii="Calibri" w:hAnsi="Calibri" w:cs="Times New Roman"/>
          <w:noProof/>
          <w:sz w:val="20"/>
          <w:szCs w:val="24"/>
        </w:rPr>
        <w:t>:499–506. doi:10.1089/apc.2013.0316</w:t>
      </w:r>
    </w:p>
    <w:p w14:paraId="40923E92" w14:textId="77777777" w:rsidR="006F23EA" w:rsidRPr="009979BF" w:rsidRDefault="006F23EA" w:rsidP="006F23EA">
      <w:pPr>
        <w:widowControl w:val="0"/>
        <w:autoSpaceDE w:val="0"/>
        <w:autoSpaceDN w:val="0"/>
        <w:adjustRightInd w:val="0"/>
        <w:ind w:left="640" w:hanging="640"/>
        <w:rPr>
          <w:rFonts w:ascii="Calibri" w:hAnsi="Calibri" w:cs="Times New Roman"/>
          <w:noProof/>
          <w:sz w:val="20"/>
          <w:szCs w:val="24"/>
        </w:rPr>
      </w:pPr>
      <w:r w:rsidRPr="009979BF">
        <w:rPr>
          <w:rFonts w:ascii="Calibri" w:hAnsi="Calibri" w:cs="Times New Roman"/>
          <w:noProof/>
          <w:sz w:val="20"/>
          <w:szCs w:val="24"/>
        </w:rPr>
        <w:t xml:space="preserve">12 </w:t>
      </w:r>
      <w:r w:rsidRPr="009979BF">
        <w:rPr>
          <w:rFonts w:ascii="Calibri" w:hAnsi="Calibri" w:cs="Times New Roman"/>
          <w:noProof/>
          <w:sz w:val="20"/>
          <w:szCs w:val="24"/>
        </w:rPr>
        <w:tab/>
        <w:t xml:space="preserve">Mills N, Daker-White G, Graham A, </w:t>
      </w:r>
      <w:r w:rsidRPr="009979BF">
        <w:rPr>
          <w:rFonts w:ascii="Calibri" w:hAnsi="Calibri" w:cs="Times New Roman"/>
          <w:i/>
          <w:iCs/>
          <w:noProof/>
          <w:sz w:val="20"/>
          <w:szCs w:val="24"/>
        </w:rPr>
        <w:t>et al.</w:t>
      </w:r>
      <w:r w:rsidRPr="009979BF">
        <w:rPr>
          <w:rFonts w:ascii="Calibri" w:hAnsi="Calibri" w:cs="Times New Roman"/>
          <w:noProof/>
          <w:sz w:val="20"/>
          <w:szCs w:val="24"/>
        </w:rPr>
        <w:t xml:space="preserve"> Population screening for Chlamydia trachomatis infection in the UK: a qualitative study of the experiences of those screened. </w:t>
      </w:r>
      <w:r w:rsidRPr="009979BF">
        <w:rPr>
          <w:rFonts w:ascii="Calibri" w:hAnsi="Calibri" w:cs="Times New Roman"/>
          <w:i/>
          <w:iCs/>
          <w:noProof/>
          <w:sz w:val="20"/>
          <w:szCs w:val="24"/>
        </w:rPr>
        <w:t>Fam Pract</w:t>
      </w:r>
      <w:r w:rsidRPr="009979BF">
        <w:rPr>
          <w:rFonts w:ascii="Calibri" w:hAnsi="Calibri" w:cs="Times New Roman"/>
          <w:noProof/>
          <w:sz w:val="20"/>
          <w:szCs w:val="24"/>
        </w:rPr>
        <w:t xml:space="preserve"> 2006;</w:t>
      </w:r>
      <w:r w:rsidRPr="009979BF">
        <w:rPr>
          <w:rFonts w:ascii="Calibri" w:hAnsi="Calibri" w:cs="Times New Roman"/>
          <w:b/>
          <w:bCs/>
          <w:noProof/>
          <w:sz w:val="20"/>
          <w:szCs w:val="24"/>
        </w:rPr>
        <w:t>23</w:t>
      </w:r>
      <w:r w:rsidRPr="009979BF">
        <w:rPr>
          <w:rFonts w:ascii="Calibri" w:hAnsi="Calibri" w:cs="Times New Roman"/>
          <w:noProof/>
          <w:sz w:val="20"/>
          <w:szCs w:val="24"/>
        </w:rPr>
        <w:t>:550–7. doi:10.1093/fampra/cml031</w:t>
      </w:r>
    </w:p>
    <w:p w14:paraId="4577423A" w14:textId="77777777" w:rsidR="006F23EA" w:rsidRPr="009979BF" w:rsidRDefault="006F23EA" w:rsidP="006F23EA">
      <w:pPr>
        <w:widowControl w:val="0"/>
        <w:autoSpaceDE w:val="0"/>
        <w:autoSpaceDN w:val="0"/>
        <w:adjustRightInd w:val="0"/>
        <w:ind w:left="640" w:hanging="640"/>
        <w:rPr>
          <w:rFonts w:ascii="Calibri" w:hAnsi="Calibri" w:cs="Times New Roman"/>
          <w:noProof/>
          <w:sz w:val="20"/>
          <w:szCs w:val="24"/>
        </w:rPr>
      </w:pPr>
      <w:r w:rsidRPr="009979BF">
        <w:rPr>
          <w:rFonts w:ascii="Calibri" w:hAnsi="Calibri" w:cs="Times New Roman"/>
          <w:noProof/>
          <w:sz w:val="20"/>
          <w:szCs w:val="24"/>
        </w:rPr>
        <w:t xml:space="preserve">13 </w:t>
      </w:r>
      <w:r w:rsidRPr="009979BF">
        <w:rPr>
          <w:rFonts w:ascii="Calibri" w:hAnsi="Calibri" w:cs="Times New Roman"/>
          <w:noProof/>
          <w:sz w:val="20"/>
          <w:szCs w:val="24"/>
        </w:rPr>
        <w:tab/>
        <w:t xml:space="preserve">Gottlieb SL, Stoner BP, Zaidi AA, </w:t>
      </w:r>
      <w:r w:rsidRPr="009979BF">
        <w:rPr>
          <w:rFonts w:ascii="Calibri" w:hAnsi="Calibri" w:cs="Times New Roman"/>
          <w:i/>
          <w:iCs/>
          <w:noProof/>
          <w:sz w:val="20"/>
          <w:szCs w:val="24"/>
        </w:rPr>
        <w:t>et al.</w:t>
      </w:r>
      <w:r w:rsidRPr="009979BF">
        <w:rPr>
          <w:rFonts w:ascii="Calibri" w:hAnsi="Calibri" w:cs="Times New Roman"/>
          <w:noProof/>
          <w:sz w:val="20"/>
          <w:szCs w:val="24"/>
        </w:rPr>
        <w:t xml:space="preserve"> A prospective study of the psychosocial impact of a positive Chlamydia trachomatis laboratory test. </w:t>
      </w:r>
      <w:r w:rsidRPr="009979BF">
        <w:rPr>
          <w:rFonts w:ascii="Calibri" w:hAnsi="Calibri" w:cs="Times New Roman"/>
          <w:i/>
          <w:iCs/>
          <w:noProof/>
          <w:sz w:val="20"/>
          <w:szCs w:val="24"/>
        </w:rPr>
        <w:t>Sex Transm Dis</w:t>
      </w:r>
      <w:r w:rsidRPr="009979BF">
        <w:rPr>
          <w:rFonts w:ascii="Calibri" w:hAnsi="Calibri" w:cs="Times New Roman"/>
          <w:noProof/>
          <w:sz w:val="20"/>
          <w:szCs w:val="24"/>
        </w:rPr>
        <w:t xml:space="preserve"> 2011;</w:t>
      </w:r>
      <w:r w:rsidRPr="009979BF">
        <w:rPr>
          <w:rFonts w:ascii="Calibri" w:hAnsi="Calibri" w:cs="Times New Roman"/>
          <w:b/>
          <w:bCs/>
          <w:noProof/>
          <w:sz w:val="20"/>
          <w:szCs w:val="24"/>
        </w:rPr>
        <w:t>38</w:t>
      </w:r>
      <w:r w:rsidRPr="009979BF">
        <w:rPr>
          <w:rFonts w:ascii="Calibri" w:hAnsi="Calibri" w:cs="Times New Roman"/>
          <w:noProof/>
          <w:sz w:val="20"/>
          <w:szCs w:val="24"/>
        </w:rPr>
        <w:t>:1004–11. doi:10.1097/OLQ.0b013e31822b0bed</w:t>
      </w:r>
    </w:p>
    <w:p w14:paraId="0B348716" w14:textId="77777777" w:rsidR="006F23EA" w:rsidRPr="009979BF" w:rsidRDefault="006F23EA" w:rsidP="006F23EA">
      <w:pPr>
        <w:widowControl w:val="0"/>
        <w:autoSpaceDE w:val="0"/>
        <w:autoSpaceDN w:val="0"/>
        <w:adjustRightInd w:val="0"/>
        <w:ind w:left="640" w:hanging="640"/>
        <w:rPr>
          <w:rFonts w:ascii="Calibri" w:hAnsi="Calibri" w:cs="Times New Roman"/>
          <w:noProof/>
          <w:sz w:val="20"/>
          <w:szCs w:val="24"/>
        </w:rPr>
      </w:pPr>
      <w:r w:rsidRPr="009979BF">
        <w:rPr>
          <w:rFonts w:ascii="Calibri" w:hAnsi="Calibri" w:cs="Times New Roman"/>
          <w:noProof/>
          <w:sz w:val="20"/>
          <w:szCs w:val="24"/>
        </w:rPr>
        <w:t xml:space="preserve">14 </w:t>
      </w:r>
      <w:r w:rsidRPr="009979BF">
        <w:rPr>
          <w:rFonts w:ascii="Calibri" w:hAnsi="Calibri" w:cs="Times New Roman"/>
          <w:noProof/>
          <w:sz w:val="20"/>
          <w:szCs w:val="24"/>
        </w:rPr>
        <w:tab/>
        <w:t xml:space="preserve">Kangas I, Andersen B, Olesen F, </w:t>
      </w:r>
      <w:r w:rsidRPr="009979BF">
        <w:rPr>
          <w:rFonts w:ascii="Calibri" w:hAnsi="Calibri" w:cs="Times New Roman"/>
          <w:i/>
          <w:iCs/>
          <w:noProof/>
          <w:sz w:val="20"/>
          <w:szCs w:val="24"/>
        </w:rPr>
        <w:t>et al.</w:t>
      </w:r>
      <w:r w:rsidRPr="009979BF">
        <w:rPr>
          <w:rFonts w:ascii="Calibri" w:hAnsi="Calibri" w:cs="Times New Roman"/>
          <w:noProof/>
          <w:sz w:val="20"/>
          <w:szCs w:val="24"/>
        </w:rPr>
        <w:t xml:space="preserve"> Psychosocial impact of Chlamydia trachomatis testing in general practice. </w:t>
      </w:r>
      <w:r w:rsidRPr="009979BF">
        <w:rPr>
          <w:rFonts w:ascii="Calibri" w:hAnsi="Calibri" w:cs="Times New Roman"/>
          <w:i/>
          <w:iCs/>
          <w:noProof/>
          <w:sz w:val="20"/>
          <w:szCs w:val="24"/>
        </w:rPr>
        <w:t>Br J Gen Pract</w:t>
      </w:r>
      <w:r w:rsidRPr="009979BF">
        <w:rPr>
          <w:rFonts w:ascii="Calibri" w:hAnsi="Calibri" w:cs="Times New Roman"/>
          <w:noProof/>
          <w:sz w:val="20"/>
          <w:szCs w:val="24"/>
        </w:rPr>
        <w:t xml:space="preserve"> 2006;</w:t>
      </w:r>
      <w:r w:rsidRPr="009979BF">
        <w:rPr>
          <w:rFonts w:ascii="Calibri" w:hAnsi="Calibri" w:cs="Times New Roman"/>
          <w:b/>
          <w:bCs/>
          <w:noProof/>
          <w:sz w:val="20"/>
          <w:szCs w:val="24"/>
        </w:rPr>
        <w:t>56</w:t>
      </w:r>
      <w:r w:rsidRPr="009979BF">
        <w:rPr>
          <w:rFonts w:ascii="Calibri" w:hAnsi="Calibri" w:cs="Times New Roman"/>
          <w:noProof/>
          <w:sz w:val="20"/>
          <w:szCs w:val="24"/>
        </w:rPr>
        <w:t>:587–93.http://www.ncbi.nlm.nih.gov/pubmed/16882376 (accessed 27 Sep2016).</w:t>
      </w:r>
    </w:p>
    <w:p w14:paraId="792F0C90" w14:textId="77777777" w:rsidR="006F23EA" w:rsidRPr="009979BF" w:rsidRDefault="006F23EA" w:rsidP="006F23EA">
      <w:pPr>
        <w:widowControl w:val="0"/>
        <w:autoSpaceDE w:val="0"/>
        <w:autoSpaceDN w:val="0"/>
        <w:adjustRightInd w:val="0"/>
        <w:ind w:left="640" w:hanging="640"/>
        <w:rPr>
          <w:rFonts w:ascii="Calibri" w:hAnsi="Calibri" w:cs="Times New Roman"/>
          <w:noProof/>
          <w:sz w:val="20"/>
          <w:szCs w:val="24"/>
        </w:rPr>
      </w:pPr>
      <w:r w:rsidRPr="009979BF">
        <w:rPr>
          <w:rFonts w:ascii="Calibri" w:hAnsi="Calibri" w:cs="Times New Roman"/>
          <w:noProof/>
          <w:sz w:val="20"/>
          <w:szCs w:val="24"/>
        </w:rPr>
        <w:t xml:space="preserve">15 </w:t>
      </w:r>
      <w:r w:rsidRPr="009979BF">
        <w:rPr>
          <w:rFonts w:ascii="Calibri" w:hAnsi="Calibri" w:cs="Times New Roman"/>
          <w:noProof/>
          <w:sz w:val="20"/>
          <w:szCs w:val="24"/>
        </w:rPr>
        <w:tab/>
        <w:t xml:space="preserve">Robertson S, Williamson P. Men and health promotion in the UK: Ten years further on? </w:t>
      </w:r>
      <w:r w:rsidRPr="009979BF">
        <w:rPr>
          <w:rFonts w:ascii="Calibri" w:hAnsi="Calibri" w:cs="Times New Roman"/>
          <w:i/>
          <w:iCs/>
          <w:noProof/>
          <w:sz w:val="20"/>
          <w:szCs w:val="24"/>
        </w:rPr>
        <w:t>Health Educ J</w:t>
      </w:r>
      <w:r w:rsidRPr="009979BF">
        <w:rPr>
          <w:rFonts w:ascii="Calibri" w:hAnsi="Calibri" w:cs="Times New Roman"/>
          <w:noProof/>
          <w:sz w:val="20"/>
          <w:szCs w:val="24"/>
        </w:rPr>
        <w:t xml:space="preserve"> 2005;</w:t>
      </w:r>
      <w:r w:rsidRPr="009979BF">
        <w:rPr>
          <w:rFonts w:ascii="Calibri" w:hAnsi="Calibri" w:cs="Times New Roman"/>
          <w:b/>
          <w:bCs/>
          <w:noProof/>
          <w:sz w:val="20"/>
          <w:szCs w:val="24"/>
        </w:rPr>
        <w:t>64</w:t>
      </w:r>
      <w:r w:rsidRPr="009979BF">
        <w:rPr>
          <w:rFonts w:ascii="Calibri" w:hAnsi="Calibri" w:cs="Times New Roman"/>
          <w:noProof/>
          <w:sz w:val="20"/>
          <w:szCs w:val="24"/>
        </w:rPr>
        <w:t>:293–301. doi:10.1177/001789690506400402</w:t>
      </w:r>
    </w:p>
    <w:p w14:paraId="1D01EBA6" w14:textId="77777777" w:rsidR="006F23EA" w:rsidRPr="009979BF" w:rsidRDefault="006F23EA" w:rsidP="006F23EA">
      <w:pPr>
        <w:widowControl w:val="0"/>
        <w:autoSpaceDE w:val="0"/>
        <w:autoSpaceDN w:val="0"/>
        <w:adjustRightInd w:val="0"/>
        <w:ind w:left="640" w:hanging="640"/>
        <w:rPr>
          <w:rFonts w:ascii="Calibri" w:hAnsi="Calibri" w:cs="Times New Roman"/>
          <w:noProof/>
          <w:sz w:val="20"/>
          <w:szCs w:val="24"/>
        </w:rPr>
      </w:pPr>
      <w:r w:rsidRPr="009979BF">
        <w:rPr>
          <w:rFonts w:ascii="Calibri" w:hAnsi="Calibri" w:cs="Times New Roman"/>
          <w:noProof/>
          <w:sz w:val="20"/>
          <w:szCs w:val="24"/>
        </w:rPr>
        <w:t xml:space="preserve">16 </w:t>
      </w:r>
      <w:r w:rsidRPr="009979BF">
        <w:rPr>
          <w:rFonts w:ascii="Calibri" w:hAnsi="Calibri" w:cs="Times New Roman"/>
          <w:noProof/>
          <w:sz w:val="20"/>
          <w:szCs w:val="24"/>
        </w:rPr>
        <w:tab/>
        <w:t xml:space="preserve">Cameron E, Bernardes J. Gender and disadvantage in health: men’s health for a change. </w:t>
      </w:r>
      <w:r w:rsidRPr="009979BF">
        <w:rPr>
          <w:rFonts w:ascii="Calibri" w:hAnsi="Calibri" w:cs="Times New Roman"/>
          <w:i/>
          <w:iCs/>
          <w:noProof/>
          <w:sz w:val="20"/>
          <w:szCs w:val="24"/>
        </w:rPr>
        <w:t>Sociol Heal &amp;amp; Illn</w:t>
      </w:r>
      <w:r w:rsidRPr="009979BF">
        <w:rPr>
          <w:rFonts w:ascii="Calibri" w:hAnsi="Calibri" w:cs="Times New Roman"/>
          <w:noProof/>
          <w:sz w:val="20"/>
          <w:szCs w:val="24"/>
        </w:rPr>
        <w:t xml:space="preserve"> 1998;</w:t>
      </w:r>
      <w:r w:rsidRPr="009979BF">
        <w:rPr>
          <w:rFonts w:ascii="Calibri" w:hAnsi="Calibri" w:cs="Times New Roman"/>
          <w:b/>
          <w:bCs/>
          <w:noProof/>
          <w:sz w:val="20"/>
          <w:szCs w:val="24"/>
        </w:rPr>
        <w:t>20</w:t>
      </w:r>
      <w:r w:rsidRPr="009979BF">
        <w:rPr>
          <w:rFonts w:ascii="Calibri" w:hAnsi="Calibri" w:cs="Times New Roman"/>
          <w:noProof/>
          <w:sz w:val="20"/>
          <w:szCs w:val="24"/>
        </w:rPr>
        <w:t>:673–93. doi:10.1111/1467-9566.00124</w:t>
      </w:r>
    </w:p>
    <w:p w14:paraId="6DB9F22E" w14:textId="77777777" w:rsidR="006F23EA" w:rsidRPr="009979BF" w:rsidRDefault="006F23EA" w:rsidP="006F23EA">
      <w:pPr>
        <w:widowControl w:val="0"/>
        <w:autoSpaceDE w:val="0"/>
        <w:autoSpaceDN w:val="0"/>
        <w:adjustRightInd w:val="0"/>
        <w:ind w:left="640" w:hanging="640"/>
        <w:rPr>
          <w:rFonts w:ascii="Calibri" w:hAnsi="Calibri" w:cs="Times New Roman"/>
          <w:noProof/>
          <w:sz w:val="20"/>
          <w:szCs w:val="24"/>
        </w:rPr>
      </w:pPr>
      <w:r w:rsidRPr="009979BF">
        <w:rPr>
          <w:rFonts w:ascii="Calibri" w:hAnsi="Calibri" w:cs="Times New Roman"/>
          <w:noProof/>
          <w:sz w:val="20"/>
          <w:szCs w:val="24"/>
        </w:rPr>
        <w:t xml:space="preserve">17 </w:t>
      </w:r>
      <w:r w:rsidRPr="009979BF">
        <w:rPr>
          <w:rFonts w:ascii="Calibri" w:hAnsi="Calibri" w:cs="Times New Roman"/>
          <w:noProof/>
          <w:sz w:val="20"/>
          <w:szCs w:val="24"/>
        </w:rPr>
        <w:tab/>
        <w:t xml:space="preserve">Connell R. </w:t>
      </w:r>
      <w:r w:rsidRPr="009979BF">
        <w:rPr>
          <w:rFonts w:ascii="Calibri" w:hAnsi="Calibri" w:cs="Times New Roman"/>
          <w:i/>
          <w:iCs/>
          <w:noProof/>
          <w:sz w:val="20"/>
          <w:szCs w:val="24"/>
        </w:rPr>
        <w:t>Masculinities</w:t>
      </w:r>
      <w:r w:rsidRPr="009979BF">
        <w:rPr>
          <w:rFonts w:ascii="Calibri" w:hAnsi="Calibri" w:cs="Times New Roman"/>
          <w:noProof/>
          <w:sz w:val="20"/>
          <w:szCs w:val="24"/>
        </w:rPr>
        <w:t>. University of California Press 2005. http://www.ucpress.edu/book.php?isbn=9780520246980 (accessed 28 Mar2017).</w:t>
      </w:r>
    </w:p>
    <w:p w14:paraId="118CB55E" w14:textId="77777777" w:rsidR="006F23EA" w:rsidRPr="009979BF" w:rsidRDefault="006F23EA" w:rsidP="006F23EA">
      <w:pPr>
        <w:widowControl w:val="0"/>
        <w:autoSpaceDE w:val="0"/>
        <w:autoSpaceDN w:val="0"/>
        <w:adjustRightInd w:val="0"/>
        <w:ind w:left="640" w:hanging="640"/>
        <w:rPr>
          <w:rFonts w:ascii="Calibri" w:hAnsi="Calibri" w:cs="Times New Roman"/>
          <w:noProof/>
          <w:sz w:val="20"/>
          <w:szCs w:val="24"/>
        </w:rPr>
      </w:pPr>
      <w:r w:rsidRPr="009979BF">
        <w:rPr>
          <w:rFonts w:ascii="Calibri" w:hAnsi="Calibri" w:cs="Times New Roman"/>
          <w:noProof/>
          <w:sz w:val="20"/>
          <w:szCs w:val="24"/>
        </w:rPr>
        <w:t xml:space="preserve">18 </w:t>
      </w:r>
      <w:r w:rsidRPr="009979BF">
        <w:rPr>
          <w:rFonts w:ascii="Calibri" w:hAnsi="Calibri" w:cs="Times New Roman"/>
          <w:noProof/>
          <w:sz w:val="20"/>
          <w:szCs w:val="24"/>
        </w:rPr>
        <w:tab/>
        <w:t xml:space="preserve">Hoy S. Beyond Men Behaving Badly: A Meta-Ethnography of Men’s Perspectives on Psychological Distress and Help Seeking. </w:t>
      </w:r>
      <w:r w:rsidRPr="009979BF">
        <w:rPr>
          <w:rFonts w:ascii="Calibri" w:hAnsi="Calibri" w:cs="Times New Roman"/>
          <w:i/>
          <w:iCs/>
          <w:noProof/>
          <w:sz w:val="20"/>
          <w:szCs w:val="24"/>
        </w:rPr>
        <w:t>Int J Mens Health</w:t>
      </w:r>
      <w:r w:rsidRPr="009979BF">
        <w:rPr>
          <w:rFonts w:ascii="Calibri" w:hAnsi="Calibri" w:cs="Times New Roman"/>
          <w:noProof/>
          <w:sz w:val="20"/>
          <w:szCs w:val="24"/>
        </w:rPr>
        <w:t xml:space="preserve"> 2012;</w:t>
      </w:r>
      <w:r w:rsidRPr="009979BF">
        <w:rPr>
          <w:rFonts w:ascii="Calibri" w:hAnsi="Calibri" w:cs="Times New Roman"/>
          <w:b/>
          <w:bCs/>
          <w:noProof/>
          <w:sz w:val="20"/>
          <w:szCs w:val="24"/>
        </w:rPr>
        <w:t>11</w:t>
      </w:r>
      <w:r w:rsidRPr="009979BF">
        <w:rPr>
          <w:rFonts w:ascii="Calibri" w:hAnsi="Calibri" w:cs="Times New Roman"/>
          <w:noProof/>
          <w:sz w:val="20"/>
          <w:szCs w:val="24"/>
        </w:rPr>
        <w:t>:202–6. doi:10.3149/jmh.1103.202</w:t>
      </w:r>
    </w:p>
    <w:p w14:paraId="5E1684EE" w14:textId="77777777" w:rsidR="006F23EA" w:rsidRPr="009979BF" w:rsidRDefault="006F23EA" w:rsidP="006F23EA">
      <w:pPr>
        <w:widowControl w:val="0"/>
        <w:autoSpaceDE w:val="0"/>
        <w:autoSpaceDN w:val="0"/>
        <w:adjustRightInd w:val="0"/>
        <w:ind w:left="640" w:hanging="640"/>
        <w:rPr>
          <w:rFonts w:ascii="Calibri" w:hAnsi="Calibri" w:cs="Times New Roman"/>
          <w:noProof/>
          <w:sz w:val="20"/>
          <w:szCs w:val="24"/>
        </w:rPr>
      </w:pPr>
      <w:r w:rsidRPr="009979BF">
        <w:rPr>
          <w:rFonts w:ascii="Calibri" w:hAnsi="Calibri" w:cs="Times New Roman"/>
          <w:noProof/>
          <w:sz w:val="20"/>
          <w:szCs w:val="24"/>
        </w:rPr>
        <w:t xml:space="preserve">19 </w:t>
      </w:r>
      <w:r w:rsidRPr="009979BF">
        <w:rPr>
          <w:rFonts w:ascii="Calibri" w:hAnsi="Calibri" w:cs="Times New Roman"/>
          <w:noProof/>
          <w:sz w:val="20"/>
          <w:szCs w:val="24"/>
        </w:rPr>
        <w:tab/>
        <w:t xml:space="preserve">Collumbien M, Hawkes S. Missing men’s messages: Does the reproductive health approach respond to men’s sexual health needs? </w:t>
      </w:r>
      <w:r w:rsidRPr="009979BF">
        <w:rPr>
          <w:rFonts w:ascii="Calibri" w:hAnsi="Calibri" w:cs="Times New Roman"/>
          <w:i/>
          <w:iCs/>
          <w:noProof/>
          <w:sz w:val="20"/>
          <w:szCs w:val="24"/>
        </w:rPr>
        <w:t>Cult Health Sex</w:t>
      </w:r>
      <w:r w:rsidRPr="009979BF">
        <w:rPr>
          <w:rFonts w:ascii="Calibri" w:hAnsi="Calibri" w:cs="Times New Roman"/>
          <w:noProof/>
          <w:sz w:val="20"/>
          <w:szCs w:val="24"/>
        </w:rPr>
        <w:t xml:space="preserve"> 2000;</w:t>
      </w:r>
      <w:r w:rsidRPr="009979BF">
        <w:rPr>
          <w:rFonts w:ascii="Calibri" w:hAnsi="Calibri" w:cs="Times New Roman"/>
          <w:b/>
          <w:bCs/>
          <w:noProof/>
          <w:sz w:val="20"/>
          <w:szCs w:val="24"/>
        </w:rPr>
        <w:t>2</w:t>
      </w:r>
      <w:r w:rsidRPr="009979BF">
        <w:rPr>
          <w:rFonts w:ascii="Calibri" w:hAnsi="Calibri" w:cs="Times New Roman"/>
          <w:noProof/>
          <w:sz w:val="20"/>
          <w:szCs w:val="24"/>
        </w:rPr>
        <w:t>:135–50. doi:10.1080/136910500300769</w:t>
      </w:r>
    </w:p>
    <w:p w14:paraId="20F677A1" w14:textId="77777777" w:rsidR="006F23EA" w:rsidRPr="009979BF" w:rsidRDefault="006F23EA" w:rsidP="006F23EA">
      <w:pPr>
        <w:widowControl w:val="0"/>
        <w:autoSpaceDE w:val="0"/>
        <w:autoSpaceDN w:val="0"/>
        <w:adjustRightInd w:val="0"/>
        <w:ind w:left="640" w:hanging="640"/>
        <w:rPr>
          <w:rFonts w:ascii="Calibri" w:hAnsi="Calibri" w:cs="Times New Roman"/>
          <w:noProof/>
          <w:sz w:val="20"/>
          <w:szCs w:val="24"/>
        </w:rPr>
      </w:pPr>
      <w:r w:rsidRPr="009979BF">
        <w:rPr>
          <w:rFonts w:ascii="Calibri" w:hAnsi="Calibri" w:cs="Times New Roman"/>
          <w:noProof/>
          <w:sz w:val="20"/>
          <w:szCs w:val="24"/>
        </w:rPr>
        <w:t xml:space="preserve">20 </w:t>
      </w:r>
      <w:r w:rsidRPr="009979BF">
        <w:rPr>
          <w:rFonts w:ascii="Calibri" w:hAnsi="Calibri" w:cs="Times New Roman"/>
          <w:noProof/>
          <w:sz w:val="20"/>
          <w:szCs w:val="24"/>
        </w:rPr>
        <w:tab/>
        <w:t xml:space="preserve">Banks I. No man’s land: men, illness, and the NHS. </w:t>
      </w:r>
      <w:r w:rsidRPr="009979BF">
        <w:rPr>
          <w:rFonts w:ascii="Calibri" w:hAnsi="Calibri" w:cs="Times New Roman"/>
          <w:i/>
          <w:iCs/>
          <w:noProof/>
          <w:sz w:val="20"/>
          <w:szCs w:val="24"/>
        </w:rPr>
        <w:t>BMJ</w:t>
      </w:r>
      <w:r w:rsidRPr="009979BF">
        <w:rPr>
          <w:rFonts w:ascii="Calibri" w:hAnsi="Calibri" w:cs="Times New Roman"/>
          <w:noProof/>
          <w:sz w:val="20"/>
          <w:szCs w:val="24"/>
        </w:rPr>
        <w:t xml:space="preserve"> 2001;</w:t>
      </w:r>
      <w:r w:rsidRPr="009979BF">
        <w:rPr>
          <w:rFonts w:ascii="Calibri" w:hAnsi="Calibri" w:cs="Times New Roman"/>
          <w:b/>
          <w:bCs/>
          <w:noProof/>
          <w:sz w:val="20"/>
          <w:szCs w:val="24"/>
        </w:rPr>
        <w:t>323</w:t>
      </w:r>
      <w:r w:rsidRPr="009979BF">
        <w:rPr>
          <w:rFonts w:ascii="Calibri" w:hAnsi="Calibri" w:cs="Times New Roman"/>
          <w:noProof/>
          <w:sz w:val="20"/>
          <w:szCs w:val="24"/>
        </w:rPr>
        <w:t>.http://www.bmj.com/content/323/7320/1058.long (accessed 31 Mar2017).</w:t>
      </w:r>
    </w:p>
    <w:p w14:paraId="2A5814CF" w14:textId="77777777" w:rsidR="006F23EA" w:rsidRPr="009979BF" w:rsidRDefault="006F23EA" w:rsidP="006F23EA">
      <w:pPr>
        <w:widowControl w:val="0"/>
        <w:autoSpaceDE w:val="0"/>
        <w:autoSpaceDN w:val="0"/>
        <w:adjustRightInd w:val="0"/>
        <w:ind w:left="640" w:hanging="640"/>
        <w:rPr>
          <w:rFonts w:ascii="Calibri" w:hAnsi="Calibri" w:cs="Times New Roman"/>
          <w:noProof/>
          <w:sz w:val="20"/>
          <w:szCs w:val="24"/>
        </w:rPr>
      </w:pPr>
      <w:r w:rsidRPr="009979BF">
        <w:rPr>
          <w:rFonts w:ascii="Calibri" w:hAnsi="Calibri" w:cs="Times New Roman"/>
          <w:noProof/>
          <w:sz w:val="20"/>
          <w:szCs w:val="24"/>
        </w:rPr>
        <w:t xml:space="preserve">21 </w:t>
      </w:r>
      <w:r w:rsidRPr="009979BF">
        <w:rPr>
          <w:rFonts w:ascii="Calibri" w:hAnsi="Calibri" w:cs="Times New Roman"/>
          <w:noProof/>
          <w:sz w:val="20"/>
          <w:szCs w:val="24"/>
        </w:rPr>
        <w:tab/>
        <w:t xml:space="preserve">Rosaleen O, Hunt K, Hart G, </w:t>
      </w:r>
      <w:r w:rsidRPr="009979BF">
        <w:rPr>
          <w:rFonts w:ascii="Calibri" w:hAnsi="Calibri" w:cs="Times New Roman"/>
          <w:i/>
          <w:iCs/>
          <w:noProof/>
          <w:sz w:val="20"/>
          <w:szCs w:val="24"/>
        </w:rPr>
        <w:t>et al.</w:t>
      </w:r>
      <w:r w:rsidRPr="009979BF">
        <w:rPr>
          <w:rFonts w:ascii="Calibri" w:hAnsi="Calibri" w:cs="Times New Roman"/>
          <w:noProof/>
          <w:sz w:val="20"/>
          <w:szCs w:val="24"/>
        </w:rPr>
        <w:t xml:space="preserve"> </w:t>
      </w:r>
      <w:r w:rsidRPr="009979BF">
        <w:rPr>
          <w:rFonts w:ascii="Calibri" w:hAnsi="Calibri" w:cs="Times New Roman"/>
          <w:i/>
          <w:iCs/>
          <w:noProof/>
          <w:sz w:val="20"/>
          <w:szCs w:val="24"/>
        </w:rPr>
        <w:t>Social science &amp;amp; medicine.</w:t>
      </w:r>
      <w:r w:rsidRPr="009979BF">
        <w:rPr>
          <w:rFonts w:ascii="Calibri" w:hAnsi="Calibri" w:cs="Times New Roman"/>
          <w:noProof/>
          <w:sz w:val="20"/>
          <w:szCs w:val="24"/>
        </w:rPr>
        <w:t xml:space="preserve"> Elsevier Science 2005. http://econpapers.repec.org/article/eeesocmed/v_3a61_3ay_3a2005_3ai_3a3_3ap_3a503-516.htm (accessed 28 Mar2017).</w:t>
      </w:r>
    </w:p>
    <w:p w14:paraId="10232151" w14:textId="77777777" w:rsidR="006F23EA" w:rsidRPr="009979BF" w:rsidRDefault="006F23EA" w:rsidP="006F23EA">
      <w:pPr>
        <w:widowControl w:val="0"/>
        <w:autoSpaceDE w:val="0"/>
        <w:autoSpaceDN w:val="0"/>
        <w:adjustRightInd w:val="0"/>
        <w:ind w:left="640" w:hanging="640"/>
        <w:rPr>
          <w:rFonts w:ascii="Calibri" w:hAnsi="Calibri" w:cs="Times New Roman"/>
          <w:noProof/>
          <w:sz w:val="20"/>
          <w:szCs w:val="24"/>
        </w:rPr>
      </w:pPr>
      <w:r w:rsidRPr="009979BF">
        <w:rPr>
          <w:rFonts w:ascii="Calibri" w:hAnsi="Calibri" w:cs="Times New Roman"/>
          <w:noProof/>
          <w:sz w:val="20"/>
          <w:szCs w:val="24"/>
        </w:rPr>
        <w:t xml:space="preserve">22 </w:t>
      </w:r>
      <w:r w:rsidRPr="009979BF">
        <w:rPr>
          <w:rFonts w:ascii="Calibri" w:hAnsi="Calibri" w:cs="Times New Roman"/>
          <w:noProof/>
          <w:sz w:val="20"/>
          <w:szCs w:val="24"/>
        </w:rPr>
        <w:tab/>
        <w:t xml:space="preserve">Sonnenberg P, Clifton S, Beddows S, </w:t>
      </w:r>
      <w:r w:rsidRPr="009979BF">
        <w:rPr>
          <w:rFonts w:ascii="Calibri" w:hAnsi="Calibri" w:cs="Times New Roman"/>
          <w:i/>
          <w:iCs/>
          <w:noProof/>
          <w:sz w:val="20"/>
          <w:szCs w:val="24"/>
        </w:rPr>
        <w:t>et al.</w:t>
      </w:r>
      <w:r w:rsidRPr="009979BF">
        <w:rPr>
          <w:rFonts w:ascii="Calibri" w:hAnsi="Calibri" w:cs="Times New Roman"/>
          <w:noProof/>
          <w:sz w:val="20"/>
          <w:szCs w:val="24"/>
        </w:rPr>
        <w:t xml:space="preserve"> Prevalence, risk factors, and uptake of interventions for sexually transmitted infections in Britain: findings from the National Surveys of Sexual Attitudes and Lifestyles (Natsal). </w:t>
      </w:r>
      <w:r w:rsidRPr="009979BF">
        <w:rPr>
          <w:rFonts w:ascii="Calibri" w:hAnsi="Calibri" w:cs="Times New Roman"/>
          <w:i/>
          <w:iCs/>
          <w:noProof/>
          <w:sz w:val="20"/>
          <w:szCs w:val="24"/>
        </w:rPr>
        <w:t>Lancet (London, England)</w:t>
      </w:r>
      <w:r w:rsidRPr="009979BF">
        <w:rPr>
          <w:rFonts w:ascii="Calibri" w:hAnsi="Calibri" w:cs="Times New Roman"/>
          <w:noProof/>
          <w:sz w:val="20"/>
          <w:szCs w:val="24"/>
        </w:rPr>
        <w:t xml:space="preserve"> 2013;</w:t>
      </w:r>
      <w:r w:rsidRPr="009979BF">
        <w:rPr>
          <w:rFonts w:ascii="Calibri" w:hAnsi="Calibri" w:cs="Times New Roman"/>
          <w:b/>
          <w:bCs/>
          <w:noProof/>
          <w:sz w:val="20"/>
          <w:szCs w:val="24"/>
        </w:rPr>
        <w:t>382</w:t>
      </w:r>
      <w:r w:rsidRPr="009979BF">
        <w:rPr>
          <w:rFonts w:ascii="Calibri" w:hAnsi="Calibri" w:cs="Times New Roman"/>
          <w:noProof/>
          <w:sz w:val="20"/>
          <w:szCs w:val="24"/>
        </w:rPr>
        <w:t>:1795–806. doi:10.1016/S0140-6736(13)61947-9</w:t>
      </w:r>
    </w:p>
    <w:p w14:paraId="2EC1EB48" w14:textId="77777777" w:rsidR="006F23EA" w:rsidRPr="009979BF" w:rsidRDefault="006F23EA" w:rsidP="006F23EA">
      <w:pPr>
        <w:widowControl w:val="0"/>
        <w:autoSpaceDE w:val="0"/>
        <w:autoSpaceDN w:val="0"/>
        <w:adjustRightInd w:val="0"/>
        <w:ind w:left="640" w:hanging="640"/>
        <w:rPr>
          <w:rFonts w:ascii="Calibri" w:hAnsi="Calibri" w:cs="Times New Roman"/>
          <w:noProof/>
          <w:sz w:val="20"/>
          <w:szCs w:val="24"/>
        </w:rPr>
      </w:pPr>
      <w:r w:rsidRPr="009979BF">
        <w:rPr>
          <w:rFonts w:ascii="Calibri" w:hAnsi="Calibri" w:cs="Times New Roman"/>
          <w:noProof/>
          <w:sz w:val="20"/>
          <w:szCs w:val="24"/>
        </w:rPr>
        <w:t xml:space="preserve">23 </w:t>
      </w:r>
      <w:r w:rsidRPr="009979BF">
        <w:rPr>
          <w:rFonts w:ascii="Calibri" w:hAnsi="Calibri" w:cs="Times New Roman"/>
          <w:noProof/>
          <w:sz w:val="20"/>
          <w:szCs w:val="24"/>
        </w:rPr>
        <w:tab/>
        <w:t xml:space="preserve">Herdman M, Gudex C, Lloyd A, </w:t>
      </w:r>
      <w:r w:rsidRPr="009979BF">
        <w:rPr>
          <w:rFonts w:ascii="Calibri" w:hAnsi="Calibri" w:cs="Times New Roman"/>
          <w:i/>
          <w:iCs/>
          <w:noProof/>
          <w:sz w:val="20"/>
          <w:szCs w:val="24"/>
        </w:rPr>
        <w:t>et al.</w:t>
      </w:r>
      <w:r w:rsidRPr="009979BF">
        <w:rPr>
          <w:rFonts w:ascii="Calibri" w:hAnsi="Calibri" w:cs="Times New Roman"/>
          <w:noProof/>
          <w:sz w:val="20"/>
          <w:szCs w:val="24"/>
        </w:rPr>
        <w:t xml:space="preserve"> Development and preliminary testing of the new five-level version of EQ-5D (EQ-5D-5L). </w:t>
      </w:r>
      <w:r w:rsidRPr="009979BF">
        <w:rPr>
          <w:rFonts w:ascii="Calibri" w:hAnsi="Calibri" w:cs="Times New Roman"/>
          <w:i/>
          <w:iCs/>
          <w:noProof/>
          <w:sz w:val="20"/>
          <w:szCs w:val="24"/>
        </w:rPr>
        <w:t>Qual Life Res</w:t>
      </w:r>
      <w:r w:rsidRPr="009979BF">
        <w:rPr>
          <w:rFonts w:ascii="Calibri" w:hAnsi="Calibri" w:cs="Times New Roman"/>
          <w:noProof/>
          <w:sz w:val="20"/>
          <w:szCs w:val="24"/>
        </w:rPr>
        <w:t xml:space="preserve"> 2011;</w:t>
      </w:r>
      <w:r w:rsidRPr="009979BF">
        <w:rPr>
          <w:rFonts w:ascii="Calibri" w:hAnsi="Calibri" w:cs="Times New Roman"/>
          <w:b/>
          <w:bCs/>
          <w:noProof/>
          <w:sz w:val="20"/>
          <w:szCs w:val="24"/>
        </w:rPr>
        <w:t>20</w:t>
      </w:r>
      <w:r w:rsidRPr="009979BF">
        <w:rPr>
          <w:rFonts w:ascii="Calibri" w:hAnsi="Calibri" w:cs="Times New Roman"/>
          <w:noProof/>
          <w:sz w:val="20"/>
          <w:szCs w:val="24"/>
        </w:rPr>
        <w:t>:1727–36. doi:10.1007/s11136-011-9903-x</w:t>
      </w:r>
    </w:p>
    <w:p w14:paraId="606BEE3D" w14:textId="77777777" w:rsidR="006F23EA" w:rsidRPr="009979BF" w:rsidRDefault="006F23EA" w:rsidP="006F23EA">
      <w:pPr>
        <w:widowControl w:val="0"/>
        <w:autoSpaceDE w:val="0"/>
        <w:autoSpaceDN w:val="0"/>
        <w:adjustRightInd w:val="0"/>
        <w:ind w:left="640" w:hanging="640"/>
        <w:rPr>
          <w:rFonts w:ascii="Calibri" w:hAnsi="Calibri" w:cs="Times New Roman"/>
          <w:noProof/>
          <w:sz w:val="20"/>
          <w:szCs w:val="24"/>
        </w:rPr>
      </w:pPr>
      <w:r w:rsidRPr="009979BF">
        <w:rPr>
          <w:rFonts w:ascii="Calibri" w:hAnsi="Calibri" w:cs="Times New Roman"/>
          <w:noProof/>
          <w:sz w:val="20"/>
          <w:szCs w:val="24"/>
        </w:rPr>
        <w:t xml:space="preserve">24 </w:t>
      </w:r>
      <w:r w:rsidRPr="009979BF">
        <w:rPr>
          <w:rFonts w:ascii="Calibri" w:hAnsi="Calibri" w:cs="Times New Roman"/>
          <w:noProof/>
          <w:sz w:val="20"/>
          <w:szCs w:val="24"/>
        </w:rPr>
        <w:tab/>
        <w:t xml:space="preserve">Petersen W. Society and the Adolescent Self-Image. Morris Rosenberg. Princeton University Press, Princeton, N.J., 1965. xii + 326 pp. $6.50. </w:t>
      </w:r>
      <w:r w:rsidRPr="009979BF">
        <w:rPr>
          <w:rFonts w:ascii="Calibri" w:hAnsi="Calibri" w:cs="Times New Roman"/>
          <w:i/>
          <w:iCs/>
          <w:noProof/>
          <w:sz w:val="20"/>
          <w:szCs w:val="24"/>
        </w:rPr>
        <w:t>Science (80- )</w:t>
      </w:r>
      <w:r w:rsidRPr="009979BF">
        <w:rPr>
          <w:rFonts w:ascii="Calibri" w:hAnsi="Calibri" w:cs="Times New Roman"/>
          <w:noProof/>
          <w:sz w:val="20"/>
          <w:szCs w:val="24"/>
        </w:rPr>
        <w:t xml:space="preserve"> 1965;</w:t>
      </w:r>
      <w:r w:rsidRPr="009979BF">
        <w:rPr>
          <w:rFonts w:ascii="Calibri" w:hAnsi="Calibri" w:cs="Times New Roman"/>
          <w:b/>
          <w:bCs/>
          <w:noProof/>
          <w:sz w:val="20"/>
          <w:szCs w:val="24"/>
        </w:rPr>
        <w:t>148</w:t>
      </w:r>
      <w:r w:rsidRPr="009979BF">
        <w:rPr>
          <w:rFonts w:ascii="Calibri" w:hAnsi="Calibri" w:cs="Times New Roman"/>
          <w:noProof/>
          <w:sz w:val="20"/>
          <w:szCs w:val="24"/>
        </w:rPr>
        <w:t>:804–804. doi:10.1126/science.148.3671.804</w:t>
      </w:r>
    </w:p>
    <w:p w14:paraId="279F8622" w14:textId="77777777" w:rsidR="006F23EA" w:rsidRPr="009979BF" w:rsidRDefault="006F23EA" w:rsidP="006F23EA">
      <w:pPr>
        <w:widowControl w:val="0"/>
        <w:autoSpaceDE w:val="0"/>
        <w:autoSpaceDN w:val="0"/>
        <w:adjustRightInd w:val="0"/>
        <w:ind w:left="640" w:hanging="640"/>
        <w:rPr>
          <w:rFonts w:ascii="Calibri" w:hAnsi="Calibri" w:cs="Times New Roman"/>
          <w:noProof/>
          <w:sz w:val="20"/>
          <w:szCs w:val="24"/>
        </w:rPr>
      </w:pPr>
      <w:r w:rsidRPr="009979BF">
        <w:rPr>
          <w:rFonts w:ascii="Calibri" w:hAnsi="Calibri" w:cs="Times New Roman"/>
          <w:noProof/>
          <w:sz w:val="20"/>
          <w:szCs w:val="24"/>
        </w:rPr>
        <w:t xml:space="preserve">25 </w:t>
      </w:r>
      <w:r w:rsidRPr="009979BF">
        <w:rPr>
          <w:rFonts w:ascii="Calibri" w:hAnsi="Calibri" w:cs="Times New Roman"/>
          <w:noProof/>
          <w:sz w:val="20"/>
          <w:szCs w:val="24"/>
        </w:rPr>
        <w:tab/>
        <w:t xml:space="preserve">Zimet GD, Dahlem NW, Zimet SG, </w:t>
      </w:r>
      <w:r w:rsidRPr="009979BF">
        <w:rPr>
          <w:rFonts w:ascii="Calibri" w:hAnsi="Calibri" w:cs="Times New Roman"/>
          <w:i/>
          <w:iCs/>
          <w:noProof/>
          <w:sz w:val="20"/>
          <w:szCs w:val="24"/>
        </w:rPr>
        <w:t>et al.</w:t>
      </w:r>
      <w:r w:rsidRPr="009979BF">
        <w:rPr>
          <w:rFonts w:ascii="Calibri" w:hAnsi="Calibri" w:cs="Times New Roman"/>
          <w:noProof/>
          <w:sz w:val="20"/>
          <w:szCs w:val="24"/>
        </w:rPr>
        <w:t xml:space="preserve"> The Multidimensional Scale of Perceived Social Support. </w:t>
      </w:r>
      <w:r w:rsidRPr="009979BF">
        <w:rPr>
          <w:rFonts w:ascii="Calibri" w:hAnsi="Calibri" w:cs="Times New Roman"/>
          <w:i/>
          <w:iCs/>
          <w:noProof/>
          <w:sz w:val="20"/>
          <w:szCs w:val="24"/>
        </w:rPr>
        <w:t>J Pers Assess</w:t>
      </w:r>
      <w:r w:rsidRPr="009979BF">
        <w:rPr>
          <w:rFonts w:ascii="Calibri" w:hAnsi="Calibri" w:cs="Times New Roman"/>
          <w:noProof/>
          <w:sz w:val="20"/>
          <w:szCs w:val="24"/>
        </w:rPr>
        <w:t xml:space="preserve"> 1988;</w:t>
      </w:r>
      <w:r w:rsidRPr="009979BF">
        <w:rPr>
          <w:rFonts w:ascii="Calibri" w:hAnsi="Calibri" w:cs="Times New Roman"/>
          <w:b/>
          <w:bCs/>
          <w:noProof/>
          <w:sz w:val="20"/>
          <w:szCs w:val="24"/>
        </w:rPr>
        <w:t>52</w:t>
      </w:r>
      <w:r w:rsidRPr="009979BF">
        <w:rPr>
          <w:rFonts w:ascii="Calibri" w:hAnsi="Calibri" w:cs="Times New Roman"/>
          <w:noProof/>
          <w:sz w:val="20"/>
          <w:szCs w:val="24"/>
        </w:rPr>
        <w:t>:30–41. doi:10.1207/s15327752jpa5201_2</w:t>
      </w:r>
    </w:p>
    <w:p w14:paraId="2DE99660" w14:textId="77777777" w:rsidR="006F23EA" w:rsidRPr="009979BF" w:rsidRDefault="006F23EA" w:rsidP="006F23EA">
      <w:pPr>
        <w:widowControl w:val="0"/>
        <w:autoSpaceDE w:val="0"/>
        <w:autoSpaceDN w:val="0"/>
        <w:adjustRightInd w:val="0"/>
        <w:ind w:left="640" w:hanging="640"/>
        <w:rPr>
          <w:rFonts w:ascii="Calibri" w:hAnsi="Calibri" w:cs="Times New Roman"/>
          <w:noProof/>
          <w:sz w:val="20"/>
          <w:szCs w:val="24"/>
        </w:rPr>
      </w:pPr>
      <w:r w:rsidRPr="009979BF">
        <w:rPr>
          <w:rFonts w:ascii="Calibri" w:hAnsi="Calibri" w:cs="Times New Roman"/>
          <w:noProof/>
          <w:sz w:val="20"/>
          <w:szCs w:val="24"/>
        </w:rPr>
        <w:lastRenderedPageBreak/>
        <w:t xml:space="preserve">26 </w:t>
      </w:r>
      <w:r w:rsidRPr="009979BF">
        <w:rPr>
          <w:rFonts w:ascii="Calibri" w:hAnsi="Calibri" w:cs="Times New Roman"/>
          <w:noProof/>
          <w:sz w:val="20"/>
          <w:szCs w:val="24"/>
        </w:rPr>
        <w:tab/>
        <w:t xml:space="preserve">Zimet G. </w:t>
      </w:r>
      <w:r w:rsidRPr="009979BF">
        <w:rPr>
          <w:rFonts w:ascii="Calibri" w:hAnsi="Calibri" w:cs="Times New Roman"/>
          <w:i/>
          <w:iCs/>
          <w:noProof/>
          <w:sz w:val="20"/>
          <w:szCs w:val="24"/>
        </w:rPr>
        <w:t>Multidimensional Scale of Perceived Social Support (MSPSS) - Scale Items and Scoring Information</w:t>
      </w:r>
      <w:r w:rsidRPr="009979BF">
        <w:rPr>
          <w:rFonts w:ascii="Calibri" w:hAnsi="Calibri" w:cs="Times New Roman"/>
          <w:noProof/>
          <w:sz w:val="20"/>
          <w:szCs w:val="24"/>
        </w:rPr>
        <w:t xml:space="preserve">. 2016. </w:t>
      </w:r>
    </w:p>
    <w:p w14:paraId="753ABA69" w14:textId="77777777" w:rsidR="006F23EA" w:rsidRPr="009979BF" w:rsidRDefault="006F23EA" w:rsidP="006F23EA">
      <w:pPr>
        <w:widowControl w:val="0"/>
        <w:autoSpaceDE w:val="0"/>
        <w:autoSpaceDN w:val="0"/>
        <w:adjustRightInd w:val="0"/>
        <w:ind w:left="640" w:hanging="640"/>
        <w:rPr>
          <w:rFonts w:ascii="Calibri" w:hAnsi="Calibri" w:cs="Times New Roman"/>
          <w:noProof/>
          <w:sz w:val="20"/>
          <w:szCs w:val="24"/>
        </w:rPr>
      </w:pPr>
      <w:r w:rsidRPr="009979BF">
        <w:rPr>
          <w:rFonts w:ascii="Calibri" w:hAnsi="Calibri" w:cs="Times New Roman"/>
          <w:noProof/>
          <w:sz w:val="20"/>
          <w:szCs w:val="24"/>
        </w:rPr>
        <w:t xml:space="preserve">27 </w:t>
      </w:r>
      <w:r w:rsidRPr="009979BF">
        <w:rPr>
          <w:rFonts w:ascii="Calibri" w:hAnsi="Calibri" w:cs="Times New Roman"/>
          <w:noProof/>
          <w:sz w:val="20"/>
          <w:szCs w:val="24"/>
        </w:rPr>
        <w:tab/>
        <w:t xml:space="preserve">Dolan P. Modeling valuations for EuroQol health states. </w:t>
      </w:r>
      <w:r w:rsidRPr="009979BF">
        <w:rPr>
          <w:rFonts w:ascii="Calibri" w:hAnsi="Calibri" w:cs="Times New Roman"/>
          <w:i/>
          <w:iCs/>
          <w:noProof/>
          <w:sz w:val="20"/>
          <w:szCs w:val="24"/>
        </w:rPr>
        <w:t>Med Care</w:t>
      </w:r>
      <w:r w:rsidRPr="009979BF">
        <w:rPr>
          <w:rFonts w:ascii="Calibri" w:hAnsi="Calibri" w:cs="Times New Roman"/>
          <w:noProof/>
          <w:sz w:val="20"/>
          <w:szCs w:val="24"/>
        </w:rPr>
        <w:t xml:space="preserve"> 1997;</w:t>
      </w:r>
      <w:r w:rsidRPr="009979BF">
        <w:rPr>
          <w:rFonts w:ascii="Calibri" w:hAnsi="Calibri" w:cs="Times New Roman"/>
          <w:b/>
          <w:bCs/>
          <w:noProof/>
          <w:sz w:val="20"/>
          <w:szCs w:val="24"/>
        </w:rPr>
        <w:t>35</w:t>
      </w:r>
      <w:r w:rsidRPr="009979BF">
        <w:rPr>
          <w:rFonts w:ascii="Calibri" w:hAnsi="Calibri" w:cs="Times New Roman"/>
          <w:noProof/>
          <w:sz w:val="20"/>
          <w:szCs w:val="24"/>
        </w:rPr>
        <w:t>:1095–108.http://www.ncbi.nlm.nih.gov/pubmed/9366889 (accessed 19 Dec2017).</w:t>
      </w:r>
    </w:p>
    <w:p w14:paraId="690E50AB" w14:textId="77777777" w:rsidR="006F23EA" w:rsidRPr="009979BF" w:rsidRDefault="006F23EA" w:rsidP="006F23EA">
      <w:pPr>
        <w:widowControl w:val="0"/>
        <w:autoSpaceDE w:val="0"/>
        <w:autoSpaceDN w:val="0"/>
        <w:adjustRightInd w:val="0"/>
        <w:ind w:left="640" w:hanging="640"/>
        <w:rPr>
          <w:rFonts w:ascii="Calibri" w:hAnsi="Calibri" w:cs="Times New Roman"/>
          <w:noProof/>
          <w:sz w:val="20"/>
          <w:szCs w:val="24"/>
        </w:rPr>
      </w:pPr>
      <w:r w:rsidRPr="009979BF">
        <w:rPr>
          <w:rFonts w:ascii="Calibri" w:hAnsi="Calibri" w:cs="Times New Roman"/>
          <w:noProof/>
          <w:sz w:val="20"/>
          <w:szCs w:val="24"/>
        </w:rPr>
        <w:t xml:space="preserve">28 </w:t>
      </w:r>
      <w:r w:rsidRPr="009979BF">
        <w:rPr>
          <w:rFonts w:ascii="Calibri" w:hAnsi="Calibri" w:cs="Times New Roman"/>
          <w:noProof/>
          <w:sz w:val="20"/>
          <w:szCs w:val="24"/>
        </w:rPr>
        <w:tab/>
        <w:t>NICE. National Institute of Clinical Excellence Guide to the methods of technology appraisal 2013. Published Online First: 2013.https://www.nice.org.uk/guidance/pmg9/resources/guide-to-the-methods-of-technology-appraisal-2013-pdf-2007975843781 (accessed 2 Jan2018).</w:t>
      </w:r>
    </w:p>
    <w:p w14:paraId="65399A25" w14:textId="77777777" w:rsidR="006F23EA" w:rsidRPr="009979BF" w:rsidRDefault="006F23EA" w:rsidP="006F23EA">
      <w:pPr>
        <w:widowControl w:val="0"/>
        <w:autoSpaceDE w:val="0"/>
        <w:autoSpaceDN w:val="0"/>
        <w:adjustRightInd w:val="0"/>
        <w:ind w:left="640" w:hanging="640"/>
        <w:rPr>
          <w:rFonts w:ascii="Calibri" w:hAnsi="Calibri" w:cs="Times New Roman"/>
          <w:noProof/>
          <w:sz w:val="20"/>
          <w:szCs w:val="24"/>
        </w:rPr>
      </w:pPr>
      <w:r w:rsidRPr="009979BF">
        <w:rPr>
          <w:rFonts w:ascii="Calibri" w:hAnsi="Calibri" w:cs="Times New Roman"/>
          <w:noProof/>
          <w:sz w:val="20"/>
          <w:szCs w:val="24"/>
        </w:rPr>
        <w:t xml:space="preserve">29 </w:t>
      </w:r>
      <w:r w:rsidRPr="009979BF">
        <w:rPr>
          <w:rFonts w:ascii="Calibri" w:hAnsi="Calibri" w:cs="Times New Roman"/>
          <w:noProof/>
          <w:sz w:val="20"/>
          <w:szCs w:val="24"/>
        </w:rPr>
        <w:tab/>
        <w:t xml:space="preserve">Campbell R, Mills N, Sanford E, </w:t>
      </w:r>
      <w:r w:rsidRPr="009979BF">
        <w:rPr>
          <w:rFonts w:ascii="Calibri" w:hAnsi="Calibri" w:cs="Times New Roman"/>
          <w:i/>
          <w:iCs/>
          <w:noProof/>
          <w:sz w:val="20"/>
          <w:szCs w:val="24"/>
        </w:rPr>
        <w:t>et al.</w:t>
      </w:r>
      <w:r w:rsidRPr="009979BF">
        <w:rPr>
          <w:rFonts w:ascii="Calibri" w:hAnsi="Calibri" w:cs="Times New Roman"/>
          <w:noProof/>
          <w:sz w:val="20"/>
          <w:szCs w:val="24"/>
        </w:rPr>
        <w:t xml:space="preserve"> Does population screening for Chlamydia trachomatis raise anxiety among those tested? Findings from a population based chlamydia screening study. </w:t>
      </w:r>
      <w:r w:rsidRPr="009979BF">
        <w:rPr>
          <w:rFonts w:ascii="Calibri" w:hAnsi="Calibri" w:cs="Times New Roman"/>
          <w:i/>
          <w:iCs/>
          <w:noProof/>
          <w:sz w:val="20"/>
          <w:szCs w:val="24"/>
        </w:rPr>
        <w:t>BMC Public Health</w:t>
      </w:r>
      <w:r w:rsidRPr="009979BF">
        <w:rPr>
          <w:rFonts w:ascii="Calibri" w:hAnsi="Calibri" w:cs="Times New Roman"/>
          <w:noProof/>
          <w:sz w:val="20"/>
          <w:szCs w:val="24"/>
        </w:rPr>
        <w:t xml:space="preserve"> 2006;</w:t>
      </w:r>
      <w:r w:rsidRPr="009979BF">
        <w:rPr>
          <w:rFonts w:ascii="Calibri" w:hAnsi="Calibri" w:cs="Times New Roman"/>
          <w:b/>
          <w:bCs/>
          <w:noProof/>
          <w:sz w:val="20"/>
          <w:szCs w:val="24"/>
        </w:rPr>
        <w:t>6</w:t>
      </w:r>
      <w:r w:rsidRPr="009979BF">
        <w:rPr>
          <w:rFonts w:ascii="Calibri" w:hAnsi="Calibri" w:cs="Times New Roman"/>
          <w:noProof/>
          <w:sz w:val="20"/>
          <w:szCs w:val="24"/>
        </w:rPr>
        <w:t>:106. doi:10.1186/1471-2458-6-106</w:t>
      </w:r>
    </w:p>
    <w:p w14:paraId="6DDB581A" w14:textId="77777777" w:rsidR="006F23EA" w:rsidRPr="009979BF" w:rsidRDefault="006F23EA" w:rsidP="006F23EA">
      <w:pPr>
        <w:widowControl w:val="0"/>
        <w:autoSpaceDE w:val="0"/>
        <w:autoSpaceDN w:val="0"/>
        <w:adjustRightInd w:val="0"/>
        <w:ind w:left="640" w:hanging="640"/>
        <w:rPr>
          <w:rFonts w:ascii="Calibri" w:hAnsi="Calibri" w:cs="Times New Roman"/>
          <w:noProof/>
          <w:sz w:val="20"/>
          <w:szCs w:val="24"/>
        </w:rPr>
      </w:pPr>
      <w:r w:rsidRPr="009979BF">
        <w:rPr>
          <w:rFonts w:ascii="Calibri" w:hAnsi="Calibri" w:cs="Times New Roman"/>
          <w:noProof/>
          <w:sz w:val="20"/>
          <w:szCs w:val="24"/>
        </w:rPr>
        <w:t xml:space="preserve">30 </w:t>
      </w:r>
      <w:r w:rsidRPr="009979BF">
        <w:rPr>
          <w:rFonts w:ascii="Calibri" w:hAnsi="Calibri" w:cs="Times New Roman"/>
          <w:noProof/>
          <w:sz w:val="20"/>
          <w:szCs w:val="24"/>
        </w:rPr>
        <w:tab/>
        <w:t xml:space="preserve">Shoveller JA, Knight R, Johnson J, </w:t>
      </w:r>
      <w:r w:rsidRPr="009979BF">
        <w:rPr>
          <w:rFonts w:ascii="Calibri" w:hAnsi="Calibri" w:cs="Times New Roman"/>
          <w:i/>
          <w:iCs/>
          <w:noProof/>
          <w:sz w:val="20"/>
          <w:szCs w:val="24"/>
        </w:rPr>
        <w:t>et al.</w:t>
      </w:r>
      <w:r w:rsidRPr="009979BF">
        <w:rPr>
          <w:rFonts w:ascii="Calibri" w:hAnsi="Calibri" w:cs="Times New Roman"/>
          <w:noProof/>
          <w:sz w:val="20"/>
          <w:szCs w:val="24"/>
        </w:rPr>
        <w:t xml:space="preserve"> ‘Not the swab!’ Young men’s experiences with STI testing. </w:t>
      </w:r>
      <w:r w:rsidRPr="009979BF">
        <w:rPr>
          <w:rFonts w:ascii="Calibri" w:hAnsi="Calibri" w:cs="Times New Roman"/>
          <w:i/>
          <w:iCs/>
          <w:noProof/>
          <w:sz w:val="20"/>
          <w:szCs w:val="24"/>
        </w:rPr>
        <w:t>Sociol Health Illn</w:t>
      </w:r>
      <w:r w:rsidRPr="009979BF">
        <w:rPr>
          <w:rFonts w:ascii="Calibri" w:hAnsi="Calibri" w:cs="Times New Roman"/>
          <w:noProof/>
          <w:sz w:val="20"/>
          <w:szCs w:val="24"/>
        </w:rPr>
        <w:t xml:space="preserve"> 2010;</w:t>
      </w:r>
      <w:r w:rsidRPr="009979BF">
        <w:rPr>
          <w:rFonts w:ascii="Calibri" w:hAnsi="Calibri" w:cs="Times New Roman"/>
          <w:b/>
          <w:bCs/>
          <w:noProof/>
          <w:sz w:val="20"/>
          <w:szCs w:val="24"/>
        </w:rPr>
        <w:t>32</w:t>
      </w:r>
      <w:r w:rsidRPr="009979BF">
        <w:rPr>
          <w:rFonts w:ascii="Calibri" w:hAnsi="Calibri" w:cs="Times New Roman"/>
          <w:noProof/>
          <w:sz w:val="20"/>
          <w:szCs w:val="24"/>
        </w:rPr>
        <w:t>:57–73. doi:10.1111/j.1467-9566.2009.01222.x</w:t>
      </w:r>
    </w:p>
    <w:p w14:paraId="12CFD569" w14:textId="77777777" w:rsidR="006F23EA" w:rsidRPr="009979BF" w:rsidRDefault="006F23EA" w:rsidP="006F23EA">
      <w:pPr>
        <w:widowControl w:val="0"/>
        <w:autoSpaceDE w:val="0"/>
        <w:autoSpaceDN w:val="0"/>
        <w:adjustRightInd w:val="0"/>
        <w:ind w:left="640" w:hanging="640"/>
        <w:rPr>
          <w:rFonts w:ascii="Calibri" w:hAnsi="Calibri" w:cs="Times New Roman"/>
          <w:noProof/>
          <w:sz w:val="20"/>
          <w:szCs w:val="24"/>
        </w:rPr>
      </w:pPr>
      <w:r w:rsidRPr="009979BF">
        <w:rPr>
          <w:rFonts w:ascii="Calibri" w:hAnsi="Calibri" w:cs="Times New Roman"/>
          <w:noProof/>
          <w:sz w:val="20"/>
          <w:szCs w:val="24"/>
        </w:rPr>
        <w:t xml:space="preserve">31 </w:t>
      </w:r>
      <w:r w:rsidRPr="009979BF">
        <w:rPr>
          <w:rFonts w:ascii="Calibri" w:hAnsi="Calibri" w:cs="Times New Roman"/>
          <w:noProof/>
          <w:sz w:val="20"/>
          <w:szCs w:val="24"/>
        </w:rPr>
        <w:tab/>
        <w:t xml:space="preserve">Mulholland E, Van Wersch A. Stigma, sexually transmitted infections and attendance at the GUM Clinic: an exploratory study with implications for the theory of planned behaviour. </w:t>
      </w:r>
      <w:r w:rsidRPr="009979BF">
        <w:rPr>
          <w:rFonts w:ascii="Calibri" w:hAnsi="Calibri" w:cs="Times New Roman"/>
          <w:i/>
          <w:iCs/>
          <w:noProof/>
          <w:sz w:val="20"/>
          <w:szCs w:val="24"/>
        </w:rPr>
        <w:t>J Health Psychol</w:t>
      </w:r>
      <w:r w:rsidRPr="009979BF">
        <w:rPr>
          <w:rFonts w:ascii="Calibri" w:hAnsi="Calibri" w:cs="Times New Roman"/>
          <w:noProof/>
          <w:sz w:val="20"/>
          <w:szCs w:val="24"/>
        </w:rPr>
        <w:t xml:space="preserve"> 2007;</w:t>
      </w:r>
      <w:r w:rsidRPr="009979BF">
        <w:rPr>
          <w:rFonts w:ascii="Calibri" w:hAnsi="Calibri" w:cs="Times New Roman"/>
          <w:b/>
          <w:bCs/>
          <w:noProof/>
          <w:sz w:val="20"/>
          <w:szCs w:val="24"/>
        </w:rPr>
        <w:t>12</w:t>
      </w:r>
      <w:r w:rsidRPr="009979BF">
        <w:rPr>
          <w:rFonts w:ascii="Calibri" w:hAnsi="Calibri" w:cs="Times New Roman"/>
          <w:noProof/>
          <w:sz w:val="20"/>
          <w:szCs w:val="24"/>
        </w:rPr>
        <w:t>:17–31. doi:10.1177/1359105306069098</w:t>
      </w:r>
    </w:p>
    <w:p w14:paraId="4A3AC947" w14:textId="77777777" w:rsidR="006F23EA" w:rsidRPr="009979BF" w:rsidRDefault="006F23EA" w:rsidP="006F23EA">
      <w:pPr>
        <w:widowControl w:val="0"/>
        <w:autoSpaceDE w:val="0"/>
        <w:autoSpaceDN w:val="0"/>
        <w:adjustRightInd w:val="0"/>
        <w:ind w:left="640" w:hanging="640"/>
        <w:rPr>
          <w:rFonts w:ascii="Calibri" w:hAnsi="Calibri" w:cs="Times New Roman"/>
          <w:noProof/>
          <w:sz w:val="20"/>
          <w:szCs w:val="24"/>
        </w:rPr>
      </w:pPr>
      <w:r w:rsidRPr="009979BF">
        <w:rPr>
          <w:rFonts w:ascii="Calibri" w:hAnsi="Calibri" w:cs="Times New Roman"/>
          <w:noProof/>
          <w:sz w:val="20"/>
          <w:szCs w:val="24"/>
        </w:rPr>
        <w:t xml:space="preserve">32 </w:t>
      </w:r>
      <w:r w:rsidRPr="009979BF">
        <w:rPr>
          <w:rFonts w:ascii="Calibri" w:hAnsi="Calibri" w:cs="Times New Roman"/>
          <w:noProof/>
          <w:sz w:val="20"/>
          <w:szCs w:val="24"/>
        </w:rPr>
        <w:tab/>
        <w:t xml:space="preserve">Lindberg C, Lewis-Spruill C, Crownover R. Barriers to sexual and reproductive health care: urban male adolescents speak out. </w:t>
      </w:r>
      <w:r w:rsidRPr="009979BF">
        <w:rPr>
          <w:rFonts w:ascii="Calibri" w:hAnsi="Calibri" w:cs="Times New Roman"/>
          <w:i/>
          <w:iCs/>
          <w:noProof/>
          <w:sz w:val="20"/>
          <w:szCs w:val="24"/>
        </w:rPr>
        <w:t>Issues Compr Pediatr Nurs</w:t>
      </w:r>
      <w:r w:rsidRPr="009979BF">
        <w:rPr>
          <w:rFonts w:ascii="Calibri" w:hAnsi="Calibri" w:cs="Times New Roman"/>
          <w:noProof/>
          <w:sz w:val="20"/>
          <w:szCs w:val="24"/>
        </w:rPr>
        <w:t xml:space="preserve"> 2006;</w:t>
      </w:r>
      <w:r w:rsidRPr="009979BF">
        <w:rPr>
          <w:rFonts w:ascii="Calibri" w:hAnsi="Calibri" w:cs="Times New Roman"/>
          <w:b/>
          <w:bCs/>
          <w:noProof/>
          <w:sz w:val="20"/>
          <w:szCs w:val="24"/>
        </w:rPr>
        <w:t>29</w:t>
      </w:r>
      <w:r w:rsidRPr="009979BF">
        <w:rPr>
          <w:rFonts w:ascii="Calibri" w:hAnsi="Calibri" w:cs="Times New Roman"/>
          <w:noProof/>
          <w:sz w:val="20"/>
          <w:szCs w:val="24"/>
        </w:rPr>
        <w:t>:73–88. doi:10.1080/01460860600677577</w:t>
      </w:r>
    </w:p>
    <w:p w14:paraId="4C48821B" w14:textId="77777777" w:rsidR="006F23EA" w:rsidRPr="009979BF" w:rsidRDefault="006F23EA" w:rsidP="006F23EA">
      <w:pPr>
        <w:widowControl w:val="0"/>
        <w:autoSpaceDE w:val="0"/>
        <w:autoSpaceDN w:val="0"/>
        <w:adjustRightInd w:val="0"/>
        <w:ind w:left="640" w:hanging="640"/>
        <w:rPr>
          <w:rFonts w:ascii="Calibri" w:hAnsi="Calibri" w:cs="Times New Roman"/>
          <w:noProof/>
          <w:sz w:val="20"/>
          <w:szCs w:val="24"/>
        </w:rPr>
      </w:pPr>
      <w:r w:rsidRPr="009979BF">
        <w:rPr>
          <w:rFonts w:ascii="Calibri" w:hAnsi="Calibri" w:cs="Times New Roman"/>
          <w:noProof/>
          <w:sz w:val="20"/>
          <w:szCs w:val="24"/>
        </w:rPr>
        <w:t xml:space="preserve">33 </w:t>
      </w:r>
      <w:r w:rsidRPr="009979BF">
        <w:rPr>
          <w:rFonts w:ascii="Calibri" w:hAnsi="Calibri" w:cs="Times New Roman"/>
          <w:noProof/>
          <w:sz w:val="20"/>
          <w:szCs w:val="24"/>
        </w:rPr>
        <w:tab/>
        <w:t xml:space="preserve">Jackson LJ, Roberts TE. Measuring Health and Quality of Life for Women Undergoing Testing and Screening for Chlamydia: A Systematic Review. </w:t>
      </w:r>
      <w:r w:rsidRPr="009979BF">
        <w:rPr>
          <w:rFonts w:ascii="Calibri" w:hAnsi="Calibri" w:cs="Times New Roman"/>
          <w:i/>
          <w:iCs/>
          <w:noProof/>
          <w:sz w:val="20"/>
          <w:szCs w:val="24"/>
        </w:rPr>
        <w:t>Sex Transm Dis</w:t>
      </w:r>
      <w:r w:rsidRPr="009979BF">
        <w:rPr>
          <w:rFonts w:ascii="Calibri" w:hAnsi="Calibri" w:cs="Times New Roman"/>
          <w:noProof/>
          <w:sz w:val="20"/>
          <w:szCs w:val="24"/>
        </w:rPr>
        <w:t xml:space="preserve"> 2016;</w:t>
      </w:r>
      <w:r w:rsidRPr="009979BF">
        <w:rPr>
          <w:rFonts w:ascii="Calibri" w:hAnsi="Calibri" w:cs="Times New Roman"/>
          <w:b/>
          <w:bCs/>
          <w:noProof/>
          <w:sz w:val="20"/>
          <w:szCs w:val="24"/>
        </w:rPr>
        <w:t>43</w:t>
      </w:r>
      <w:r w:rsidRPr="009979BF">
        <w:rPr>
          <w:rFonts w:ascii="Calibri" w:hAnsi="Calibri" w:cs="Times New Roman"/>
          <w:noProof/>
          <w:sz w:val="20"/>
          <w:szCs w:val="24"/>
        </w:rPr>
        <w:t>:152–64. doi:10.1097/OLQ.0000000000000407</w:t>
      </w:r>
    </w:p>
    <w:p w14:paraId="14B4336F" w14:textId="77777777" w:rsidR="006F23EA" w:rsidRPr="009979BF" w:rsidRDefault="006F23EA" w:rsidP="006F23EA">
      <w:pPr>
        <w:widowControl w:val="0"/>
        <w:autoSpaceDE w:val="0"/>
        <w:autoSpaceDN w:val="0"/>
        <w:adjustRightInd w:val="0"/>
        <w:ind w:left="640" w:hanging="640"/>
        <w:rPr>
          <w:rFonts w:ascii="Calibri" w:hAnsi="Calibri" w:cs="Times New Roman"/>
          <w:noProof/>
          <w:sz w:val="20"/>
          <w:szCs w:val="24"/>
        </w:rPr>
      </w:pPr>
      <w:r w:rsidRPr="009979BF">
        <w:rPr>
          <w:rFonts w:ascii="Calibri" w:hAnsi="Calibri" w:cs="Times New Roman"/>
          <w:noProof/>
          <w:sz w:val="20"/>
          <w:szCs w:val="24"/>
        </w:rPr>
        <w:t xml:space="preserve">34 </w:t>
      </w:r>
      <w:r w:rsidRPr="009979BF">
        <w:rPr>
          <w:rFonts w:ascii="Calibri" w:hAnsi="Calibri" w:cs="Times New Roman"/>
          <w:noProof/>
          <w:sz w:val="20"/>
          <w:szCs w:val="24"/>
        </w:rPr>
        <w:tab/>
        <w:t xml:space="preserve">Doward LC, McKenna SP, Meads DM, </w:t>
      </w:r>
      <w:r w:rsidRPr="009979BF">
        <w:rPr>
          <w:rFonts w:ascii="Calibri" w:hAnsi="Calibri" w:cs="Times New Roman"/>
          <w:i/>
          <w:iCs/>
          <w:noProof/>
          <w:sz w:val="20"/>
          <w:szCs w:val="24"/>
        </w:rPr>
        <w:t>et al.</w:t>
      </w:r>
      <w:r w:rsidRPr="009979BF">
        <w:rPr>
          <w:rFonts w:ascii="Calibri" w:hAnsi="Calibri" w:cs="Times New Roman"/>
          <w:noProof/>
          <w:sz w:val="20"/>
          <w:szCs w:val="24"/>
        </w:rPr>
        <w:t xml:space="preserve"> The development of the Herpes Symptom Checklist and the Herpes Outbreak Impact Questionnaire. </w:t>
      </w:r>
      <w:r w:rsidRPr="009979BF">
        <w:rPr>
          <w:rFonts w:ascii="Calibri" w:hAnsi="Calibri" w:cs="Times New Roman"/>
          <w:i/>
          <w:iCs/>
          <w:noProof/>
          <w:sz w:val="20"/>
          <w:szCs w:val="24"/>
        </w:rPr>
        <w:t>Value Health</w:t>
      </w:r>
      <w:r w:rsidRPr="009979BF">
        <w:rPr>
          <w:rFonts w:ascii="Calibri" w:hAnsi="Calibri" w:cs="Times New Roman"/>
          <w:noProof/>
          <w:sz w:val="20"/>
          <w:szCs w:val="24"/>
        </w:rPr>
        <w:t>;</w:t>
      </w:r>
      <w:r w:rsidRPr="009979BF">
        <w:rPr>
          <w:rFonts w:ascii="Calibri" w:hAnsi="Calibri" w:cs="Times New Roman"/>
          <w:b/>
          <w:bCs/>
          <w:noProof/>
          <w:sz w:val="20"/>
          <w:szCs w:val="24"/>
        </w:rPr>
        <w:t>12</w:t>
      </w:r>
      <w:r w:rsidRPr="009979BF">
        <w:rPr>
          <w:rFonts w:ascii="Calibri" w:hAnsi="Calibri" w:cs="Times New Roman"/>
          <w:noProof/>
          <w:sz w:val="20"/>
          <w:szCs w:val="24"/>
        </w:rPr>
        <w:t>:139–45. doi:10.1111/j.1524-4733.2008.00424.x</w:t>
      </w:r>
    </w:p>
    <w:p w14:paraId="6025D2D5" w14:textId="77777777" w:rsidR="006F23EA" w:rsidRPr="009979BF" w:rsidRDefault="006F23EA" w:rsidP="006F23EA">
      <w:pPr>
        <w:widowControl w:val="0"/>
        <w:autoSpaceDE w:val="0"/>
        <w:autoSpaceDN w:val="0"/>
        <w:adjustRightInd w:val="0"/>
        <w:ind w:left="640" w:hanging="640"/>
        <w:rPr>
          <w:rFonts w:ascii="Calibri" w:hAnsi="Calibri" w:cs="Times New Roman"/>
          <w:noProof/>
          <w:sz w:val="20"/>
          <w:szCs w:val="24"/>
        </w:rPr>
      </w:pPr>
      <w:r w:rsidRPr="009979BF">
        <w:rPr>
          <w:rFonts w:ascii="Calibri" w:hAnsi="Calibri" w:cs="Times New Roman"/>
          <w:noProof/>
          <w:sz w:val="20"/>
          <w:szCs w:val="24"/>
        </w:rPr>
        <w:t xml:space="preserve">35 </w:t>
      </w:r>
      <w:r w:rsidRPr="009979BF">
        <w:rPr>
          <w:rFonts w:ascii="Calibri" w:hAnsi="Calibri" w:cs="Times New Roman"/>
          <w:noProof/>
          <w:sz w:val="20"/>
          <w:szCs w:val="24"/>
        </w:rPr>
        <w:tab/>
        <w:t xml:space="preserve">Badia X, Colombo JA, Lara N, </w:t>
      </w:r>
      <w:r w:rsidRPr="009979BF">
        <w:rPr>
          <w:rFonts w:ascii="Calibri" w:hAnsi="Calibri" w:cs="Times New Roman"/>
          <w:i/>
          <w:iCs/>
          <w:noProof/>
          <w:sz w:val="20"/>
          <w:szCs w:val="24"/>
        </w:rPr>
        <w:t>et al.</w:t>
      </w:r>
      <w:r w:rsidRPr="009979BF">
        <w:rPr>
          <w:rFonts w:ascii="Calibri" w:hAnsi="Calibri" w:cs="Times New Roman"/>
          <w:noProof/>
          <w:sz w:val="20"/>
          <w:szCs w:val="24"/>
        </w:rPr>
        <w:t xml:space="preserve"> Combination of qualitative and quantitative methods for developing a new Health Related Quality of Life measure for patients with anogenital warts. </w:t>
      </w:r>
      <w:r w:rsidRPr="009979BF">
        <w:rPr>
          <w:rFonts w:ascii="Calibri" w:hAnsi="Calibri" w:cs="Times New Roman"/>
          <w:i/>
          <w:iCs/>
          <w:noProof/>
          <w:sz w:val="20"/>
          <w:szCs w:val="24"/>
        </w:rPr>
        <w:t>Health Qual Life Outcomes</w:t>
      </w:r>
      <w:r w:rsidRPr="009979BF">
        <w:rPr>
          <w:rFonts w:ascii="Calibri" w:hAnsi="Calibri" w:cs="Times New Roman"/>
          <w:noProof/>
          <w:sz w:val="20"/>
          <w:szCs w:val="24"/>
        </w:rPr>
        <w:t xml:space="preserve"> 2005;</w:t>
      </w:r>
      <w:r w:rsidRPr="009979BF">
        <w:rPr>
          <w:rFonts w:ascii="Calibri" w:hAnsi="Calibri" w:cs="Times New Roman"/>
          <w:b/>
          <w:bCs/>
          <w:noProof/>
          <w:sz w:val="20"/>
          <w:szCs w:val="24"/>
        </w:rPr>
        <w:t>3</w:t>
      </w:r>
      <w:r w:rsidRPr="009979BF">
        <w:rPr>
          <w:rFonts w:ascii="Calibri" w:hAnsi="Calibri" w:cs="Times New Roman"/>
          <w:noProof/>
          <w:sz w:val="20"/>
          <w:szCs w:val="24"/>
        </w:rPr>
        <w:t>:24. doi:10.1186/1477-7525-3-24</w:t>
      </w:r>
    </w:p>
    <w:p w14:paraId="26162759" w14:textId="77777777" w:rsidR="006F23EA" w:rsidRPr="009979BF" w:rsidRDefault="006F23EA" w:rsidP="006F23EA">
      <w:pPr>
        <w:widowControl w:val="0"/>
        <w:autoSpaceDE w:val="0"/>
        <w:autoSpaceDN w:val="0"/>
        <w:adjustRightInd w:val="0"/>
        <w:ind w:left="640" w:hanging="640"/>
        <w:rPr>
          <w:rFonts w:ascii="Calibri" w:hAnsi="Calibri" w:cs="Times New Roman"/>
          <w:noProof/>
          <w:sz w:val="20"/>
          <w:szCs w:val="24"/>
        </w:rPr>
      </w:pPr>
      <w:r w:rsidRPr="009979BF">
        <w:rPr>
          <w:rFonts w:ascii="Calibri" w:hAnsi="Calibri" w:cs="Times New Roman"/>
          <w:noProof/>
          <w:sz w:val="20"/>
          <w:szCs w:val="24"/>
        </w:rPr>
        <w:t xml:space="preserve">36 </w:t>
      </w:r>
      <w:r w:rsidRPr="009979BF">
        <w:rPr>
          <w:rFonts w:ascii="Calibri" w:hAnsi="Calibri" w:cs="Times New Roman"/>
          <w:noProof/>
          <w:sz w:val="20"/>
          <w:szCs w:val="24"/>
        </w:rPr>
        <w:tab/>
        <w:t xml:space="preserve">Mast TC, Zhu X, Demuro-Mercon C, </w:t>
      </w:r>
      <w:r w:rsidRPr="009979BF">
        <w:rPr>
          <w:rFonts w:ascii="Calibri" w:hAnsi="Calibri" w:cs="Times New Roman"/>
          <w:i/>
          <w:iCs/>
          <w:noProof/>
          <w:sz w:val="20"/>
          <w:szCs w:val="24"/>
        </w:rPr>
        <w:t>et al.</w:t>
      </w:r>
      <w:r w:rsidRPr="009979BF">
        <w:rPr>
          <w:rFonts w:ascii="Calibri" w:hAnsi="Calibri" w:cs="Times New Roman"/>
          <w:noProof/>
          <w:sz w:val="20"/>
          <w:szCs w:val="24"/>
        </w:rPr>
        <w:t xml:space="preserve"> Development and psychometric properties of the HPV Impact Profile (HIP) to assess the psychosocial burden of HPV. </w:t>
      </w:r>
      <w:r w:rsidRPr="009979BF">
        <w:rPr>
          <w:rFonts w:ascii="Calibri" w:hAnsi="Calibri" w:cs="Times New Roman"/>
          <w:i/>
          <w:iCs/>
          <w:noProof/>
          <w:sz w:val="20"/>
          <w:szCs w:val="24"/>
        </w:rPr>
        <w:t>Curr Med Res Opin</w:t>
      </w:r>
      <w:r w:rsidRPr="009979BF">
        <w:rPr>
          <w:rFonts w:ascii="Calibri" w:hAnsi="Calibri" w:cs="Times New Roman"/>
          <w:noProof/>
          <w:sz w:val="20"/>
          <w:szCs w:val="24"/>
        </w:rPr>
        <w:t xml:space="preserve"> 2009;</w:t>
      </w:r>
      <w:r w:rsidRPr="009979BF">
        <w:rPr>
          <w:rFonts w:ascii="Calibri" w:hAnsi="Calibri" w:cs="Times New Roman"/>
          <w:b/>
          <w:bCs/>
          <w:noProof/>
          <w:sz w:val="20"/>
          <w:szCs w:val="24"/>
        </w:rPr>
        <w:t>25</w:t>
      </w:r>
      <w:r w:rsidRPr="009979BF">
        <w:rPr>
          <w:rFonts w:ascii="Calibri" w:hAnsi="Calibri" w:cs="Times New Roman"/>
          <w:noProof/>
          <w:sz w:val="20"/>
          <w:szCs w:val="24"/>
        </w:rPr>
        <w:t>:2609–19. doi:10.1185/03007990903238786</w:t>
      </w:r>
    </w:p>
    <w:p w14:paraId="3AF03F60" w14:textId="77777777" w:rsidR="006F23EA" w:rsidRPr="009979BF" w:rsidRDefault="006F23EA" w:rsidP="006F23EA">
      <w:pPr>
        <w:widowControl w:val="0"/>
        <w:autoSpaceDE w:val="0"/>
        <w:autoSpaceDN w:val="0"/>
        <w:adjustRightInd w:val="0"/>
        <w:ind w:left="640" w:hanging="640"/>
        <w:rPr>
          <w:rFonts w:ascii="Calibri" w:hAnsi="Calibri" w:cs="Times New Roman"/>
          <w:noProof/>
          <w:sz w:val="20"/>
          <w:szCs w:val="24"/>
        </w:rPr>
      </w:pPr>
      <w:r w:rsidRPr="009979BF">
        <w:rPr>
          <w:rFonts w:ascii="Calibri" w:hAnsi="Calibri" w:cs="Times New Roman"/>
          <w:noProof/>
          <w:sz w:val="20"/>
          <w:szCs w:val="24"/>
        </w:rPr>
        <w:t xml:space="preserve">37 </w:t>
      </w:r>
      <w:r w:rsidRPr="009979BF">
        <w:rPr>
          <w:rFonts w:ascii="Calibri" w:hAnsi="Calibri" w:cs="Times New Roman"/>
          <w:noProof/>
          <w:sz w:val="20"/>
          <w:szCs w:val="24"/>
        </w:rPr>
        <w:tab/>
        <w:t xml:space="preserve">Dominiak-Felden G, Cohet C, Atrux-Tallau S, </w:t>
      </w:r>
      <w:r w:rsidRPr="009979BF">
        <w:rPr>
          <w:rFonts w:ascii="Calibri" w:hAnsi="Calibri" w:cs="Times New Roman"/>
          <w:i/>
          <w:iCs/>
          <w:noProof/>
          <w:sz w:val="20"/>
          <w:szCs w:val="24"/>
        </w:rPr>
        <w:t>et al.</w:t>
      </w:r>
      <w:r w:rsidRPr="009979BF">
        <w:rPr>
          <w:rFonts w:ascii="Calibri" w:hAnsi="Calibri" w:cs="Times New Roman"/>
          <w:noProof/>
          <w:sz w:val="20"/>
          <w:szCs w:val="24"/>
        </w:rPr>
        <w:t xml:space="preserve"> Impact of human papillomavirus-related genital diseases on quality of life and psychosocial wellbeing: results of an observational, health-related quality of life study in the UK. </w:t>
      </w:r>
      <w:r w:rsidRPr="009979BF">
        <w:rPr>
          <w:rFonts w:ascii="Calibri" w:hAnsi="Calibri" w:cs="Times New Roman"/>
          <w:i/>
          <w:iCs/>
          <w:noProof/>
          <w:sz w:val="20"/>
          <w:szCs w:val="24"/>
        </w:rPr>
        <w:t>BMC Public Health</w:t>
      </w:r>
      <w:r w:rsidRPr="009979BF">
        <w:rPr>
          <w:rFonts w:ascii="Calibri" w:hAnsi="Calibri" w:cs="Times New Roman"/>
          <w:noProof/>
          <w:sz w:val="20"/>
          <w:szCs w:val="24"/>
        </w:rPr>
        <w:t xml:space="preserve"> 2013;</w:t>
      </w:r>
      <w:r w:rsidRPr="009979BF">
        <w:rPr>
          <w:rFonts w:ascii="Calibri" w:hAnsi="Calibri" w:cs="Times New Roman"/>
          <w:b/>
          <w:bCs/>
          <w:noProof/>
          <w:sz w:val="20"/>
          <w:szCs w:val="24"/>
        </w:rPr>
        <w:t>13</w:t>
      </w:r>
      <w:r w:rsidRPr="009979BF">
        <w:rPr>
          <w:rFonts w:ascii="Calibri" w:hAnsi="Calibri" w:cs="Times New Roman"/>
          <w:noProof/>
          <w:sz w:val="20"/>
          <w:szCs w:val="24"/>
        </w:rPr>
        <w:t>:1065. doi:10.1186/1471-2458-13-1065</w:t>
      </w:r>
    </w:p>
    <w:p w14:paraId="2DBC08A3" w14:textId="77777777" w:rsidR="006F23EA" w:rsidRPr="009979BF" w:rsidRDefault="006F23EA" w:rsidP="006F23EA">
      <w:pPr>
        <w:widowControl w:val="0"/>
        <w:autoSpaceDE w:val="0"/>
        <w:autoSpaceDN w:val="0"/>
        <w:adjustRightInd w:val="0"/>
        <w:ind w:left="640" w:hanging="640"/>
        <w:rPr>
          <w:rFonts w:ascii="Calibri" w:hAnsi="Calibri" w:cs="Times New Roman"/>
          <w:noProof/>
          <w:sz w:val="20"/>
          <w:szCs w:val="24"/>
        </w:rPr>
      </w:pPr>
      <w:r w:rsidRPr="009979BF">
        <w:rPr>
          <w:rFonts w:ascii="Calibri" w:hAnsi="Calibri" w:cs="Times New Roman"/>
          <w:noProof/>
          <w:sz w:val="20"/>
          <w:szCs w:val="24"/>
        </w:rPr>
        <w:t xml:space="preserve">38 </w:t>
      </w:r>
      <w:r w:rsidRPr="009979BF">
        <w:rPr>
          <w:rFonts w:ascii="Calibri" w:hAnsi="Calibri" w:cs="Times New Roman"/>
          <w:noProof/>
          <w:sz w:val="20"/>
          <w:szCs w:val="24"/>
        </w:rPr>
        <w:tab/>
        <w:t xml:space="preserve">Drolet M, Brisson M, Maunsell E, </w:t>
      </w:r>
      <w:r w:rsidRPr="009979BF">
        <w:rPr>
          <w:rFonts w:ascii="Calibri" w:hAnsi="Calibri" w:cs="Times New Roman"/>
          <w:i/>
          <w:iCs/>
          <w:noProof/>
          <w:sz w:val="20"/>
          <w:szCs w:val="24"/>
        </w:rPr>
        <w:t>et al.</w:t>
      </w:r>
      <w:r w:rsidRPr="009979BF">
        <w:rPr>
          <w:rFonts w:ascii="Calibri" w:hAnsi="Calibri" w:cs="Times New Roman"/>
          <w:noProof/>
          <w:sz w:val="20"/>
          <w:szCs w:val="24"/>
        </w:rPr>
        <w:t xml:space="preserve"> The impact of anogenital warts on health-related quality of life: a 6-month prospective study. </w:t>
      </w:r>
      <w:r w:rsidRPr="009979BF">
        <w:rPr>
          <w:rFonts w:ascii="Calibri" w:hAnsi="Calibri" w:cs="Times New Roman"/>
          <w:i/>
          <w:iCs/>
          <w:noProof/>
          <w:sz w:val="20"/>
          <w:szCs w:val="24"/>
        </w:rPr>
        <w:t>Sex Transm Dis</w:t>
      </w:r>
      <w:r w:rsidRPr="009979BF">
        <w:rPr>
          <w:rFonts w:ascii="Calibri" w:hAnsi="Calibri" w:cs="Times New Roman"/>
          <w:noProof/>
          <w:sz w:val="20"/>
          <w:szCs w:val="24"/>
        </w:rPr>
        <w:t xml:space="preserve"> 2011;</w:t>
      </w:r>
      <w:r w:rsidRPr="009979BF">
        <w:rPr>
          <w:rFonts w:ascii="Calibri" w:hAnsi="Calibri" w:cs="Times New Roman"/>
          <w:b/>
          <w:bCs/>
          <w:noProof/>
          <w:sz w:val="20"/>
          <w:szCs w:val="24"/>
        </w:rPr>
        <w:t>38</w:t>
      </w:r>
      <w:r w:rsidRPr="009979BF">
        <w:rPr>
          <w:rFonts w:ascii="Calibri" w:hAnsi="Calibri" w:cs="Times New Roman"/>
          <w:noProof/>
          <w:sz w:val="20"/>
          <w:szCs w:val="24"/>
        </w:rPr>
        <w:t>:949–56. doi:10.1097/OLQ.0b013e3182215512</w:t>
      </w:r>
    </w:p>
    <w:p w14:paraId="21A428FD" w14:textId="77777777" w:rsidR="006F23EA" w:rsidRPr="009979BF" w:rsidRDefault="006F23EA" w:rsidP="006F23EA">
      <w:pPr>
        <w:widowControl w:val="0"/>
        <w:autoSpaceDE w:val="0"/>
        <w:autoSpaceDN w:val="0"/>
        <w:adjustRightInd w:val="0"/>
        <w:ind w:left="640" w:hanging="640"/>
        <w:rPr>
          <w:rFonts w:ascii="Calibri" w:hAnsi="Calibri" w:cs="Times New Roman"/>
          <w:noProof/>
          <w:sz w:val="20"/>
          <w:szCs w:val="24"/>
        </w:rPr>
      </w:pPr>
      <w:r w:rsidRPr="009979BF">
        <w:rPr>
          <w:rFonts w:ascii="Calibri" w:hAnsi="Calibri" w:cs="Times New Roman"/>
          <w:noProof/>
          <w:sz w:val="20"/>
          <w:szCs w:val="24"/>
        </w:rPr>
        <w:t xml:space="preserve">39 </w:t>
      </w:r>
      <w:r w:rsidRPr="009979BF">
        <w:rPr>
          <w:rFonts w:ascii="Calibri" w:hAnsi="Calibri" w:cs="Times New Roman"/>
          <w:noProof/>
          <w:sz w:val="20"/>
          <w:szCs w:val="24"/>
        </w:rPr>
        <w:tab/>
        <w:t xml:space="preserve">Vriend HJ, Nieuwkerk PT, van der Sande MAB. Impact of genital warts on emotional and sexual well-being differs by gender. </w:t>
      </w:r>
      <w:r w:rsidRPr="009979BF">
        <w:rPr>
          <w:rFonts w:ascii="Calibri" w:hAnsi="Calibri" w:cs="Times New Roman"/>
          <w:i/>
          <w:iCs/>
          <w:noProof/>
          <w:sz w:val="20"/>
          <w:szCs w:val="24"/>
        </w:rPr>
        <w:t>Int J STD AIDS</w:t>
      </w:r>
      <w:r w:rsidRPr="009979BF">
        <w:rPr>
          <w:rFonts w:ascii="Calibri" w:hAnsi="Calibri" w:cs="Times New Roman"/>
          <w:noProof/>
          <w:sz w:val="20"/>
          <w:szCs w:val="24"/>
        </w:rPr>
        <w:t xml:space="preserve"> 2014;</w:t>
      </w:r>
      <w:r w:rsidRPr="009979BF">
        <w:rPr>
          <w:rFonts w:ascii="Calibri" w:hAnsi="Calibri" w:cs="Times New Roman"/>
          <w:b/>
          <w:bCs/>
          <w:noProof/>
          <w:sz w:val="20"/>
          <w:szCs w:val="24"/>
        </w:rPr>
        <w:t>25</w:t>
      </w:r>
      <w:r w:rsidRPr="009979BF">
        <w:rPr>
          <w:rFonts w:ascii="Calibri" w:hAnsi="Calibri" w:cs="Times New Roman"/>
          <w:noProof/>
          <w:sz w:val="20"/>
          <w:szCs w:val="24"/>
        </w:rPr>
        <w:t>:949–55. doi:10.1177/0956462414526706</w:t>
      </w:r>
    </w:p>
    <w:p w14:paraId="31C5283C" w14:textId="77777777" w:rsidR="006F23EA" w:rsidRPr="009979BF" w:rsidRDefault="006F23EA" w:rsidP="006F23EA">
      <w:pPr>
        <w:widowControl w:val="0"/>
        <w:autoSpaceDE w:val="0"/>
        <w:autoSpaceDN w:val="0"/>
        <w:adjustRightInd w:val="0"/>
        <w:ind w:left="640" w:hanging="640"/>
        <w:rPr>
          <w:rFonts w:ascii="Calibri" w:hAnsi="Calibri" w:cs="Times New Roman"/>
          <w:noProof/>
          <w:sz w:val="20"/>
          <w:szCs w:val="24"/>
        </w:rPr>
      </w:pPr>
      <w:r w:rsidRPr="009979BF">
        <w:rPr>
          <w:rFonts w:ascii="Calibri" w:hAnsi="Calibri" w:cs="Times New Roman"/>
          <w:noProof/>
          <w:sz w:val="20"/>
          <w:szCs w:val="24"/>
        </w:rPr>
        <w:t xml:space="preserve">40 </w:t>
      </w:r>
      <w:r w:rsidRPr="009979BF">
        <w:rPr>
          <w:rFonts w:ascii="Calibri" w:hAnsi="Calibri" w:cs="Times New Roman"/>
          <w:noProof/>
          <w:sz w:val="20"/>
          <w:szCs w:val="24"/>
        </w:rPr>
        <w:tab/>
        <w:t xml:space="preserve">Woodhall S, Ramsey T, Cai C, </w:t>
      </w:r>
      <w:r w:rsidRPr="009979BF">
        <w:rPr>
          <w:rFonts w:ascii="Calibri" w:hAnsi="Calibri" w:cs="Times New Roman"/>
          <w:i/>
          <w:iCs/>
          <w:noProof/>
          <w:sz w:val="20"/>
          <w:szCs w:val="24"/>
        </w:rPr>
        <w:t>et al.</w:t>
      </w:r>
      <w:r w:rsidRPr="009979BF">
        <w:rPr>
          <w:rFonts w:ascii="Calibri" w:hAnsi="Calibri" w:cs="Times New Roman"/>
          <w:noProof/>
          <w:sz w:val="20"/>
          <w:szCs w:val="24"/>
        </w:rPr>
        <w:t xml:space="preserve"> Estimation of the impact of genital warts on health-related quality of life. </w:t>
      </w:r>
      <w:r w:rsidRPr="009979BF">
        <w:rPr>
          <w:rFonts w:ascii="Calibri" w:hAnsi="Calibri" w:cs="Times New Roman"/>
          <w:i/>
          <w:iCs/>
          <w:noProof/>
          <w:sz w:val="20"/>
          <w:szCs w:val="24"/>
        </w:rPr>
        <w:t>Sex Transm Infect</w:t>
      </w:r>
      <w:r w:rsidRPr="009979BF">
        <w:rPr>
          <w:rFonts w:ascii="Calibri" w:hAnsi="Calibri" w:cs="Times New Roman"/>
          <w:noProof/>
          <w:sz w:val="20"/>
          <w:szCs w:val="24"/>
        </w:rPr>
        <w:t xml:space="preserve"> 2008;</w:t>
      </w:r>
      <w:r w:rsidRPr="009979BF">
        <w:rPr>
          <w:rFonts w:ascii="Calibri" w:hAnsi="Calibri" w:cs="Times New Roman"/>
          <w:b/>
          <w:bCs/>
          <w:noProof/>
          <w:sz w:val="20"/>
          <w:szCs w:val="24"/>
        </w:rPr>
        <w:t>84</w:t>
      </w:r>
      <w:r w:rsidRPr="009979BF">
        <w:rPr>
          <w:rFonts w:ascii="Calibri" w:hAnsi="Calibri" w:cs="Times New Roman"/>
          <w:noProof/>
          <w:sz w:val="20"/>
          <w:szCs w:val="24"/>
        </w:rPr>
        <w:t>:161–6. doi:10.1136/sti.2007.029512</w:t>
      </w:r>
    </w:p>
    <w:p w14:paraId="73A553B8" w14:textId="77777777" w:rsidR="006F23EA" w:rsidRPr="009979BF" w:rsidRDefault="006F23EA" w:rsidP="006F23EA">
      <w:pPr>
        <w:widowControl w:val="0"/>
        <w:autoSpaceDE w:val="0"/>
        <w:autoSpaceDN w:val="0"/>
        <w:adjustRightInd w:val="0"/>
        <w:ind w:left="640" w:hanging="640"/>
        <w:rPr>
          <w:rFonts w:ascii="Calibri" w:hAnsi="Calibri" w:cs="Times New Roman"/>
          <w:noProof/>
          <w:sz w:val="20"/>
          <w:szCs w:val="24"/>
        </w:rPr>
      </w:pPr>
      <w:r w:rsidRPr="009979BF">
        <w:rPr>
          <w:rFonts w:ascii="Calibri" w:hAnsi="Calibri" w:cs="Times New Roman"/>
          <w:noProof/>
          <w:sz w:val="20"/>
          <w:szCs w:val="24"/>
        </w:rPr>
        <w:t xml:space="preserve">41 </w:t>
      </w:r>
      <w:r w:rsidRPr="009979BF">
        <w:rPr>
          <w:rFonts w:ascii="Calibri" w:hAnsi="Calibri" w:cs="Times New Roman"/>
          <w:noProof/>
          <w:sz w:val="20"/>
          <w:szCs w:val="24"/>
        </w:rPr>
        <w:tab/>
        <w:t xml:space="preserve">Miyai T, Turner KR, Kent CK, </w:t>
      </w:r>
      <w:r w:rsidRPr="009979BF">
        <w:rPr>
          <w:rFonts w:ascii="Calibri" w:hAnsi="Calibri" w:cs="Times New Roman"/>
          <w:i/>
          <w:iCs/>
          <w:noProof/>
          <w:sz w:val="20"/>
          <w:szCs w:val="24"/>
        </w:rPr>
        <w:t>et al.</w:t>
      </w:r>
      <w:r w:rsidRPr="009979BF">
        <w:rPr>
          <w:rFonts w:ascii="Calibri" w:hAnsi="Calibri" w:cs="Times New Roman"/>
          <w:noProof/>
          <w:sz w:val="20"/>
          <w:szCs w:val="24"/>
        </w:rPr>
        <w:t xml:space="preserve"> The psychosocial impact of testing individuals with no history of genital herpes for herpes simplex virus type 2. </w:t>
      </w:r>
      <w:r w:rsidRPr="009979BF">
        <w:rPr>
          <w:rFonts w:ascii="Calibri" w:hAnsi="Calibri" w:cs="Times New Roman"/>
          <w:i/>
          <w:iCs/>
          <w:noProof/>
          <w:sz w:val="20"/>
          <w:szCs w:val="24"/>
        </w:rPr>
        <w:t>Sex Transm Dis</w:t>
      </w:r>
      <w:r w:rsidRPr="009979BF">
        <w:rPr>
          <w:rFonts w:ascii="Calibri" w:hAnsi="Calibri" w:cs="Times New Roman"/>
          <w:noProof/>
          <w:sz w:val="20"/>
          <w:szCs w:val="24"/>
        </w:rPr>
        <w:t xml:space="preserve"> 2004;</w:t>
      </w:r>
      <w:r w:rsidRPr="009979BF">
        <w:rPr>
          <w:rFonts w:ascii="Calibri" w:hAnsi="Calibri" w:cs="Times New Roman"/>
          <w:b/>
          <w:bCs/>
          <w:noProof/>
          <w:sz w:val="20"/>
          <w:szCs w:val="24"/>
        </w:rPr>
        <w:t>31</w:t>
      </w:r>
      <w:r w:rsidRPr="009979BF">
        <w:rPr>
          <w:rFonts w:ascii="Calibri" w:hAnsi="Calibri" w:cs="Times New Roman"/>
          <w:noProof/>
          <w:sz w:val="20"/>
          <w:szCs w:val="24"/>
        </w:rPr>
        <w:t>:517–21.http://www.ncbi.nlm.nih.gov/pubmed/15480111 (accessed 6 Dec2016).</w:t>
      </w:r>
    </w:p>
    <w:p w14:paraId="2889B674" w14:textId="77777777" w:rsidR="006F23EA" w:rsidRPr="009979BF" w:rsidRDefault="006F23EA" w:rsidP="006F23EA">
      <w:pPr>
        <w:widowControl w:val="0"/>
        <w:autoSpaceDE w:val="0"/>
        <w:autoSpaceDN w:val="0"/>
        <w:adjustRightInd w:val="0"/>
        <w:ind w:left="640" w:hanging="640"/>
        <w:rPr>
          <w:rFonts w:ascii="Calibri" w:hAnsi="Calibri" w:cs="Times New Roman"/>
          <w:noProof/>
          <w:sz w:val="20"/>
          <w:szCs w:val="24"/>
        </w:rPr>
      </w:pPr>
      <w:r w:rsidRPr="009979BF">
        <w:rPr>
          <w:rFonts w:ascii="Calibri" w:hAnsi="Calibri" w:cs="Times New Roman"/>
          <w:noProof/>
          <w:sz w:val="20"/>
          <w:szCs w:val="24"/>
        </w:rPr>
        <w:t xml:space="preserve">42 </w:t>
      </w:r>
      <w:r w:rsidRPr="009979BF">
        <w:rPr>
          <w:rFonts w:ascii="Calibri" w:hAnsi="Calibri" w:cs="Times New Roman"/>
          <w:noProof/>
          <w:sz w:val="20"/>
          <w:szCs w:val="24"/>
        </w:rPr>
        <w:tab/>
        <w:t xml:space="preserve">Jones SG, Pat Patsdaughter CA, Martinez Cardenas VM. Lessons from the viagra study: methodological challenges in recruitment of older and minority heterosexual men for research on sexual practices and risk behaviors. </w:t>
      </w:r>
      <w:r w:rsidRPr="009979BF">
        <w:rPr>
          <w:rFonts w:ascii="Calibri" w:hAnsi="Calibri" w:cs="Times New Roman"/>
          <w:i/>
          <w:iCs/>
          <w:noProof/>
          <w:sz w:val="20"/>
          <w:szCs w:val="24"/>
        </w:rPr>
        <w:t>J Assoc Nurses AIDS Care</w:t>
      </w:r>
      <w:r w:rsidRPr="009979BF">
        <w:rPr>
          <w:rFonts w:ascii="Calibri" w:hAnsi="Calibri" w:cs="Times New Roman"/>
          <w:noProof/>
          <w:sz w:val="20"/>
          <w:szCs w:val="24"/>
        </w:rPr>
        <w:t xml:space="preserve"> 2011;</w:t>
      </w:r>
      <w:r w:rsidRPr="009979BF">
        <w:rPr>
          <w:rFonts w:ascii="Calibri" w:hAnsi="Calibri" w:cs="Times New Roman"/>
          <w:b/>
          <w:bCs/>
          <w:noProof/>
          <w:sz w:val="20"/>
          <w:szCs w:val="24"/>
        </w:rPr>
        <w:t>22</w:t>
      </w:r>
      <w:r w:rsidRPr="009979BF">
        <w:rPr>
          <w:rFonts w:ascii="Calibri" w:hAnsi="Calibri" w:cs="Times New Roman"/>
          <w:noProof/>
          <w:sz w:val="20"/>
          <w:szCs w:val="24"/>
        </w:rPr>
        <w:t>:320–9. doi:10.1016/j.jana.2010.10.009</w:t>
      </w:r>
    </w:p>
    <w:p w14:paraId="46293650" w14:textId="77777777" w:rsidR="006F23EA" w:rsidRPr="009979BF" w:rsidRDefault="006F23EA" w:rsidP="006F23EA">
      <w:pPr>
        <w:widowControl w:val="0"/>
        <w:autoSpaceDE w:val="0"/>
        <w:autoSpaceDN w:val="0"/>
        <w:adjustRightInd w:val="0"/>
        <w:ind w:left="640" w:hanging="640"/>
        <w:rPr>
          <w:rFonts w:ascii="Calibri" w:hAnsi="Calibri" w:cs="Times New Roman"/>
          <w:noProof/>
          <w:sz w:val="20"/>
          <w:szCs w:val="24"/>
        </w:rPr>
      </w:pPr>
      <w:r w:rsidRPr="009979BF">
        <w:rPr>
          <w:rFonts w:ascii="Calibri" w:hAnsi="Calibri" w:cs="Times New Roman"/>
          <w:noProof/>
          <w:sz w:val="20"/>
          <w:szCs w:val="24"/>
        </w:rPr>
        <w:t xml:space="preserve">43 </w:t>
      </w:r>
      <w:r w:rsidRPr="009979BF">
        <w:rPr>
          <w:rFonts w:ascii="Calibri" w:hAnsi="Calibri" w:cs="Times New Roman"/>
          <w:noProof/>
          <w:sz w:val="20"/>
          <w:szCs w:val="24"/>
        </w:rPr>
        <w:tab/>
        <w:t xml:space="preserve">Lorimer K, Reid ME, Hart GJ. ‘It has to speak to people’s everyday life...’; qualitative study of men and women’s willingness to participate in a non-medical approach to Chlamydia trachomatis screening. </w:t>
      </w:r>
      <w:r w:rsidRPr="009979BF">
        <w:rPr>
          <w:rFonts w:ascii="Calibri" w:hAnsi="Calibri" w:cs="Times New Roman"/>
          <w:i/>
          <w:iCs/>
          <w:noProof/>
          <w:sz w:val="20"/>
          <w:szCs w:val="24"/>
        </w:rPr>
        <w:t>Sex Transm Infect</w:t>
      </w:r>
      <w:r w:rsidRPr="009979BF">
        <w:rPr>
          <w:rFonts w:ascii="Calibri" w:hAnsi="Calibri" w:cs="Times New Roman"/>
          <w:noProof/>
          <w:sz w:val="20"/>
          <w:szCs w:val="24"/>
        </w:rPr>
        <w:t xml:space="preserve"> 2009;</w:t>
      </w:r>
      <w:r w:rsidRPr="009979BF">
        <w:rPr>
          <w:rFonts w:ascii="Calibri" w:hAnsi="Calibri" w:cs="Times New Roman"/>
          <w:b/>
          <w:bCs/>
          <w:noProof/>
          <w:sz w:val="20"/>
          <w:szCs w:val="24"/>
        </w:rPr>
        <w:t>85</w:t>
      </w:r>
      <w:r w:rsidRPr="009979BF">
        <w:rPr>
          <w:rFonts w:ascii="Calibri" w:hAnsi="Calibri" w:cs="Times New Roman"/>
          <w:noProof/>
          <w:sz w:val="20"/>
          <w:szCs w:val="24"/>
        </w:rPr>
        <w:t>:201–5. doi:10.1136/sti.2008.031138</w:t>
      </w:r>
    </w:p>
    <w:p w14:paraId="3615816A" w14:textId="77777777" w:rsidR="006F23EA" w:rsidRPr="009979BF" w:rsidRDefault="006F23EA" w:rsidP="006F23EA">
      <w:pPr>
        <w:widowControl w:val="0"/>
        <w:autoSpaceDE w:val="0"/>
        <w:autoSpaceDN w:val="0"/>
        <w:adjustRightInd w:val="0"/>
        <w:ind w:left="640" w:hanging="640"/>
        <w:rPr>
          <w:rFonts w:ascii="Calibri" w:hAnsi="Calibri" w:cs="Times New Roman"/>
          <w:noProof/>
          <w:sz w:val="20"/>
          <w:szCs w:val="24"/>
        </w:rPr>
      </w:pPr>
      <w:r w:rsidRPr="009979BF">
        <w:rPr>
          <w:rFonts w:ascii="Calibri" w:hAnsi="Calibri" w:cs="Times New Roman"/>
          <w:noProof/>
          <w:sz w:val="20"/>
          <w:szCs w:val="24"/>
        </w:rPr>
        <w:t xml:space="preserve">44 </w:t>
      </w:r>
      <w:r w:rsidRPr="009979BF">
        <w:rPr>
          <w:rFonts w:ascii="Calibri" w:hAnsi="Calibri" w:cs="Times New Roman"/>
          <w:noProof/>
          <w:sz w:val="20"/>
          <w:szCs w:val="24"/>
        </w:rPr>
        <w:tab/>
        <w:t xml:space="preserve">Burkill S, Copas A, Couper MP, </w:t>
      </w:r>
      <w:r w:rsidRPr="009979BF">
        <w:rPr>
          <w:rFonts w:ascii="Calibri" w:hAnsi="Calibri" w:cs="Times New Roman"/>
          <w:i/>
          <w:iCs/>
          <w:noProof/>
          <w:sz w:val="20"/>
          <w:szCs w:val="24"/>
        </w:rPr>
        <w:t>et al.</w:t>
      </w:r>
      <w:r w:rsidRPr="009979BF">
        <w:rPr>
          <w:rFonts w:ascii="Calibri" w:hAnsi="Calibri" w:cs="Times New Roman"/>
          <w:noProof/>
          <w:sz w:val="20"/>
          <w:szCs w:val="24"/>
        </w:rPr>
        <w:t xml:space="preserve"> Using the Web to Collect Data on Sensitive Behaviours: A Study Looking at Mode Effects on the British National Survey of Sexual Attitudes and Lifestyles. </w:t>
      </w:r>
      <w:r w:rsidRPr="009979BF">
        <w:rPr>
          <w:rFonts w:ascii="Calibri" w:hAnsi="Calibri" w:cs="Times New Roman"/>
          <w:i/>
          <w:iCs/>
          <w:noProof/>
          <w:sz w:val="20"/>
          <w:szCs w:val="24"/>
        </w:rPr>
        <w:t>PLoS One</w:t>
      </w:r>
      <w:r w:rsidRPr="009979BF">
        <w:rPr>
          <w:rFonts w:ascii="Calibri" w:hAnsi="Calibri" w:cs="Times New Roman"/>
          <w:noProof/>
          <w:sz w:val="20"/>
          <w:szCs w:val="24"/>
        </w:rPr>
        <w:t xml:space="preserve"> 2016;</w:t>
      </w:r>
      <w:r w:rsidRPr="009979BF">
        <w:rPr>
          <w:rFonts w:ascii="Calibri" w:hAnsi="Calibri" w:cs="Times New Roman"/>
          <w:b/>
          <w:bCs/>
          <w:noProof/>
          <w:sz w:val="20"/>
          <w:szCs w:val="24"/>
        </w:rPr>
        <w:t>11</w:t>
      </w:r>
      <w:r w:rsidRPr="009979BF">
        <w:rPr>
          <w:rFonts w:ascii="Calibri" w:hAnsi="Calibri" w:cs="Times New Roman"/>
          <w:noProof/>
          <w:sz w:val="20"/>
          <w:szCs w:val="24"/>
        </w:rPr>
        <w:t>:e0147983. doi:10.1371/journal.pone.0147983</w:t>
      </w:r>
    </w:p>
    <w:p w14:paraId="72129DFD" w14:textId="77777777" w:rsidR="006F23EA" w:rsidRPr="009979BF" w:rsidRDefault="006F23EA" w:rsidP="006F23EA">
      <w:pPr>
        <w:widowControl w:val="0"/>
        <w:autoSpaceDE w:val="0"/>
        <w:autoSpaceDN w:val="0"/>
        <w:adjustRightInd w:val="0"/>
        <w:ind w:left="640" w:hanging="640"/>
        <w:rPr>
          <w:rFonts w:ascii="Calibri" w:hAnsi="Calibri" w:cs="Times New Roman"/>
          <w:noProof/>
          <w:sz w:val="20"/>
          <w:szCs w:val="24"/>
        </w:rPr>
      </w:pPr>
      <w:r w:rsidRPr="009979BF">
        <w:rPr>
          <w:rFonts w:ascii="Calibri" w:hAnsi="Calibri" w:cs="Times New Roman"/>
          <w:noProof/>
          <w:sz w:val="20"/>
          <w:szCs w:val="24"/>
        </w:rPr>
        <w:t xml:space="preserve">45 </w:t>
      </w:r>
      <w:r w:rsidRPr="009979BF">
        <w:rPr>
          <w:rFonts w:ascii="Calibri" w:hAnsi="Calibri" w:cs="Times New Roman"/>
          <w:noProof/>
          <w:sz w:val="20"/>
          <w:szCs w:val="24"/>
        </w:rPr>
        <w:tab/>
        <w:t xml:space="preserve">National Research Council. </w:t>
      </w:r>
      <w:r w:rsidRPr="009979BF">
        <w:rPr>
          <w:rFonts w:ascii="Calibri" w:hAnsi="Calibri" w:cs="Times New Roman"/>
          <w:i/>
          <w:iCs/>
          <w:noProof/>
          <w:sz w:val="20"/>
          <w:szCs w:val="24"/>
        </w:rPr>
        <w:t>Nonresponse in Social Science Surveys</w:t>
      </w:r>
      <w:r w:rsidRPr="009979BF">
        <w:rPr>
          <w:rFonts w:ascii="Calibri" w:hAnsi="Calibri" w:cs="Times New Roman"/>
          <w:noProof/>
          <w:sz w:val="20"/>
          <w:szCs w:val="24"/>
        </w:rPr>
        <w:t>. Washington, D.C.: : National Academies Press 2013. doi:10.17226/18293</w:t>
      </w:r>
    </w:p>
    <w:p w14:paraId="4F43F4FC" w14:textId="77777777" w:rsidR="006F23EA" w:rsidRPr="009979BF" w:rsidRDefault="006F23EA" w:rsidP="006F23EA">
      <w:pPr>
        <w:widowControl w:val="0"/>
        <w:autoSpaceDE w:val="0"/>
        <w:autoSpaceDN w:val="0"/>
        <w:adjustRightInd w:val="0"/>
        <w:ind w:left="640" w:hanging="640"/>
        <w:rPr>
          <w:rFonts w:ascii="Calibri" w:hAnsi="Calibri" w:cs="Times New Roman"/>
          <w:noProof/>
          <w:sz w:val="20"/>
          <w:szCs w:val="24"/>
        </w:rPr>
      </w:pPr>
      <w:r w:rsidRPr="009979BF">
        <w:rPr>
          <w:rFonts w:ascii="Calibri" w:hAnsi="Calibri" w:cs="Times New Roman"/>
          <w:noProof/>
          <w:sz w:val="20"/>
          <w:szCs w:val="24"/>
        </w:rPr>
        <w:t xml:space="preserve">46 </w:t>
      </w:r>
      <w:r w:rsidRPr="009979BF">
        <w:rPr>
          <w:rFonts w:ascii="Calibri" w:hAnsi="Calibri" w:cs="Times New Roman"/>
          <w:noProof/>
          <w:sz w:val="20"/>
          <w:szCs w:val="24"/>
        </w:rPr>
        <w:tab/>
        <w:t xml:space="preserve">Marsden P V., Wright JD. </w:t>
      </w:r>
      <w:r w:rsidRPr="009979BF">
        <w:rPr>
          <w:rFonts w:ascii="Calibri" w:hAnsi="Calibri" w:cs="Times New Roman"/>
          <w:i/>
          <w:iCs/>
          <w:noProof/>
          <w:sz w:val="20"/>
          <w:szCs w:val="24"/>
        </w:rPr>
        <w:t>Handbook of survey research</w:t>
      </w:r>
      <w:r w:rsidRPr="009979BF">
        <w:rPr>
          <w:rFonts w:ascii="Calibri" w:hAnsi="Calibri" w:cs="Times New Roman"/>
          <w:noProof/>
          <w:sz w:val="20"/>
          <w:szCs w:val="24"/>
        </w:rPr>
        <w:t>. Emerald 2010. https://books.google.co.uk/books/about/Handbook_of_Survey_Research.html?id=mMPDPXpTP-0C (accessed 28 Mar2017).</w:t>
      </w:r>
    </w:p>
    <w:p w14:paraId="7D1A4DF8" w14:textId="77777777" w:rsidR="006F23EA" w:rsidRPr="009979BF" w:rsidRDefault="006F23EA" w:rsidP="006F23EA">
      <w:pPr>
        <w:widowControl w:val="0"/>
        <w:autoSpaceDE w:val="0"/>
        <w:autoSpaceDN w:val="0"/>
        <w:adjustRightInd w:val="0"/>
        <w:ind w:left="640" w:hanging="640"/>
        <w:rPr>
          <w:rFonts w:ascii="Calibri" w:hAnsi="Calibri" w:cs="Times New Roman"/>
          <w:noProof/>
          <w:sz w:val="20"/>
          <w:szCs w:val="24"/>
        </w:rPr>
      </w:pPr>
      <w:r w:rsidRPr="009979BF">
        <w:rPr>
          <w:rFonts w:ascii="Calibri" w:hAnsi="Calibri" w:cs="Times New Roman"/>
          <w:noProof/>
          <w:sz w:val="20"/>
          <w:szCs w:val="24"/>
        </w:rPr>
        <w:t xml:space="preserve">47 </w:t>
      </w:r>
      <w:r w:rsidRPr="009979BF">
        <w:rPr>
          <w:rFonts w:ascii="Calibri" w:hAnsi="Calibri" w:cs="Times New Roman"/>
          <w:noProof/>
          <w:sz w:val="20"/>
          <w:szCs w:val="24"/>
        </w:rPr>
        <w:tab/>
        <w:t xml:space="preserve">Low N, Sterne JA, Barlow D. Inequalities in rates of gonorrhoea and chlamydia between black ethnic groups in south east London: cross sectional study. </w:t>
      </w:r>
      <w:r w:rsidRPr="009979BF">
        <w:rPr>
          <w:rFonts w:ascii="Calibri" w:hAnsi="Calibri" w:cs="Times New Roman"/>
          <w:i/>
          <w:iCs/>
          <w:noProof/>
          <w:sz w:val="20"/>
          <w:szCs w:val="24"/>
        </w:rPr>
        <w:t>Sex Transm Infect</w:t>
      </w:r>
      <w:r w:rsidRPr="009979BF">
        <w:rPr>
          <w:rFonts w:ascii="Calibri" w:hAnsi="Calibri" w:cs="Times New Roman"/>
          <w:noProof/>
          <w:sz w:val="20"/>
          <w:szCs w:val="24"/>
        </w:rPr>
        <w:t xml:space="preserve"> 2001;</w:t>
      </w:r>
      <w:r w:rsidRPr="009979BF">
        <w:rPr>
          <w:rFonts w:ascii="Calibri" w:hAnsi="Calibri" w:cs="Times New Roman"/>
          <w:b/>
          <w:bCs/>
          <w:noProof/>
          <w:sz w:val="20"/>
          <w:szCs w:val="24"/>
        </w:rPr>
        <w:t>77</w:t>
      </w:r>
      <w:r w:rsidRPr="009979BF">
        <w:rPr>
          <w:rFonts w:ascii="Calibri" w:hAnsi="Calibri" w:cs="Times New Roman"/>
          <w:noProof/>
          <w:sz w:val="20"/>
          <w:szCs w:val="24"/>
        </w:rPr>
        <w:t>:15–</w:t>
      </w:r>
      <w:r w:rsidRPr="009979BF">
        <w:rPr>
          <w:rFonts w:ascii="Calibri" w:hAnsi="Calibri" w:cs="Times New Roman"/>
          <w:noProof/>
          <w:sz w:val="20"/>
          <w:szCs w:val="24"/>
        </w:rPr>
        <w:lastRenderedPageBreak/>
        <w:t>20.http://www.ncbi.nlm.nih.gov/pubmed/11158686 (accessed 28 Mar2017).</w:t>
      </w:r>
    </w:p>
    <w:p w14:paraId="752E2EE8" w14:textId="77777777" w:rsidR="006F23EA" w:rsidRPr="009979BF" w:rsidRDefault="006F23EA" w:rsidP="006F23EA">
      <w:pPr>
        <w:widowControl w:val="0"/>
        <w:autoSpaceDE w:val="0"/>
        <w:autoSpaceDN w:val="0"/>
        <w:adjustRightInd w:val="0"/>
        <w:ind w:left="640" w:hanging="640"/>
        <w:rPr>
          <w:rFonts w:ascii="Calibri" w:hAnsi="Calibri" w:cs="Times New Roman"/>
          <w:noProof/>
          <w:sz w:val="20"/>
          <w:szCs w:val="24"/>
        </w:rPr>
      </w:pPr>
      <w:r w:rsidRPr="009979BF">
        <w:rPr>
          <w:rFonts w:ascii="Calibri" w:hAnsi="Calibri" w:cs="Times New Roman"/>
          <w:noProof/>
          <w:sz w:val="20"/>
          <w:szCs w:val="24"/>
        </w:rPr>
        <w:t xml:space="preserve">48 </w:t>
      </w:r>
      <w:r w:rsidRPr="009979BF">
        <w:rPr>
          <w:rFonts w:ascii="Calibri" w:hAnsi="Calibri" w:cs="Times New Roman"/>
          <w:noProof/>
          <w:sz w:val="20"/>
          <w:szCs w:val="24"/>
        </w:rPr>
        <w:tab/>
        <w:t xml:space="preserve">Le Polain De Waroux O, Harris RJ, Hughes G, </w:t>
      </w:r>
      <w:r w:rsidRPr="009979BF">
        <w:rPr>
          <w:rFonts w:ascii="Calibri" w:hAnsi="Calibri" w:cs="Times New Roman"/>
          <w:i/>
          <w:iCs/>
          <w:noProof/>
          <w:sz w:val="20"/>
          <w:szCs w:val="24"/>
        </w:rPr>
        <w:t>et al.</w:t>
      </w:r>
      <w:r w:rsidRPr="009979BF">
        <w:rPr>
          <w:rFonts w:ascii="Calibri" w:hAnsi="Calibri" w:cs="Times New Roman"/>
          <w:noProof/>
          <w:sz w:val="20"/>
          <w:szCs w:val="24"/>
        </w:rPr>
        <w:t xml:space="preserve"> The epidemiology of gonorrhoea in London: a Bayesian spatial modelling approach. </w:t>
      </w:r>
      <w:r w:rsidRPr="009979BF">
        <w:rPr>
          <w:rFonts w:ascii="Calibri" w:hAnsi="Calibri" w:cs="Times New Roman"/>
          <w:i/>
          <w:iCs/>
          <w:noProof/>
          <w:sz w:val="20"/>
          <w:szCs w:val="24"/>
        </w:rPr>
        <w:t>Epidemiol Infect</w:t>
      </w:r>
      <w:r w:rsidRPr="009979BF">
        <w:rPr>
          <w:rFonts w:ascii="Calibri" w:hAnsi="Calibri" w:cs="Times New Roman"/>
          <w:noProof/>
          <w:sz w:val="20"/>
          <w:szCs w:val="24"/>
        </w:rPr>
        <w:t xml:space="preserve"> 2013;</w:t>
      </w:r>
      <w:r w:rsidRPr="009979BF">
        <w:rPr>
          <w:rFonts w:ascii="Calibri" w:hAnsi="Calibri" w:cs="Times New Roman"/>
          <w:b/>
          <w:bCs/>
          <w:noProof/>
          <w:sz w:val="20"/>
          <w:szCs w:val="24"/>
        </w:rPr>
        <w:t>142</w:t>
      </w:r>
      <w:r w:rsidRPr="009979BF">
        <w:rPr>
          <w:rFonts w:ascii="Calibri" w:hAnsi="Calibri" w:cs="Times New Roman"/>
          <w:noProof/>
          <w:sz w:val="20"/>
          <w:szCs w:val="24"/>
        </w:rPr>
        <w:t>:1–10. doi:10.1017/S0950268813000745</w:t>
      </w:r>
    </w:p>
    <w:p w14:paraId="07CA7864" w14:textId="77777777" w:rsidR="006F23EA" w:rsidRPr="009979BF" w:rsidRDefault="006F23EA" w:rsidP="006F23EA">
      <w:pPr>
        <w:widowControl w:val="0"/>
        <w:autoSpaceDE w:val="0"/>
        <w:autoSpaceDN w:val="0"/>
        <w:adjustRightInd w:val="0"/>
        <w:ind w:left="640" w:hanging="640"/>
        <w:rPr>
          <w:rFonts w:ascii="Calibri" w:hAnsi="Calibri" w:cs="Times New Roman"/>
          <w:noProof/>
          <w:sz w:val="20"/>
          <w:szCs w:val="24"/>
        </w:rPr>
      </w:pPr>
      <w:r w:rsidRPr="009979BF">
        <w:rPr>
          <w:rFonts w:ascii="Calibri" w:hAnsi="Calibri" w:cs="Times New Roman"/>
          <w:noProof/>
          <w:sz w:val="20"/>
          <w:szCs w:val="24"/>
        </w:rPr>
        <w:t xml:space="preserve">49 </w:t>
      </w:r>
      <w:r w:rsidRPr="009979BF">
        <w:rPr>
          <w:rFonts w:ascii="Calibri" w:hAnsi="Calibri" w:cs="Times New Roman"/>
          <w:noProof/>
          <w:sz w:val="20"/>
          <w:szCs w:val="24"/>
        </w:rPr>
        <w:tab/>
        <w:t xml:space="preserve">Murray BL. Qualitative research interviews: therapeutic benefits for the participants. </w:t>
      </w:r>
      <w:r w:rsidRPr="009979BF">
        <w:rPr>
          <w:rFonts w:ascii="Calibri" w:hAnsi="Calibri" w:cs="Times New Roman"/>
          <w:i/>
          <w:iCs/>
          <w:noProof/>
          <w:sz w:val="20"/>
          <w:szCs w:val="24"/>
        </w:rPr>
        <w:t>J Psychiatr Ment Health Nurs</w:t>
      </w:r>
      <w:r w:rsidRPr="009979BF">
        <w:rPr>
          <w:rFonts w:ascii="Calibri" w:hAnsi="Calibri" w:cs="Times New Roman"/>
          <w:noProof/>
          <w:sz w:val="20"/>
          <w:szCs w:val="24"/>
        </w:rPr>
        <w:t xml:space="preserve"> 2003;</w:t>
      </w:r>
      <w:r w:rsidRPr="009979BF">
        <w:rPr>
          <w:rFonts w:ascii="Calibri" w:hAnsi="Calibri" w:cs="Times New Roman"/>
          <w:b/>
          <w:bCs/>
          <w:noProof/>
          <w:sz w:val="20"/>
          <w:szCs w:val="24"/>
        </w:rPr>
        <w:t>10</w:t>
      </w:r>
      <w:r w:rsidRPr="009979BF">
        <w:rPr>
          <w:rFonts w:ascii="Calibri" w:hAnsi="Calibri" w:cs="Times New Roman"/>
          <w:noProof/>
          <w:sz w:val="20"/>
          <w:szCs w:val="24"/>
        </w:rPr>
        <w:t>:233–6.http://www.ncbi.nlm.nih.gov/pubmed/12662341 (accessed 28 Mar2017).</w:t>
      </w:r>
    </w:p>
    <w:p w14:paraId="7D793C69" w14:textId="77777777" w:rsidR="006F23EA" w:rsidRPr="009979BF" w:rsidRDefault="006F23EA" w:rsidP="006F23EA">
      <w:pPr>
        <w:widowControl w:val="0"/>
        <w:autoSpaceDE w:val="0"/>
        <w:autoSpaceDN w:val="0"/>
        <w:adjustRightInd w:val="0"/>
        <w:ind w:left="640" w:hanging="640"/>
        <w:rPr>
          <w:rFonts w:ascii="Calibri" w:hAnsi="Calibri" w:cs="Times New Roman"/>
          <w:noProof/>
          <w:sz w:val="20"/>
          <w:szCs w:val="24"/>
        </w:rPr>
      </w:pPr>
      <w:r w:rsidRPr="009979BF">
        <w:rPr>
          <w:rFonts w:ascii="Calibri" w:hAnsi="Calibri" w:cs="Times New Roman"/>
          <w:noProof/>
          <w:sz w:val="20"/>
          <w:szCs w:val="24"/>
        </w:rPr>
        <w:t xml:space="preserve">50 </w:t>
      </w:r>
      <w:r w:rsidRPr="009979BF">
        <w:rPr>
          <w:rFonts w:ascii="Calibri" w:hAnsi="Calibri" w:cs="Times New Roman"/>
          <w:noProof/>
          <w:sz w:val="20"/>
          <w:szCs w:val="24"/>
        </w:rPr>
        <w:tab/>
        <w:t xml:space="preserve">Hutchinson SA, Wilson ME, Wilson HS. Benefits of Participating in Research Interviews. </w:t>
      </w:r>
      <w:r w:rsidRPr="009979BF">
        <w:rPr>
          <w:rFonts w:ascii="Calibri" w:hAnsi="Calibri" w:cs="Times New Roman"/>
          <w:i/>
          <w:iCs/>
          <w:noProof/>
          <w:sz w:val="20"/>
          <w:szCs w:val="24"/>
        </w:rPr>
        <w:t>Image J Nurs Scholarsh</w:t>
      </w:r>
      <w:r w:rsidRPr="009979BF">
        <w:rPr>
          <w:rFonts w:ascii="Calibri" w:hAnsi="Calibri" w:cs="Times New Roman"/>
          <w:noProof/>
          <w:sz w:val="20"/>
          <w:szCs w:val="24"/>
        </w:rPr>
        <w:t xml:space="preserve"> 1994;</w:t>
      </w:r>
      <w:r w:rsidRPr="009979BF">
        <w:rPr>
          <w:rFonts w:ascii="Calibri" w:hAnsi="Calibri" w:cs="Times New Roman"/>
          <w:b/>
          <w:bCs/>
          <w:noProof/>
          <w:sz w:val="20"/>
          <w:szCs w:val="24"/>
        </w:rPr>
        <w:t>26</w:t>
      </w:r>
      <w:r w:rsidRPr="009979BF">
        <w:rPr>
          <w:rFonts w:ascii="Calibri" w:hAnsi="Calibri" w:cs="Times New Roman"/>
          <w:noProof/>
          <w:sz w:val="20"/>
          <w:szCs w:val="24"/>
        </w:rPr>
        <w:t>:161–6. doi:10.1111/j.1547-5069.1994.tb00937.x</w:t>
      </w:r>
    </w:p>
    <w:p w14:paraId="2F0F8F2B" w14:textId="77777777" w:rsidR="006F23EA" w:rsidRPr="009979BF" w:rsidRDefault="006F23EA" w:rsidP="006F23EA">
      <w:pPr>
        <w:widowControl w:val="0"/>
        <w:autoSpaceDE w:val="0"/>
        <w:autoSpaceDN w:val="0"/>
        <w:adjustRightInd w:val="0"/>
        <w:ind w:left="640" w:hanging="640"/>
        <w:rPr>
          <w:rFonts w:ascii="Calibri" w:hAnsi="Calibri"/>
          <w:noProof/>
          <w:sz w:val="20"/>
        </w:rPr>
      </w:pPr>
      <w:r w:rsidRPr="009979BF">
        <w:rPr>
          <w:rFonts w:ascii="Calibri" w:hAnsi="Calibri" w:cs="Times New Roman"/>
          <w:noProof/>
          <w:sz w:val="20"/>
          <w:szCs w:val="24"/>
        </w:rPr>
        <w:t xml:space="preserve">51 </w:t>
      </w:r>
      <w:r w:rsidRPr="009979BF">
        <w:rPr>
          <w:rFonts w:ascii="Calibri" w:hAnsi="Calibri" w:cs="Times New Roman"/>
          <w:noProof/>
          <w:sz w:val="20"/>
          <w:szCs w:val="24"/>
        </w:rPr>
        <w:tab/>
        <w:t xml:space="preserve">Fenton KA, Johnson AM, McManus S, </w:t>
      </w:r>
      <w:r w:rsidRPr="009979BF">
        <w:rPr>
          <w:rFonts w:ascii="Calibri" w:hAnsi="Calibri" w:cs="Times New Roman"/>
          <w:i/>
          <w:iCs/>
          <w:noProof/>
          <w:sz w:val="20"/>
          <w:szCs w:val="24"/>
        </w:rPr>
        <w:t>et al.</w:t>
      </w:r>
      <w:r w:rsidRPr="009979BF">
        <w:rPr>
          <w:rFonts w:ascii="Calibri" w:hAnsi="Calibri" w:cs="Times New Roman"/>
          <w:noProof/>
          <w:sz w:val="20"/>
          <w:szCs w:val="24"/>
        </w:rPr>
        <w:t xml:space="preserve"> Measuring sexual behaviour: methodological challenges in survey research. </w:t>
      </w:r>
      <w:r w:rsidRPr="009979BF">
        <w:rPr>
          <w:rFonts w:ascii="Calibri" w:hAnsi="Calibri" w:cs="Times New Roman"/>
          <w:i/>
          <w:iCs/>
          <w:noProof/>
          <w:sz w:val="20"/>
          <w:szCs w:val="24"/>
        </w:rPr>
        <w:t>Sex Transm Infect</w:t>
      </w:r>
      <w:r w:rsidRPr="009979BF">
        <w:rPr>
          <w:rFonts w:ascii="Calibri" w:hAnsi="Calibri" w:cs="Times New Roman"/>
          <w:noProof/>
          <w:sz w:val="20"/>
          <w:szCs w:val="24"/>
        </w:rPr>
        <w:t xml:space="preserve"> 2001;</w:t>
      </w:r>
      <w:r w:rsidRPr="009979BF">
        <w:rPr>
          <w:rFonts w:ascii="Calibri" w:hAnsi="Calibri" w:cs="Times New Roman"/>
          <w:b/>
          <w:bCs/>
          <w:noProof/>
          <w:sz w:val="20"/>
          <w:szCs w:val="24"/>
        </w:rPr>
        <w:t>77</w:t>
      </w:r>
      <w:r w:rsidRPr="009979BF">
        <w:rPr>
          <w:rFonts w:ascii="Calibri" w:hAnsi="Calibri" w:cs="Times New Roman"/>
          <w:noProof/>
          <w:sz w:val="20"/>
          <w:szCs w:val="24"/>
        </w:rPr>
        <w:t>:84–92.http://www.ncbi.nlm.nih.gov/pubmed/11287683 (accessed 24 Mar2016).</w:t>
      </w:r>
    </w:p>
    <w:p w14:paraId="02F42464" w14:textId="77777777" w:rsidR="00975228" w:rsidRPr="00420235" w:rsidRDefault="00B907B3" w:rsidP="006F23EA">
      <w:pPr>
        <w:widowControl w:val="0"/>
        <w:autoSpaceDE w:val="0"/>
        <w:autoSpaceDN w:val="0"/>
        <w:adjustRightInd w:val="0"/>
        <w:ind w:left="640" w:hanging="640"/>
        <w:rPr>
          <w:b/>
          <w:color w:val="auto"/>
          <w:sz w:val="20"/>
          <w:szCs w:val="20"/>
        </w:rPr>
      </w:pPr>
      <w:r w:rsidRPr="009979BF">
        <w:rPr>
          <w:b/>
          <w:color w:val="auto"/>
          <w:sz w:val="20"/>
          <w:szCs w:val="20"/>
        </w:rPr>
        <w:fldChar w:fldCharType="end"/>
      </w:r>
    </w:p>
    <w:p w14:paraId="6B24B38B" w14:textId="77777777" w:rsidR="005F265D" w:rsidRPr="00420235" w:rsidRDefault="005F265D" w:rsidP="005F265D">
      <w:pPr>
        <w:rPr>
          <w:b/>
          <w:color w:val="auto"/>
          <w:sz w:val="20"/>
          <w:szCs w:val="20"/>
        </w:rPr>
      </w:pPr>
    </w:p>
    <w:p w14:paraId="7A08C392" w14:textId="77777777" w:rsidR="00EE67DD" w:rsidRPr="00DD6D0C" w:rsidRDefault="00EE67DD" w:rsidP="007432C4">
      <w:pPr>
        <w:widowControl w:val="0"/>
        <w:autoSpaceDE w:val="0"/>
        <w:autoSpaceDN w:val="0"/>
        <w:adjustRightInd w:val="0"/>
        <w:ind w:left="640" w:hanging="640"/>
        <w:rPr>
          <w:color w:val="auto"/>
          <w:u w:val="single"/>
        </w:rPr>
      </w:pPr>
    </w:p>
    <w:sectPr w:rsidR="00EE67DD" w:rsidRPr="00DD6D0C" w:rsidSect="00AC3211">
      <w:footerReference w:type="default" r:id="rId10"/>
      <w:pgSz w:w="11906" w:h="16838"/>
      <w:pgMar w:top="1440" w:right="1440" w:bottom="1440" w:left="1440" w:header="708" w:footer="708" w:gutter="0"/>
      <w:lnNumType w:countBy="1" w:restart="continuou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Martina Furegato" w:date="2018-01-14T15:05:00Z" w:initials="MF">
    <w:p w14:paraId="3D43B458" w14:textId="77777777" w:rsidR="0021185E" w:rsidRDefault="0021185E" w:rsidP="00F21EFE">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43B4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1B103" w14:textId="77777777" w:rsidR="000E0535" w:rsidRDefault="000E0535" w:rsidP="00350B4C">
      <w:r>
        <w:separator/>
      </w:r>
    </w:p>
  </w:endnote>
  <w:endnote w:type="continuationSeparator" w:id="0">
    <w:p w14:paraId="2860AA8A" w14:textId="77777777" w:rsidR="000E0535" w:rsidRDefault="000E0535" w:rsidP="0035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090412"/>
      <w:docPartObj>
        <w:docPartGallery w:val="Page Numbers (Bottom of Page)"/>
        <w:docPartUnique/>
      </w:docPartObj>
    </w:sdtPr>
    <w:sdtEndPr/>
    <w:sdtContent>
      <w:p w14:paraId="298A6E6D" w14:textId="77777777" w:rsidR="0021185E" w:rsidRDefault="000E0535">
        <w:pPr>
          <w:pStyle w:val="Footer"/>
          <w:jc w:val="right"/>
        </w:pPr>
        <w:r>
          <w:fldChar w:fldCharType="begin"/>
        </w:r>
        <w:r>
          <w:instrText xml:space="preserve"> PAGE   \* MERGEFORMAT </w:instrText>
        </w:r>
        <w:r>
          <w:fldChar w:fldCharType="separate"/>
        </w:r>
        <w:r w:rsidR="00BB0FD6">
          <w:rPr>
            <w:noProof/>
          </w:rPr>
          <w:t>4</w:t>
        </w:r>
        <w:r>
          <w:rPr>
            <w:noProof/>
          </w:rPr>
          <w:fldChar w:fldCharType="end"/>
        </w:r>
      </w:p>
    </w:sdtContent>
  </w:sdt>
  <w:p w14:paraId="3EBB0E51" w14:textId="77777777" w:rsidR="0021185E" w:rsidRDefault="002118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2A8BD" w14:textId="77777777" w:rsidR="000E0535" w:rsidRDefault="000E0535" w:rsidP="00350B4C">
      <w:r>
        <w:separator/>
      </w:r>
    </w:p>
  </w:footnote>
  <w:footnote w:type="continuationSeparator" w:id="0">
    <w:p w14:paraId="64D02DAF" w14:textId="77777777" w:rsidR="000E0535" w:rsidRDefault="000E0535" w:rsidP="00350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7250"/>
    <w:multiLevelType w:val="hybridMultilevel"/>
    <w:tmpl w:val="94A06022"/>
    <w:lvl w:ilvl="0" w:tplc="D1148D0C">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D052A40"/>
    <w:multiLevelType w:val="hybridMultilevel"/>
    <w:tmpl w:val="FF808CC6"/>
    <w:lvl w:ilvl="0" w:tplc="EB5CB8BE">
      <w:start w:val="6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02589A"/>
    <w:multiLevelType w:val="multilevel"/>
    <w:tmpl w:val="A19C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757D5"/>
    <w:multiLevelType w:val="hybridMultilevel"/>
    <w:tmpl w:val="B12C567E"/>
    <w:lvl w:ilvl="0" w:tplc="D1148D0C">
      <w:start w:val="1"/>
      <w:numFmt w:val="bullet"/>
      <w:lvlText w:val=""/>
      <w:lvlJc w:val="left"/>
      <w:pPr>
        <w:ind w:left="720" w:hanging="360"/>
      </w:pPr>
      <w:rPr>
        <w:rFonts w:ascii="Symbol" w:hAnsi="Symbol" w:hint="default"/>
      </w:rPr>
    </w:lvl>
    <w:lvl w:ilvl="1" w:tplc="D1148D0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D040D"/>
    <w:multiLevelType w:val="multilevel"/>
    <w:tmpl w:val="CFCA2C1C"/>
    <w:lvl w:ilvl="0">
      <w:start w:val="1"/>
      <w:numFmt w:val="decimal"/>
      <w:pStyle w:val="Heading1"/>
      <w:lvlText w:val="%1"/>
      <w:lvlJc w:val="left"/>
      <w:pPr>
        <w:ind w:left="3976" w:hanging="432"/>
      </w:pPr>
      <w:rPr>
        <w:rFonts w:cs="Times New Roman" w:hint="default"/>
        <w:b/>
        <w:i w:val="0"/>
        <w:sz w:val="28"/>
        <w:szCs w:val="28"/>
      </w:rPr>
    </w:lvl>
    <w:lvl w:ilvl="1">
      <w:start w:val="1"/>
      <w:numFmt w:val="decimal"/>
      <w:pStyle w:val="Heading2"/>
      <w:lvlText w:val="%1.%2"/>
      <w:lvlJc w:val="left"/>
      <w:pPr>
        <w:ind w:left="5395" w:hanging="576"/>
      </w:pPr>
      <w:rPr>
        <w:rFonts w:cs="Times New Roman" w:hint="default"/>
      </w:rPr>
    </w:lvl>
    <w:lvl w:ilvl="2">
      <w:start w:val="1"/>
      <w:numFmt w:val="decimal"/>
      <w:pStyle w:val="Heading3"/>
      <w:lvlText w:val="%1.%2.%3"/>
      <w:lvlJc w:val="left"/>
      <w:pPr>
        <w:ind w:left="2317" w:hanging="720"/>
      </w:pPr>
      <w:rPr>
        <w:rFonts w:cs="Times New Roman" w:hint="default"/>
        <w:b/>
        <w:color w:val="auto"/>
        <w:sz w:val="22"/>
        <w:szCs w:val="22"/>
      </w:rPr>
    </w:lvl>
    <w:lvl w:ilvl="3">
      <w:start w:val="1"/>
      <w:numFmt w:val="decimal"/>
      <w:pStyle w:val="Heading4"/>
      <w:lvlText w:val="%1.%2.%3.%4"/>
      <w:lvlJc w:val="left"/>
      <w:pPr>
        <w:ind w:left="2281" w:hanging="864"/>
      </w:pPr>
      <w:rPr>
        <w:rFonts w:cs="Times New Roman" w:hint="default"/>
      </w:rPr>
    </w:lvl>
    <w:lvl w:ilvl="4">
      <w:start w:val="1"/>
      <w:numFmt w:val="decimal"/>
      <w:pStyle w:val="Heading5"/>
      <w:lvlText w:val="%1.%2.%3.%4.%5"/>
      <w:lvlJc w:val="left"/>
      <w:pPr>
        <w:ind w:left="2425" w:hanging="1008"/>
      </w:pPr>
      <w:rPr>
        <w:rFonts w:cs="Times New Roman" w:hint="default"/>
      </w:rPr>
    </w:lvl>
    <w:lvl w:ilvl="5">
      <w:start w:val="1"/>
      <w:numFmt w:val="decimal"/>
      <w:pStyle w:val="Heading6"/>
      <w:lvlText w:val="%1.%2.%3.%4.%5.%6"/>
      <w:lvlJc w:val="left"/>
      <w:pPr>
        <w:ind w:left="2569" w:hanging="1152"/>
      </w:pPr>
      <w:rPr>
        <w:rFonts w:cs="Times New Roman" w:hint="default"/>
      </w:rPr>
    </w:lvl>
    <w:lvl w:ilvl="6">
      <w:start w:val="1"/>
      <w:numFmt w:val="decimal"/>
      <w:pStyle w:val="Heading7"/>
      <w:lvlText w:val="%1.%2.%3.%4.%5.%6.%7"/>
      <w:lvlJc w:val="left"/>
      <w:pPr>
        <w:ind w:left="2713" w:hanging="1296"/>
      </w:pPr>
      <w:rPr>
        <w:rFonts w:cs="Times New Roman" w:hint="default"/>
      </w:rPr>
    </w:lvl>
    <w:lvl w:ilvl="7">
      <w:start w:val="1"/>
      <w:numFmt w:val="decimal"/>
      <w:pStyle w:val="Heading8"/>
      <w:lvlText w:val="%1.%2.%3.%4.%5.%6.%7.%8"/>
      <w:lvlJc w:val="left"/>
      <w:pPr>
        <w:ind w:left="2857" w:hanging="1440"/>
      </w:pPr>
      <w:rPr>
        <w:rFonts w:cs="Times New Roman" w:hint="default"/>
      </w:rPr>
    </w:lvl>
    <w:lvl w:ilvl="8">
      <w:start w:val="1"/>
      <w:numFmt w:val="decimal"/>
      <w:pStyle w:val="Heading9"/>
      <w:lvlText w:val="%1.%2.%3.%4.%5.%6.%7.%8.%9"/>
      <w:lvlJc w:val="left"/>
      <w:pPr>
        <w:ind w:left="3001" w:hanging="1584"/>
      </w:pPr>
      <w:rPr>
        <w:rFonts w:cs="Times New Roman" w:hint="default"/>
      </w:rPr>
    </w:lvl>
  </w:abstractNum>
  <w:abstractNum w:abstractNumId="5" w15:restartNumberingAfterBreak="0">
    <w:nsid w:val="1C3838D2"/>
    <w:multiLevelType w:val="hybridMultilevel"/>
    <w:tmpl w:val="8AA69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A6493A"/>
    <w:multiLevelType w:val="hybridMultilevel"/>
    <w:tmpl w:val="9946B4CE"/>
    <w:lvl w:ilvl="0" w:tplc="0809000F">
      <w:start w:val="1"/>
      <w:numFmt w:val="decimal"/>
      <w:lvlText w:val="%1."/>
      <w:lvlJc w:val="left"/>
      <w:pPr>
        <w:ind w:left="360" w:hanging="360"/>
      </w:pPr>
      <w:rPr>
        <w:rFonts w:cs="Times New Roman"/>
      </w:rPr>
    </w:lvl>
    <w:lvl w:ilvl="1" w:tplc="D1148D0C">
      <w:start w:val="1"/>
      <w:numFmt w:val="bullet"/>
      <w:lvlText w:val=""/>
      <w:lvlJc w:val="left"/>
      <w:pPr>
        <w:ind w:left="1080" w:hanging="360"/>
      </w:pPr>
      <w:rPr>
        <w:rFonts w:ascii="Symbol" w:hAnsi="Symbol" w:hint="default"/>
      </w:rPr>
    </w:lvl>
    <w:lvl w:ilvl="2" w:tplc="0F044B48">
      <w:start w:val="1"/>
      <w:numFmt w:val="bullet"/>
      <w:lvlText w:val="•"/>
      <w:lvlJc w:val="left"/>
      <w:pPr>
        <w:ind w:left="2340" w:hanging="720"/>
      </w:pPr>
      <w:rPr>
        <w:rFonts w:ascii="Calibri" w:eastAsia="Times New Roman" w:hAnsi="Calibri" w:hint="default"/>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27CC71E5"/>
    <w:multiLevelType w:val="multilevel"/>
    <w:tmpl w:val="5A8E7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E36F80"/>
    <w:multiLevelType w:val="hybridMultilevel"/>
    <w:tmpl w:val="8AA69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EF7964"/>
    <w:multiLevelType w:val="hybridMultilevel"/>
    <w:tmpl w:val="7D663AA8"/>
    <w:lvl w:ilvl="0" w:tplc="D1148D0C">
      <w:start w:val="1"/>
      <w:numFmt w:val="bullet"/>
      <w:lvlText w:val=""/>
      <w:lvlJc w:val="left"/>
      <w:pPr>
        <w:ind w:left="720" w:hanging="360"/>
      </w:pPr>
      <w:rPr>
        <w:rFonts w:ascii="Symbol" w:hAnsi="Symbol" w:hint="default"/>
      </w:rPr>
    </w:lvl>
    <w:lvl w:ilvl="1" w:tplc="D1148D0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2A4CEF"/>
    <w:multiLevelType w:val="hybridMultilevel"/>
    <w:tmpl w:val="49584698"/>
    <w:lvl w:ilvl="0" w:tplc="D1148D0C">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E4C472C"/>
    <w:multiLevelType w:val="hybridMultilevel"/>
    <w:tmpl w:val="8AA69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16236F"/>
    <w:multiLevelType w:val="hybridMultilevel"/>
    <w:tmpl w:val="0A361F9A"/>
    <w:lvl w:ilvl="0" w:tplc="D1148D0C">
      <w:start w:val="1"/>
      <w:numFmt w:val="bullet"/>
      <w:lvlText w:val=""/>
      <w:lvlJc w:val="left"/>
      <w:pPr>
        <w:ind w:left="720" w:hanging="360"/>
      </w:pPr>
      <w:rPr>
        <w:rFonts w:ascii="Symbol" w:hAnsi="Symbol" w:hint="default"/>
      </w:rPr>
    </w:lvl>
    <w:lvl w:ilvl="1" w:tplc="D1148D0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6046DC"/>
    <w:multiLevelType w:val="hybridMultilevel"/>
    <w:tmpl w:val="700CF61C"/>
    <w:lvl w:ilvl="0" w:tplc="D1148D0C">
      <w:start w:val="1"/>
      <w:numFmt w:val="bullet"/>
      <w:lvlText w:val=""/>
      <w:lvlJc w:val="left"/>
      <w:pPr>
        <w:ind w:left="720" w:hanging="360"/>
      </w:pPr>
      <w:rPr>
        <w:rFonts w:ascii="Symbol" w:hAnsi="Symbol" w:hint="default"/>
      </w:rPr>
    </w:lvl>
    <w:lvl w:ilvl="1" w:tplc="D1148D0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D97B11"/>
    <w:multiLevelType w:val="hybridMultilevel"/>
    <w:tmpl w:val="2220B0FE"/>
    <w:lvl w:ilvl="0" w:tplc="D1148D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83188"/>
    <w:multiLevelType w:val="hybridMultilevel"/>
    <w:tmpl w:val="A1CEFE6C"/>
    <w:lvl w:ilvl="0" w:tplc="D1148D0C">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40E1EBB"/>
    <w:multiLevelType w:val="hybridMultilevel"/>
    <w:tmpl w:val="07FA6EAA"/>
    <w:lvl w:ilvl="0" w:tplc="3FD8A0BE">
      <w:start w:val="30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272B72"/>
    <w:multiLevelType w:val="hybridMultilevel"/>
    <w:tmpl w:val="EAA8CE02"/>
    <w:lvl w:ilvl="0" w:tplc="D1148D0C">
      <w:start w:val="1"/>
      <w:numFmt w:val="bullet"/>
      <w:lvlText w:val=""/>
      <w:lvlJc w:val="left"/>
      <w:pPr>
        <w:ind w:left="720" w:hanging="360"/>
      </w:pPr>
      <w:rPr>
        <w:rFonts w:ascii="Symbol" w:hAnsi="Symbol" w:hint="default"/>
      </w:rPr>
    </w:lvl>
    <w:lvl w:ilvl="1" w:tplc="D1148D0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992D25"/>
    <w:multiLevelType w:val="hybridMultilevel"/>
    <w:tmpl w:val="5036B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803344"/>
    <w:multiLevelType w:val="hybridMultilevel"/>
    <w:tmpl w:val="FF7E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8F46DC"/>
    <w:multiLevelType w:val="hybridMultilevel"/>
    <w:tmpl w:val="8E84053C"/>
    <w:lvl w:ilvl="0" w:tplc="478292B0">
      <w:start w:val="7"/>
      <w:numFmt w:val="decimal"/>
      <w:lvlText w:val="%1."/>
      <w:lvlJc w:val="left"/>
      <w:pPr>
        <w:ind w:left="360" w:hanging="360"/>
      </w:pPr>
      <w:rPr>
        <w:rFonts w:hint="default"/>
      </w:rPr>
    </w:lvl>
    <w:lvl w:ilvl="1" w:tplc="D1148D0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C4D41CB"/>
    <w:multiLevelType w:val="hybridMultilevel"/>
    <w:tmpl w:val="9CECB32C"/>
    <w:lvl w:ilvl="0" w:tplc="D1148D0C">
      <w:start w:val="1"/>
      <w:numFmt w:val="bullet"/>
      <w:lvlText w:val=""/>
      <w:lvlJc w:val="left"/>
      <w:pPr>
        <w:ind w:left="2520" w:hanging="360"/>
      </w:pPr>
      <w:rPr>
        <w:rFonts w:ascii="Symbol" w:hAnsi="Symbol" w:hint="default"/>
      </w:rPr>
    </w:lvl>
    <w:lvl w:ilvl="1" w:tplc="08090019" w:tentative="1">
      <w:start w:val="1"/>
      <w:numFmt w:val="lowerLetter"/>
      <w:lvlText w:val="%2."/>
      <w:lvlJc w:val="left"/>
      <w:pPr>
        <w:ind w:left="3600" w:hanging="360"/>
      </w:pPr>
      <w:rPr>
        <w:rFonts w:cs="Times New Roman"/>
      </w:rPr>
    </w:lvl>
    <w:lvl w:ilvl="2" w:tplc="0809001B" w:tentative="1">
      <w:start w:val="1"/>
      <w:numFmt w:val="lowerRoman"/>
      <w:lvlText w:val="%3."/>
      <w:lvlJc w:val="right"/>
      <w:pPr>
        <w:ind w:left="4320" w:hanging="180"/>
      </w:pPr>
      <w:rPr>
        <w:rFonts w:cs="Times New Roman"/>
      </w:rPr>
    </w:lvl>
    <w:lvl w:ilvl="3" w:tplc="0809000F" w:tentative="1">
      <w:start w:val="1"/>
      <w:numFmt w:val="decimal"/>
      <w:lvlText w:val="%4."/>
      <w:lvlJc w:val="left"/>
      <w:pPr>
        <w:ind w:left="5040" w:hanging="360"/>
      </w:pPr>
      <w:rPr>
        <w:rFonts w:cs="Times New Roman"/>
      </w:rPr>
    </w:lvl>
    <w:lvl w:ilvl="4" w:tplc="08090019" w:tentative="1">
      <w:start w:val="1"/>
      <w:numFmt w:val="lowerLetter"/>
      <w:lvlText w:val="%5."/>
      <w:lvlJc w:val="left"/>
      <w:pPr>
        <w:ind w:left="5760" w:hanging="360"/>
      </w:pPr>
      <w:rPr>
        <w:rFonts w:cs="Times New Roman"/>
      </w:rPr>
    </w:lvl>
    <w:lvl w:ilvl="5" w:tplc="0809001B" w:tentative="1">
      <w:start w:val="1"/>
      <w:numFmt w:val="lowerRoman"/>
      <w:lvlText w:val="%6."/>
      <w:lvlJc w:val="right"/>
      <w:pPr>
        <w:ind w:left="6480" w:hanging="180"/>
      </w:pPr>
      <w:rPr>
        <w:rFonts w:cs="Times New Roman"/>
      </w:rPr>
    </w:lvl>
    <w:lvl w:ilvl="6" w:tplc="0809000F" w:tentative="1">
      <w:start w:val="1"/>
      <w:numFmt w:val="decimal"/>
      <w:lvlText w:val="%7."/>
      <w:lvlJc w:val="left"/>
      <w:pPr>
        <w:ind w:left="7200" w:hanging="360"/>
      </w:pPr>
      <w:rPr>
        <w:rFonts w:cs="Times New Roman"/>
      </w:rPr>
    </w:lvl>
    <w:lvl w:ilvl="7" w:tplc="08090019" w:tentative="1">
      <w:start w:val="1"/>
      <w:numFmt w:val="lowerLetter"/>
      <w:lvlText w:val="%8."/>
      <w:lvlJc w:val="left"/>
      <w:pPr>
        <w:ind w:left="7920" w:hanging="360"/>
      </w:pPr>
      <w:rPr>
        <w:rFonts w:cs="Times New Roman"/>
      </w:rPr>
    </w:lvl>
    <w:lvl w:ilvl="8" w:tplc="0809001B" w:tentative="1">
      <w:start w:val="1"/>
      <w:numFmt w:val="lowerRoman"/>
      <w:lvlText w:val="%9."/>
      <w:lvlJc w:val="right"/>
      <w:pPr>
        <w:ind w:left="8640" w:hanging="180"/>
      </w:pPr>
      <w:rPr>
        <w:rFonts w:cs="Times New Roman"/>
      </w:rPr>
    </w:lvl>
  </w:abstractNum>
  <w:abstractNum w:abstractNumId="22" w15:restartNumberingAfterBreak="0">
    <w:nsid w:val="5C55054B"/>
    <w:multiLevelType w:val="hybridMultilevel"/>
    <w:tmpl w:val="621C2394"/>
    <w:lvl w:ilvl="0" w:tplc="D1148D0C">
      <w:start w:val="1"/>
      <w:numFmt w:val="bullet"/>
      <w:lvlText w:val=""/>
      <w:lvlJc w:val="left"/>
      <w:pPr>
        <w:ind w:left="720" w:hanging="360"/>
      </w:pPr>
      <w:rPr>
        <w:rFonts w:ascii="Symbol" w:hAnsi="Symbol" w:hint="default"/>
      </w:rPr>
    </w:lvl>
    <w:lvl w:ilvl="1" w:tplc="D1148D0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CE679A"/>
    <w:multiLevelType w:val="hybridMultilevel"/>
    <w:tmpl w:val="8AC2B9AA"/>
    <w:lvl w:ilvl="0" w:tplc="D1148D0C">
      <w:start w:val="1"/>
      <w:numFmt w:val="bullet"/>
      <w:lvlText w:val=""/>
      <w:lvlJc w:val="left"/>
      <w:pPr>
        <w:ind w:left="720" w:hanging="360"/>
      </w:pPr>
      <w:rPr>
        <w:rFonts w:ascii="Symbol" w:hAnsi="Symbol" w:hint="default"/>
      </w:rPr>
    </w:lvl>
    <w:lvl w:ilvl="1" w:tplc="D1148D0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7453D"/>
    <w:multiLevelType w:val="hybridMultilevel"/>
    <w:tmpl w:val="FFBEC5B0"/>
    <w:lvl w:ilvl="0" w:tplc="D1148D0C">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1A41E56"/>
    <w:multiLevelType w:val="hybridMultilevel"/>
    <w:tmpl w:val="356A7F24"/>
    <w:lvl w:ilvl="0" w:tplc="08090019">
      <w:start w:val="1"/>
      <w:numFmt w:val="lowerLetter"/>
      <w:lvlText w:val="%1."/>
      <w:lvlJc w:val="left"/>
      <w:pPr>
        <w:ind w:left="720" w:hanging="360"/>
      </w:pPr>
      <w:rPr>
        <w:rFonts w:cs="Times New Roman"/>
      </w:rPr>
    </w:lvl>
    <w:lvl w:ilvl="1" w:tplc="D1148D0C">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1D576D6"/>
    <w:multiLevelType w:val="hybridMultilevel"/>
    <w:tmpl w:val="8AA69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5B12CE"/>
    <w:multiLevelType w:val="hybridMultilevel"/>
    <w:tmpl w:val="94808CA0"/>
    <w:lvl w:ilvl="0" w:tplc="3FE0D338">
      <w:start w:val="6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3EF2684"/>
    <w:multiLevelType w:val="hybridMultilevel"/>
    <w:tmpl w:val="7BDC3404"/>
    <w:lvl w:ilvl="0" w:tplc="D1148D0C">
      <w:start w:val="1"/>
      <w:numFmt w:val="bullet"/>
      <w:lvlText w:val=""/>
      <w:lvlJc w:val="left"/>
      <w:pPr>
        <w:ind w:left="720" w:hanging="360"/>
      </w:pPr>
      <w:rPr>
        <w:rFonts w:ascii="Symbol" w:hAnsi="Symbol" w:hint="default"/>
      </w:rPr>
    </w:lvl>
    <w:lvl w:ilvl="1" w:tplc="D1148D0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204813"/>
    <w:multiLevelType w:val="hybridMultilevel"/>
    <w:tmpl w:val="5F907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5570CF"/>
    <w:multiLevelType w:val="hybridMultilevel"/>
    <w:tmpl w:val="080049A8"/>
    <w:lvl w:ilvl="0" w:tplc="D1148D0C">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69F77027"/>
    <w:multiLevelType w:val="hybridMultilevel"/>
    <w:tmpl w:val="AD5C1B14"/>
    <w:lvl w:ilvl="0" w:tplc="0809000F">
      <w:start w:val="1"/>
      <w:numFmt w:val="decimal"/>
      <w:lvlText w:val="%1."/>
      <w:lvlJc w:val="left"/>
      <w:pPr>
        <w:ind w:left="360" w:hanging="360"/>
      </w:pPr>
      <w:rPr>
        <w:rFonts w:cs="Times New Roman"/>
      </w:rPr>
    </w:lvl>
    <w:lvl w:ilvl="1" w:tplc="D1148D0C">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6F392E49"/>
    <w:multiLevelType w:val="hybridMultilevel"/>
    <w:tmpl w:val="B4EC48B4"/>
    <w:lvl w:ilvl="0" w:tplc="D1148D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E315F6"/>
    <w:multiLevelType w:val="hybridMultilevel"/>
    <w:tmpl w:val="6A024CFA"/>
    <w:lvl w:ilvl="0" w:tplc="D1148D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9F0D80"/>
    <w:multiLevelType w:val="hybridMultilevel"/>
    <w:tmpl w:val="A2F87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F54CD0"/>
    <w:multiLevelType w:val="hybridMultilevel"/>
    <w:tmpl w:val="B0F892A0"/>
    <w:lvl w:ilvl="0" w:tplc="D1148D0C">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75C424FF"/>
    <w:multiLevelType w:val="hybridMultilevel"/>
    <w:tmpl w:val="19148434"/>
    <w:lvl w:ilvl="0" w:tplc="D1148D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D04633"/>
    <w:multiLevelType w:val="hybridMultilevel"/>
    <w:tmpl w:val="B434DE84"/>
    <w:lvl w:ilvl="0" w:tplc="D1148D0C">
      <w:start w:val="1"/>
      <w:numFmt w:val="bullet"/>
      <w:lvlText w:val=""/>
      <w:lvlJc w:val="left"/>
      <w:pPr>
        <w:ind w:left="720" w:hanging="360"/>
      </w:pPr>
      <w:rPr>
        <w:rFonts w:ascii="Symbol" w:hAnsi="Symbol" w:hint="default"/>
      </w:rPr>
    </w:lvl>
    <w:lvl w:ilvl="1" w:tplc="D1148D0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B27A09"/>
    <w:multiLevelType w:val="hybridMultilevel"/>
    <w:tmpl w:val="0F244C5A"/>
    <w:lvl w:ilvl="0" w:tplc="D1148D0C">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A5B5188"/>
    <w:multiLevelType w:val="hybridMultilevel"/>
    <w:tmpl w:val="34202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0B5EA5"/>
    <w:multiLevelType w:val="hybridMultilevel"/>
    <w:tmpl w:val="CF244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EA4E3D"/>
    <w:multiLevelType w:val="hybridMultilevel"/>
    <w:tmpl w:val="CB6A5F20"/>
    <w:lvl w:ilvl="0" w:tplc="08090019">
      <w:start w:val="1"/>
      <w:numFmt w:val="lowerLetter"/>
      <w:lvlText w:val="%1."/>
      <w:lvlJc w:val="left"/>
      <w:pPr>
        <w:ind w:left="720" w:hanging="360"/>
      </w:pPr>
      <w:rPr>
        <w:rFonts w:cs="Times New Roman"/>
      </w:rPr>
    </w:lvl>
    <w:lvl w:ilvl="1" w:tplc="D1148D0C">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7FB522A3"/>
    <w:multiLevelType w:val="hybridMultilevel"/>
    <w:tmpl w:val="EBEEB962"/>
    <w:lvl w:ilvl="0" w:tplc="D1148D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16"/>
  </w:num>
  <w:num w:numId="4">
    <w:abstractNumId w:val="6"/>
  </w:num>
  <w:num w:numId="5">
    <w:abstractNumId w:val="31"/>
  </w:num>
  <w:num w:numId="6">
    <w:abstractNumId w:val="21"/>
  </w:num>
  <w:num w:numId="7">
    <w:abstractNumId w:val="30"/>
  </w:num>
  <w:num w:numId="8">
    <w:abstractNumId w:val="10"/>
  </w:num>
  <w:num w:numId="9">
    <w:abstractNumId w:val="24"/>
  </w:num>
  <w:num w:numId="10">
    <w:abstractNumId w:val="35"/>
  </w:num>
  <w:num w:numId="11">
    <w:abstractNumId w:val="38"/>
  </w:num>
  <w:num w:numId="12">
    <w:abstractNumId w:val="15"/>
  </w:num>
  <w:num w:numId="13">
    <w:abstractNumId w:val="25"/>
  </w:num>
  <w:num w:numId="14">
    <w:abstractNumId w:val="41"/>
  </w:num>
  <w:num w:numId="15">
    <w:abstractNumId w:val="37"/>
  </w:num>
  <w:num w:numId="16">
    <w:abstractNumId w:val="13"/>
  </w:num>
  <w:num w:numId="17">
    <w:abstractNumId w:val="28"/>
  </w:num>
  <w:num w:numId="18">
    <w:abstractNumId w:val="22"/>
  </w:num>
  <w:num w:numId="19">
    <w:abstractNumId w:val="23"/>
  </w:num>
  <w:num w:numId="20">
    <w:abstractNumId w:val="0"/>
  </w:num>
  <w:num w:numId="21">
    <w:abstractNumId w:val="14"/>
  </w:num>
  <w:num w:numId="22">
    <w:abstractNumId w:val="33"/>
  </w:num>
  <w:num w:numId="23">
    <w:abstractNumId w:val="42"/>
  </w:num>
  <w:num w:numId="24">
    <w:abstractNumId w:val="32"/>
  </w:num>
  <w:num w:numId="25">
    <w:abstractNumId w:val="36"/>
  </w:num>
  <w:num w:numId="26">
    <w:abstractNumId w:val="3"/>
  </w:num>
  <w:num w:numId="27">
    <w:abstractNumId w:val="9"/>
  </w:num>
  <w:num w:numId="28">
    <w:abstractNumId w:val="17"/>
  </w:num>
  <w:num w:numId="29">
    <w:abstractNumId w:val="12"/>
  </w:num>
  <w:num w:numId="30">
    <w:abstractNumId w:val="20"/>
  </w:num>
  <w:num w:numId="31">
    <w:abstractNumId w:val="39"/>
  </w:num>
  <w:num w:numId="32">
    <w:abstractNumId w:val="26"/>
  </w:num>
  <w:num w:numId="33">
    <w:abstractNumId w:val="8"/>
  </w:num>
  <w:num w:numId="34">
    <w:abstractNumId w:val="5"/>
  </w:num>
  <w:num w:numId="35">
    <w:abstractNumId w:val="7"/>
  </w:num>
  <w:num w:numId="36">
    <w:abstractNumId w:val="11"/>
  </w:num>
  <w:num w:numId="37">
    <w:abstractNumId w:val="34"/>
  </w:num>
  <w:num w:numId="38">
    <w:abstractNumId w:val="1"/>
  </w:num>
  <w:num w:numId="39">
    <w:abstractNumId w:val="27"/>
  </w:num>
  <w:num w:numId="40">
    <w:abstractNumId w:val="2"/>
  </w:num>
  <w:num w:numId="41">
    <w:abstractNumId w:val="19"/>
  </w:num>
  <w:num w:numId="42">
    <w:abstractNumId w:val="40"/>
  </w:num>
  <w:num w:numId="43">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a Furegato">
    <w15:presenceInfo w15:providerId="AD" w15:userId="S-1-5-21-2835755355-634858697-2241794094-162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3tTA1MzY0Nra0NLBQ0lEKTi0uzszPAykwrAUABUB02ywAAAA="/>
  </w:docVars>
  <w:rsids>
    <w:rsidRoot w:val="00A75692"/>
    <w:rsid w:val="00000BC7"/>
    <w:rsid w:val="00001475"/>
    <w:rsid w:val="00002AC5"/>
    <w:rsid w:val="00002C0C"/>
    <w:rsid w:val="00003ABF"/>
    <w:rsid w:val="00005408"/>
    <w:rsid w:val="0000563B"/>
    <w:rsid w:val="00006F4E"/>
    <w:rsid w:val="000112BC"/>
    <w:rsid w:val="00011AD1"/>
    <w:rsid w:val="000136F5"/>
    <w:rsid w:val="00013F82"/>
    <w:rsid w:val="000140FE"/>
    <w:rsid w:val="00014391"/>
    <w:rsid w:val="00016BB6"/>
    <w:rsid w:val="00017161"/>
    <w:rsid w:val="000231CD"/>
    <w:rsid w:val="00024A73"/>
    <w:rsid w:val="00026412"/>
    <w:rsid w:val="00026AE0"/>
    <w:rsid w:val="00030160"/>
    <w:rsid w:val="000346C7"/>
    <w:rsid w:val="00035DFF"/>
    <w:rsid w:val="000360C9"/>
    <w:rsid w:val="00036E73"/>
    <w:rsid w:val="000429DD"/>
    <w:rsid w:val="00044412"/>
    <w:rsid w:val="00045091"/>
    <w:rsid w:val="00046283"/>
    <w:rsid w:val="0005025B"/>
    <w:rsid w:val="00050BB5"/>
    <w:rsid w:val="000519DD"/>
    <w:rsid w:val="00052494"/>
    <w:rsid w:val="00052D96"/>
    <w:rsid w:val="00055015"/>
    <w:rsid w:val="00061FA0"/>
    <w:rsid w:val="00064A3F"/>
    <w:rsid w:val="00065116"/>
    <w:rsid w:val="0006513E"/>
    <w:rsid w:val="00066BEB"/>
    <w:rsid w:val="00072564"/>
    <w:rsid w:val="000725E5"/>
    <w:rsid w:val="00072AB9"/>
    <w:rsid w:val="00077C51"/>
    <w:rsid w:val="000817D1"/>
    <w:rsid w:val="00081C2C"/>
    <w:rsid w:val="00083550"/>
    <w:rsid w:val="00086069"/>
    <w:rsid w:val="00091EDD"/>
    <w:rsid w:val="00092D8F"/>
    <w:rsid w:val="000930E8"/>
    <w:rsid w:val="00094B77"/>
    <w:rsid w:val="00094BE9"/>
    <w:rsid w:val="00096C35"/>
    <w:rsid w:val="00097D1C"/>
    <w:rsid w:val="000A0041"/>
    <w:rsid w:val="000A05CD"/>
    <w:rsid w:val="000A2F3D"/>
    <w:rsid w:val="000A6223"/>
    <w:rsid w:val="000B2043"/>
    <w:rsid w:val="000B437E"/>
    <w:rsid w:val="000B74DA"/>
    <w:rsid w:val="000B7FBA"/>
    <w:rsid w:val="000C030D"/>
    <w:rsid w:val="000C3A2E"/>
    <w:rsid w:val="000C59B5"/>
    <w:rsid w:val="000D19F7"/>
    <w:rsid w:val="000D1AA4"/>
    <w:rsid w:val="000D1D78"/>
    <w:rsid w:val="000D22F8"/>
    <w:rsid w:val="000E0535"/>
    <w:rsid w:val="000E12E6"/>
    <w:rsid w:val="000E13DC"/>
    <w:rsid w:val="000E146F"/>
    <w:rsid w:val="000E1C7A"/>
    <w:rsid w:val="000E57A9"/>
    <w:rsid w:val="000E6037"/>
    <w:rsid w:val="000E6A2D"/>
    <w:rsid w:val="000F30BA"/>
    <w:rsid w:val="000F352A"/>
    <w:rsid w:val="000F5A96"/>
    <w:rsid w:val="000F604F"/>
    <w:rsid w:val="000F7552"/>
    <w:rsid w:val="00100B88"/>
    <w:rsid w:val="00102E6D"/>
    <w:rsid w:val="001034AC"/>
    <w:rsid w:val="0010467B"/>
    <w:rsid w:val="00105CF0"/>
    <w:rsid w:val="00105DE4"/>
    <w:rsid w:val="00113473"/>
    <w:rsid w:val="00113539"/>
    <w:rsid w:val="00115BAE"/>
    <w:rsid w:val="001259DE"/>
    <w:rsid w:val="0012788E"/>
    <w:rsid w:val="00130265"/>
    <w:rsid w:val="001351B9"/>
    <w:rsid w:val="00135534"/>
    <w:rsid w:val="00142CB2"/>
    <w:rsid w:val="00143796"/>
    <w:rsid w:val="00145671"/>
    <w:rsid w:val="001557DD"/>
    <w:rsid w:val="0015651A"/>
    <w:rsid w:val="001566BF"/>
    <w:rsid w:val="00157F9B"/>
    <w:rsid w:val="00161922"/>
    <w:rsid w:val="00164748"/>
    <w:rsid w:val="0016604E"/>
    <w:rsid w:val="0016628F"/>
    <w:rsid w:val="00173F81"/>
    <w:rsid w:val="001761C7"/>
    <w:rsid w:val="00181AB6"/>
    <w:rsid w:val="001846B4"/>
    <w:rsid w:val="00185044"/>
    <w:rsid w:val="00186929"/>
    <w:rsid w:val="00191FF8"/>
    <w:rsid w:val="00192126"/>
    <w:rsid w:val="0019413E"/>
    <w:rsid w:val="00194268"/>
    <w:rsid w:val="001969E8"/>
    <w:rsid w:val="001977F2"/>
    <w:rsid w:val="001978D9"/>
    <w:rsid w:val="001A04DA"/>
    <w:rsid w:val="001A0FB2"/>
    <w:rsid w:val="001A1663"/>
    <w:rsid w:val="001A3616"/>
    <w:rsid w:val="001A5E32"/>
    <w:rsid w:val="001B07F2"/>
    <w:rsid w:val="001B0E1C"/>
    <w:rsid w:val="001B317D"/>
    <w:rsid w:val="001B40CD"/>
    <w:rsid w:val="001B5AAE"/>
    <w:rsid w:val="001B66F2"/>
    <w:rsid w:val="001B6D01"/>
    <w:rsid w:val="001B7A8D"/>
    <w:rsid w:val="001C1285"/>
    <w:rsid w:val="001C135D"/>
    <w:rsid w:val="001C2667"/>
    <w:rsid w:val="001D1166"/>
    <w:rsid w:val="001D1C05"/>
    <w:rsid w:val="001D1D46"/>
    <w:rsid w:val="001D50EB"/>
    <w:rsid w:val="001E0191"/>
    <w:rsid w:val="001E318D"/>
    <w:rsid w:val="001E3CB3"/>
    <w:rsid w:val="001E5948"/>
    <w:rsid w:val="001E760C"/>
    <w:rsid w:val="001F0D06"/>
    <w:rsid w:val="001F0EF3"/>
    <w:rsid w:val="001F22C6"/>
    <w:rsid w:val="001F2A13"/>
    <w:rsid w:val="00202150"/>
    <w:rsid w:val="00202744"/>
    <w:rsid w:val="00204941"/>
    <w:rsid w:val="00204C0B"/>
    <w:rsid w:val="00205EA9"/>
    <w:rsid w:val="00206EC4"/>
    <w:rsid w:val="00207BB8"/>
    <w:rsid w:val="0021185E"/>
    <w:rsid w:val="00216916"/>
    <w:rsid w:val="00222CB9"/>
    <w:rsid w:val="002275EB"/>
    <w:rsid w:val="002300EE"/>
    <w:rsid w:val="0023090A"/>
    <w:rsid w:val="00230D7D"/>
    <w:rsid w:val="0023445E"/>
    <w:rsid w:val="002361F7"/>
    <w:rsid w:val="00236F03"/>
    <w:rsid w:val="00237D98"/>
    <w:rsid w:val="0024012E"/>
    <w:rsid w:val="00240CA3"/>
    <w:rsid w:val="00243B2B"/>
    <w:rsid w:val="0024490E"/>
    <w:rsid w:val="0024663D"/>
    <w:rsid w:val="00247456"/>
    <w:rsid w:val="0025114A"/>
    <w:rsid w:val="002511AB"/>
    <w:rsid w:val="002511E1"/>
    <w:rsid w:val="002531CE"/>
    <w:rsid w:val="002550D3"/>
    <w:rsid w:val="00255C6E"/>
    <w:rsid w:val="00256573"/>
    <w:rsid w:val="00256E09"/>
    <w:rsid w:val="00257B7C"/>
    <w:rsid w:val="00257D5A"/>
    <w:rsid w:val="00261498"/>
    <w:rsid w:val="00261B99"/>
    <w:rsid w:val="002661DD"/>
    <w:rsid w:val="00266768"/>
    <w:rsid w:val="002715B2"/>
    <w:rsid w:val="00276E0E"/>
    <w:rsid w:val="00282576"/>
    <w:rsid w:val="00282AFC"/>
    <w:rsid w:val="002864C3"/>
    <w:rsid w:val="00287CC9"/>
    <w:rsid w:val="00290A38"/>
    <w:rsid w:val="00296ED1"/>
    <w:rsid w:val="002A0558"/>
    <w:rsid w:val="002A3150"/>
    <w:rsid w:val="002A4802"/>
    <w:rsid w:val="002B039B"/>
    <w:rsid w:val="002B274F"/>
    <w:rsid w:val="002B62DD"/>
    <w:rsid w:val="002B7E69"/>
    <w:rsid w:val="002C03D6"/>
    <w:rsid w:val="002C0537"/>
    <w:rsid w:val="002C0673"/>
    <w:rsid w:val="002C0A01"/>
    <w:rsid w:val="002C11ED"/>
    <w:rsid w:val="002C7110"/>
    <w:rsid w:val="002D2279"/>
    <w:rsid w:val="002D38D0"/>
    <w:rsid w:val="002D7306"/>
    <w:rsid w:val="002D7530"/>
    <w:rsid w:val="002E1A0A"/>
    <w:rsid w:val="002E31FC"/>
    <w:rsid w:val="002E4F35"/>
    <w:rsid w:val="002E52FA"/>
    <w:rsid w:val="002E5692"/>
    <w:rsid w:val="002E676A"/>
    <w:rsid w:val="002E6922"/>
    <w:rsid w:val="002F2B49"/>
    <w:rsid w:val="002F300F"/>
    <w:rsid w:val="002F3176"/>
    <w:rsid w:val="002F4564"/>
    <w:rsid w:val="002F616A"/>
    <w:rsid w:val="00304726"/>
    <w:rsid w:val="003073B3"/>
    <w:rsid w:val="0030755E"/>
    <w:rsid w:val="00307CAB"/>
    <w:rsid w:val="0031073C"/>
    <w:rsid w:val="00311CD8"/>
    <w:rsid w:val="00312512"/>
    <w:rsid w:val="00313FE6"/>
    <w:rsid w:val="00315A59"/>
    <w:rsid w:val="00315C65"/>
    <w:rsid w:val="003174AA"/>
    <w:rsid w:val="00317F01"/>
    <w:rsid w:val="00323142"/>
    <w:rsid w:val="00323913"/>
    <w:rsid w:val="00324082"/>
    <w:rsid w:val="0032454D"/>
    <w:rsid w:val="00324FB6"/>
    <w:rsid w:val="0032540C"/>
    <w:rsid w:val="003260FA"/>
    <w:rsid w:val="0032621B"/>
    <w:rsid w:val="00326EEC"/>
    <w:rsid w:val="00330E09"/>
    <w:rsid w:val="003332AA"/>
    <w:rsid w:val="00335958"/>
    <w:rsid w:val="003363FF"/>
    <w:rsid w:val="00340B0A"/>
    <w:rsid w:val="00341D65"/>
    <w:rsid w:val="00342788"/>
    <w:rsid w:val="00342E1A"/>
    <w:rsid w:val="00346B1E"/>
    <w:rsid w:val="003471E0"/>
    <w:rsid w:val="0035091A"/>
    <w:rsid w:val="00350B4C"/>
    <w:rsid w:val="003543C8"/>
    <w:rsid w:val="00360690"/>
    <w:rsid w:val="00361CFB"/>
    <w:rsid w:val="003633BC"/>
    <w:rsid w:val="0036350A"/>
    <w:rsid w:val="00366949"/>
    <w:rsid w:val="00372700"/>
    <w:rsid w:val="00372D38"/>
    <w:rsid w:val="00373A23"/>
    <w:rsid w:val="0037582C"/>
    <w:rsid w:val="00376182"/>
    <w:rsid w:val="0037758D"/>
    <w:rsid w:val="0038276A"/>
    <w:rsid w:val="00383F0D"/>
    <w:rsid w:val="00384BAF"/>
    <w:rsid w:val="00384C37"/>
    <w:rsid w:val="003850C7"/>
    <w:rsid w:val="00386FE6"/>
    <w:rsid w:val="0038781A"/>
    <w:rsid w:val="0039137B"/>
    <w:rsid w:val="00391E47"/>
    <w:rsid w:val="00393993"/>
    <w:rsid w:val="00395C7E"/>
    <w:rsid w:val="00396ED7"/>
    <w:rsid w:val="003A00B2"/>
    <w:rsid w:val="003A44D4"/>
    <w:rsid w:val="003A5304"/>
    <w:rsid w:val="003B10BF"/>
    <w:rsid w:val="003B277D"/>
    <w:rsid w:val="003B3585"/>
    <w:rsid w:val="003B604B"/>
    <w:rsid w:val="003B60F7"/>
    <w:rsid w:val="003B6A64"/>
    <w:rsid w:val="003B7EA9"/>
    <w:rsid w:val="003C0766"/>
    <w:rsid w:val="003C13DE"/>
    <w:rsid w:val="003C7ECA"/>
    <w:rsid w:val="003D2050"/>
    <w:rsid w:val="003D2E06"/>
    <w:rsid w:val="003D3406"/>
    <w:rsid w:val="003D6631"/>
    <w:rsid w:val="003E4023"/>
    <w:rsid w:val="003E4E62"/>
    <w:rsid w:val="003E7AA0"/>
    <w:rsid w:val="003F07FC"/>
    <w:rsid w:val="003F1FAA"/>
    <w:rsid w:val="003F3C6A"/>
    <w:rsid w:val="003F4C6E"/>
    <w:rsid w:val="003F7481"/>
    <w:rsid w:val="00401FA8"/>
    <w:rsid w:val="00402429"/>
    <w:rsid w:val="0040291C"/>
    <w:rsid w:val="0040555A"/>
    <w:rsid w:val="0040711D"/>
    <w:rsid w:val="00411306"/>
    <w:rsid w:val="00413594"/>
    <w:rsid w:val="0041725E"/>
    <w:rsid w:val="00420235"/>
    <w:rsid w:val="00421C55"/>
    <w:rsid w:val="0042233D"/>
    <w:rsid w:val="00422475"/>
    <w:rsid w:val="00424BAF"/>
    <w:rsid w:val="00426A41"/>
    <w:rsid w:val="00434C2E"/>
    <w:rsid w:val="00435F95"/>
    <w:rsid w:val="00440460"/>
    <w:rsid w:val="00441951"/>
    <w:rsid w:val="0044242E"/>
    <w:rsid w:val="00443D7A"/>
    <w:rsid w:val="00443DAE"/>
    <w:rsid w:val="00443F4C"/>
    <w:rsid w:val="004456EA"/>
    <w:rsid w:val="0044653B"/>
    <w:rsid w:val="00447FE0"/>
    <w:rsid w:val="00452482"/>
    <w:rsid w:val="00453C32"/>
    <w:rsid w:val="0045581E"/>
    <w:rsid w:val="00455C90"/>
    <w:rsid w:val="00456312"/>
    <w:rsid w:val="004575E0"/>
    <w:rsid w:val="00457659"/>
    <w:rsid w:val="00460656"/>
    <w:rsid w:val="00461C6F"/>
    <w:rsid w:val="00462164"/>
    <w:rsid w:val="00462F9B"/>
    <w:rsid w:val="00464575"/>
    <w:rsid w:val="004662F3"/>
    <w:rsid w:val="0046645E"/>
    <w:rsid w:val="00466958"/>
    <w:rsid w:val="00466EAB"/>
    <w:rsid w:val="00471987"/>
    <w:rsid w:val="004747FD"/>
    <w:rsid w:val="0047567A"/>
    <w:rsid w:val="004763B6"/>
    <w:rsid w:val="004776E6"/>
    <w:rsid w:val="00482AC3"/>
    <w:rsid w:val="004831CE"/>
    <w:rsid w:val="00484EAC"/>
    <w:rsid w:val="004858CB"/>
    <w:rsid w:val="00490DC5"/>
    <w:rsid w:val="00494463"/>
    <w:rsid w:val="004946B9"/>
    <w:rsid w:val="0049583E"/>
    <w:rsid w:val="00495B40"/>
    <w:rsid w:val="004978B6"/>
    <w:rsid w:val="004A2AAD"/>
    <w:rsid w:val="004A40C0"/>
    <w:rsid w:val="004B07B1"/>
    <w:rsid w:val="004B1161"/>
    <w:rsid w:val="004B4B35"/>
    <w:rsid w:val="004B5646"/>
    <w:rsid w:val="004B5B62"/>
    <w:rsid w:val="004C1649"/>
    <w:rsid w:val="004C5699"/>
    <w:rsid w:val="004C6938"/>
    <w:rsid w:val="004C7196"/>
    <w:rsid w:val="004D02C8"/>
    <w:rsid w:val="004D08F2"/>
    <w:rsid w:val="004D2F75"/>
    <w:rsid w:val="004D3559"/>
    <w:rsid w:val="004D4573"/>
    <w:rsid w:val="004D5897"/>
    <w:rsid w:val="004D7F1C"/>
    <w:rsid w:val="004E0899"/>
    <w:rsid w:val="004E160B"/>
    <w:rsid w:val="004E16CD"/>
    <w:rsid w:val="004E4A5E"/>
    <w:rsid w:val="004F3285"/>
    <w:rsid w:val="004F4BB0"/>
    <w:rsid w:val="004F6B59"/>
    <w:rsid w:val="004F7BCF"/>
    <w:rsid w:val="00505025"/>
    <w:rsid w:val="00505146"/>
    <w:rsid w:val="00506010"/>
    <w:rsid w:val="0050613A"/>
    <w:rsid w:val="0050615C"/>
    <w:rsid w:val="00506329"/>
    <w:rsid w:val="00506E7D"/>
    <w:rsid w:val="0051223C"/>
    <w:rsid w:val="0051270E"/>
    <w:rsid w:val="005135B2"/>
    <w:rsid w:val="00513E3A"/>
    <w:rsid w:val="00514253"/>
    <w:rsid w:val="00514C3D"/>
    <w:rsid w:val="00515B7E"/>
    <w:rsid w:val="0051620C"/>
    <w:rsid w:val="00524315"/>
    <w:rsid w:val="0052453C"/>
    <w:rsid w:val="00524749"/>
    <w:rsid w:val="005276E9"/>
    <w:rsid w:val="0053104C"/>
    <w:rsid w:val="0053290B"/>
    <w:rsid w:val="005333BB"/>
    <w:rsid w:val="00533795"/>
    <w:rsid w:val="00540C2C"/>
    <w:rsid w:val="00540C49"/>
    <w:rsid w:val="00542CE5"/>
    <w:rsid w:val="005436C3"/>
    <w:rsid w:val="00545CD2"/>
    <w:rsid w:val="0054714C"/>
    <w:rsid w:val="00551822"/>
    <w:rsid w:val="005550B9"/>
    <w:rsid w:val="00555A1A"/>
    <w:rsid w:val="00557BF9"/>
    <w:rsid w:val="00561B5E"/>
    <w:rsid w:val="0056432D"/>
    <w:rsid w:val="00564BF9"/>
    <w:rsid w:val="00564F87"/>
    <w:rsid w:val="00566FE7"/>
    <w:rsid w:val="005704D7"/>
    <w:rsid w:val="00570A1F"/>
    <w:rsid w:val="00572551"/>
    <w:rsid w:val="005731E5"/>
    <w:rsid w:val="005733E8"/>
    <w:rsid w:val="00574AF3"/>
    <w:rsid w:val="005756A4"/>
    <w:rsid w:val="00577F2F"/>
    <w:rsid w:val="0058044F"/>
    <w:rsid w:val="005823BE"/>
    <w:rsid w:val="00582CA0"/>
    <w:rsid w:val="00584FDB"/>
    <w:rsid w:val="005853BF"/>
    <w:rsid w:val="00585968"/>
    <w:rsid w:val="00585E09"/>
    <w:rsid w:val="00587C21"/>
    <w:rsid w:val="00590947"/>
    <w:rsid w:val="00590B46"/>
    <w:rsid w:val="00593A36"/>
    <w:rsid w:val="0059598D"/>
    <w:rsid w:val="005A05F1"/>
    <w:rsid w:val="005A35EF"/>
    <w:rsid w:val="005A37C8"/>
    <w:rsid w:val="005A57DA"/>
    <w:rsid w:val="005A67A2"/>
    <w:rsid w:val="005B0D40"/>
    <w:rsid w:val="005B26C6"/>
    <w:rsid w:val="005B4FBB"/>
    <w:rsid w:val="005C0A21"/>
    <w:rsid w:val="005C1604"/>
    <w:rsid w:val="005C2950"/>
    <w:rsid w:val="005C4BCF"/>
    <w:rsid w:val="005D0491"/>
    <w:rsid w:val="005D1262"/>
    <w:rsid w:val="005D22EC"/>
    <w:rsid w:val="005D2D1A"/>
    <w:rsid w:val="005D43D0"/>
    <w:rsid w:val="005D7AEC"/>
    <w:rsid w:val="005E3321"/>
    <w:rsid w:val="005E59C4"/>
    <w:rsid w:val="005E6F40"/>
    <w:rsid w:val="005F0E3D"/>
    <w:rsid w:val="005F11BB"/>
    <w:rsid w:val="005F1D23"/>
    <w:rsid w:val="005F2027"/>
    <w:rsid w:val="005F261A"/>
    <w:rsid w:val="005F265D"/>
    <w:rsid w:val="005F2CCF"/>
    <w:rsid w:val="005F378A"/>
    <w:rsid w:val="005F5BD9"/>
    <w:rsid w:val="006026A2"/>
    <w:rsid w:val="00602E06"/>
    <w:rsid w:val="00603A3B"/>
    <w:rsid w:val="00604E87"/>
    <w:rsid w:val="00605403"/>
    <w:rsid w:val="00607957"/>
    <w:rsid w:val="00607B29"/>
    <w:rsid w:val="00611C4C"/>
    <w:rsid w:val="006145E9"/>
    <w:rsid w:val="00614AFB"/>
    <w:rsid w:val="006157CF"/>
    <w:rsid w:val="006158D4"/>
    <w:rsid w:val="006162B6"/>
    <w:rsid w:val="00624975"/>
    <w:rsid w:val="00624BBB"/>
    <w:rsid w:val="00626368"/>
    <w:rsid w:val="00626BD3"/>
    <w:rsid w:val="00633E0C"/>
    <w:rsid w:val="006356FE"/>
    <w:rsid w:val="00637066"/>
    <w:rsid w:val="00637329"/>
    <w:rsid w:val="006373F8"/>
    <w:rsid w:val="0064294A"/>
    <w:rsid w:val="00642CF1"/>
    <w:rsid w:val="00643845"/>
    <w:rsid w:val="006453E5"/>
    <w:rsid w:val="00646B11"/>
    <w:rsid w:val="006549A0"/>
    <w:rsid w:val="00655191"/>
    <w:rsid w:val="00656118"/>
    <w:rsid w:val="006565C9"/>
    <w:rsid w:val="00660C8B"/>
    <w:rsid w:val="0066292E"/>
    <w:rsid w:val="00663752"/>
    <w:rsid w:val="0066381F"/>
    <w:rsid w:val="00665721"/>
    <w:rsid w:val="006708CF"/>
    <w:rsid w:val="00670FEB"/>
    <w:rsid w:val="0067110F"/>
    <w:rsid w:val="00671301"/>
    <w:rsid w:val="00672068"/>
    <w:rsid w:val="00677A76"/>
    <w:rsid w:val="00681ED5"/>
    <w:rsid w:val="006824C5"/>
    <w:rsid w:val="0068333C"/>
    <w:rsid w:val="00683440"/>
    <w:rsid w:val="0068412D"/>
    <w:rsid w:val="00684748"/>
    <w:rsid w:val="006872E2"/>
    <w:rsid w:val="00691774"/>
    <w:rsid w:val="00692E66"/>
    <w:rsid w:val="0069475C"/>
    <w:rsid w:val="00696A39"/>
    <w:rsid w:val="006974D3"/>
    <w:rsid w:val="006A05EC"/>
    <w:rsid w:val="006A2054"/>
    <w:rsid w:val="006A4343"/>
    <w:rsid w:val="006A5F81"/>
    <w:rsid w:val="006A633A"/>
    <w:rsid w:val="006A6EDA"/>
    <w:rsid w:val="006B0368"/>
    <w:rsid w:val="006B2672"/>
    <w:rsid w:val="006B424D"/>
    <w:rsid w:val="006B4B89"/>
    <w:rsid w:val="006B7DA1"/>
    <w:rsid w:val="006C030D"/>
    <w:rsid w:val="006C2303"/>
    <w:rsid w:val="006C3D6A"/>
    <w:rsid w:val="006C40D1"/>
    <w:rsid w:val="006C484F"/>
    <w:rsid w:val="006C7BD2"/>
    <w:rsid w:val="006D0FDB"/>
    <w:rsid w:val="006D3741"/>
    <w:rsid w:val="006D6E55"/>
    <w:rsid w:val="006E0130"/>
    <w:rsid w:val="006E3920"/>
    <w:rsid w:val="006E3E12"/>
    <w:rsid w:val="006E41AB"/>
    <w:rsid w:val="006E45ED"/>
    <w:rsid w:val="006E6197"/>
    <w:rsid w:val="006F0959"/>
    <w:rsid w:val="006F139E"/>
    <w:rsid w:val="006F23EA"/>
    <w:rsid w:val="006F38BE"/>
    <w:rsid w:val="006F6B26"/>
    <w:rsid w:val="00701421"/>
    <w:rsid w:val="00703488"/>
    <w:rsid w:val="00703BD8"/>
    <w:rsid w:val="00707F5C"/>
    <w:rsid w:val="00713425"/>
    <w:rsid w:val="00713C2C"/>
    <w:rsid w:val="00714E7A"/>
    <w:rsid w:val="00721948"/>
    <w:rsid w:val="0072214D"/>
    <w:rsid w:val="00723BAA"/>
    <w:rsid w:val="007245DF"/>
    <w:rsid w:val="00724A65"/>
    <w:rsid w:val="00725E9B"/>
    <w:rsid w:val="00726D4B"/>
    <w:rsid w:val="007303ED"/>
    <w:rsid w:val="00732762"/>
    <w:rsid w:val="00734B49"/>
    <w:rsid w:val="00737A7F"/>
    <w:rsid w:val="0074120E"/>
    <w:rsid w:val="00741EC7"/>
    <w:rsid w:val="007427DE"/>
    <w:rsid w:val="007432C4"/>
    <w:rsid w:val="007432E4"/>
    <w:rsid w:val="00744209"/>
    <w:rsid w:val="00744F54"/>
    <w:rsid w:val="00746C94"/>
    <w:rsid w:val="00747F96"/>
    <w:rsid w:val="007505DE"/>
    <w:rsid w:val="00751F72"/>
    <w:rsid w:val="00752137"/>
    <w:rsid w:val="007568EE"/>
    <w:rsid w:val="00757E7D"/>
    <w:rsid w:val="007603AE"/>
    <w:rsid w:val="00760E29"/>
    <w:rsid w:val="00763F05"/>
    <w:rsid w:val="00764030"/>
    <w:rsid w:val="00764982"/>
    <w:rsid w:val="007654FE"/>
    <w:rsid w:val="00765A3F"/>
    <w:rsid w:val="00766515"/>
    <w:rsid w:val="00767719"/>
    <w:rsid w:val="007720BC"/>
    <w:rsid w:val="00773F56"/>
    <w:rsid w:val="00780D7B"/>
    <w:rsid w:val="00782E16"/>
    <w:rsid w:val="00787939"/>
    <w:rsid w:val="0079100E"/>
    <w:rsid w:val="00793119"/>
    <w:rsid w:val="00794DB9"/>
    <w:rsid w:val="007956E1"/>
    <w:rsid w:val="00796703"/>
    <w:rsid w:val="007A0A2F"/>
    <w:rsid w:val="007A25CE"/>
    <w:rsid w:val="007A6FC4"/>
    <w:rsid w:val="007B3C15"/>
    <w:rsid w:val="007B6C89"/>
    <w:rsid w:val="007C075B"/>
    <w:rsid w:val="007C1A89"/>
    <w:rsid w:val="007C2B8F"/>
    <w:rsid w:val="007C547D"/>
    <w:rsid w:val="007C609A"/>
    <w:rsid w:val="007D12AB"/>
    <w:rsid w:val="007D1A3E"/>
    <w:rsid w:val="007D1A4B"/>
    <w:rsid w:val="007D3CAF"/>
    <w:rsid w:val="007D4427"/>
    <w:rsid w:val="007D6295"/>
    <w:rsid w:val="007E311C"/>
    <w:rsid w:val="007E65CD"/>
    <w:rsid w:val="007E7EAD"/>
    <w:rsid w:val="007F019B"/>
    <w:rsid w:val="007F06CD"/>
    <w:rsid w:val="007F0CF5"/>
    <w:rsid w:val="007F1683"/>
    <w:rsid w:val="007F18B6"/>
    <w:rsid w:val="007F1DD9"/>
    <w:rsid w:val="007F5405"/>
    <w:rsid w:val="007F6851"/>
    <w:rsid w:val="007F7B2F"/>
    <w:rsid w:val="00800474"/>
    <w:rsid w:val="00806455"/>
    <w:rsid w:val="0081008D"/>
    <w:rsid w:val="00811CAB"/>
    <w:rsid w:val="0081296A"/>
    <w:rsid w:val="00813C7E"/>
    <w:rsid w:val="00816AC4"/>
    <w:rsid w:val="00817C0A"/>
    <w:rsid w:val="00817F4B"/>
    <w:rsid w:val="0082135C"/>
    <w:rsid w:val="00823E06"/>
    <w:rsid w:val="00825240"/>
    <w:rsid w:val="008252F8"/>
    <w:rsid w:val="008254D8"/>
    <w:rsid w:val="00825B36"/>
    <w:rsid w:val="00825BCE"/>
    <w:rsid w:val="00827426"/>
    <w:rsid w:val="0083198D"/>
    <w:rsid w:val="00836563"/>
    <w:rsid w:val="00841DBA"/>
    <w:rsid w:val="00847A46"/>
    <w:rsid w:val="00856A06"/>
    <w:rsid w:val="008604B7"/>
    <w:rsid w:val="008620FA"/>
    <w:rsid w:val="00863C9B"/>
    <w:rsid w:val="0086428E"/>
    <w:rsid w:val="00864750"/>
    <w:rsid w:val="0086596B"/>
    <w:rsid w:val="0087126E"/>
    <w:rsid w:val="008713B4"/>
    <w:rsid w:val="008721D8"/>
    <w:rsid w:val="00873F25"/>
    <w:rsid w:val="00874F77"/>
    <w:rsid w:val="0087732D"/>
    <w:rsid w:val="00877351"/>
    <w:rsid w:val="00877CCA"/>
    <w:rsid w:val="00880031"/>
    <w:rsid w:val="00881F4E"/>
    <w:rsid w:val="00884E67"/>
    <w:rsid w:val="00887CD3"/>
    <w:rsid w:val="0089364F"/>
    <w:rsid w:val="00893942"/>
    <w:rsid w:val="008952D6"/>
    <w:rsid w:val="008954EE"/>
    <w:rsid w:val="008A109C"/>
    <w:rsid w:val="008A1D93"/>
    <w:rsid w:val="008A3185"/>
    <w:rsid w:val="008A3213"/>
    <w:rsid w:val="008A487A"/>
    <w:rsid w:val="008A6A3D"/>
    <w:rsid w:val="008B1939"/>
    <w:rsid w:val="008B5257"/>
    <w:rsid w:val="008B667F"/>
    <w:rsid w:val="008C148E"/>
    <w:rsid w:val="008C197A"/>
    <w:rsid w:val="008C362E"/>
    <w:rsid w:val="008C46C1"/>
    <w:rsid w:val="008C55B0"/>
    <w:rsid w:val="008C70E0"/>
    <w:rsid w:val="008D1F0A"/>
    <w:rsid w:val="008D32DC"/>
    <w:rsid w:val="008D4440"/>
    <w:rsid w:val="008D599A"/>
    <w:rsid w:val="008D6A30"/>
    <w:rsid w:val="008E1AC2"/>
    <w:rsid w:val="008E31B3"/>
    <w:rsid w:val="008E4571"/>
    <w:rsid w:val="008E67AB"/>
    <w:rsid w:val="008E7791"/>
    <w:rsid w:val="008F0F77"/>
    <w:rsid w:val="008F616D"/>
    <w:rsid w:val="008F6A9D"/>
    <w:rsid w:val="008F6FDD"/>
    <w:rsid w:val="008F7A5C"/>
    <w:rsid w:val="00902713"/>
    <w:rsid w:val="00902FC5"/>
    <w:rsid w:val="00905DAC"/>
    <w:rsid w:val="00906608"/>
    <w:rsid w:val="009069DC"/>
    <w:rsid w:val="009124B6"/>
    <w:rsid w:val="0091254C"/>
    <w:rsid w:val="00913547"/>
    <w:rsid w:val="009148F9"/>
    <w:rsid w:val="00915521"/>
    <w:rsid w:val="00915D11"/>
    <w:rsid w:val="00917175"/>
    <w:rsid w:val="00917B27"/>
    <w:rsid w:val="0092138C"/>
    <w:rsid w:val="00922A63"/>
    <w:rsid w:val="00925F10"/>
    <w:rsid w:val="00930EC0"/>
    <w:rsid w:val="009326FF"/>
    <w:rsid w:val="00932FAE"/>
    <w:rsid w:val="00937227"/>
    <w:rsid w:val="00937ECC"/>
    <w:rsid w:val="0094017D"/>
    <w:rsid w:val="00940509"/>
    <w:rsid w:val="00943EB4"/>
    <w:rsid w:val="0094431B"/>
    <w:rsid w:val="00950D84"/>
    <w:rsid w:val="00953CA0"/>
    <w:rsid w:val="009542F6"/>
    <w:rsid w:val="00955E08"/>
    <w:rsid w:val="00956535"/>
    <w:rsid w:val="00957765"/>
    <w:rsid w:val="0096145A"/>
    <w:rsid w:val="00964C1D"/>
    <w:rsid w:val="00964DA5"/>
    <w:rsid w:val="0096625D"/>
    <w:rsid w:val="009664CD"/>
    <w:rsid w:val="00966B29"/>
    <w:rsid w:val="00975228"/>
    <w:rsid w:val="00975D83"/>
    <w:rsid w:val="00980C68"/>
    <w:rsid w:val="009815CE"/>
    <w:rsid w:val="00982EDF"/>
    <w:rsid w:val="00985067"/>
    <w:rsid w:val="0098634F"/>
    <w:rsid w:val="00991232"/>
    <w:rsid w:val="00992F89"/>
    <w:rsid w:val="00994693"/>
    <w:rsid w:val="00994731"/>
    <w:rsid w:val="009967B0"/>
    <w:rsid w:val="009979BF"/>
    <w:rsid w:val="009A00A2"/>
    <w:rsid w:val="009A0478"/>
    <w:rsid w:val="009A26E2"/>
    <w:rsid w:val="009A3FDC"/>
    <w:rsid w:val="009B4122"/>
    <w:rsid w:val="009C0204"/>
    <w:rsid w:val="009C1A5D"/>
    <w:rsid w:val="009C64FC"/>
    <w:rsid w:val="009C67D3"/>
    <w:rsid w:val="009C73BF"/>
    <w:rsid w:val="009C772F"/>
    <w:rsid w:val="009C7F2B"/>
    <w:rsid w:val="009D00A9"/>
    <w:rsid w:val="009D0EB4"/>
    <w:rsid w:val="009D16AE"/>
    <w:rsid w:val="009D1AAD"/>
    <w:rsid w:val="009D48BF"/>
    <w:rsid w:val="009D4AA5"/>
    <w:rsid w:val="009D4AC9"/>
    <w:rsid w:val="009D5446"/>
    <w:rsid w:val="009D5457"/>
    <w:rsid w:val="009D5E39"/>
    <w:rsid w:val="009E07A9"/>
    <w:rsid w:val="009E08A3"/>
    <w:rsid w:val="009E254E"/>
    <w:rsid w:val="009E26A9"/>
    <w:rsid w:val="009E3038"/>
    <w:rsid w:val="009E448D"/>
    <w:rsid w:val="009E4B2E"/>
    <w:rsid w:val="009E5252"/>
    <w:rsid w:val="009E54DD"/>
    <w:rsid w:val="009F14A9"/>
    <w:rsid w:val="009F179E"/>
    <w:rsid w:val="009F2160"/>
    <w:rsid w:val="009F5A3E"/>
    <w:rsid w:val="009F5BA3"/>
    <w:rsid w:val="009F78FF"/>
    <w:rsid w:val="00A03473"/>
    <w:rsid w:val="00A04F91"/>
    <w:rsid w:val="00A05A41"/>
    <w:rsid w:val="00A05C57"/>
    <w:rsid w:val="00A073EB"/>
    <w:rsid w:val="00A10568"/>
    <w:rsid w:val="00A11142"/>
    <w:rsid w:val="00A113A3"/>
    <w:rsid w:val="00A1401C"/>
    <w:rsid w:val="00A15A04"/>
    <w:rsid w:val="00A1730B"/>
    <w:rsid w:val="00A2137E"/>
    <w:rsid w:val="00A21507"/>
    <w:rsid w:val="00A23CD7"/>
    <w:rsid w:val="00A25173"/>
    <w:rsid w:val="00A3071E"/>
    <w:rsid w:val="00A31052"/>
    <w:rsid w:val="00A3116E"/>
    <w:rsid w:val="00A31602"/>
    <w:rsid w:val="00A35504"/>
    <w:rsid w:val="00A37584"/>
    <w:rsid w:val="00A400E1"/>
    <w:rsid w:val="00A40608"/>
    <w:rsid w:val="00A40CA7"/>
    <w:rsid w:val="00A41FF6"/>
    <w:rsid w:val="00A447F0"/>
    <w:rsid w:val="00A4520F"/>
    <w:rsid w:val="00A45A64"/>
    <w:rsid w:val="00A45F17"/>
    <w:rsid w:val="00A50BC0"/>
    <w:rsid w:val="00A521EC"/>
    <w:rsid w:val="00A55080"/>
    <w:rsid w:val="00A560FE"/>
    <w:rsid w:val="00A6050D"/>
    <w:rsid w:val="00A60C78"/>
    <w:rsid w:val="00A6192B"/>
    <w:rsid w:val="00A622C7"/>
    <w:rsid w:val="00A643A8"/>
    <w:rsid w:val="00A649EA"/>
    <w:rsid w:val="00A66311"/>
    <w:rsid w:val="00A6698A"/>
    <w:rsid w:val="00A66F33"/>
    <w:rsid w:val="00A67E90"/>
    <w:rsid w:val="00A71E61"/>
    <w:rsid w:val="00A72E16"/>
    <w:rsid w:val="00A74566"/>
    <w:rsid w:val="00A75692"/>
    <w:rsid w:val="00A77C12"/>
    <w:rsid w:val="00A80E77"/>
    <w:rsid w:val="00A82544"/>
    <w:rsid w:val="00A83510"/>
    <w:rsid w:val="00A837F6"/>
    <w:rsid w:val="00A84170"/>
    <w:rsid w:val="00A84AEF"/>
    <w:rsid w:val="00A84C18"/>
    <w:rsid w:val="00A84EE8"/>
    <w:rsid w:val="00A86B89"/>
    <w:rsid w:val="00A876E9"/>
    <w:rsid w:val="00A90FC7"/>
    <w:rsid w:val="00A91200"/>
    <w:rsid w:val="00A91A7D"/>
    <w:rsid w:val="00A92907"/>
    <w:rsid w:val="00A9359C"/>
    <w:rsid w:val="00A93787"/>
    <w:rsid w:val="00A94940"/>
    <w:rsid w:val="00AA09EE"/>
    <w:rsid w:val="00AA0A5D"/>
    <w:rsid w:val="00AA1662"/>
    <w:rsid w:val="00AA1FFE"/>
    <w:rsid w:val="00AA3086"/>
    <w:rsid w:val="00AA5A63"/>
    <w:rsid w:val="00AB13FF"/>
    <w:rsid w:val="00AB24B2"/>
    <w:rsid w:val="00AB431B"/>
    <w:rsid w:val="00AB6C0D"/>
    <w:rsid w:val="00AC0002"/>
    <w:rsid w:val="00AC132B"/>
    <w:rsid w:val="00AC1ED4"/>
    <w:rsid w:val="00AC3122"/>
    <w:rsid w:val="00AC3211"/>
    <w:rsid w:val="00AC3C85"/>
    <w:rsid w:val="00AC6217"/>
    <w:rsid w:val="00AC6479"/>
    <w:rsid w:val="00AD1D02"/>
    <w:rsid w:val="00AD1DCB"/>
    <w:rsid w:val="00AD2B89"/>
    <w:rsid w:val="00AD33AA"/>
    <w:rsid w:val="00AD4FCD"/>
    <w:rsid w:val="00AD5497"/>
    <w:rsid w:val="00AE09A2"/>
    <w:rsid w:val="00AE2799"/>
    <w:rsid w:val="00AE2CCC"/>
    <w:rsid w:val="00AE3C01"/>
    <w:rsid w:val="00AE4432"/>
    <w:rsid w:val="00AE4460"/>
    <w:rsid w:val="00AE518E"/>
    <w:rsid w:val="00AE603B"/>
    <w:rsid w:val="00AE6755"/>
    <w:rsid w:val="00AE6FF9"/>
    <w:rsid w:val="00AF2802"/>
    <w:rsid w:val="00AF2C14"/>
    <w:rsid w:val="00AF2EF9"/>
    <w:rsid w:val="00AF3C30"/>
    <w:rsid w:val="00AF5A91"/>
    <w:rsid w:val="00AF5D78"/>
    <w:rsid w:val="00B0039C"/>
    <w:rsid w:val="00B013CD"/>
    <w:rsid w:val="00B01AE9"/>
    <w:rsid w:val="00B027F5"/>
    <w:rsid w:val="00B02826"/>
    <w:rsid w:val="00B04D74"/>
    <w:rsid w:val="00B066D8"/>
    <w:rsid w:val="00B12455"/>
    <w:rsid w:val="00B14271"/>
    <w:rsid w:val="00B1482D"/>
    <w:rsid w:val="00B1504C"/>
    <w:rsid w:val="00B2173F"/>
    <w:rsid w:val="00B2188A"/>
    <w:rsid w:val="00B2290C"/>
    <w:rsid w:val="00B253AC"/>
    <w:rsid w:val="00B266FE"/>
    <w:rsid w:val="00B330E4"/>
    <w:rsid w:val="00B41672"/>
    <w:rsid w:val="00B4330B"/>
    <w:rsid w:val="00B43B5B"/>
    <w:rsid w:val="00B43EA7"/>
    <w:rsid w:val="00B46A1D"/>
    <w:rsid w:val="00B478DC"/>
    <w:rsid w:val="00B50019"/>
    <w:rsid w:val="00B53677"/>
    <w:rsid w:val="00B55384"/>
    <w:rsid w:val="00B55CF9"/>
    <w:rsid w:val="00B57030"/>
    <w:rsid w:val="00B62341"/>
    <w:rsid w:val="00B71688"/>
    <w:rsid w:val="00B716EE"/>
    <w:rsid w:val="00B76858"/>
    <w:rsid w:val="00B776DE"/>
    <w:rsid w:val="00B8069E"/>
    <w:rsid w:val="00B812E1"/>
    <w:rsid w:val="00B83BD7"/>
    <w:rsid w:val="00B84578"/>
    <w:rsid w:val="00B851E5"/>
    <w:rsid w:val="00B86945"/>
    <w:rsid w:val="00B86B3E"/>
    <w:rsid w:val="00B8723E"/>
    <w:rsid w:val="00B907B3"/>
    <w:rsid w:val="00B954F6"/>
    <w:rsid w:val="00B95DC5"/>
    <w:rsid w:val="00B962B2"/>
    <w:rsid w:val="00BA1F43"/>
    <w:rsid w:val="00BA203A"/>
    <w:rsid w:val="00BA2669"/>
    <w:rsid w:val="00BA2C41"/>
    <w:rsid w:val="00BA2FA7"/>
    <w:rsid w:val="00BA33CD"/>
    <w:rsid w:val="00BA59B3"/>
    <w:rsid w:val="00BA5B36"/>
    <w:rsid w:val="00BA66A3"/>
    <w:rsid w:val="00BA73B5"/>
    <w:rsid w:val="00BB06D7"/>
    <w:rsid w:val="00BB0FD6"/>
    <w:rsid w:val="00BB17E9"/>
    <w:rsid w:val="00BB2192"/>
    <w:rsid w:val="00BB4E50"/>
    <w:rsid w:val="00BB60CB"/>
    <w:rsid w:val="00BB7516"/>
    <w:rsid w:val="00BC1111"/>
    <w:rsid w:val="00BC72B2"/>
    <w:rsid w:val="00BC7538"/>
    <w:rsid w:val="00BD1A8A"/>
    <w:rsid w:val="00BD3D2D"/>
    <w:rsid w:val="00BD40AF"/>
    <w:rsid w:val="00BD659B"/>
    <w:rsid w:val="00BD6AE9"/>
    <w:rsid w:val="00BE06C2"/>
    <w:rsid w:val="00BE2E06"/>
    <w:rsid w:val="00BE39CA"/>
    <w:rsid w:val="00BE3E92"/>
    <w:rsid w:val="00BE43DD"/>
    <w:rsid w:val="00BE59AC"/>
    <w:rsid w:val="00BE5D3E"/>
    <w:rsid w:val="00BE69DA"/>
    <w:rsid w:val="00BE71ED"/>
    <w:rsid w:val="00BE7230"/>
    <w:rsid w:val="00BF06BF"/>
    <w:rsid w:val="00BF0EB1"/>
    <w:rsid w:val="00BF1709"/>
    <w:rsid w:val="00BF2A3C"/>
    <w:rsid w:val="00BF3BA3"/>
    <w:rsid w:val="00C0195D"/>
    <w:rsid w:val="00C02E76"/>
    <w:rsid w:val="00C05840"/>
    <w:rsid w:val="00C05B45"/>
    <w:rsid w:val="00C066EA"/>
    <w:rsid w:val="00C106EA"/>
    <w:rsid w:val="00C152CB"/>
    <w:rsid w:val="00C16CB8"/>
    <w:rsid w:val="00C17EE5"/>
    <w:rsid w:val="00C17F99"/>
    <w:rsid w:val="00C22058"/>
    <w:rsid w:val="00C23B49"/>
    <w:rsid w:val="00C25A49"/>
    <w:rsid w:val="00C26058"/>
    <w:rsid w:val="00C31433"/>
    <w:rsid w:val="00C3283C"/>
    <w:rsid w:val="00C33580"/>
    <w:rsid w:val="00C36464"/>
    <w:rsid w:val="00C37844"/>
    <w:rsid w:val="00C40026"/>
    <w:rsid w:val="00C40F3A"/>
    <w:rsid w:val="00C40FAB"/>
    <w:rsid w:val="00C42C15"/>
    <w:rsid w:val="00C4575E"/>
    <w:rsid w:val="00C45E5C"/>
    <w:rsid w:val="00C4725E"/>
    <w:rsid w:val="00C52753"/>
    <w:rsid w:val="00C53198"/>
    <w:rsid w:val="00C53502"/>
    <w:rsid w:val="00C53861"/>
    <w:rsid w:val="00C571D9"/>
    <w:rsid w:val="00C57C73"/>
    <w:rsid w:val="00C612C9"/>
    <w:rsid w:val="00C637DA"/>
    <w:rsid w:val="00C63F81"/>
    <w:rsid w:val="00C6581D"/>
    <w:rsid w:val="00C733E1"/>
    <w:rsid w:val="00C73596"/>
    <w:rsid w:val="00C80B55"/>
    <w:rsid w:val="00C86C86"/>
    <w:rsid w:val="00C87431"/>
    <w:rsid w:val="00C90D97"/>
    <w:rsid w:val="00C91C6B"/>
    <w:rsid w:val="00C91FC7"/>
    <w:rsid w:val="00C93EAF"/>
    <w:rsid w:val="00C9436A"/>
    <w:rsid w:val="00CA172A"/>
    <w:rsid w:val="00CA2A33"/>
    <w:rsid w:val="00CA2EA1"/>
    <w:rsid w:val="00CA2F0B"/>
    <w:rsid w:val="00CA5AFE"/>
    <w:rsid w:val="00CA6D70"/>
    <w:rsid w:val="00CB1CB4"/>
    <w:rsid w:val="00CB1DEB"/>
    <w:rsid w:val="00CB2150"/>
    <w:rsid w:val="00CB2224"/>
    <w:rsid w:val="00CB39D8"/>
    <w:rsid w:val="00CB40ED"/>
    <w:rsid w:val="00CB4DA5"/>
    <w:rsid w:val="00CB7F10"/>
    <w:rsid w:val="00CC1EB6"/>
    <w:rsid w:val="00CC42EB"/>
    <w:rsid w:val="00CC6381"/>
    <w:rsid w:val="00CC6565"/>
    <w:rsid w:val="00CD1064"/>
    <w:rsid w:val="00CD2332"/>
    <w:rsid w:val="00CD2731"/>
    <w:rsid w:val="00CD27BE"/>
    <w:rsid w:val="00CD4F96"/>
    <w:rsid w:val="00CD7C47"/>
    <w:rsid w:val="00CE120B"/>
    <w:rsid w:val="00CE207A"/>
    <w:rsid w:val="00CE2429"/>
    <w:rsid w:val="00CE2F1B"/>
    <w:rsid w:val="00CE3A66"/>
    <w:rsid w:val="00CE5E56"/>
    <w:rsid w:val="00CF01CA"/>
    <w:rsid w:val="00CF159D"/>
    <w:rsid w:val="00CF1D62"/>
    <w:rsid w:val="00CF22C0"/>
    <w:rsid w:val="00CF344E"/>
    <w:rsid w:val="00CF3477"/>
    <w:rsid w:val="00CF3989"/>
    <w:rsid w:val="00CF405E"/>
    <w:rsid w:val="00CF4A7A"/>
    <w:rsid w:val="00CF7EA3"/>
    <w:rsid w:val="00D012CB"/>
    <w:rsid w:val="00D03C8F"/>
    <w:rsid w:val="00D04C20"/>
    <w:rsid w:val="00D102AB"/>
    <w:rsid w:val="00D119E7"/>
    <w:rsid w:val="00D15D7A"/>
    <w:rsid w:val="00D170A0"/>
    <w:rsid w:val="00D20380"/>
    <w:rsid w:val="00D20887"/>
    <w:rsid w:val="00D2183A"/>
    <w:rsid w:val="00D26AFB"/>
    <w:rsid w:val="00D27EF5"/>
    <w:rsid w:val="00D320A0"/>
    <w:rsid w:val="00D35F86"/>
    <w:rsid w:val="00D37746"/>
    <w:rsid w:val="00D41ACD"/>
    <w:rsid w:val="00D41D08"/>
    <w:rsid w:val="00D43D28"/>
    <w:rsid w:val="00D45613"/>
    <w:rsid w:val="00D4719D"/>
    <w:rsid w:val="00D471C5"/>
    <w:rsid w:val="00D502A7"/>
    <w:rsid w:val="00D50569"/>
    <w:rsid w:val="00D51C69"/>
    <w:rsid w:val="00D51F03"/>
    <w:rsid w:val="00D534AE"/>
    <w:rsid w:val="00D5412D"/>
    <w:rsid w:val="00D543C5"/>
    <w:rsid w:val="00D55D23"/>
    <w:rsid w:val="00D5673F"/>
    <w:rsid w:val="00D64B48"/>
    <w:rsid w:val="00D66D7B"/>
    <w:rsid w:val="00D70D32"/>
    <w:rsid w:val="00D71CDF"/>
    <w:rsid w:val="00D77C84"/>
    <w:rsid w:val="00D80002"/>
    <w:rsid w:val="00D829E0"/>
    <w:rsid w:val="00D83CE6"/>
    <w:rsid w:val="00D84E32"/>
    <w:rsid w:val="00D84E72"/>
    <w:rsid w:val="00D85D8F"/>
    <w:rsid w:val="00D90E1B"/>
    <w:rsid w:val="00D91605"/>
    <w:rsid w:val="00D95092"/>
    <w:rsid w:val="00D95DA3"/>
    <w:rsid w:val="00DB0F4E"/>
    <w:rsid w:val="00DB240A"/>
    <w:rsid w:val="00DB2985"/>
    <w:rsid w:val="00DB2BCB"/>
    <w:rsid w:val="00DB6A14"/>
    <w:rsid w:val="00DB76E2"/>
    <w:rsid w:val="00DC05D2"/>
    <w:rsid w:val="00DC1AC3"/>
    <w:rsid w:val="00DC2DFB"/>
    <w:rsid w:val="00DC4814"/>
    <w:rsid w:val="00DD46F2"/>
    <w:rsid w:val="00DD6D0C"/>
    <w:rsid w:val="00DD70D9"/>
    <w:rsid w:val="00DE0474"/>
    <w:rsid w:val="00DE0491"/>
    <w:rsid w:val="00DE084D"/>
    <w:rsid w:val="00DE62A7"/>
    <w:rsid w:val="00DE6BF1"/>
    <w:rsid w:val="00DE7EFC"/>
    <w:rsid w:val="00DF103C"/>
    <w:rsid w:val="00DF2F42"/>
    <w:rsid w:val="00DF34E8"/>
    <w:rsid w:val="00DF576D"/>
    <w:rsid w:val="00DF6554"/>
    <w:rsid w:val="00DF6D1E"/>
    <w:rsid w:val="00E033C8"/>
    <w:rsid w:val="00E04515"/>
    <w:rsid w:val="00E0479C"/>
    <w:rsid w:val="00E06212"/>
    <w:rsid w:val="00E10F2B"/>
    <w:rsid w:val="00E11EB3"/>
    <w:rsid w:val="00E15567"/>
    <w:rsid w:val="00E17CD7"/>
    <w:rsid w:val="00E21C18"/>
    <w:rsid w:val="00E21ED9"/>
    <w:rsid w:val="00E2266D"/>
    <w:rsid w:val="00E25094"/>
    <w:rsid w:val="00E26296"/>
    <w:rsid w:val="00E273BF"/>
    <w:rsid w:val="00E30119"/>
    <w:rsid w:val="00E31271"/>
    <w:rsid w:val="00E34A7E"/>
    <w:rsid w:val="00E36B67"/>
    <w:rsid w:val="00E405CD"/>
    <w:rsid w:val="00E4177F"/>
    <w:rsid w:val="00E41845"/>
    <w:rsid w:val="00E42D3B"/>
    <w:rsid w:val="00E43458"/>
    <w:rsid w:val="00E44B21"/>
    <w:rsid w:val="00E45F95"/>
    <w:rsid w:val="00E50F45"/>
    <w:rsid w:val="00E51F73"/>
    <w:rsid w:val="00E5580F"/>
    <w:rsid w:val="00E56D85"/>
    <w:rsid w:val="00E57B76"/>
    <w:rsid w:val="00E57E5C"/>
    <w:rsid w:val="00E642EB"/>
    <w:rsid w:val="00E7376E"/>
    <w:rsid w:val="00E73A4B"/>
    <w:rsid w:val="00E73FD4"/>
    <w:rsid w:val="00E74296"/>
    <w:rsid w:val="00E7557C"/>
    <w:rsid w:val="00E8069D"/>
    <w:rsid w:val="00E81E8F"/>
    <w:rsid w:val="00E831BA"/>
    <w:rsid w:val="00E84F19"/>
    <w:rsid w:val="00E85E66"/>
    <w:rsid w:val="00E9148E"/>
    <w:rsid w:val="00E91706"/>
    <w:rsid w:val="00E94492"/>
    <w:rsid w:val="00E95505"/>
    <w:rsid w:val="00E96FCB"/>
    <w:rsid w:val="00EA0DF9"/>
    <w:rsid w:val="00EA111A"/>
    <w:rsid w:val="00EA466A"/>
    <w:rsid w:val="00EA47E6"/>
    <w:rsid w:val="00EA5B28"/>
    <w:rsid w:val="00EB1D35"/>
    <w:rsid w:val="00EB23F2"/>
    <w:rsid w:val="00EB35FB"/>
    <w:rsid w:val="00EB3777"/>
    <w:rsid w:val="00EB48CA"/>
    <w:rsid w:val="00EB5AB0"/>
    <w:rsid w:val="00EC0881"/>
    <w:rsid w:val="00EC2CD4"/>
    <w:rsid w:val="00EC3FF3"/>
    <w:rsid w:val="00EC5311"/>
    <w:rsid w:val="00ED367B"/>
    <w:rsid w:val="00EE257F"/>
    <w:rsid w:val="00EE67DD"/>
    <w:rsid w:val="00EE76AE"/>
    <w:rsid w:val="00EF0165"/>
    <w:rsid w:val="00EF04F1"/>
    <w:rsid w:val="00EF5FAE"/>
    <w:rsid w:val="00EF647F"/>
    <w:rsid w:val="00EF7348"/>
    <w:rsid w:val="00F00805"/>
    <w:rsid w:val="00F0177D"/>
    <w:rsid w:val="00F01F64"/>
    <w:rsid w:val="00F020D0"/>
    <w:rsid w:val="00F03023"/>
    <w:rsid w:val="00F06BDE"/>
    <w:rsid w:val="00F1435B"/>
    <w:rsid w:val="00F15066"/>
    <w:rsid w:val="00F17C32"/>
    <w:rsid w:val="00F20724"/>
    <w:rsid w:val="00F21EFE"/>
    <w:rsid w:val="00F22B37"/>
    <w:rsid w:val="00F23439"/>
    <w:rsid w:val="00F247FD"/>
    <w:rsid w:val="00F3024F"/>
    <w:rsid w:val="00F307A2"/>
    <w:rsid w:val="00F34283"/>
    <w:rsid w:val="00F346D8"/>
    <w:rsid w:val="00F34FEF"/>
    <w:rsid w:val="00F34FFB"/>
    <w:rsid w:val="00F35181"/>
    <w:rsid w:val="00F35B6C"/>
    <w:rsid w:val="00F36B57"/>
    <w:rsid w:val="00F42828"/>
    <w:rsid w:val="00F44F47"/>
    <w:rsid w:val="00F45F93"/>
    <w:rsid w:val="00F46161"/>
    <w:rsid w:val="00F466EE"/>
    <w:rsid w:val="00F535AD"/>
    <w:rsid w:val="00F63804"/>
    <w:rsid w:val="00F6723D"/>
    <w:rsid w:val="00F7090C"/>
    <w:rsid w:val="00F71A22"/>
    <w:rsid w:val="00F72311"/>
    <w:rsid w:val="00F74357"/>
    <w:rsid w:val="00F74A0A"/>
    <w:rsid w:val="00F75471"/>
    <w:rsid w:val="00F765AD"/>
    <w:rsid w:val="00F772F8"/>
    <w:rsid w:val="00F81BC9"/>
    <w:rsid w:val="00F855C5"/>
    <w:rsid w:val="00F855FF"/>
    <w:rsid w:val="00F86736"/>
    <w:rsid w:val="00F916D9"/>
    <w:rsid w:val="00F91F0E"/>
    <w:rsid w:val="00F95091"/>
    <w:rsid w:val="00F96FF9"/>
    <w:rsid w:val="00FA0526"/>
    <w:rsid w:val="00FA0875"/>
    <w:rsid w:val="00FA2FEA"/>
    <w:rsid w:val="00FA3EC8"/>
    <w:rsid w:val="00FA4074"/>
    <w:rsid w:val="00FA446A"/>
    <w:rsid w:val="00FA4DFC"/>
    <w:rsid w:val="00FA7429"/>
    <w:rsid w:val="00FA7539"/>
    <w:rsid w:val="00FA7F88"/>
    <w:rsid w:val="00FB3C1E"/>
    <w:rsid w:val="00FB614A"/>
    <w:rsid w:val="00FB6E2F"/>
    <w:rsid w:val="00FB7674"/>
    <w:rsid w:val="00FC2D4F"/>
    <w:rsid w:val="00FC4A7B"/>
    <w:rsid w:val="00FC4B1E"/>
    <w:rsid w:val="00FC635E"/>
    <w:rsid w:val="00FD0947"/>
    <w:rsid w:val="00FD0AD9"/>
    <w:rsid w:val="00FD1749"/>
    <w:rsid w:val="00FD4C62"/>
    <w:rsid w:val="00FD762A"/>
    <w:rsid w:val="00FD7673"/>
    <w:rsid w:val="00FE23AD"/>
    <w:rsid w:val="00FE2937"/>
    <w:rsid w:val="00FE2D87"/>
    <w:rsid w:val="00FE3F89"/>
    <w:rsid w:val="00FE538D"/>
    <w:rsid w:val="00FE5B04"/>
    <w:rsid w:val="00FE722C"/>
    <w:rsid w:val="00FF0094"/>
    <w:rsid w:val="00FF05AF"/>
    <w:rsid w:val="00FF2048"/>
    <w:rsid w:val="00FF391A"/>
    <w:rsid w:val="00FF5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2ED46E"/>
  <w15:docId w15:val="{6D14A23E-A951-4FB4-8617-E9689F6B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692"/>
    <w:pPr>
      <w:spacing w:after="0" w:line="240" w:lineRule="auto"/>
    </w:pPr>
    <w:rPr>
      <w:rFonts w:eastAsia="Times New Roman" w:cs="Arial"/>
      <w:color w:val="454545"/>
      <w:shd w:val="clear" w:color="auto" w:fill="FFFFFF"/>
      <w:lang w:eastAsia="en-GB"/>
    </w:rPr>
  </w:style>
  <w:style w:type="paragraph" w:styleId="Heading1">
    <w:name w:val="heading 1"/>
    <w:basedOn w:val="Normal"/>
    <w:next w:val="Normal"/>
    <w:link w:val="Heading1Char"/>
    <w:uiPriority w:val="99"/>
    <w:qFormat/>
    <w:rsid w:val="00A75692"/>
    <w:pPr>
      <w:numPr>
        <w:numId w:val="1"/>
      </w:numPr>
      <w:tabs>
        <w:tab w:val="left" w:pos="-720"/>
      </w:tabs>
      <w:suppressAutoHyphens/>
      <w:spacing w:before="360" w:after="360"/>
      <w:ind w:left="567" w:hanging="567"/>
      <w:outlineLvl w:val="0"/>
    </w:pPr>
    <w:rPr>
      <w:rFonts w:ascii="Tahoma" w:hAnsi="Tahoma" w:cs="Tahoma"/>
      <w:b/>
      <w:spacing w:val="-3"/>
      <w:sz w:val="28"/>
      <w:szCs w:val="20"/>
    </w:rPr>
  </w:style>
  <w:style w:type="paragraph" w:styleId="Heading2">
    <w:name w:val="heading 2"/>
    <w:basedOn w:val="Normal"/>
    <w:next w:val="Normal"/>
    <w:link w:val="Heading2Char"/>
    <w:uiPriority w:val="99"/>
    <w:qFormat/>
    <w:rsid w:val="00A75692"/>
    <w:pPr>
      <w:numPr>
        <w:ilvl w:val="1"/>
        <w:numId w:val="1"/>
      </w:numPr>
      <w:tabs>
        <w:tab w:val="left" w:pos="567"/>
      </w:tabs>
      <w:ind w:left="567" w:hanging="567"/>
      <w:outlineLvl w:val="1"/>
    </w:pPr>
    <w:rPr>
      <w:b/>
    </w:rPr>
  </w:style>
  <w:style w:type="paragraph" w:styleId="Heading3">
    <w:name w:val="heading 3"/>
    <w:basedOn w:val="Normal"/>
    <w:next w:val="Normal"/>
    <w:link w:val="Heading3Char"/>
    <w:uiPriority w:val="99"/>
    <w:qFormat/>
    <w:rsid w:val="00A75692"/>
    <w:pPr>
      <w:numPr>
        <w:ilvl w:val="2"/>
        <w:numId w:val="1"/>
      </w:numPr>
      <w:tabs>
        <w:tab w:val="left" w:pos="567"/>
      </w:tabs>
      <w:spacing w:after="120"/>
      <w:outlineLvl w:val="2"/>
    </w:pPr>
    <w:rPr>
      <w:i/>
    </w:rPr>
  </w:style>
  <w:style w:type="paragraph" w:styleId="Heading4">
    <w:name w:val="heading 4"/>
    <w:basedOn w:val="Normal"/>
    <w:next w:val="Normal"/>
    <w:link w:val="Heading4Char"/>
    <w:uiPriority w:val="99"/>
    <w:qFormat/>
    <w:rsid w:val="00A75692"/>
    <w:pPr>
      <w:numPr>
        <w:ilvl w:val="3"/>
        <w:numId w:val="1"/>
      </w:numPr>
      <w:pBdr>
        <w:bottom w:val="single" w:sz="4" w:space="2" w:color="F1F1F1"/>
      </w:pBdr>
      <w:spacing w:before="200" w:after="80"/>
      <w:outlineLvl w:val="3"/>
    </w:pPr>
    <w:rPr>
      <w:rFonts w:ascii="Cambria" w:hAnsi="Cambria"/>
      <w:i/>
      <w:iCs/>
      <w:color w:val="DDDDDD"/>
      <w:sz w:val="24"/>
    </w:rPr>
  </w:style>
  <w:style w:type="paragraph" w:styleId="Heading5">
    <w:name w:val="heading 5"/>
    <w:basedOn w:val="Normal"/>
    <w:next w:val="Normal"/>
    <w:link w:val="Heading5Char"/>
    <w:uiPriority w:val="99"/>
    <w:qFormat/>
    <w:rsid w:val="00A75692"/>
    <w:pPr>
      <w:numPr>
        <w:ilvl w:val="4"/>
        <w:numId w:val="1"/>
      </w:numPr>
      <w:spacing w:before="200" w:after="80"/>
      <w:outlineLvl w:val="4"/>
    </w:pPr>
    <w:rPr>
      <w:rFonts w:ascii="Cambria" w:hAnsi="Cambria"/>
      <w:color w:val="DDDDDD"/>
    </w:rPr>
  </w:style>
  <w:style w:type="paragraph" w:styleId="Heading6">
    <w:name w:val="heading 6"/>
    <w:basedOn w:val="Normal"/>
    <w:next w:val="Normal"/>
    <w:link w:val="Heading6Char"/>
    <w:uiPriority w:val="99"/>
    <w:qFormat/>
    <w:rsid w:val="00A75692"/>
    <w:pPr>
      <w:numPr>
        <w:ilvl w:val="5"/>
        <w:numId w:val="1"/>
      </w:numPr>
      <w:spacing w:before="280" w:after="100"/>
      <w:outlineLvl w:val="5"/>
    </w:pPr>
    <w:rPr>
      <w:rFonts w:ascii="Cambria" w:hAnsi="Cambria"/>
      <w:i/>
      <w:iCs/>
      <w:color w:val="DDDDDD"/>
    </w:rPr>
  </w:style>
  <w:style w:type="paragraph" w:styleId="Heading7">
    <w:name w:val="heading 7"/>
    <w:basedOn w:val="Normal"/>
    <w:next w:val="Normal"/>
    <w:link w:val="Heading7Char"/>
    <w:uiPriority w:val="99"/>
    <w:qFormat/>
    <w:rsid w:val="00A75692"/>
    <w:pPr>
      <w:numPr>
        <w:ilvl w:val="6"/>
        <w:numId w:val="1"/>
      </w:numPr>
      <w:spacing w:before="320" w:after="100"/>
      <w:outlineLvl w:val="6"/>
    </w:pPr>
    <w:rPr>
      <w:rFonts w:ascii="Cambria" w:hAnsi="Cambria"/>
      <w:b/>
      <w:bCs/>
      <w:color w:val="969696"/>
      <w:sz w:val="20"/>
      <w:szCs w:val="20"/>
    </w:rPr>
  </w:style>
  <w:style w:type="paragraph" w:styleId="Heading8">
    <w:name w:val="heading 8"/>
    <w:basedOn w:val="Normal"/>
    <w:next w:val="Normal"/>
    <w:link w:val="Heading8Char"/>
    <w:uiPriority w:val="99"/>
    <w:qFormat/>
    <w:rsid w:val="00A75692"/>
    <w:pPr>
      <w:numPr>
        <w:ilvl w:val="7"/>
        <w:numId w:val="1"/>
      </w:numPr>
      <w:spacing w:before="320" w:after="100"/>
      <w:outlineLvl w:val="7"/>
    </w:pPr>
    <w:rPr>
      <w:rFonts w:ascii="Cambria" w:hAnsi="Cambria"/>
      <w:b/>
      <w:bCs/>
      <w:i/>
      <w:iCs/>
      <w:color w:val="969696"/>
      <w:sz w:val="20"/>
      <w:szCs w:val="20"/>
    </w:rPr>
  </w:style>
  <w:style w:type="paragraph" w:styleId="Heading9">
    <w:name w:val="heading 9"/>
    <w:basedOn w:val="Normal"/>
    <w:next w:val="Normal"/>
    <w:link w:val="Heading9Char"/>
    <w:uiPriority w:val="99"/>
    <w:qFormat/>
    <w:rsid w:val="00A75692"/>
    <w:pPr>
      <w:numPr>
        <w:ilvl w:val="8"/>
        <w:numId w:val="1"/>
      </w:numPr>
      <w:spacing w:before="320" w:after="100"/>
      <w:outlineLvl w:val="8"/>
    </w:pPr>
    <w:rPr>
      <w:rFonts w:ascii="Cambria" w:hAnsi="Cambria"/>
      <w:i/>
      <w:iCs/>
      <w:color w:val="96969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5692"/>
    <w:rPr>
      <w:rFonts w:ascii="Tahoma" w:eastAsia="Times New Roman" w:hAnsi="Tahoma" w:cs="Tahoma"/>
      <w:b/>
      <w:color w:val="454545"/>
      <w:spacing w:val="-3"/>
      <w:sz w:val="28"/>
      <w:szCs w:val="20"/>
      <w:lang w:eastAsia="en-GB"/>
    </w:rPr>
  </w:style>
  <w:style w:type="character" w:customStyle="1" w:styleId="Heading2Char">
    <w:name w:val="Heading 2 Char"/>
    <w:basedOn w:val="DefaultParagraphFont"/>
    <w:link w:val="Heading2"/>
    <w:uiPriority w:val="99"/>
    <w:rsid w:val="00A75692"/>
    <w:rPr>
      <w:rFonts w:eastAsia="Times New Roman" w:cs="Arial"/>
      <w:b/>
      <w:color w:val="454545"/>
      <w:lang w:eastAsia="en-GB"/>
    </w:rPr>
  </w:style>
  <w:style w:type="character" w:customStyle="1" w:styleId="Heading3Char">
    <w:name w:val="Heading 3 Char"/>
    <w:basedOn w:val="DefaultParagraphFont"/>
    <w:link w:val="Heading3"/>
    <w:uiPriority w:val="99"/>
    <w:rsid w:val="00A75692"/>
    <w:rPr>
      <w:rFonts w:eastAsia="Times New Roman" w:cs="Arial"/>
      <w:i/>
      <w:color w:val="454545"/>
      <w:lang w:eastAsia="en-GB"/>
    </w:rPr>
  </w:style>
  <w:style w:type="character" w:customStyle="1" w:styleId="Heading4Char">
    <w:name w:val="Heading 4 Char"/>
    <w:basedOn w:val="DefaultParagraphFont"/>
    <w:link w:val="Heading4"/>
    <w:uiPriority w:val="99"/>
    <w:rsid w:val="00A75692"/>
    <w:rPr>
      <w:rFonts w:ascii="Cambria" w:eastAsia="Times New Roman" w:hAnsi="Cambria" w:cs="Arial"/>
      <w:i/>
      <w:iCs/>
      <w:color w:val="DDDDDD"/>
      <w:sz w:val="24"/>
      <w:lang w:eastAsia="en-GB"/>
    </w:rPr>
  </w:style>
  <w:style w:type="character" w:customStyle="1" w:styleId="Heading5Char">
    <w:name w:val="Heading 5 Char"/>
    <w:basedOn w:val="DefaultParagraphFont"/>
    <w:link w:val="Heading5"/>
    <w:uiPriority w:val="99"/>
    <w:rsid w:val="00A75692"/>
    <w:rPr>
      <w:rFonts w:ascii="Cambria" w:eastAsia="Times New Roman" w:hAnsi="Cambria" w:cs="Arial"/>
      <w:color w:val="DDDDDD"/>
      <w:lang w:eastAsia="en-GB"/>
    </w:rPr>
  </w:style>
  <w:style w:type="character" w:customStyle="1" w:styleId="Heading6Char">
    <w:name w:val="Heading 6 Char"/>
    <w:basedOn w:val="DefaultParagraphFont"/>
    <w:link w:val="Heading6"/>
    <w:uiPriority w:val="99"/>
    <w:rsid w:val="00A75692"/>
    <w:rPr>
      <w:rFonts w:ascii="Cambria" w:eastAsia="Times New Roman" w:hAnsi="Cambria" w:cs="Arial"/>
      <w:i/>
      <w:iCs/>
      <w:color w:val="DDDDDD"/>
      <w:lang w:eastAsia="en-GB"/>
    </w:rPr>
  </w:style>
  <w:style w:type="character" w:customStyle="1" w:styleId="Heading7Char">
    <w:name w:val="Heading 7 Char"/>
    <w:basedOn w:val="DefaultParagraphFont"/>
    <w:link w:val="Heading7"/>
    <w:uiPriority w:val="99"/>
    <w:rsid w:val="00A75692"/>
    <w:rPr>
      <w:rFonts w:ascii="Cambria" w:eastAsia="Times New Roman" w:hAnsi="Cambria" w:cs="Arial"/>
      <w:b/>
      <w:bCs/>
      <w:color w:val="969696"/>
      <w:sz w:val="20"/>
      <w:szCs w:val="20"/>
      <w:lang w:eastAsia="en-GB"/>
    </w:rPr>
  </w:style>
  <w:style w:type="character" w:customStyle="1" w:styleId="Heading8Char">
    <w:name w:val="Heading 8 Char"/>
    <w:basedOn w:val="DefaultParagraphFont"/>
    <w:link w:val="Heading8"/>
    <w:uiPriority w:val="99"/>
    <w:rsid w:val="00A75692"/>
    <w:rPr>
      <w:rFonts w:ascii="Cambria" w:eastAsia="Times New Roman" w:hAnsi="Cambria" w:cs="Arial"/>
      <w:b/>
      <w:bCs/>
      <w:i/>
      <w:iCs/>
      <w:color w:val="969696"/>
      <w:sz w:val="20"/>
      <w:szCs w:val="20"/>
      <w:lang w:eastAsia="en-GB"/>
    </w:rPr>
  </w:style>
  <w:style w:type="character" w:customStyle="1" w:styleId="Heading9Char">
    <w:name w:val="Heading 9 Char"/>
    <w:basedOn w:val="DefaultParagraphFont"/>
    <w:link w:val="Heading9"/>
    <w:uiPriority w:val="99"/>
    <w:rsid w:val="00A75692"/>
    <w:rPr>
      <w:rFonts w:ascii="Cambria" w:eastAsia="Times New Roman" w:hAnsi="Cambria" w:cs="Arial"/>
      <w:i/>
      <w:iCs/>
      <w:color w:val="969696"/>
      <w:sz w:val="20"/>
      <w:szCs w:val="20"/>
      <w:lang w:eastAsia="en-GB"/>
    </w:rPr>
  </w:style>
  <w:style w:type="paragraph" w:styleId="ListParagraph">
    <w:name w:val="List Paragraph"/>
    <w:basedOn w:val="Normal"/>
    <w:link w:val="ListParagraphChar"/>
    <w:uiPriority w:val="34"/>
    <w:qFormat/>
    <w:rsid w:val="00A75692"/>
    <w:pPr>
      <w:ind w:left="720"/>
      <w:contextualSpacing/>
    </w:pPr>
  </w:style>
  <w:style w:type="paragraph" w:styleId="TOCHeading">
    <w:name w:val="TOC Heading"/>
    <w:basedOn w:val="Heading1"/>
    <w:next w:val="Normal"/>
    <w:uiPriority w:val="39"/>
    <w:qFormat/>
    <w:rsid w:val="00A75692"/>
    <w:pPr>
      <w:outlineLvl w:val="9"/>
    </w:pPr>
  </w:style>
  <w:style w:type="paragraph" w:customStyle="1" w:styleId="Normal-nospacing">
    <w:name w:val="Normal - no spacing"/>
    <w:basedOn w:val="Normal"/>
    <w:link w:val="Normal-nospacingChar"/>
    <w:uiPriority w:val="99"/>
    <w:rsid w:val="00A75692"/>
    <w:rPr>
      <w:szCs w:val="23"/>
    </w:rPr>
  </w:style>
  <w:style w:type="character" w:customStyle="1" w:styleId="Normal-nospacingChar">
    <w:name w:val="Normal - no spacing Char"/>
    <w:link w:val="Normal-nospacing"/>
    <w:uiPriority w:val="99"/>
    <w:locked/>
    <w:rsid w:val="00A75692"/>
    <w:rPr>
      <w:rFonts w:eastAsia="Times New Roman" w:cs="Arial"/>
      <w:color w:val="454545"/>
      <w:szCs w:val="23"/>
      <w:lang w:eastAsia="en-GB"/>
    </w:rPr>
  </w:style>
  <w:style w:type="paragraph" w:styleId="CommentText">
    <w:name w:val="annotation text"/>
    <w:basedOn w:val="Normal"/>
    <w:link w:val="CommentTextChar"/>
    <w:uiPriority w:val="99"/>
    <w:rsid w:val="00A75692"/>
    <w:rPr>
      <w:sz w:val="20"/>
      <w:szCs w:val="20"/>
    </w:rPr>
  </w:style>
  <w:style w:type="character" w:customStyle="1" w:styleId="CommentTextChar">
    <w:name w:val="Comment Text Char"/>
    <w:basedOn w:val="DefaultParagraphFont"/>
    <w:link w:val="CommentText"/>
    <w:uiPriority w:val="99"/>
    <w:rsid w:val="00A75692"/>
    <w:rPr>
      <w:rFonts w:eastAsia="Times New Roman" w:cs="Arial"/>
      <w:color w:val="454545"/>
      <w:sz w:val="20"/>
      <w:szCs w:val="20"/>
      <w:lang w:eastAsia="en-GB"/>
    </w:rPr>
  </w:style>
  <w:style w:type="character" w:styleId="CommentReference">
    <w:name w:val="annotation reference"/>
    <w:rsid w:val="00A75692"/>
    <w:rPr>
      <w:rFonts w:cs="Times New Roman"/>
      <w:sz w:val="16"/>
      <w:szCs w:val="16"/>
    </w:rPr>
  </w:style>
  <w:style w:type="character" w:customStyle="1" w:styleId="ListParagraphChar">
    <w:name w:val="List Paragraph Char"/>
    <w:link w:val="ListParagraph"/>
    <w:uiPriority w:val="34"/>
    <w:rsid w:val="00A75692"/>
    <w:rPr>
      <w:rFonts w:eastAsia="Times New Roman" w:cs="Arial"/>
      <w:color w:val="454545"/>
      <w:lang w:eastAsia="en-GB"/>
    </w:rPr>
  </w:style>
  <w:style w:type="character" w:customStyle="1" w:styleId="orcid-id">
    <w:name w:val="orcid-id"/>
    <w:basedOn w:val="DefaultParagraphFont"/>
    <w:rsid w:val="00A75692"/>
  </w:style>
  <w:style w:type="paragraph" w:styleId="BalloonText">
    <w:name w:val="Balloon Text"/>
    <w:basedOn w:val="Normal"/>
    <w:link w:val="BalloonTextChar"/>
    <w:uiPriority w:val="99"/>
    <w:semiHidden/>
    <w:unhideWhenUsed/>
    <w:rsid w:val="00A75692"/>
    <w:rPr>
      <w:rFonts w:ascii="Tahoma" w:hAnsi="Tahoma" w:cs="Tahoma"/>
      <w:sz w:val="16"/>
      <w:szCs w:val="16"/>
    </w:rPr>
  </w:style>
  <w:style w:type="character" w:customStyle="1" w:styleId="BalloonTextChar">
    <w:name w:val="Balloon Text Char"/>
    <w:basedOn w:val="DefaultParagraphFont"/>
    <w:link w:val="BalloonText"/>
    <w:uiPriority w:val="99"/>
    <w:semiHidden/>
    <w:rsid w:val="00A75692"/>
    <w:rPr>
      <w:rFonts w:ascii="Tahoma" w:eastAsia="Times New Roman" w:hAnsi="Tahoma" w:cs="Tahoma"/>
      <w:color w:val="454545"/>
      <w:sz w:val="16"/>
      <w:szCs w:val="16"/>
      <w:lang w:eastAsia="en-GB"/>
    </w:rPr>
  </w:style>
  <w:style w:type="paragraph" w:styleId="Header">
    <w:name w:val="header"/>
    <w:basedOn w:val="Normal"/>
    <w:link w:val="HeaderChar"/>
    <w:uiPriority w:val="99"/>
    <w:rsid w:val="003E4023"/>
    <w:pPr>
      <w:tabs>
        <w:tab w:val="center" w:pos="4513"/>
        <w:tab w:val="right" w:pos="9026"/>
      </w:tabs>
    </w:pPr>
    <w:rPr>
      <w:sz w:val="20"/>
      <w:szCs w:val="20"/>
    </w:rPr>
  </w:style>
  <w:style w:type="character" w:customStyle="1" w:styleId="HeaderChar">
    <w:name w:val="Header Char"/>
    <w:basedOn w:val="DefaultParagraphFont"/>
    <w:link w:val="Header"/>
    <w:uiPriority w:val="99"/>
    <w:rsid w:val="003E4023"/>
    <w:rPr>
      <w:rFonts w:eastAsia="Times New Roman" w:cs="Arial"/>
      <w:color w:val="454545"/>
      <w:sz w:val="20"/>
      <w:szCs w:val="20"/>
      <w:lang w:eastAsia="en-GB"/>
    </w:rPr>
  </w:style>
  <w:style w:type="paragraph" w:styleId="CommentSubject">
    <w:name w:val="annotation subject"/>
    <w:basedOn w:val="CommentText"/>
    <w:next w:val="CommentText"/>
    <w:link w:val="CommentSubjectChar"/>
    <w:uiPriority w:val="99"/>
    <w:semiHidden/>
    <w:unhideWhenUsed/>
    <w:rsid w:val="003E4023"/>
    <w:rPr>
      <w:b/>
      <w:bCs/>
    </w:rPr>
  </w:style>
  <w:style w:type="character" w:customStyle="1" w:styleId="CommentSubjectChar">
    <w:name w:val="Comment Subject Char"/>
    <w:basedOn w:val="CommentTextChar"/>
    <w:link w:val="CommentSubject"/>
    <w:uiPriority w:val="99"/>
    <w:semiHidden/>
    <w:rsid w:val="003E4023"/>
    <w:rPr>
      <w:rFonts w:eastAsia="Times New Roman" w:cs="Arial"/>
      <w:b/>
      <w:bCs/>
      <w:color w:val="454545"/>
      <w:sz w:val="20"/>
      <w:szCs w:val="20"/>
      <w:lang w:eastAsia="en-GB"/>
    </w:rPr>
  </w:style>
  <w:style w:type="character" w:customStyle="1" w:styleId="apple-converted-space">
    <w:name w:val="apple-converted-space"/>
    <w:basedOn w:val="DefaultParagraphFont"/>
    <w:rsid w:val="00607B29"/>
  </w:style>
  <w:style w:type="character" w:styleId="Emphasis">
    <w:name w:val="Emphasis"/>
    <w:basedOn w:val="DefaultParagraphFont"/>
    <w:uiPriority w:val="20"/>
    <w:qFormat/>
    <w:rsid w:val="007D12AB"/>
    <w:rPr>
      <w:i/>
      <w:iCs/>
    </w:rPr>
  </w:style>
  <w:style w:type="character" w:styleId="Hyperlink">
    <w:name w:val="Hyperlink"/>
    <w:basedOn w:val="DefaultParagraphFont"/>
    <w:uiPriority w:val="99"/>
    <w:unhideWhenUsed/>
    <w:rsid w:val="007D12AB"/>
    <w:rPr>
      <w:color w:val="0000FF"/>
      <w:u w:val="single"/>
    </w:rPr>
  </w:style>
  <w:style w:type="paragraph" w:styleId="Footer">
    <w:name w:val="footer"/>
    <w:basedOn w:val="Normal"/>
    <w:link w:val="FooterChar"/>
    <w:uiPriority w:val="99"/>
    <w:unhideWhenUsed/>
    <w:rsid w:val="00350B4C"/>
    <w:pPr>
      <w:tabs>
        <w:tab w:val="center" w:pos="4513"/>
        <w:tab w:val="right" w:pos="9026"/>
      </w:tabs>
    </w:pPr>
  </w:style>
  <w:style w:type="character" w:customStyle="1" w:styleId="FooterChar">
    <w:name w:val="Footer Char"/>
    <w:basedOn w:val="DefaultParagraphFont"/>
    <w:link w:val="Footer"/>
    <w:uiPriority w:val="99"/>
    <w:rsid w:val="00350B4C"/>
    <w:rPr>
      <w:rFonts w:eastAsia="Times New Roman" w:cs="Arial"/>
      <w:color w:val="454545"/>
      <w:lang w:eastAsia="en-GB"/>
    </w:rPr>
  </w:style>
  <w:style w:type="paragraph" w:styleId="Revision">
    <w:name w:val="Revision"/>
    <w:hidden/>
    <w:uiPriority w:val="99"/>
    <w:semiHidden/>
    <w:rsid w:val="00744F54"/>
    <w:pPr>
      <w:spacing w:after="0" w:line="240" w:lineRule="auto"/>
    </w:pPr>
    <w:rPr>
      <w:rFonts w:eastAsia="Times New Roman" w:cs="Arial"/>
      <w:color w:val="454545"/>
      <w:shd w:val="clear" w:color="auto" w:fill="FFFFFF"/>
      <w:lang w:eastAsia="en-GB"/>
    </w:rPr>
  </w:style>
  <w:style w:type="character" w:styleId="Strong">
    <w:name w:val="Strong"/>
    <w:basedOn w:val="DefaultParagraphFont"/>
    <w:uiPriority w:val="22"/>
    <w:qFormat/>
    <w:rsid w:val="00216916"/>
    <w:rPr>
      <w:b/>
      <w:bCs/>
    </w:rPr>
  </w:style>
  <w:style w:type="paragraph" w:styleId="FootnoteText">
    <w:name w:val="footnote text"/>
    <w:basedOn w:val="Normal"/>
    <w:link w:val="FootnoteTextChar"/>
    <w:uiPriority w:val="99"/>
    <w:semiHidden/>
    <w:unhideWhenUsed/>
    <w:rsid w:val="009069DC"/>
    <w:rPr>
      <w:sz w:val="20"/>
      <w:szCs w:val="20"/>
    </w:rPr>
  </w:style>
  <w:style w:type="character" w:customStyle="1" w:styleId="FootnoteTextChar">
    <w:name w:val="Footnote Text Char"/>
    <w:basedOn w:val="DefaultParagraphFont"/>
    <w:link w:val="FootnoteText"/>
    <w:uiPriority w:val="99"/>
    <w:semiHidden/>
    <w:rsid w:val="009069DC"/>
    <w:rPr>
      <w:rFonts w:eastAsia="Times New Roman" w:cs="Arial"/>
      <w:color w:val="454545"/>
      <w:sz w:val="20"/>
      <w:szCs w:val="20"/>
      <w:lang w:eastAsia="en-GB"/>
    </w:rPr>
  </w:style>
  <w:style w:type="character" w:styleId="FootnoteReference">
    <w:name w:val="footnote reference"/>
    <w:basedOn w:val="DefaultParagraphFont"/>
    <w:uiPriority w:val="99"/>
    <w:semiHidden/>
    <w:unhideWhenUsed/>
    <w:rsid w:val="009069DC"/>
    <w:rPr>
      <w:vertAlign w:val="superscript"/>
    </w:rPr>
  </w:style>
  <w:style w:type="table" w:styleId="TableGrid">
    <w:name w:val="Table Grid"/>
    <w:basedOn w:val="TableNormal"/>
    <w:uiPriority w:val="59"/>
    <w:rsid w:val="00382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98634F"/>
    <w:rPr>
      <w:rFonts w:ascii="Calibri" w:eastAsiaTheme="minorHAnsi" w:hAnsi="Calibri" w:cstheme="minorBidi"/>
      <w:noProof/>
      <w:color w:val="auto"/>
      <w:shd w:val="clear" w:color="auto" w:fill="auto"/>
      <w:lang w:val="en-US" w:eastAsia="en-US"/>
    </w:rPr>
  </w:style>
  <w:style w:type="character" w:customStyle="1" w:styleId="EndNoteBibliographyChar">
    <w:name w:val="EndNote Bibliography Char"/>
    <w:basedOn w:val="DefaultParagraphFont"/>
    <w:link w:val="EndNoteBibliography"/>
    <w:rsid w:val="0098634F"/>
    <w:rPr>
      <w:rFonts w:ascii="Calibri" w:hAnsi="Calibri"/>
      <w:noProof/>
      <w:lang w:val="en-US"/>
    </w:rPr>
  </w:style>
  <w:style w:type="character" w:styleId="SubtleEmphasis">
    <w:name w:val="Subtle Emphasis"/>
    <w:basedOn w:val="DefaultParagraphFont"/>
    <w:uiPriority w:val="19"/>
    <w:qFormat/>
    <w:rsid w:val="00E34A7E"/>
    <w:rPr>
      <w:i/>
      <w:iCs/>
      <w:color w:val="808080" w:themeColor="text1" w:themeTint="7F"/>
    </w:rPr>
  </w:style>
  <w:style w:type="character" w:customStyle="1" w:styleId="name">
    <w:name w:val="name"/>
    <w:basedOn w:val="DefaultParagraphFont"/>
    <w:rsid w:val="001A3616"/>
  </w:style>
  <w:style w:type="character" w:customStyle="1" w:styleId="highlight">
    <w:name w:val="highlight"/>
    <w:basedOn w:val="DefaultParagraphFont"/>
    <w:rsid w:val="001A3616"/>
  </w:style>
  <w:style w:type="character" w:customStyle="1" w:styleId="addmd">
    <w:name w:val="addmd"/>
    <w:basedOn w:val="DefaultParagraphFont"/>
    <w:rsid w:val="00D90E1B"/>
  </w:style>
  <w:style w:type="character" w:styleId="FollowedHyperlink">
    <w:name w:val="FollowedHyperlink"/>
    <w:basedOn w:val="DefaultParagraphFont"/>
    <w:uiPriority w:val="99"/>
    <w:semiHidden/>
    <w:unhideWhenUsed/>
    <w:rsid w:val="002864C3"/>
    <w:rPr>
      <w:color w:val="800080" w:themeColor="followedHyperlink"/>
      <w:u w:val="single"/>
    </w:rPr>
  </w:style>
  <w:style w:type="character" w:styleId="LineNumber">
    <w:name w:val="line number"/>
    <w:basedOn w:val="DefaultParagraphFont"/>
    <w:uiPriority w:val="99"/>
    <w:semiHidden/>
    <w:unhideWhenUsed/>
    <w:rsid w:val="00204941"/>
  </w:style>
  <w:style w:type="paragraph" w:styleId="NormalWeb">
    <w:name w:val="Normal (Web)"/>
    <w:basedOn w:val="Normal"/>
    <w:uiPriority w:val="99"/>
    <w:semiHidden/>
    <w:unhideWhenUsed/>
    <w:rsid w:val="00455C90"/>
    <w:pPr>
      <w:spacing w:before="100" w:beforeAutospacing="1" w:after="100" w:afterAutospacing="1"/>
    </w:pPr>
    <w:rPr>
      <w:rFonts w:ascii="Times New Roman" w:hAnsi="Times New Roman" w:cs="Times New Roman"/>
      <w:color w:val="auto"/>
      <w:sz w:val="24"/>
      <w:szCs w:val="24"/>
      <w:shd w:val="clear" w:color="auto" w:fill="auto"/>
    </w:rPr>
  </w:style>
  <w:style w:type="paragraph" w:customStyle="1" w:styleId="p">
    <w:name w:val="p"/>
    <w:basedOn w:val="Normal"/>
    <w:rsid w:val="001D1D46"/>
    <w:pPr>
      <w:spacing w:before="100" w:beforeAutospacing="1" w:after="100" w:afterAutospacing="1"/>
    </w:pPr>
    <w:rPr>
      <w:rFonts w:ascii="Times New Roman" w:hAnsi="Times New Roman" w:cs="Times New Roman"/>
      <w:color w:val="auto"/>
      <w:sz w:val="24"/>
      <w:szCs w:val="24"/>
      <w:shd w:val="clear" w:color="auto" w:fill="auto"/>
    </w:rPr>
  </w:style>
  <w:style w:type="character" w:customStyle="1" w:styleId="orcid-id-https">
    <w:name w:val="orcid-id-https"/>
    <w:basedOn w:val="DefaultParagraphFont"/>
    <w:rsid w:val="007B3C15"/>
  </w:style>
  <w:style w:type="character" w:customStyle="1" w:styleId="lsc">
    <w:name w:val="lsc"/>
    <w:basedOn w:val="DefaultParagraphFont"/>
    <w:rsid w:val="004B4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2108">
      <w:bodyDiv w:val="1"/>
      <w:marLeft w:val="0"/>
      <w:marRight w:val="0"/>
      <w:marTop w:val="0"/>
      <w:marBottom w:val="0"/>
      <w:divBdr>
        <w:top w:val="none" w:sz="0" w:space="0" w:color="auto"/>
        <w:left w:val="none" w:sz="0" w:space="0" w:color="auto"/>
        <w:bottom w:val="none" w:sz="0" w:space="0" w:color="auto"/>
        <w:right w:val="none" w:sz="0" w:space="0" w:color="auto"/>
      </w:divBdr>
    </w:div>
    <w:div w:id="170341291">
      <w:bodyDiv w:val="1"/>
      <w:marLeft w:val="0"/>
      <w:marRight w:val="0"/>
      <w:marTop w:val="0"/>
      <w:marBottom w:val="0"/>
      <w:divBdr>
        <w:top w:val="none" w:sz="0" w:space="0" w:color="auto"/>
        <w:left w:val="none" w:sz="0" w:space="0" w:color="auto"/>
        <w:bottom w:val="none" w:sz="0" w:space="0" w:color="auto"/>
        <w:right w:val="none" w:sz="0" w:space="0" w:color="auto"/>
      </w:divBdr>
    </w:div>
    <w:div w:id="225998485">
      <w:bodyDiv w:val="1"/>
      <w:marLeft w:val="0"/>
      <w:marRight w:val="0"/>
      <w:marTop w:val="0"/>
      <w:marBottom w:val="0"/>
      <w:divBdr>
        <w:top w:val="none" w:sz="0" w:space="0" w:color="auto"/>
        <w:left w:val="none" w:sz="0" w:space="0" w:color="auto"/>
        <w:bottom w:val="none" w:sz="0" w:space="0" w:color="auto"/>
        <w:right w:val="none" w:sz="0" w:space="0" w:color="auto"/>
      </w:divBdr>
    </w:div>
    <w:div w:id="322591642">
      <w:bodyDiv w:val="1"/>
      <w:marLeft w:val="0"/>
      <w:marRight w:val="0"/>
      <w:marTop w:val="0"/>
      <w:marBottom w:val="0"/>
      <w:divBdr>
        <w:top w:val="none" w:sz="0" w:space="0" w:color="auto"/>
        <w:left w:val="none" w:sz="0" w:space="0" w:color="auto"/>
        <w:bottom w:val="none" w:sz="0" w:space="0" w:color="auto"/>
        <w:right w:val="none" w:sz="0" w:space="0" w:color="auto"/>
      </w:divBdr>
    </w:div>
    <w:div w:id="481313456">
      <w:bodyDiv w:val="1"/>
      <w:marLeft w:val="0"/>
      <w:marRight w:val="0"/>
      <w:marTop w:val="0"/>
      <w:marBottom w:val="0"/>
      <w:divBdr>
        <w:top w:val="none" w:sz="0" w:space="0" w:color="auto"/>
        <w:left w:val="none" w:sz="0" w:space="0" w:color="auto"/>
        <w:bottom w:val="none" w:sz="0" w:space="0" w:color="auto"/>
        <w:right w:val="none" w:sz="0" w:space="0" w:color="auto"/>
      </w:divBdr>
    </w:div>
    <w:div w:id="505941197">
      <w:bodyDiv w:val="1"/>
      <w:marLeft w:val="0"/>
      <w:marRight w:val="0"/>
      <w:marTop w:val="0"/>
      <w:marBottom w:val="0"/>
      <w:divBdr>
        <w:top w:val="none" w:sz="0" w:space="0" w:color="auto"/>
        <w:left w:val="none" w:sz="0" w:space="0" w:color="auto"/>
        <w:bottom w:val="none" w:sz="0" w:space="0" w:color="auto"/>
        <w:right w:val="none" w:sz="0" w:space="0" w:color="auto"/>
      </w:divBdr>
    </w:div>
    <w:div w:id="533268271">
      <w:bodyDiv w:val="1"/>
      <w:marLeft w:val="0"/>
      <w:marRight w:val="0"/>
      <w:marTop w:val="0"/>
      <w:marBottom w:val="0"/>
      <w:divBdr>
        <w:top w:val="none" w:sz="0" w:space="0" w:color="auto"/>
        <w:left w:val="none" w:sz="0" w:space="0" w:color="auto"/>
        <w:bottom w:val="none" w:sz="0" w:space="0" w:color="auto"/>
        <w:right w:val="none" w:sz="0" w:space="0" w:color="auto"/>
      </w:divBdr>
    </w:div>
    <w:div w:id="557908869">
      <w:bodyDiv w:val="1"/>
      <w:marLeft w:val="0"/>
      <w:marRight w:val="0"/>
      <w:marTop w:val="0"/>
      <w:marBottom w:val="0"/>
      <w:divBdr>
        <w:top w:val="none" w:sz="0" w:space="0" w:color="auto"/>
        <w:left w:val="none" w:sz="0" w:space="0" w:color="auto"/>
        <w:bottom w:val="none" w:sz="0" w:space="0" w:color="auto"/>
        <w:right w:val="none" w:sz="0" w:space="0" w:color="auto"/>
      </w:divBdr>
    </w:div>
    <w:div w:id="660235513">
      <w:bodyDiv w:val="1"/>
      <w:marLeft w:val="0"/>
      <w:marRight w:val="0"/>
      <w:marTop w:val="0"/>
      <w:marBottom w:val="0"/>
      <w:divBdr>
        <w:top w:val="none" w:sz="0" w:space="0" w:color="auto"/>
        <w:left w:val="none" w:sz="0" w:space="0" w:color="auto"/>
        <w:bottom w:val="none" w:sz="0" w:space="0" w:color="auto"/>
        <w:right w:val="none" w:sz="0" w:space="0" w:color="auto"/>
      </w:divBdr>
    </w:div>
    <w:div w:id="692682328">
      <w:bodyDiv w:val="1"/>
      <w:marLeft w:val="0"/>
      <w:marRight w:val="0"/>
      <w:marTop w:val="0"/>
      <w:marBottom w:val="0"/>
      <w:divBdr>
        <w:top w:val="none" w:sz="0" w:space="0" w:color="auto"/>
        <w:left w:val="none" w:sz="0" w:space="0" w:color="auto"/>
        <w:bottom w:val="none" w:sz="0" w:space="0" w:color="auto"/>
        <w:right w:val="none" w:sz="0" w:space="0" w:color="auto"/>
      </w:divBdr>
    </w:div>
    <w:div w:id="706954689">
      <w:bodyDiv w:val="1"/>
      <w:marLeft w:val="0"/>
      <w:marRight w:val="0"/>
      <w:marTop w:val="0"/>
      <w:marBottom w:val="0"/>
      <w:divBdr>
        <w:top w:val="none" w:sz="0" w:space="0" w:color="auto"/>
        <w:left w:val="none" w:sz="0" w:space="0" w:color="auto"/>
        <w:bottom w:val="none" w:sz="0" w:space="0" w:color="auto"/>
        <w:right w:val="none" w:sz="0" w:space="0" w:color="auto"/>
      </w:divBdr>
      <w:divsChild>
        <w:div w:id="581765658">
          <w:marLeft w:val="0"/>
          <w:marRight w:val="0"/>
          <w:marTop w:val="0"/>
          <w:marBottom w:val="0"/>
          <w:divBdr>
            <w:top w:val="none" w:sz="0" w:space="0" w:color="auto"/>
            <w:left w:val="none" w:sz="0" w:space="0" w:color="auto"/>
            <w:bottom w:val="none" w:sz="0" w:space="0" w:color="auto"/>
            <w:right w:val="none" w:sz="0" w:space="0" w:color="auto"/>
          </w:divBdr>
        </w:div>
        <w:div w:id="580791686">
          <w:marLeft w:val="0"/>
          <w:marRight w:val="0"/>
          <w:marTop w:val="0"/>
          <w:marBottom w:val="0"/>
          <w:divBdr>
            <w:top w:val="none" w:sz="0" w:space="0" w:color="auto"/>
            <w:left w:val="none" w:sz="0" w:space="0" w:color="auto"/>
            <w:bottom w:val="none" w:sz="0" w:space="0" w:color="auto"/>
            <w:right w:val="none" w:sz="0" w:space="0" w:color="auto"/>
          </w:divBdr>
        </w:div>
        <w:div w:id="1881277912">
          <w:marLeft w:val="0"/>
          <w:marRight w:val="0"/>
          <w:marTop w:val="0"/>
          <w:marBottom w:val="0"/>
          <w:divBdr>
            <w:top w:val="none" w:sz="0" w:space="0" w:color="auto"/>
            <w:left w:val="none" w:sz="0" w:space="0" w:color="auto"/>
            <w:bottom w:val="none" w:sz="0" w:space="0" w:color="auto"/>
            <w:right w:val="none" w:sz="0" w:space="0" w:color="auto"/>
          </w:divBdr>
        </w:div>
      </w:divsChild>
    </w:div>
    <w:div w:id="749929607">
      <w:bodyDiv w:val="1"/>
      <w:marLeft w:val="0"/>
      <w:marRight w:val="0"/>
      <w:marTop w:val="0"/>
      <w:marBottom w:val="0"/>
      <w:divBdr>
        <w:top w:val="none" w:sz="0" w:space="0" w:color="auto"/>
        <w:left w:val="none" w:sz="0" w:space="0" w:color="auto"/>
        <w:bottom w:val="none" w:sz="0" w:space="0" w:color="auto"/>
        <w:right w:val="none" w:sz="0" w:space="0" w:color="auto"/>
      </w:divBdr>
    </w:div>
    <w:div w:id="850292933">
      <w:bodyDiv w:val="1"/>
      <w:marLeft w:val="0"/>
      <w:marRight w:val="0"/>
      <w:marTop w:val="0"/>
      <w:marBottom w:val="0"/>
      <w:divBdr>
        <w:top w:val="none" w:sz="0" w:space="0" w:color="auto"/>
        <w:left w:val="none" w:sz="0" w:space="0" w:color="auto"/>
        <w:bottom w:val="none" w:sz="0" w:space="0" w:color="auto"/>
        <w:right w:val="none" w:sz="0" w:space="0" w:color="auto"/>
      </w:divBdr>
      <w:divsChild>
        <w:div w:id="499467453">
          <w:marLeft w:val="0"/>
          <w:marRight w:val="0"/>
          <w:marTop w:val="0"/>
          <w:marBottom w:val="0"/>
          <w:divBdr>
            <w:top w:val="none" w:sz="0" w:space="0" w:color="auto"/>
            <w:left w:val="none" w:sz="0" w:space="0" w:color="auto"/>
            <w:bottom w:val="none" w:sz="0" w:space="0" w:color="auto"/>
            <w:right w:val="none" w:sz="0" w:space="0" w:color="auto"/>
          </w:divBdr>
        </w:div>
      </w:divsChild>
    </w:div>
    <w:div w:id="893857484">
      <w:bodyDiv w:val="1"/>
      <w:marLeft w:val="0"/>
      <w:marRight w:val="0"/>
      <w:marTop w:val="0"/>
      <w:marBottom w:val="0"/>
      <w:divBdr>
        <w:top w:val="none" w:sz="0" w:space="0" w:color="auto"/>
        <w:left w:val="none" w:sz="0" w:space="0" w:color="auto"/>
        <w:bottom w:val="none" w:sz="0" w:space="0" w:color="auto"/>
        <w:right w:val="none" w:sz="0" w:space="0" w:color="auto"/>
      </w:divBdr>
    </w:div>
    <w:div w:id="1035275727">
      <w:bodyDiv w:val="1"/>
      <w:marLeft w:val="0"/>
      <w:marRight w:val="0"/>
      <w:marTop w:val="0"/>
      <w:marBottom w:val="0"/>
      <w:divBdr>
        <w:top w:val="none" w:sz="0" w:space="0" w:color="auto"/>
        <w:left w:val="none" w:sz="0" w:space="0" w:color="auto"/>
        <w:bottom w:val="none" w:sz="0" w:space="0" w:color="auto"/>
        <w:right w:val="none" w:sz="0" w:space="0" w:color="auto"/>
      </w:divBdr>
    </w:div>
    <w:div w:id="1037857349">
      <w:bodyDiv w:val="1"/>
      <w:marLeft w:val="0"/>
      <w:marRight w:val="0"/>
      <w:marTop w:val="0"/>
      <w:marBottom w:val="0"/>
      <w:divBdr>
        <w:top w:val="none" w:sz="0" w:space="0" w:color="auto"/>
        <w:left w:val="none" w:sz="0" w:space="0" w:color="auto"/>
        <w:bottom w:val="none" w:sz="0" w:space="0" w:color="auto"/>
        <w:right w:val="none" w:sz="0" w:space="0" w:color="auto"/>
      </w:divBdr>
    </w:div>
    <w:div w:id="1321428254">
      <w:bodyDiv w:val="1"/>
      <w:marLeft w:val="0"/>
      <w:marRight w:val="0"/>
      <w:marTop w:val="0"/>
      <w:marBottom w:val="0"/>
      <w:divBdr>
        <w:top w:val="none" w:sz="0" w:space="0" w:color="auto"/>
        <w:left w:val="none" w:sz="0" w:space="0" w:color="auto"/>
        <w:bottom w:val="none" w:sz="0" w:space="0" w:color="auto"/>
        <w:right w:val="none" w:sz="0" w:space="0" w:color="auto"/>
      </w:divBdr>
    </w:div>
    <w:div w:id="1366711837">
      <w:bodyDiv w:val="1"/>
      <w:marLeft w:val="0"/>
      <w:marRight w:val="0"/>
      <w:marTop w:val="0"/>
      <w:marBottom w:val="0"/>
      <w:divBdr>
        <w:top w:val="none" w:sz="0" w:space="0" w:color="auto"/>
        <w:left w:val="none" w:sz="0" w:space="0" w:color="auto"/>
        <w:bottom w:val="none" w:sz="0" w:space="0" w:color="auto"/>
        <w:right w:val="none" w:sz="0" w:space="0" w:color="auto"/>
      </w:divBdr>
    </w:div>
    <w:div w:id="1417630495">
      <w:bodyDiv w:val="1"/>
      <w:marLeft w:val="0"/>
      <w:marRight w:val="0"/>
      <w:marTop w:val="0"/>
      <w:marBottom w:val="0"/>
      <w:divBdr>
        <w:top w:val="none" w:sz="0" w:space="0" w:color="auto"/>
        <w:left w:val="none" w:sz="0" w:space="0" w:color="auto"/>
        <w:bottom w:val="none" w:sz="0" w:space="0" w:color="auto"/>
        <w:right w:val="none" w:sz="0" w:space="0" w:color="auto"/>
      </w:divBdr>
    </w:div>
    <w:div w:id="1447113907">
      <w:bodyDiv w:val="1"/>
      <w:marLeft w:val="0"/>
      <w:marRight w:val="0"/>
      <w:marTop w:val="0"/>
      <w:marBottom w:val="0"/>
      <w:divBdr>
        <w:top w:val="none" w:sz="0" w:space="0" w:color="auto"/>
        <w:left w:val="none" w:sz="0" w:space="0" w:color="auto"/>
        <w:bottom w:val="none" w:sz="0" w:space="0" w:color="auto"/>
        <w:right w:val="none" w:sz="0" w:space="0" w:color="auto"/>
      </w:divBdr>
    </w:div>
    <w:div w:id="1601986010">
      <w:bodyDiv w:val="1"/>
      <w:marLeft w:val="0"/>
      <w:marRight w:val="0"/>
      <w:marTop w:val="0"/>
      <w:marBottom w:val="0"/>
      <w:divBdr>
        <w:top w:val="none" w:sz="0" w:space="0" w:color="auto"/>
        <w:left w:val="none" w:sz="0" w:space="0" w:color="auto"/>
        <w:bottom w:val="none" w:sz="0" w:space="0" w:color="auto"/>
        <w:right w:val="none" w:sz="0" w:space="0" w:color="auto"/>
      </w:divBdr>
    </w:div>
    <w:div w:id="1715809715">
      <w:bodyDiv w:val="1"/>
      <w:marLeft w:val="0"/>
      <w:marRight w:val="0"/>
      <w:marTop w:val="0"/>
      <w:marBottom w:val="0"/>
      <w:divBdr>
        <w:top w:val="none" w:sz="0" w:space="0" w:color="auto"/>
        <w:left w:val="none" w:sz="0" w:space="0" w:color="auto"/>
        <w:bottom w:val="none" w:sz="0" w:space="0" w:color="auto"/>
        <w:right w:val="none" w:sz="0" w:space="0" w:color="auto"/>
      </w:divBdr>
    </w:div>
    <w:div w:id="1741365645">
      <w:bodyDiv w:val="1"/>
      <w:marLeft w:val="0"/>
      <w:marRight w:val="0"/>
      <w:marTop w:val="0"/>
      <w:marBottom w:val="0"/>
      <w:divBdr>
        <w:top w:val="none" w:sz="0" w:space="0" w:color="auto"/>
        <w:left w:val="none" w:sz="0" w:space="0" w:color="auto"/>
        <w:bottom w:val="none" w:sz="0" w:space="0" w:color="auto"/>
        <w:right w:val="none" w:sz="0" w:space="0" w:color="auto"/>
      </w:divBdr>
    </w:div>
    <w:div w:id="1866403976">
      <w:bodyDiv w:val="1"/>
      <w:marLeft w:val="0"/>
      <w:marRight w:val="0"/>
      <w:marTop w:val="0"/>
      <w:marBottom w:val="0"/>
      <w:divBdr>
        <w:top w:val="none" w:sz="0" w:space="0" w:color="auto"/>
        <w:left w:val="none" w:sz="0" w:space="0" w:color="auto"/>
        <w:bottom w:val="none" w:sz="0" w:space="0" w:color="auto"/>
        <w:right w:val="none" w:sz="0" w:space="0" w:color="auto"/>
      </w:divBdr>
    </w:div>
    <w:div w:id="1914199215">
      <w:bodyDiv w:val="1"/>
      <w:marLeft w:val="0"/>
      <w:marRight w:val="0"/>
      <w:marTop w:val="0"/>
      <w:marBottom w:val="0"/>
      <w:divBdr>
        <w:top w:val="none" w:sz="0" w:space="0" w:color="auto"/>
        <w:left w:val="none" w:sz="0" w:space="0" w:color="auto"/>
        <w:bottom w:val="none" w:sz="0" w:space="0" w:color="auto"/>
        <w:right w:val="none" w:sz="0" w:space="0" w:color="auto"/>
      </w:divBdr>
    </w:div>
    <w:div w:id="210954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F60FE-F00B-49CA-82A1-93F19780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35263</Words>
  <Characters>201003</Characters>
  <Application>Microsoft Office Word</Application>
  <DocSecurity>0</DocSecurity>
  <Lines>1675</Lines>
  <Paragraphs>471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235795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Hill-Tout</dc:creator>
  <cp:lastModifiedBy>Sebastian Fuller</cp:lastModifiedBy>
  <cp:revision>2</cp:revision>
  <cp:lastPrinted>2017-10-10T09:06:00Z</cp:lastPrinted>
  <dcterms:created xsi:type="dcterms:W3CDTF">2018-05-16T12:05:00Z</dcterms:created>
  <dcterms:modified xsi:type="dcterms:W3CDTF">2018-05-16T12:05:00Z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67c30b80-07a7-3c47-8fea-cf9b926ea2bb</vt:lpwstr>
  </property>
  <property fmtid="{D5CDD505-2E9C-101B-9397-08002B2CF9AE}" pid="4" name="Mendeley Citation Style_1">
    <vt:lpwstr>http://www.zotero.org/styles/bmj</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vt:lpwstr>
  </property>
  <property fmtid="{D5CDD505-2E9C-101B-9397-08002B2CF9AE}" pid="7" name="Mendeley Recent Style Id 1_1">
    <vt:lpwstr>http://www.zotero.org/styles/bmj</vt:lpwstr>
  </property>
  <property fmtid="{D5CDD505-2E9C-101B-9397-08002B2CF9AE}" pid="8" name="Mendeley Recent Style Name 1_1">
    <vt:lpwstr>BMJ</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http://www.zotero.org/styles/sexually-transmitted-infections</vt:lpwstr>
  </property>
  <property fmtid="{D5CDD505-2E9C-101B-9397-08002B2CF9AE}" pid="22" name="Mendeley Recent Style Name 8_1">
    <vt:lpwstr>Sexually Transmitted Infections</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