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2C" w:rsidRPr="007E7998" w:rsidRDefault="0081562C" w:rsidP="0081562C">
      <w:pPr>
        <w:spacing w:line="480" w:lineRule="auto"/>
        <w:jc w:val="center"/>
        <w:rPr>
          <w:rFonts w:ascii="Arial" w:hAnsi="Arial" w:cs="Arial"/>
          <w:b/>
        </w:rPr>
      </w:pPr>
      <w:bookmarkStart w:id="0" w:name="_GoBack"/>
      <w:bookmarkEnd w:id="0"/>
      <w:r w:rsidRPr="007E7998">
        <w:rPr>
          <w:rFonts w:ascii="Arial" w:hAnsi="Arial" w:cs="Arial"/>
          <w:b/>
        </w:rPr>
        <w:t xml:space="preserve">Analysis of aortic area/height ratio in patients with </w:t>
      </w:r>
    </w:p>
    <w:p w:rsidR="0081562C" w:rsidRPr="007E7998" w:rsidRDefault="0081562C" w:rsidP="0081562C">
      <w:pPr>
        <w:spacing w:line="480" w:lineRule="auto"/>
        <w:jc w:val="center"/>
        <w:rPr>
          <w:rFonts w:ascii="Arial" w:hAnsi="Arial" w:cs="Arial"/>
          <w:b/>
        </w:rPr>
      </w:pPr>
      <w:proofErr w:type="gramStart"/>
      <w:r w:rsidRPr="007E7998">
        <w:rPr>
          <w:rFonts w:ascii="Arial" w:hAnsi="Arial" w:cs="Arial"/>
          <w:b/>
        </w:rPr>
        <w:t>thoracic</w:t>
      </w:r>
      <w:proofErr w:type="gramEnd"/>
      <w:r w:rsidRPr="007E7998">
        <w:rPr>
          <w:rFonts w:ascii="Arial" w:hAnsi="Arial" w:cs="Arial"/>
          <w:b/>
        </w:rPr>
        <w:t xml:space="preserve"> aortic aneurysm and type A dissection</w:t>
      </w:r>
    </w:p>
    <w:p w:rsidR="007E6EB8" w:rsidRPr="007E7998" w:rsidRDefault="007E6EB8" w:rsidP="00522B0C">
      <w:pPr>
        <w:spacing w:line="480" w:lineRule="auto"/>
        <w:jc w:val="center"/>
        <w:rPr>
          <w:rFonts w:ascii="Arial" w:hAnsi="Arial" w:cs="Arial"/>
          <w:b/>
        </w:rPr>
      </w:pPr>
    </w:p>
    <w:p w:rsidR="003D7928" w:rsidRPr="007E7998" w:rsidRDefault="003D7928" w:rsidP="00522B0C">
      <w:pPr>
        <w:spacing w:line="480" w:lineRule="auto"/>
        <w:jc w:val="center"/>
        <w:rPr>
          <w:rFonts w:ascii="Arial" w:hAnsi="Arial" w:cs="Arial"/>
          <w:vertAlign w:val="superscript"/>
        </w:rPr>
      </w:pPr>
      <w:proofErr w:type="spellStart"/>
      <w:r w:rsidRPr="007E7998">
        <w:rPr>
          <w:rFonts w:ascii="Arial" w:hAnsi="Arial" w:cs="Arial"/>
        </w:rPr>
        <w:t>Metesh</w:t>
      </w:r>
      <w:proofErr w:type="spellEnd"/>
      <w:r w:rsidRPr="007E7998">
        <w:rPr>
          <w:rFonts w:ascii="Arial" w:hAnsi="Arial" w:cs="Arial"/>
        </w:rPr>
        <w:t xml:space="preserve"> </w:t>
      </w:r>
      <w:proofErr w:type="spellStart"/>
      <w:r w:rsidR="008E4FC3" w:rsidRPr="007E7998">
        <w:rPr>
          <w:rFonts w:ascii="Arial" w:hAnsi="Arial" w:cs="Arial"/>
        </w:rPr>
        <w:t>Nalin</w:t>
      </w:r>
      <w:proofErr w:type="spellEnd"/>
      <w:r w:rsidR="008E4FC3" w:rsidRPr="007E7998">
        <w:rPr>
          <w:rFonts w:ascii="Arial" w:hAnsi="Arial" w:cs="Arial"/>
        </w:rPr>
        <w:t xml:space="preserve"> </w:t>
      </w:r>
      <w:r w:rsidRPr="007E7998">
        <w:rPr>
          <w:rFonts w:ascii="Arial" w:hAnsi="Arial" w:cs="Arial"/>
        </w:rPr>
        <w:t>Acharya</w:t>
      </w:r>
      <w:r w:rsidR="005E189F" w:rsidRPr="007E7998">
        <w:rPr>
          <w:rFonts w:ascii="Arial" w:hAnsi="Arial" w:cs="Arial"/>
          <w:vertAlign w:val="superscript"/>
        </w:rPr>
        <w:t>1</w:t>
      </w:r>
      <w:r w:rsidRPr="007E7998">
        <w:rPr>
          <w:rFonts w:ascii="Arial" w:hAnsi="Arial" w:cs="Arial"/>
        </w:rPr>
        <w:t xml:space="preserve">, </w:t>
      </w:r>
      <w:r w:rsidR="00EA7C13" w:rsidRPr="007E7998">
        <w:rPr>
          <w:rFonts w:ascii="Arial" w:hAnsi="Arial" w:cs="Arial"/>
        </w:rPr>
        <w:t>Pouya Youssefi</w:t>
      </w:r>
      <w:r w:rsidR="005E189F" w:rsidRPr="007E7998">
        <w:rPr>
          <w:rFonts w:ascii="Arial" w:hAnsi="Arial" w:cs="Arial"/>
          <w:vertAlign w:val="superscript"/>
        </w:rPr>
        <w:t>1</w:t>
      </w:r>
      <w:r w:rsidR="00EA7C13" w:rsidRPr="007E7998">
        <w:rPr>
          <w:rFonts w:ascii="Arial" w:hAnsi="Arial" w:cs="Arial"/>
        </w:rPr>
        <w:t xml:space="preserve">, </w:t>
      </w:r>
      <w:r w:rsidR="0000250D" w:rsidRPr="007E7998">
        <w:rPr>
          <w:rFonts w:ascii="Arial" w:hAnsi="Arial" w:cs="Arial"/>
        </w:rPr>
        <w:t>Gopal Soppa</w:t>
      </w:r>
      <w:r w:rsidR="0000250D" w:rsidRPr="007E7998">
        <w:rPr>
          <w:rFonts w:ascii="Arial" w:hAnsi="Arial" w:cs="Arial"/>
          <w:vertAlign w:val="superscript"/>
        </w:rPr>
        <w:t>1</w:t>
      </w:r>
      <w:r w:rsidR="0000250D" w:rsidRPr="007E7998">
        <w:rPr>
          <w:rFonts w:ascii="Arial" w:hAnsi="Arial" w:cs="Arial"/>
        </w:rPr>
        <w:t xml:space="preserve">, </w:t>
      </w:r>
      <w:r w:rsidR="00F72E3E" w:rsidRPr="007E7998">
        <w:rPr>
          <w:rFonts w:ascii="Arial" w:hAnsi="Arial" w:cs="Arial"/>
        </w:rPr>
        <w:t>Oswaldo Valencia</w:t>
      </w:r>
      <w:r w:rsidR="00F72E3E" w:rsidRPr="007E7998">
        <w:rPr>
          <w:rFonts w:ascii="Arial" w:hAnsi="Arial" w:cs="Arial"/>
          <w:vertAlign w:val="superscript"/>
        </w:rPr>
        <w:t>1</w:t>
      </w:r>
      <w:r w:rsidR="00F72E3E" w:rsidRPr="007E7998">
        <w:rPr>
          <w:rFonts w:ascii="Arial" w:hAnsi="Arial" w:cs="Arial"/>
        </w:rPr>
        <w:t xml:space="preserve">, </w:t>
      </w:r>
      <w:r w:rsidR="005E1C7D" w:rsidRPr="007E7998">
        <w:rPr>
          <w:rFonts w:ascii="Arial" w:hAnsi="Arial" w:cs="Arial"/>
        </w:rPr>
        <w:t>Justin Nowell</w:t>
      </w:r>
      <w:r w:rsidR="005E1C7D" w:rsidRPr="007E7998">
        <w:rPr>
          <w:rFonts w:ascii="Arial" w:hAnsi="Arial" w:cs="Arial"/>
          <w:vertAlign w:val="superscript"/>
        </w:rPr>
        <w:t>1</w:t>
      </w:r>
      <w:r w:rsidR="005E1C7D" w:rsidRPr="007E7998">
        <w:rPr>
          <w:rFonts w:ascii="Arial" w:hAnsi="Arial" w:cs="Arial"/>
        </w:rPr>
        <w:t>, Robin Kanagasabay</w:t>
      </w:r>
      <w:r w:rsidR="005E1C7D" w:rsidRPr="007E7998">
        <w:rPr>
          <w:rFonts w:ascii="Arial" w:hAnsi="Arial" w:cs="Arial"/>
          <w:vertAlign w:val="superscript"/>
        </w:rPr>
        <w:t>1</w:t>
      </w:r>
      <w:r w:rsidR="005E1C7D" w:rsidRPr="007E7998">
        <w:rPr>
          <w:rFonts w:ascii="Arial" w:hAnsi="Arial" w:cs="Arial"/>
        </w:rPr>
        <w:t xml:space="preserve">, </w:t>
      </w:r>
      <w:r w:rsidRPr="007E7998">
        <w:rPr>
          <w:rFonts w:ascii="Arial" w:hAnsi="Arial" w:cs="Arial"/>
        </w:rPr>
        <w:t>Mark Edsell</w:t>
      </w:r>
      <w:r w:rsidR="005E1C7D" w:rsidRPr="007E7998">
        <w:rPr>
          <w:rFonts w:ascii="Arial" w:hAnsi="Arial" w:cs="Arial"/>
          <w:vertAlign w:val="superscript"/>
        </w:rPr>
        <w:t>2</w:t>
      </w:r>
      <w:r w:rsidRPr="007E7998">
        <w:rPr>
          <w:rFonts w:ascii="Arial" w:hAnsi="Arial" w:cs="Arial"/>
        </w:rPr>
        <w:t>, Robert Morgan</w:t>
      </w:r>
      <w:r w:rsidR="005E1C7D" w:rsidRPr="007E7998">
        <w:rPr>
          <w:rFonts w:ascii="Arial" w:hAnsi="Arial" w:cs="Arial"/>
          <w:vertAlign w:val="superscript"/>
        </w:rPr>
        <w:t>3</w:t>
      </w:r>
      <w:r w:rsidRPr="007E7998">
        <w:rPr>
          <w:rFonts w:ascii="Arial" w:hAnsi="Arial" w:cs="Arial"/>
        </w:rPr>
        <w:t>, Maite Tome</w:t>
      </w:r>
      <w:r w:rsidR="005E1C7D" w:rsidRPr="007E7998">
        <w:rPr>
          <w:rFonts w:ascii="Arial" w:hAnsi="Arial" w:cs="Arial"/>
          <w:vertAlign w:val="superscript"/>
        </w:rPr>
        <w:t>4</w:t>
      </w:r>
      <w:r w:rsidRPr="007E7998">
        <w:rPr>
          <w:rFonts w:ascii="Arial" w:hAnsi="Arial" w:cs="Arial"/>
        </w:rPr>
        <w:t>, Marjan Jahangiri</w:t>
      </w:r>
      <w:r w:rsidR="005E189F" w:rsidRPr="007E7998">
        <w:rPr>
          <w:rFonts w:ascii="Arial" w:hAnsi="Arial" w:cs="Arial"/>
          <w:vertAlign w:val="superscript"/>
        </w:rPr>
        <w:t>1</w:t>
      </w:r>
    </w:p>
    <w:p w:rsidR="007E6EB8" w:rsidRPr="007E7998" w:rsidRDefault="007E6EB8" w:rsidP="00522B0C">
      <w:pPr>
        <w:spacing w:line="480" w:lineRule="auto"/>
        <w:jc w:val="center"/>
        <w:rPr>
          <w:rFonts w:ascii="Arial" w:hAnsi="Arial" w:cs="Arial"/>
          <w:vertAlign w:val="superscript"/>
        </w:rPr>
      </w:pPr>
    </w:p>
    <w:p w:rsidR="00641D02" w:rsidRPr="007E7998" w:rsidRDefault="0058682F" w:rsidP="00522B0C">
      <w:pPr>
        <w:pStyle w:val="ListParagraph"/>
        <w:spacing w:line="480" w:lineRule="auto"/>
        <w:rPr>
          <w:rFonts w:ascii="Arial" w:hAnsi="Arial" w:cs="Arial"/>
        </w:rPr>
      </w:pPr>
      <w:r w:rsidRPr="007E7998">
        <w:rPr>
          <w:rFonts w:ascii="Arial" w:hAnsi="Arial" w:cs="Arial"/>
        </w:rPr>
        <w:t>Department</w:t>
      </w:r>
      <w:r w:rsidR="00F41575" w:rsidRPr="007E7998">
        <w:rPr>
          <w:rFonts w:ascii="Arial" w:hAnsi="Arial" w:cs="Arial"/>
        </w:rPr>
        <w:t>s</w:t>
      </w:r>
      <w:r w:rsidRPr="007E7998">
        <w:rPr>
          <w:rFonts w:ascii="Arial" w:hAnsi="Arial" w:cs="Arial"/>
        </w:rPr>
        <w:t xml:space="preserve"> of Cardiothoraci</w:t>
      </w:r>
      <w:r w:rsidR="005E189F" w:rsidRPr="007E7998">
        <w:rPr>
          <w:rFonts w:ascii="Arial" w:hAnsi="Arial" w:cs="Arial"/>
        </w:rPr>
        <w:t>c Surgery</w:t>
      </w:r>
      <w:r w:rsidR="00F41575" w:rsidRPr="007E7998">
        <w:rPr>
          <w:rFonts w:ascii="Arial" w:hAnsi="Arial" w:cs="Arial"/>
          <w:vertAlign w:val="superscript"/>
        </w:rPr>
        <w:t>1</w:t>
      </w:r>
      <w:r w:rsidR="00EF14E1" w:rsidRPr="007E7998">
        <w:rPr>
          <w:rFonts w:ascii="Arial" w:hAnsi="Arial" w:cs="Arial"/>
        </w:rPr>
        <w:t>,</w:t>
      </w:r>
      <w:r w:rsidR="00F41575" w:rsidRPr="007E7998">
        <w:rPr>
          <w:rFonts w:ascii="Arial" w:hAnsi="Arial" w:cs="Arial"/>
        </w:rPr>
        <w:t xml:space="preserve"> Anaesthesia</w:t>
      </w:r>
      <w:r w:rsidR="00F41575" w:rsidRPr="007E7998">
        <w:rPr>
          <w:rFonts w:ascii="Arial" w:hAnsi="Arial" w:cs="Arial"/>
          <w:vertAlign w:val="superscript"/>
        </w:rPr>
        <w:t>2</w:t>
      </w:r>
      <w:r w:rsidR="00F41575" w:rsidRPr="007E7998">
        <w:rPr>
          <w:rFonts w:ascii="Arial" w:hAnsi="Arial" w:cs="Arial"/>
        </w:rPr>
        <w:t>,</w:t>
      </w:r>
      <w:r w:rsidRPr="007E7998">
        <w:rPr>
          <w:rFonts w:ascii="Arial" w:hAnsi="Arial" w:cs="Arial"/>
        </w:rPr>
        <w:t xml:space="preserve"> </w:t>
      </w:r>
      <w:r w:rsidR="00E6593F" w:rsidRPr="007E7998">
        <w:rPr>
          <w:rFonts w:ascii="Arial" w:hAnsi="Arial" w:cs="Arial"/>
        </w:rPr>
        <w:t>Radiology</w:t>
      </w:r>
      <w:r w:rsidR="00E6593F" w:rsidRPr="007E7998">
        <w:rPr>
          <w:rFonts w:ascii="Arial" w:hAnsi="Arial" w:cs="Arial"/>
          <w:vertAlign w:val="superscript"/>
        </w:rPr>
        <w:t xml:space="preserve">3 </w:t>
      </w:r>
      <w:r w:rsidR="00E6593F" w:rsidRPr="007E7998">
        <w:rPr>
          <w:rFonts w:ascii="Arial" w:hAnsi="Arial" w:cs="Arial"/>
        </w:rPr>
        <w:t xml:space="preserve">and </w:t>
      </w:r>
      <w:r w:rsidRPr="007E7998">
        <w:rPr>
          <w:rFonts w:ascii="Arial" w:hAnsi="Arial" w:cs="Arial"/>
        </w:rPr>
        <w:t>Cardiology</w:t>
      </w:r>
      <w:r w:rsidR="00E6593F" w:rsidRPr="007E7998">
        <w:rPr>
          <w:rFonts w:ascii="Arial" w:hAnsi="Arial" w:cs="Arial"/>
          <w:vertAlign w:val="superscript"/>
        </w:rPr>
        <w:t>4</w:t>
      </w:r>
      <w:r w:rsidR="00F41575" w:rsidRPr="007E7998">
        <w:rPr>
          <w:rFonts w:ascii="Arial" w:hAnsi="Arial" w:cs="Arial"/>
        </w:rPr>
        <w:t xml:space="preserve">, </w:t>
      </w:r>
      <w:r w:rsidR="005E189F" w:rsidRPr="007E7998">
        <w:rPr>
          <w:rFonts w:ascii="Arial" w:hAnsi="Arial" w:cs="Arial"/>
        </w:rPr>
        <w:t>St. George's Hospital</w:t>
      </w:r>
      <w:r w:rsidR="00641D02" w:rsidRPr="007E7998">
        <w:rPr>
          <w:rFonts w:ascii="Arial" w:hAnsi="Arial" w:cs="Arial"/>
        </w:rPr>
        <w:t>, Blackshaw Road, London, SW17 0QT, United Kingdom</w:t>
      </w:r>
    </w:p>
    <w:p w:rsidR="007E6EB8" w:rsidRPr="007E7998" w:rsidRDefault="007E6EB8" w:rsidP="00522B0C">
      <w:pPr>
        <w:pStyle w:val="ListParagraph"/>
        <w:spacing w:line="480" w:lineRule="auto"/>
        <w:jc w:val="center"/>
        <w:rPr>
          <w:rFonts w:ascii="Arial" w:hAnsi="Arial" w:cs="Arial"/>
        </w:rPr>
      </w:pPr>
    </w:p>
    <w:p w:rsidR="00893E6A" w:rsidRPr="007E7998" w:rsidRDefault="005241D9" w:rsidP="00522B0C">
      <w:pPr>
        <w:spacing w:line="480" w:lineRule="auto"/>
        <w:jc w:val="center"/>
        <w:rPr>
          <w:rFonts w:ascii="Arial" w:hAnsi="Arial" w:cs="Arial"/>
        </w:rPr>
      </w:pPr>
      <w:r w:rsidRPr="007E7998">
        <w:rPr>
          <w:rFonts w:ascii="Arial" w:hAnsi="Arial" w:cs="Arial"/>
        </w:rPr>
        <w:t xml:space="preserve">Presented </w:t>
      </w:r>
      <w:r w:rsidR="00893E6A" w:rsidRPr="007E7998">
        <w:rPr>
          <w:rFonts w:ascii="Arial" w:hAnsi="Arial" w:cs="Arial"/>
        </w:rPr>
        <w:t xml:space="preserve">at </w:t>
      </w:r>
      <w:r w:rsidR="00862DE4" w:rsidRPr="007E7998">
        <w:rPr>
          <w:rFonts w:ascii="Arial" w:hAnsi="Arial" w:cs="Arial"/>
        </w:rPr>
        <w:t xml:space="preserve">the 31st Annual Meeting of the European Association </w:t>
      </w:r>
      <w:r w:rsidR="00B66AB3" w:rsidRPr="007E7998">
        <w:rPr>
          <w:rFonts w:ascii="Arial" w:hAnsi="Arial" w:cs="Arial"/>
        </w:rPr>
        <w:t xml:space="preserve">for </w:t>
      </w:r>
      <w:r w:rsidR="0040638B" w:rsidRPr="007E7998">
        <w:rPr>
          <w:rFonts w:ascii="Arial" w:hAnsi="Arial" w:cs="Arial"/>
        </w:rPr>
        <w:t>Cardiothoracic Surgery</w:t>
      </w:r>
      <w:r w:rsidR="00110C8A" w:rsidRPr="007E7998">
        <w:rPr>
          <w:rFonts w:ascii="Arial" w:hAnsi="Arial" w:cs="Arial"/>
        </w:rPr>
        <w:t xml:space="preserve">, </w:t>
      </w:r>
      <w:r w:rsidR="00CF2656" w:rsidRPr="007E7998">
        <w:rPr>
          <w:rFonts w:ascii="Arial" w:hAnsi="Arial" w:cs="Arial"/>
        </w:rPr>
        <w:t>8 October 2017, Vienna</w:t>
      </w:r>
    </w:p>
    <w:p w:rsidR="00BC6C99" w:rsidRPr="007E7998" w:rsidRDefault="00BC6C99" w:rsidP="00522B0C">
      <w:pPr>
        <w:spacing w:line="480" w:lineRule="auto"/>
        <w:jc w:val="center"/>
        <w:rPr>
          <w:rFonts w:ascii="Arial" w:hAnsi="Arial" w:cs="Arial"/>
        </w:rPr>
      </w:pPr>
      <w:r w:rsidRPr="007E7998">
        <w:rPr>
          <w:rFonts w:ascii="Arial" w:hAnsi="Arial" w:cs="Arial"/>
        </w:rPr>
        <w:t>Word Count:</w:t>
      </w:r>
      <w:r w:rsidR="00100123" w:rsidRPr="007E7998">
        <w:rPr>
          <w:rFonts w:ascii="Arial" w:hAnsi="Arial" w:cs="Arial"/>
        </w:rPr>
        <w:t xml:space="preserve"> </w:t>
      </w:r>
      <w:r w:rsidR="00084308" w:rsidRPr="007E7998">
        <w:rPr>
          <w:rFonts w:ascii="Arial" w:hAnsi="Arial" w:cs="Arial"/>
        </w:rPr>
        <w:t>43</w:t>
      </w:r>
      <w:r w:rsidR="000D002C" w:rsidRPr="007E7998">
        <w:rPr>
          <w:rFonts w:ascii="Arial" w:hAnsi="Arial" w:cs="Arial"/>
        </w:rPr>
        <w:t>29</w:t>
      </w:r>
    </w:p>
    <w:p w:rsidR="006F7C24" w:rsidRPr="007E7998" w:rsidRDefault="006F7C24" w:rsidP="00C80B90">
      <w:pPr>
        <w:spacing w:line="480" w:lineRule="auto"/>
        <w:rPr>
          <w:rFonts w:ascii="Arial" w:hAnsi="Arial" w:cs="Arial"/>
        </w:rPr>
      </w:pPr>
    </w:p>
    <w:p w:rsidR="005D473E" w:rsidRPr="007E7998" w:rsidRDefault="005D473E" w:rsidP="00C80B90">
      <w:pPr>
        <w:spacing w:line="480" w:lineRule="auto"/>
        <w:rPr>
          <w:rFonts w:ascii="Arial" w:hAnsi="Arial" w:cs="Arial"/>
        </w:rPr>
      </w:pPr>
    </w:p>
    <w:p w:rsidR="005D6C61" w:rsidRPr="007E7998" w:rsidRDefault="005D6C61" w:rsidP="00C80B90">
      <w:pPr>
        <w:spacing w:line="480" w:lineRule="auto"/>
        <w:rPr>
          <w:rFonts w:ascii="Arial" w:hAnsi="Arial" w:cs="Arial"/>
        </w:rPr>
      </w:pPr>
    </w:p>
    <w:p w:rsidR="007E6EB8" w:rsidRPr="007E7998" w:rsidRDefault="00110C8A" w:rsidP="00C80B90">
      <w:pPr>
        <w:spacing w:line="480" w:lineRule="auto"/>
        <w:jc w:val="both"/>
        <w:rPr>
          <w:rFonts w:ascii="Arial" w:hAnsi="Arial" w:cs="Arial"/>
          <w:b/>
        </w:rPr>
      </w:pPr>
      <w:r w:rsidRPr="007E7998">
        <w:rPr>
          <w:rFonts w:ascii="Arial" w:hAnsi="Arial" w:cs="Arial"/>
          <w:b/>
        </w:rPr>
        <w:softHyphen/>
      </w:r>
      <w:r w:rsidR="00D12B76" w:rsidRPr="007E7998">
        <w:rPr>
          <w:rFonts w:ascii="Arial" w:hAnsi="Arial" w:cs="Arial"/>
          <w:b/>
        </w:rPr>
        <w:t>Corresponding Author</w:t>
      </w:r>
    </w:p>
    <w:p w:rsidR="00110C8A" w:rsidRPr="007E7998" w:rsidRDefault="00110C8A" w:rsidP="00C80B90">
      <w:pPr>
        <w:spacing w:line="480" w:lineRule="auto"/>
        <w:jc w:val="both"/>
        <w:rPr>
          <w:rFonts w:ascii="Arial" w:hAnsi="Arial" w:cs="Arial"/>
        </w:rPr>
      </w:pPr>
      <w:r w:rsidRPr="007E7998">
        <w:rPr>
          <w:rFonts w:ascii="Arial" w:hAnsi="Arial" w:cs="Arial"/>
        </w:rPr>
        <w:t>Marjan Jahangiri</w:t>
      </w:r>
      <w:r w:rsidR="006D7523" w:rsidRPr="007E7998">
        <w:rPr>
          <w:rFonts w:ascii="Arial" w:hAnsi="Arial" w:cs="Arial"/>
        </w:rPr>
        <w:t xml:space="preserve"> FRCS (</w:t>
      </w:r>
      <w:proofErr w:type="spellStart"/>
      <w:r w:rsidR="006D7523" w:rsidRPr="007E7998">
        <w:rPr>
          <w:rFonts w:ascii="Arial" w:hAnsi="Arial" w:cs="Arial"/>
        </w:rPr>
        <w:t>CTh</w:t>
      </w:r>
      <w:proofErr w:type="spellEnd"/>
      <w:r w:rsidR="006D7523" w:rsidRPr="007E7998">
        <w:rPr>
          <w:rFonts w:ascii="Arial" w:hAnsi="Arial" w:cs="Arial"/>
        </w:rPr>
        <w:t>)</w:t>
      </w:r>
      <w:r w:rsidR="00660400" w:rsidRPr="007E7998">
        <w:rPr>
          <w:rFonts w:ascii="Arial" w:hAnsi="Arial" w:cs="Arial"/>
        </w:rPr>
        <w:t>,</w:t>
      </w:r>
    </w:p>
    <w:p w:rsidR="00110C8A" w:rsidRPr="007E7998" w:rsidRDefault="00D12B76" w:rsidP="00C80B90">
      <w:pPr>
        <w:spacing w:line="480" w:lineRule="auto"/>
        <w:jc w:val="both"/>
        <w:rPr>
          <w:rFonts w:ascii="Arial" w:hAnsi="Arial" w:cs="Arial"/>
        </w:rPr>
      </w:pPr>
      <w:r w:rsidRPr="007E7998">
        <w:rPr>
          <w:rFonts w:ascii="Arial" w:hAnsi="Arial" w:cs="Arial"/>
        </w:rPr>
        <w:t xml:space="preserve">Department of Cardiothoracic Surgery, </w:t>
      </w:r>
    </w:p>
    <w:p w:rsidR="00110C8A" w:rsidRPr="007E7998" w:rsidRDefault="00D12B76" w:rsidP="00C80B90">
      <w:pPr>
        <w:spacing w:line="480" w:lineRule="auto"/>
        <w:jc w:val="both"/>
        <w:rPr>
          <w:rFonts w:ascii="Arial" w:hAnsi="Arial" w:cs="Arial"/>
        </w:rPr>
      </w:pPr>
      <w:proofErr w:type="gramStart"/>
      <w:r w:rsidRPr="007E7998">
        <w:rPr>
          <w:rFonts w:ascii="Arial" w:hAnsi="Arial" w:cs="Arial"/>
        </w:rPr>
        <w:t>St. George's Hospital, Blackshaw Road, London, SW17 0QT, United Kingdom.</w:t>
      </w:r>
      <w:proofErr w:type="gramEnd"/>
      <w:r w:rsidRPr="007E7998">
        <w:rPr>
          <w:rFonts w:ascii="Arial" w:hAnsi="Arial" w:cs="Arial"/>
        </w:rPr>
        <w:t xml:space="preserve"> </w:t>
      </w:r>
    </w:p>
    <w:p w:rsidR="00D12B76" w:rsidRPr="007E7998" w:rsidRDefault="00D12B76" w:rsidP="00C80B90">
      <w:pPr>
        <w:spacing w:line="480" w:lineRule="auto"/>
        <w:jc w:val="both"/>
        <w:rPr>
          <w:rFonts w:ascii="Arial" w:hAnsi="Arial" w:cs="Arial"/>
        </w:rPr>
      </w:pPr>
      <w:r w:rsidRPr="007E7998">
        <w:rPr>
          <w:rFonts w:ascii="Arial" w:hAnsi="Arial" w:cs="Arial"/>
        </w:rPr>
        <w:t xml:space="preserve">E-mail: </w:t>
      </w:r>
      <w:hyperlink r:id="rId9" w:history="1">
        <w:r w:rsidR="00660400" w:rsidRPr="007E7998">
          <w:rPr>
            <w:rStyle w:val="Hyperlink"/>
            <w:rFonts w:ascii="Arial" w:hAnsi="Arial" w:cs="Arial"/>
            <w:color w:val="auto"/>
            <w:u w:val="none"/>
          </w:rPr>
          <w:t>marjan.jahangiri@stgeorges.nhs.uk</w:t>
        </w:r>
      </w:hyperlink>
    </w:p>
    <w:p w:rsidR="00110C8A" w:rsidRPr="007E7998" w:rsidRDefault="00660400" w:rsidP="00C80B90">
      <w:pPr>
        <w:spacing w:line="480" w:lineRule="auto"/>
        <w:jc w:val="both"/>
        <w:rPr>
          <w:rFonts w:ascii="Arial" w:hAnsi="Arial" w:cs="Arial"/>
          <w:b/>
        </w:rPr>
      </w:pPr>
      <w:r w:rsidRPr="007E7998">
        <w:rPr>
          <w:rFonts w:ascii="Arial" w:hAnsi="Arial" w:cs="Arial"/>
        </w:rPr>
        <w:t>Telephone: +44 208</w:t>
      </w:r>
      <w:r w:rsidR="00DB6205" w:rsidRPr="007E7998">
        <w:rPr>
          <w:rFonts w:ascii="Arial" w:hAnsi="Arial" w:cs="Arial"/>
        </w:rPr>
        <w:t>7252652</w:t>
      </w:r>
    </w:p>
    <w:p w:rsidR="006F7C24" w:rsidRPr="007E7998" w:rsidRDefault="006F7C24" w:rsidP="00C80B90">
      <w:pPr>
        <w:spacing w:line="480" w:lineRule="auto"/>
        <w:jc w:val="both"/>
        <w:rPr>
          <w:rFonts w:ascii="Arial" w:hAnsi="Arial" w:cs="Arial"/>
          <w:b/>
        </w:rPr>
      </w:pPr>
      <w:r w:rsidRPr="007E7998">
        <w:rPr>
          <w:rFonts w:ascii="Arial" w:hAnsi="Arial" w:cs="Arial"/>
          <w:b/>
        </w:rPr>
        <w:lastRenderedPageBreak/>
        <w:t>Abstract</w:t>
      </w:r>
    </w:p>
    <w:p w:rsidR="009742FE" w:rsidRPr="007E7998" w:rsidRDefault="006526FF" w:rsidP="009742FE">
      <w:pPr>
        <w:spacing w:line="480" w:lineRule="auto"/>
        <w:jc w:val="both"/>
        <w:rPr>
          <w:rFonts w:ascii="Arial" w:hAnsi="Arial" w:cs="Arial"/>
        </w:rPr>
      </w:pPr>
      <w:r w:rsidRPr="007E7998">
        <w:rPr>
          <w:rFonts w:ascii="Arial" w:hAnsi="Arial" w:cs="Arial"/>
          <w:b/>
        </w:rPr>
        <w:t>Objectives</w:t>
      </w:r>
      <w:r w:rsidR="00253D92" w:rsidRPr="007E7998">
        <w:rPr>
          <w:rFonts w:ascii="Arial" w:hAnsi="Arial" w:cs="Arial"/>
          <w:b/>
        </w:rPr>
        <w:t>:</w:t>
      </w:r>
      <w:r w:rsidR="000A7A19" w:rsidRPr="007E7998">
        <w:rPr>
          <w:rFonts w:ascii="Arial" w:hAnsi="Arial" w:cs="Arial"/>
        </w:rPr>
        <w:t xml:space="preserve"> </w:t>
      </w:r>
      <w:r w:rsidR="004844F7" w:rsidRPr="007E7998">
        <w:rPr>
          <w:rFonts w:ascii="Arial" w:hAnsi="Arial" w:cs="Arial"/>
        </w:rPr>
        <w:t xml:space="preserve">Significant proportions </w:t>
      </w:r>
      <w:r w:rsidR="00930B92" w:rsidRPr="007E7998">
        <w:rPr>
          <w:rFonts w:ascii="Arial" w:hAnsi="Arial" w:cs="Arial"/>
        </w:rPr>
        <w:t xml:space="preserve">of aortic dissections occur </w:t>
      </w:r>
      <w:r w:rsidR="00412425" w:rsidRPr="007E7998">
        <w:rPr>
          <w:rFonts w:ascii="Arial" w:hAnsi="Arial" w:cs="Arial"/>
        </w:rPr>
        <w:t xml:space="preserve">at aortic diameters </w:t>
      </w:r>
      <w:r w:rsidR="003E290B" w:rsidRPr="007E7998">
        <w:rPr>
          <w:rFonts w:ascii="Arial" w:hAnsi="Arial" w:cs="Arial"/>
        </w:rPr>
        <w:t>&lt;</w:t>
      </w:r>
      <w:r w:rsidR="00930B92" w:rsidRPr="007E7998">
        <w:rPr>
          <w:rFonts w:ascii="Arial" w:hAnsi="Arial" w:cs="Arial"/>
        </w:rPr>
        <w:t>5.5 cm.</w:t>
      </w:r>
      <w:r w:rsidR="00AA35BD" w:rsidRPr="007E7998">
        <w:rPr>
          <w:rFonts w:ascii="Arial" w:hAnsi="Arial" w:cs="Arial"/>
        </w:rPr>
        <w:t xml:space="preserve"> </w:t>
      </w:r>
      <w:r w:rsidR="00582500" w:rsidRPr="007E7998">
        <w:rPr>
          <w:rFonts w:ascii="Arial" w:hAnsi="Arial" w:cs="Arial"/>
        </w:rPr>
        <w:t xml:space="preserve">By </w:t>
      </w:r>
      <w:r w:rsidR="00AE7575" w:rsidRPr="007E7998">
        <w:rPr>
          <w:rFonts w:ascii="Arial" w:hAnsi="Arial" w:cs="Arial"/>
        </w:rPr>
        <w:t xml:space="preserve">indexing </w:t>
      </w:r>
      <w:r w:rsidR="00633814" w:rsidRPr="007E7998">
        <w:rPr>
          <w:rFonts w:ascii="Arial" w:hAnsi="Arial" w:cs="Arial"/>
        </w:rPr>
        <w:t xml:space="preserve">aortic </w:t>
      </w:r>
      <w:r w:rsidR="00582500" w:rsidRPr="007E7998">
        <w:rPr>
          <w:rFonts w:ascii="Arial" w:hAnsi="Arial" w:cs="Arial"/>
        </w:rPr>
        <w:t xml:space="preserve">area to height </w:t>
      </w:r>
      <w:r w:rsidR="00AE7575" w:rsidRPr="007E7998">
        <w:rPr>
          <w:rFonts w:ascii="Arial" w:hAnsi="Arial" w:cs="Arial"/>
        </w:rPr>
        <w:t xml:space="preserve">and correlating </w:t>
      </w:r>
      <w:r w:rsidR="00582500" w:rsidRPr="007E7998">
        <w:rPr>
          <w:rFonts w:ascii="Arial" w:hAnsi="Arial" w:cs="Arial"/>
        </w:rPr>
        <w:t xml:space="preserve">with absolute aortic diameter, </w:t>
      </w:r>
      <w:r w:rsidR="00E40959" w:rsidRPr="007E7998">
        <w:rPr>
          <w:rFonts w:ascii="Arial" w:hAnsi="Arial" w:cs="Arial"/>
        </w:rPr>
        <w:t>w</w:t>
      </w:r>
      <w:r w:rsidR="00503223" w:rsidRPr="007E7998">
        <w:rPr>
          <w:rFonts w:ascii="Arial" w:hAnsi="Arial" w:cs="Arial"/>
        </w:rPr>
        <w:t xml:space="preserve">e </w:t>
      </w:r>
      <w:r w:rsidR="009742FE" w:rsidRPr="007E7998">
        <w:rPr>
          <w:rFonts w:ascii="Arial" w:hAnsi="Arial" w:cs="Arial"/>
        </w:rPr>
        <w:t>sought to identi</w:t>
      </w:r>
      <w:r w:rsidR="001D505B" w:rsidRPr="007E7998">
        <w:rPr>
          <w:rFonts w:ascii="Arial" w:hAnsi="Arial" w:cs="Arial"/>
        </w:rPr>
        <w:t>f</w:t>
      </w:r>
      <w:r w:rsidR="009742FE" w:rsidRPr="007E7998">
        <w:rPr>
          <w:rFonts w:ascii="Arial" w:hAnsi="Arial" w:cs="Arial"/>
        </w:rPr>
        <w:t xml:space="preserve">y those aneurysm patients </w:t>
      </w:r>
      <w:r w:rsidR="008119F2" w:rsidRPr="007E7998">
        <w:rPr>
          <w:rFonts w:ascii="Arial" w:hAnsi="Arial" w:cs="Arial"/>
        </w:rPr>
        <w:t xml:space="preserve">with </w:t>
      </w:r>
      <w:r w:rsidR="009742FE" w:rsidRPr="007E7998">
        <w:rPr>
          <w:rFonts w:ascii="Arial" w:hAnsi="Arial" w:cs="Arial"/>
        </w:rPr>
        <w:t>aortic diameters &lt;5.5 cm who do not meet current size thresholds for surgery</w:t>
      </w:r>
      <w:r w:rsidR="008119F2" w:rsidRPr="007E7998">
        <w:rPr>
          <w:rFonts w:ascii="Arial" w:hAnsi="Arial" w:cs="Arial"/>
        </w:rPr>
        <w:t xml:space="preserve">, </w:t>
      </w:r>
      <w:r w:rsidR="009742FE" w:rsidRPr="007E7998">
        <w:rPr>
          <w:rFonts w:ascii="Arial" w:hAnsi="Arial" w:cs="Arial"/>
        </w:rPr>
        <w:t xml:space="preserve">yet </w:t>
      </w:r>
      <w:r w:rsidR="008119F2" w:rsidRPr="007E7998">
        <w:rPr>
          <w:rFonts w:ascii="Arial" w:hAnsi="Arial" w:cs="Arial"/>
        </w:rPr>
        <w:t>with corresponding abnormal indexed aortic area</w:t>
      </w:r>
      <w:r w:rsidR="004F7681" w:rsidRPr="007E7998">
        <w:rPr>
          <w:rFonts w:ascii="Arial" w:hAnsi="Arial" w:cs="Arial"/>
        </w:rPr>
        <w:t>s</w:t>
      </w:r>
      <w:r w:rsidR="008119F2" w:rsidRPr="007E7998">
        <w:rPr>
          <w:rFonts w:ascii="Arial" w:hAnsi="Arial" w:cs="Arial"/>
        </w:rPr>
        <w:t xml:space="preserve"> &gt;10 cm</w:t>
      </w:r>
      <w:r w:rsidR="008119F2" w:rsidRPr="007E7998">
        <w:rPr>
          <w:rFonts w:ascii="Arial" w:hAnsi="Arial" w:cs="Arial"/>
          <w:vertAlign w:val="superscript"/>
        </w:rPr>
        <w:t>2</w:t>
      </w:r>
      <w:r w:rsidR="008119F2" w:rsidRPr="007E7998">
        <w:rPr>
          <w:rFonts w:ascii="Arial" w:hAnsi="Arial" w:cs="Arial"/>
        </w:rPr>
        <w:t>/m</w:t>
      </w:r>
      <w:r w:rsidR="000C6571" w:rsidRPr="007E7998">
        <w:rPr>
          <w:rFonts w:ascii="Arial" w:hAnsi="Arial" w:cs="Arial"/>
        </w:rPr>
        <w:t>,</w:t>
      </w:r>
      <w:r w:rsidR="008119F2" w:rsidRPr="007E7998">
        <w:rPr>
          <w:rFonts w:ascii="Arial" w:hAnsi="Arial" w:cs="Arial"/>
        </w:rPr>
        <w:t xml:space="preserve">  </w:t>
      </w:r>
      <w:r w:rsidR="009742FE" w:rsidRPr="007E7998">
        <w:rPr>
          <w:rFonts w:ascii="Arial" w:hAnsi="Arial" w:cs="Arial"/>
        </w:rPr>
        <w:t>are at increased risk of aortic complications.</w:t>
      </w:r>
    </w:p>
    <w:p w:rsidR="002B0D38" w:rsidRPr="007E7998" w:rsidRDefault="006526FF" w:rsidP="00C80B90">
      <w:pPr>
        <w:spacing w:line="480" w:lineRule="auto"/>
        <w:jc w:val="both"/>
        <w:rPr>
          <w:rFonts w:ascii="Arial" w:hAnsi="Arial" w:cs="Arial"/>
        </w:rPr>
      </w:pPr>
      <w:r w:rsidRPr="007E7998">
        <w:rPr>
          <w:rFonts w:ascii="Arial" w:hAnsi="Arial" w:cs="Arial"/>
          <w:b/>
        </w:rPr>
        <w:t>Methods:</w:t>
      </w:r>
      <w:r w:rsidR="00882B34" w:rsidRPr="007E7998">
        <w:rPr>
          <w:rFonts w:ascii="Arial" w:hAnsi="Arial" w:cs="Arial"/>
          <w:b/>
        </w:rPr>
        <w:t xml:space="preserve"> </w:t>
      </w:r>
      <w:r w:rsidR="002B0D38" w:rsidRPr="007E7998">
        <w:rPr>
          <w:rFonts w:ascii="Arial" w:hAnsi="Arial" w:cs="Arial"/>
        </w:rPr>
        <w:t xml:space="preserve">Indexed aortic areas were calculated at </w:t>
      </w:r>
      <w:r w:rsidR="00267426" w:rsidRPr="007E7998">
        <w:rPr>
          <w:rFonts w:ascii="Arial" w:hAnsi="Arial" w:cs="Arial"/>
        </w:rPr>
        <w:t>three</w:t>
      </w:r>
      <w:r w:rsidR="002B0D38" w:rsidRPr="007E7998">
        <w:rPr>
          <w:rFonts w:ascii="Arial" w:hAnsi="Arial" w:cs="Arial"/>
        </w:rPr>
        <w:t xml:space="preserve"> aortic locations in </w:t>
      </w:r>
      <w:r w:rsidR="005F5892" w:rsidRPr="007E7998">
        <w:rPr>
          <w:rFonts w:ascii="Arial" w:hAnsi="Arial" w:cs="Arial"/>
        </w:rPr>
        <w:t>187</w:t>
      </w:r>
      <w:r w:rsidR="002B0D38" w:rsidRPr="007E7998">
        <w:rPr>
          <w:rFonts w:ascii="Arial" w:hAnsi="Arial" w:cs="Arial"/>
        </w:rPr>
        <w:t xml:space="preserve"> aneurysm and </w:t>
      </w:r>
      <w:r w:rsidR="005F5892" w:rsidRPr="007E7998">
        <w:rPr>
          <w:rFonts w:ascii="Arial" w:hAnsi="Arial" w:cs="Arial"/>
        </w:rPr>
        <w:t>66</w:t>
      </w:r>
      <w:r w:rsidR="002B0D38" w:rsidRPr="007E7998">
        <w:rPr>
          <w:rFonts w:ascii="Arial" w:hAnsi="Arial" w:cs="Arial"/>
        </w:rPr>
        <w:t xml:space="preserve"> dissection patients operated </w:t>
      </w:r>
      <w:proofErr w:type="gramStart"/>
      <w:r w:rsidR="002B0D38" w:rsidRPr="007E7998">
        <w:rPr>
          <w:rFonts w:ascii="Arial" w:hAnsi="Arial" w:cs="Arial"/>
        </w:rPr>
        <w:t>between 2010-2016 at our tertiary aortic centre</w:t>
      </w:r>
      <w:proofErr w:type="gramEnd"/>
      <w:r w:rsidR="002B0D38" w:rsidRPr="007E7998">
        <w:rPr>
          <w:rFonts w:ascii="Arial" w:hAnsi="Arial" w:cs="Arial"/>
        </w:rPr>
        <w:t>. Proportions of patients with indexed aortic area &gt;10 cm</w:t>
      </w:r>
      <w:r w:rsidR="002B0D38" w:rsidRPr="007E7998">
        <w:rPr>
          <w:rFonts w:ascii="Arial" w:hAnsi="Arial" w:cs="Arial"/>
          <w:vertAlign w:val="superscript"/>
        </w:rPr>
        <w:t>2</w:t>
      </w:r>
      <w:r w:rsidR="002B0D38" w:rsidRPr="007E7998">
        <w:rPr>
          <w:rFonts w:ascii="Arial" w:hAnsi="Arial" w:cs="Arial"/>
        </w:rPr>
        <w:t>/</w:t>
      </w:r>
      <w:r w:rsidR="00A85CCE" w:rsidRPr="007E7998">
        <w:rPr>
          <w:rFonts w:ascii="Arial" w:hAnsi="Arial" w:cs="Arial"/>
        </w:rPr>
        <w:t>m, m</w:t>
      </w:r>
      <w:r w:rsidR="002B0D38" w:rsidRPr="007E7998">
        <w:rPr>
          <w:rFonts w:ascii="Arial" w:hAnsi="Arial" w:cs="Arial"/>
        </w:rPr>
        <w:t>ean indexed aortic areas corresponding to aortic diameters &lt;4.0 cm, 4.0-4.5 cm, 4.5-5.0 cm, 5.0-5.5 cm and &gt;5.5 cm, and mean aortic diameters corresponding to indexed aortic areas 10-12 cm</w:t>
      </w:r>
      <w:r w:rsidR="002B0D38" w:rsidRPr="007E7998">
        <w:rPr>
          <w:rFonts w:ascii="Arial" w:hAnsi="Arial" w:cs="Arial"/>
          <w:vertAlign w:val="superscript"/>
        </w:rPr>
        <w:t>2</w:t>
      </w:r>
      <w:r w:rsidR="002B0D38" w:rsidRPr="007E7998">
        <w:rPr>
          <w:rFonts w:ascii="Arial" w:hAnsi="Arial" w:cs="Arial"/>
        </w:rPr>
        <w:t>/m, 12-14 cm</w:t>
      </w:r>
      <w:r w:rsidR="002B0D38" w:rsidRPr="007E7998">
        <w:rPr>
          <w:rFonts w:ascii="Arial" w:hAnsi="Arial" w:cs="Arial"/>
          <w:vertAlign w:val="superscript"/>
        </w:rPr>
        <w:t>2</w:t>
      </w:r>
      <w:r w:rsidR="002B0D38" w:rsidRPr="007E7998">
        <w:rPr>
          <w:rFonts w:ascii="Arial" w:hAnsi="Arial" w:cs="Arial"/>
        </w:rPr>
        <w:t>/m and &gt;14 cm</w:t>
      </w:r>
      <w:r w:rsidR="002B0D38" w:rsidRPr="007E7998">
        <w:rPr>
          <w:rFonts w:ascii="Arial" w:hAnsi="Arial" w:cs="Arial"/>
          <w:vertAlign w:val="superscript"/>
        </w:rPr>
        <w:t>2</w:t>
      </w:r>
      <w:r w:rsidR="002B0D38" w:rsidRPr="007E7998">
        <w:rPr>
          <w:rFonts w:ascii="Arial" w:hAnsi="Arial" w:cs="Arial"/>
        </w:rPr>
        <w:t>/m were determined.</w:t>
      </w:r>
    </w:p>
    <w:p w:rsidR="006526FF" w:rsidRPr="007E7998" w:rsidRDefault="006526FF" w:rsidP="00C80B90">
      <w:pPr>
        <w:spacing w:line="480" w:lineRule="auto"/>
        <w:jc w:val="both"/>
        <w:rPr>
          <w:rFonts w:ascii="Arial" w:hAnsi="Arial" w:cs="Arial"/>
        </w:rPr>
      </w:pPr>
      <w:r w:rsidRPr="007E7998">
        <w:rPr>
          <w:rFonts w:ascii="Arial" w:hAnsi="Arial" w:cs="Arial"/>
          <w:b/>
        </w:rPr>
        <w:t>Results:</w:t>
      </w:r>
      <w:r w:rsidR="002B6591" w:rsidRPr="007E7998">
        <w:rPr>
          <w:rFonts w:ascii="Arial" w:hAnsi="Arial" w:cs="Arial"/>
          <w:b/>
        </w:rPr>
        <w:t xml:space="preserve"> </w:t>
      </w:r>
      <w:r w:rsidR="00012F3F" w:rsidRPr="007E7998">
        <w:rPr>
          <w:rFonts w:ascii="Arial" w:hAnsi="Arial" w:cs="Arial"/>
        </w:rPr>
        <w:t>P</w:t>
      </w:r>
      <w:r w:rsidR="00355CA0" w:rsidRPr="007E7998">
        <w:rPr>
          <w:rFonts w:ascii="Arial" w:hAnsi="Arial" w:cs="Arial"/>
        </w:rPr>
        <w:t xml:space="preserve">roportions of patients with </w:t>
      </w:r>
      <w:r w:rsidR="00392989" w:rsidRPr="007E7998">
        <w:rPr>
          <w:rFonts w:ascii="Arial" w:hAnsi="Arial" w:cs="Arial"/>
        </w:rPr>
        <w:t xml:space="preserve">abnormal </w:t>
      </w:r>
      <w:r w:rsidR="00935778" w:rsidRPr="007E7998">
        <w:rPr>
          <w:rFonts w:ascii="Arial" w:hAnsi="Arial" w:cs="Arial"/>
        </w:rPr>
        <w:t>indexed aortic</w:t>
      </w:r>
      <w:r w:rsidR="007E104A" w:rsidRPr="007E7998">
        <w:rPr>
          <w:rFonts w:ascii="Arial" w:hAnsi="Arial" w:cs="Arial"/>
        </w:rPr>
        <w:t xml:space="preserve"> area</w:t>
      </w:r>
      <w:r w:rsidR="00392989" w:rsidRPr="007E7998">
        <w:rPr>
          <w:rFonts w:ascii="Arial" w:hAnsi="Arial" w:cs="Arial"/>
        </w:rPr>
        <w:t xml:space="preserve">s </w:t>
      </w:r>
      <w:r w:rsidR="00247913" w:rsidRPr="007E7998">
        <w:rPr>
          <w:rFonts w:ascii="Arial" w:hAnsi="Arial" w:cs="Arial"/>
        </w:rPr>
        <w:t xml:space="preserve">were similar </w:t>
      </w:r>
      <w:r w:rsidR="002A7524" w:rsidRPr="007E7998">
        <w:rPr>
          <w:rFonts w:ascii="Arial" w:hAnsi="Arial" w:cs="Arial"/>
        </w:rPr>
        <w:t xml:space="preserve">in </w:t>
      </w:r>
      <w:r w:rsidR="00B45D0A" w:rsidRPr="007E7998">
        <w:rPr>
          <w:rFonts w:ascii="Arial" w:hAnsi="Arial" w:cs="Arial"/>
        </w:rPr>
        <w:t>both</w:t>
      </w:r>
      <w:r w:rsidR="00BD6E4D" w:rsidRPr="007E7998">
        <w:rPr>
          <w:rFonts w:ascii="Arial" w:hAnsi="Arial" w:cs="Arial"/>
        </w:rPr>
        <w:t xml:space="preserve"> groups</w:t>
      </w:r>
      <w:r w:rsidR="002B6591" w:rsidRPr="007E7998">
        <w:rPr>
          <w:rFonts w:ascii="Arial" w:hAnsi="Arial" w:cs="Arial"/>
        </w:rPr>
        <w:t>.</w:t>
      </w:r>
      <w:r w:rsidR="00CA43D1" w:rsidRPr="007E7998">
        <w:rPr>
          <w:rFonts w:ascii="Arial" w:hAnsi="Arial" w:cs="Arial"/>
        </w:rPr>
        <w:t xml:space="preserve"> </w:t>
      </w:r>
      <w:r w:rsidR="00AC4799" w:rsidRPr="007E7998">
        <w:rPr>
          <w:rFonts w:ascii="Arial" w:hAnsi="Arial" w:cs="Arial"/>
        </w:rPr>
        <w:t>49.</w:t>
      </w:r>
      <w:r w:rsidR="009F66CE" w:rsidRPr="007E7998">
        <w:rPr>
          <w:rFonts w:ascii="Arial" w:hAnsi="Arial" w:cs="Arial"/>
        </w:rPr>
        <w:t>1</w:t>
      </w:r>
      <w:r w:rsidR="00AC4799" w:rsidRPr="007E7998">
        <w:rPr>
          <w:rFonts w:ascii="Arial" w:hAnsi="Arial" w:cs="Arial"/>
        </w:rPr>
        <w:t xml:space="preserve">% of </w:t>
      </w:r>
      <w:r w:rsidR="002A3BA1" w:rsidRPr="007E7998">
        <w:rPr>
          <w:rFonts w:ascii="Arial" w:hAnsi="Arial" w:cs="Arial"/>
        </w:rPr>
        <w:t xml:space="preserve">aneurysm </w:t>
      </w:r>
      <w:r w:rsidR="00AC4799" w:rsidRPr="007E7998">
        <w:rPr>
          <w:rFonts w:ascii="Arial" w:hAnsi="Arial" w:cs="Arial"/>
        </w:rPr>
        <w:t>patients with aortic diameters 4.5-5.0 cm, and 98.</w:t>
      </w:r>
      <w:r w:rsidR="009F66CE" w:rsidRPr="007E7998">
        <w:rPr>
          <w:rFonts w:ascii="Arial" w:hAnsi="Arial" w:cs="Arial"/>
        </w:rPr>
        <w:t>5</w:t>
      </w:r>
      <w:r w:rsidR="00AC4799" w:rsidRPr="007E7998">
        <w:rPr>
          <w:rFonts w:ascii="Arial" w:hAnsi="Arial" w:cs="Arial"/>
        </w:rPr>
        <w:t xml:space="preserve">% with aortic diameters 5.0-5.5 cm had abnormal indexed aortic </w:t>
      </w:r>
      <w:r w:rsidR="00CB7C48" w:rsidRPr="007E7998">
        <w:rPr>
          <w:rFonts w:ascii="Arial" w:hAnsi="Arial" w:cs="Arial"/>
        </w:rPr>
        <w:t>area</w:t>
      </w:r>
      <w:r w:rsidR="00AC4799" w:rsidRPr="007E7998">
        <w:rPr>
          <w:rFonts w:ascii="Arial" w:hAnsi="Arial" w:cs="Arial"/>
        </w:rPr>
        <w:t>s.</w:t>
      </w:r>
      <w:r w:rsidR="00737F36" w:rsidRPr="007E7998">
        <w:rPr>
          <w:rFonts w:ascii="Arial" w:hAnsi="Arial" w:cs="Arial"/>
        </w:rPr>
        <w:t xml:space="preserve"> </w:t>
      </w:r>
      <w:r w:rsidR="00C27D1D" w:rsidRPr="007E7998">
        <w:rPr>
          <w:rFonts w:ascii="Arial" w:hAnsi="Arial" w:cs="Arial"/>
        </w:rPr>
        <w:t xml:space="preserve">Out of 207 </w:t>
      </w:r>
      <w:r w:rsidR="005F5892" w:rsidRPr="007E7998">
        <w:rPr>
          <w:rFonts w:ascii="Arial" w:hAnsi="Arial" w:cs="Arial"/>
        </w:rPr>
        <w:t>separate aneurysms</w:t>
      </w:r>
      <w:r w:rsidR="00C27D1D" w:rsidRPr="007E7998">
        <w:rPr>
          <w:rFonts w:ascii="Arial" w:hAnsi="Arial" w:cs="Arial"/>
        </w:rPr>
        <w:t xml:space="preserve"> with indexed aortic </w:t>
      </w:r>
      <w:r w:rsidR="00947A9D" w:rsidRPr="007E7998">
        <w:rPr>
          <w:rFonts w:ascii="Arial" w:hAnsi="Arial" w:cs="Arial"/>
        </w:rPr>
        <w:t>area</w:t>
      </w:r>
      <w:r w:rsidR="00C27D1D" w:rsidRPr="007E7998">
        <w:rPr>
          <w:rFonts w:ascii="Arial" w:hAnsi="Arial" w:cs="Arial"/>
        </w:rPr>
        <w:t>s &gt;10 cm</w:t>
      </w:r>
      <w:r w:rsidR="00C27D1D" w:rsidRPr="007E7998">
        <w:rPr>
          <w:rFonts w:ascii="Arial" w:hAnsi="Arial" w:cs="Arial"/>
          <w:vertAlign w:val="superscript"/>
        </w:rPr>
        <w:t>2</w:t>
      </w:r>
      <w:r w:rsidR="00C27D1D" w:rsidRPr="007E7998">
        <w:rPr>
          <w:rFonts w:ascii="Arial" w:hAnsi="Arial" w:cs="Arial"/>
        </w:rPr>
        <w:t>/m</w:t>
      </w:r>
      <w:r w:rsidR="00753189" w:rsidRPr="007E7998">
        <w:rPr>
          <w:rFonts w:ascii="Arial" w:hAnsi="Arial" w:cs="Arial"/>
        </w:rPr>
        <w:t xml:space="preserve"> </w:t>
      </w:r>
      <w:r w:rsidR="005F5892" w:rsidRPr="007E7998">
        <w:rPr>
          <w:rFonts w:ascii="Arial" w:hAnsi="Arial" w:cs="Arial"/>
        </w:rPr>
        <w:t xml:space="preserve">between </w:t>
      </w:r>
      <w:r w:rsidR="00753189" w:rsidRPr="007E7998">
        <w:rPr>
          <w:rFonts w:ascii="Arial" w:hAnsi="Arial" w:cs="Arial"/>
        </w:rPr>
        <w:t xml:space="preserve">the mid-sinus and mid-ascending aorta, </w:t>
      </w:r>
      <w:r w:rsidR="00962583" w:rsidRPr="007E7998">
        <w:rPr>
          <w:rFonts w:ascii="Arial" w:hAnsi="Arial" w:cs="Arial"/>
        </w:rPr>
        <w:t xml:space="preserve">only </w:t>
      </w:r>
      <w:r w:rsidR="00400244" w:rsidRPr="007E7998">
        <w:rPr>
          <w:rFonts w:ascii="Arial" w:hAnsi="Arial" w:cs="Arial"/>
        </w:rPr>
        <w:t>139</w:t>
      </w:r>
      <w:r w:rsidR="00962583" w:rsidRPr="007E7998">
        <w:rPr>
          <w:rFonts w:ascii="Arial" w:hAnsi="Arial" w:cs="Arial"/>
        </w:rPr>
        <w:t xml:space="preserve"> (</w:t>
      </w:r>
      <w:r w:rsidR="00400244" w:rsidRPr="007E7998">
        <w:rPr>
          <w:rFonts w:ascii="Arial" w:hAnsi="Arial" w:cs="Arial"/>
        </w:rPr>
        <w:t>69.5</w:t>
      </w:r>
      <w:r w:rsidR="00962583" w:rsidRPr="007E7998">
        <w:rPr>
          <w:rFonts w:ascii="Arial" w:hAnsi="Arial" w:cs="Arial"/>
        </w:rPr>
        <w:t>%)</w:t>
      </w:r>
      <w:r w:rsidR="0018048A" w:rsidRPr="007E7998">
        <w:rPr>
          <w:rFonts w:ascii="Arial" w:hAnsi="Arial" w:cs="Arial"/>
        </w:rPr>
        <w:t xml:space="preserve"> </w:t>
      </w:r>
      <w:r w:rsidR="000811CC" w:rsidRPr="007E7998">
        <w:rPr>
          <w:rFonts w:ascii="Arial" w:hAnsi="Arial" w:cs="Arial"/>
        </w:rPr>
        <w:t>would warrant surgery</w:t>
      </w:r>
      <w:r w:rsidR="0018048A" w:rsidRPr="007E7998">
        <w:rPr>
          <w:rFonts w:ascii="Arial" w:hAnsi="Arial" w:cs="Arial"/>
        </w:rPr>
        <w:t xml:space="preserve"> </w:t>
      </w:r>
      <w:r w:rsidR="00C433F0" w:rsidRPr="007E7998">
        <w:rPr>
          <w:rFonts w:ascii="Arial" w:hAnsi="Arial" w:cs="Arial"/>
        </w:rPr>
        <w:t>according to existing guidelines.</w:t>
      </w:r>
    </w:p>
    <w:p w:rsidR="00AB6BBC" w:rsidRPr="007E7998" w:rsidRDefault="006526FF" w:rsidP="00C80B90">
      <w:pPr>
        <w:spacing w:line="480" w:lineRule="auto"/>
        <w:jc w:val="both"/>
        <w:rPr>
          <w:rFonts w:ascii="Arial" w:hAnsi="Arial" w:cs="Arial"/>
        </w:rPr>
      </w:pPr>
      <w:r w:rsidRPr="007E7998">
        <w:rPr>
          <w:rFonts w:ascii="Arial" w:hAnsi="Arial" w:cs="Arial"/>
          <w:b/>
        </w:rPr>
        <w:t>Conclusions:</w:t>
      </w:r>
      <w:r w:rsidR="00742982" w:rsidRPr="007E7998">
        <w:rPr>
          <w:rFonts w:ascii="Arial" w:hAnsi="Arial" w:cs="Arial"/>
          <w:b/>
        </w:rPr>
        <w:t xml:space="preserve"> </w:t>
      </w:r>
      <w:r w:rsidR="004306C1" w:rsidRPr="007E7998">
        <w:rPr>
          <w:rFonts w:ascii="Arial" w:hAnsi="Arial" w:cs="Arial"/>
        </w:rPr>
        <w:t>Using the</w:t>
      </w:r>
      <w:r w:rsidR="00142B20" w:rsidRPr="007E7998">
        <w:rPr>
          <w:rFonts w:ascii="Arial" w:hAnsi="Arial" w:cs="Arial"/>
        </w:rPr>
        <w:t xml:space="preserve"> indexed aortic area</w:t>
      </w:r>
      <w:r w:rsidR="00E44C18" w:rsidRPr="007E7998">
        <w:rPr>
          <w:rFonts w:ascii="Arial" w:hAnsi="Arial" w:cs="Arial"/>
        </w:rPr>
        <w:t xml:space="preserve">, </w:t>
      </w:r>
      <w:r w:rsidR="004306C1" w:rsidRPr="007E7998">
        <w:rPr>
          <w:rFonts w:ascii="Arial" w:hAnsi="Arial" w:cs="Arial"/>
        </w:rPr>
        <w:t xml:space="preserve">we </w:t>
      </w:r>
      <w:r w:rsidR="00866189" w:rsidRPr="007E7998">
        <w:rPr>
          <w:rFonts w:ascii="Arial" w:hAnsi="Arial" w:cs="Arial"/>
        </w:rPr>
        <w:t>identified</w:t>
      </w:r>
      <w:r w:rsidR="00E44C18" w:rsidRPr="007E7998">
        <w:rPr>
          <w:rFonts w:ascii="Arial" w:hAnsi="Arial" w:cs="Arial"/>
        </w:rPr>
        <w:t xml:space="preserve"> a</w:t>
      </w:r>
      <w:r w:rsidR="004306C1" w:rsidRPr="007E7998">
        <w:rPr>
          <w:rFonts w:ascii="Arial" w:hAnsi="Arial" w:cs="Arial"/>
        </w:rPr>
        <w:t xml:space="preserve"> significant proportion of patients with thoracic aortic aneurysms </w:t>
      </w:r>
      <w:r w:rsidR="009F34B7" w:rsidRPr="007E7998">
        <w:rPr>
          <w:rFonts w:ascii="Arial" w:hAnsi="Arial" w:cs="Arial"/>
        </w:rPr>
        <w:t xml:space="preserve">who are </w:t>
      </w:r>
      <w:r w:rsidR="004306C1" w:rsidRPr="007E7998">
        <w:rPr>
          <w:rFonts w:ascii="Arial" w:hAnsi="Arial" w:cs="Arial"/>
        </w:rPr>
        <w:t xml:space="preserve">at </w:t>
      </w:r>
      <w:r w:rsidR="00866189" w:rsidRPr="007E7998">
        <w:rPr>
          <w:rFonts w:ascii="Arial" w:hAnsi="Arial" w:cs="Arial"/>
        </w:rPr>
        <w:t xml:space="preserve">increased </w:t>
      </w:r>
      <w:r w:rsidR="004306C1" w:rsidRPr="007E7998">
        <w:rPr>
          <w:rFonts w:ascii="Arial" w:hAnsi="Arial" w:cs="Arial"/>
        </w:rPr>
        <w:t xml:space="preserve">risk of aortic complications, </w:t>
      </w:r>
      <w:r w:rsidR="005F1178" w:rsidRPr="007E7998">
        <w:rPr>
          <w:rFonts w:ascii="Arial" w:hAnsi="Arial" w:cs="Arial"/>
        </w:rPr>
        <w:t xml:space="preserve">despite </w:t>
      </w:r>
      <w:r w:rsidR="00AB6BBC" w:rsidRPr="007E7998">
        <w:rPr>
          <w:rFonts w:ascii="Arial" w:hAnsi="Arial" w:cs="Arial"/>
        </w:rPr>
        <w:t>current aortic guidelines not endors</w:t>
      </w:r>
      <w:r w:rsidR="005F1178" w:rsidRPr="007E7998">
        <w:rPr>
          <w:rFonts w:ascii="Arial" w:hAnsi="Arial" w:cs="Arial"/>
        </w:rPr>
        <w:t>ing</w:t>
      </w:r>
      <w:r w:rsidR="00AB6BBC" w:rsidRPr="007E7998">
        <w:rPr>
          <w:rFonts w:ascii="Arial" w:hAnsi="Arial" w:cs="Arial"/>
        </w:rPr>
        <w:t xml:space="preserve"> surgical intervention in this g</w:t>
      </w:r>
      <w:r w:rsidR="00160304" w:rsidRPr="007E7998">
        <w:rPr>
          <w:rFonts w:ascii="Arial" w:hAnsi="Arial" w:cs="Arial"/>
        </w:rPr>
        <w:t>r</w:t>
      </w:r>
      <w:r w:rsidR="00AB6BBC" w:rsidRPr="007E7998">
        <w:rPr>
          <w:rFonts w:ascii="Arial" w:hAnsi="Arial" w:cs="Arial"/>
        </w:rPr>
        <w:t>oup.</w:t>
      </w:r>
      <w:r w:rsidR="00853A5B" w:rsidRPr="007E7998">
        <w:rPr>
          <w:rFonts w:ascii="Arial" w:hAnsi="Arial" w:cs="Arial"/>
        </w:rPr>
        <w:t xml:space="preserve"> </w:t>
      </w:r>
      <w:r w:rsidR="00466E5B" w:rsidRPr="007E7998">
        <w:rPr>
          <w:rFonts w:ascii="Arial" w:hAnsi="Arial" w:cs="Arial"/>
        </w:rPr>
        <w:t xml:space="preserve"> </w:t>
      </w:r>
      <w:r w:rsidR="007E4048" w:rsidRPr="007E7998">
        <w:rPr>
          <w:rFonts w:ascii="Arial" w:hAnsi="Arial" w:cs="Arial"/>
        </w:rPr>
        <w:t>Our data suggests th</w:t>
      </w:r>
      <w:r w:rsidR="002F079E" w:rsidRPr="007E7998">
        <w:rPr>
          <w:rFonts w:ascii="Arial" w:hAnsi="Arial" w:cs="Arial"/>
        </w:rPr>
        <w:t xml:space="preserve">e indexed aortic area may be useful </w:t>
      </w:r>
      <w:r w:rsidR="00466E5B" w:rsidRPr="007E7998">
        <w:rPr>
          <w:rFonts w:ascii="Arial" w:hAnsi="Arial" w:cs="Arial"/>
        </w:rPr>
        <w:t xml:space="preserve">in </w:t>
      </w:r>
      <w:r w:rsidR="00F50F9A" w:rsidRPr="007E7998">
        <w:rPr>
          <w:rFonts w:ascii="Arial" w:hAnsi="Arial" w:cs="Arial"/>
        </w:rPr>
        <w:t xml:space="preserve">pre-operative </w:t>
      </w:r>
      <w:r w:rsidR="00466E5B" w:rsidRPr="007E7998">
        <w:rPr>
          <w:rFonts w:ascii="Arial" w:hAnsi="Arial" w:cs="Arial"/>
        </w:rPr>
        <w:t>risk evaluation and as a criterion for surgery.</w:t>
      </w:r>
      <w:r w:rsidR="00853A5B" w:rsidRPr="007E7998">
        <w:rPr>
          <w:rFonts w:ascii="Arial" w:hAnsi="Arial" w:cs="Arial"/>
        </w:rPr>
        <w:t xml:space="preserve"> </w:t>
      </w:r>
    </w:p>
    <w:p w:rsidR="0041300B" w:rsidRPr="007E7998" w:rsidRDefault="0041300B" w:rsidP="00C80B90">
      <w:pPr>
        <w:tabs>
          <w:tab w:val="left" w:pos="7948"/>
        </w:tabs>
        <w:spacing w:line="480" w:lineRule="auto"/>
        <w:rPr>
          <w:rFonts w:ascii="Arial" w:hAnsi="Arial" w:cs="Arial"/>
          <w:b/>
        </w:rPr>
      </w:pPr>
    </w:p>
    <w:p w:rsidR="006F7C24" w:rsidRPr="007E7998" w:rsidRDefault="00D938B0" w:rsidP="00C80B90">
      <w:pPr>
        <w:tabs>
          <w:tab w:val="left" w:pos="7948"/>
        </w:tabs>
        <w:spacing w:line="480" w:lineRule="auto"/>
        <w:rPr>
          <w:rFonts w:ascii="Arial" w:hAnsi="Arial" w:cs="Arial"/>
        </w:rPr>
      </w:pPr>
      <w:r w:rsidRPr="007E7998">
        <w:rPr>
          <w:rFonts w:ascii="Arial" w:hAnsi="Arial" w:cs="Arial"/>
          <w:b/>
        </w:rPr>
        <w:t xml:space="preserve">Keywords: </w:t>
      </w:r>
      <w:r w:rsidR="00A61706" w:rsidRPr="007E7998">
        <w:rPr>
          <w:rFonts w:ascii="Arial" w:hAnsi="Arial" w:cs="Arial"/>
        </w:rPr>
        <w:t xml:space="preserve">aneurysm; </w:t>
      </w:r>
      <w:r w:rsidR="004E7B2F" w:rsidRPr="007E7998">
        <w:rPr>
          <w:rFonts w:ascii="Arial" w:hAnsi="Arial" w:cs="Arial"/>
        </w:rPr>
        <w:t xml:space="preserve">aortic </w:t>
      </w:r>
      <w:r w:rsidR="00A61706" w:rsidRPr="007E7998">
        <w:rPr>
          <w:rFonts w:ascii="Arial" w:hAnsi="Arial" w:cs="Arial"/>
        </w:rPr>
        <w:t>dissection; aorta</w:t>
      </w:r>
      <w:r w:rsidR="00B575E4" w:rsidRPr="007E7998">
        <w:rPr>
          <w:rFonts w:ascii="Arial" w:hAnsi="Arial" w:cs="Arial"/>
        </w:rPr>
        <w:tab/>
      </w:r>
    </w:p>
    <w:p w:rsidR="002F079E" w:rsidRPr="007E7998" w:rsidRDefault="002F079E" w:rsidP="00C80B90">
      <w:pPr>
        <w:spacing w:line="480" w:lineRule="auto"/>
        <w:rPr>
          <w:rFonts w:ascii="Arial" w:hAnsi="Arial" w:cs="Arial"/>
          <w:b/>
        </w:rPr>
      </w:pPr>
    </w:p>
    <w:p w:rsidR="006F7C24" w:rsidRPr="007E7998" w:rsidRDefault="006F7C24" w:rsidP="00C80B90">
      <w:pPr>
        <w:spacing w:line="480" w:lineRule="auto"/>
        <w:rPr>
          <w:rFonts w:ascii="Arial" w:hAnsi="Arial" w:cs="Arial"/>
          <w:b/>
        </w:rPr>
      </w:pPr>
      <w:r w:rsidRPr="007E7998">
        <w:rPr>
          <w:rFonts w:ascii="Arial" w:hAnsi="Arial" w:cs="Arial"/>
          <w:b/>
        </w:rPr>
        <w:lastRenderedPageBreak/>
        <w:t>Introduction</w:t>
      </w:r>
    </w:p>
    <w:p w:rsidR="00600052" w:rsidRPr="007E7998" w:rsidRDefault="007168C9" w:rsidP="00C80B90">
      <w:pPr>
        <w:spacing w:line="480" w:lineRule="auto"/>
        <w:jc w:val="both"/>
        <w:rPr>
          <w:rFonts w:ascii="Arial" w:eastAsia="Calibri" w:hAnsi="Arial" w:cs="Arial"/>
        </w:rPr>
      </w:pPr>
      <w:r w:rsidRPr="007E7998">
        <w:rPr>
          <w:rFonts w:ascii="Arial" w:eastAsia="Calibri" w:hAnsi="Arial" w:cs="Arial"/>
        </w:rPr>
        <w:t>The aortic cross-sectional area/patient height ratio (πr</w:t>
      </w:r>
      <w:r w:rsidRPr="007E7998">
        <w:rPr>
          <w:rFonts w:ascii="Arial" w:eastAsia="Calibri" w:hAnsi="Arial" w:cs="Arial"/>
          <w:vertAlign w:val="superscript"/>
        </w:rPr>
        <w:t>2</w:t>
      </w:r>
      <w:r w:rsidRPr="007E7998">
        <w:rPr>
          <w:rFonts w:ascii="Arial" w:eastAsia="Calibri" w:hAnsi="Arial" w:cs="Arial"/>
        </w:rPr>
        <w:t>/h, cm</w:t>
      </w:r>
      <w:r w:rsidRPr="007E7998">
        <w:rPr>
          <w:rFonts w:ascii="Arial" w:eastAsia="Calibri" w:hAnsi="Arial" w:cs="Arial"/>
          <w:vertAlign w:val="superscript"/>
        </w:rPr>
        <w:t>2</w:t>
      </w:r>
      <w:r w:rsidRPr="007E7998">
        <w:rPr>
          <w:rFonts w:ascii="Arial" w:eastAsia="Calibri" w:hAnsi="Arial" w:cs="Arial"/>
        </w:rPr>
        <w:t>/m) has been validated in the stratification of mortality risk in patien</w:t>
      </w:r>
      <w:r w:rsidR="008B2A76" w:rsidRPr="007E7998">
        <w:rPr>
          <w:rFonts w:ascii="Arial" w:eastAsia="Calibri" w:hAnsi="Arial" w:cs="Arial"/>
        </w:rPr>
        <w:t xml:space="preserve">ts with </w:t>
      </w:r>
      <w:r w:rsidR="004A25C9" w:rsidRPr="007E7998">
        <w:rPr>
          <w:rFonts w:ascii="Arial" w:eastAsia="Calibri" w:hAnsi="Arial" w:cs="Arial"/>
        </w:rPr>
        <w:t xml:space="preserve">a </w:t>
      </w:r>
      <w:r w:rsidR="008B2A76" w:rsidRPr="007E7998">
        <w:rPr>
          <w:rFonts w:ascii="Arial" w:eastAsia="Calibri" w:hAnsi="Arial" w:cs="Arial"/>
        </w:rPr>
        <w:t>tricuspid aortic valve</w:t>
      </w:r>
      <w:r w:rsidRPr="007E7998">
        <w:rPr>
          <w:rFonts w:ascii="Arial" w:eastAsia="Calibri" w:hAnsi="Arial" w:cs="Arial"/>
        </w:rPr>
        <w:t xml:space="preserve"> and dilated aorta</w:t>
      </w:r>
      <w:r w:rsidR="00A021E5" w:rsidRPr="007E7998">
        <w:rPr>
          <w:rFonts w:ascii="Arial" w:eastAsia="Calibri" w:hAnsi="Arial" w:cs="Arial"/>
        </w:rPr>
        <w:t xml:space="preserve"> </w:t>
      </w:r>
      <w:r w:rsidR="00371E9C" w:rsidRPr="007E7998">
        <w:rPr>
          <w:rFonts w:ascii="Arial" w:eastAsia="Calibri" w:hAnsi="Arial" w:cs="Arial"/>
        </w:rPr>
        <w:t>[</w:t>
      </w:r>
      <w:r w:rsidR="0073298D" w:rsidRPr="007E7998">
        <w:rPr>
          <w:rFonts w:ascii="Arial" w:eastAsia="Calibri" w:hAnsi="Arial" w:cs="Arial"/>
        </w:rPr>
        <w:t>1</w:t>
      </w:r>
      <w:r w:rsidR="00371E9C" w:rsidRPr="007E7998">
        <w:rPr>
          <w:rFonts w:ascii="Arial" w:eastAsia="Calibri" w:hAnsi="Arial" w:cs="Arial"/>
        </w:rPr>
        <w:t>]</w:t>
      </w:r>
      <w:r w:rsidR="00B510CB" w:rsidRPr="007E7998">
        <w:rPr>
          <w:rFonts w:ascii="Arial" w:eastAsia="Calibri" w:hAnsi="Arial" w:cs="Arial"/>
        </w:rPr>
        <w:t xml:space="preserve">. </w:t>
      </w:r>
      <w:r w:rsidR="00B02103" w:rsidRPr="007E7998">
        <w:rPr>
          <w:rFonts w:ascii="Arial" w:eastAsia="Calibri" w:hAnsi="Arial" w:cs="Arial"/>
        </w:rPr>
        <w:t xml:space="preserve">First proposed by </w:t>
      </w:r>
      <w:proofErr w:type="spellStart"/>
      <w:r w:rsidR="00B02103" w:rsidRPr="007E7998">
        <w:rPr>
          <w:rFonts w:ascii="Arial" w:eastAsia="Calibri" w:hAnsi="Arial" w:cs="Arial"/>
        </w:rPr>
        <w:t>Svensson</w:t>
      </w:r>
      <w:proofErr w:type="spellEnd"/>
      <w:r w:rsidR="00B02103" w:rsidRPr="007E7998">
        <w:rPr>
          <w:rFonts w:ascii="Arial" w:eastAsia="Calibri" w:hAnsi="Arial" w:cs="Arial"/>
        </w:rPr>
        <w:t xml:space="preserve"> and colleagues</w:t>
      </w:r>
      <w:r w:rsidR="006C21F7" w:rsidRPr="007E7998">
        <w:rPr>
          <w:rFonts w:ascii="Arial" w:eastAsia="Calibri" w:hAnsi="Arial" w:cs="Arial"/>
        </w:rPr>
        <w:t>, t</w:t>
      </w:r>
      <w:r w:rsidR="00B510CB" w:rsidRPr="007E7998">
        <w:rPr>
          <w:rFonts w:ascii="Arial" w:eastAsia="Calibri" w:hAnsi="Arial" w:cs="Arial"/>
        </w:rPr>
        <w:t>his indexed measurement</w:t>
      </w:r>
      <w:r w:rsidR="000C2CD8" w:rsidRPr="007E7998">
        <w:rPr>
          <w:rFonts w:ascii="Arial" w:eastAsia="Calibri" w:hAnsi="Arial" w:cs="Arial"/>
        </w:rPr>
        <w:t xml:space="preserve"> </w:t>
      </w:r>
      <w:r w:rsidRPr="007E7998">
        <w:rPr>
          <w:rFonts w:ascii="Arial" w:eastAsia="Calibri" w:hAnsi="Arial" w:cs="Arial"/>
        </w:rPr>
        <w:t>accounts for the greater risk of aortic complications associated with larger aortic dimensions</w:t>
      </w:r>
      <w:r w:rsidR="009B4296" w:rsidRPr="007E7998">
        <w:rPr>
          <w:rFonts w:ascii="Arial" w:eastAsia="Calibri" w:hAnsi="Arial" w:cs="Arial"/>
        </w:rPr>
        <w:t xml:space="preserve"> in shorter patients</w:t>
      </w:r>
      <w:r w:rsidRPr="007E7998">
        <w:rPr>
          <w:rFonts w:ascii="Arial" w:eastAsia="Calibri" w:hAnsi="Arial" w:cs="Arial"/>
        </w:rPr>
        <w:t>, whilst incorporating the exponential risk of dissection or rupture with increasing aortic size</w:t>
      </w:r>
      <w:r w:rsidR="00B510CB" w:rsidRPr="007E7998">
        <w:rPr>
          <w:rFonts w:ascii="Arial" w:eastAsia="Calibri" w:hAnsi="Arial" w:cs="Arial"/>
        </w:rPr>
        <w:t xml:space="preserve"> </w:t>
      </w:r>
      <w:r w:rsidR="00371E9C" w:rsidRPr="007E7998">
        <w:rPr>
          <w:rFonts w:ascii="Arial" w:eastAsia="Calibri" w:hAnsi="Arial" w:cs="Arial"/>
        </w:rPr>
        <w:t>[</w:t>
      </w:r>
      <w:r w:rsidR="0073298D" w:rsidRPr="007E7998">
        <w:rPr>
          <w:rFonts w:ascii="Arial" w:eastAsia="Calibri" w:hAnsi="Arial" w:cs="Arial"/>
        </w:rPr>
        <w:t>2</w:t>
      </w:r>
      <w:r w:rsidR="00371E9C" w:rsidRPr="007E7998">
        <w:rPr>
          <w:rFonts w:ascii="Arial" w:eastAsia="Calibri" w:hAnsi="Arial" w:cs="Arial"/>
        </w:rPr>
        <w:t>]</w:t>
      </w:r>
      <w:r w:rsidRPr="007E7998">
        <w:rPr>
          <w:rFonts w:ascii="Arial" w:eastAsia="Calibri" w:hAnsi="Arial" w:cs="Arial"/>
        </w:rPr>
        <w:t xml:space="preserve">. </w:t>
      </w:r>
      <w:r w:rsidR="002A6E23" w:rsidRPr="007E7998">
        <w:rPr>
          <w:rFonts w:ascii="Arial" w:eastAsia="Calibri" w:hAnsi="Arial" w:cs="Arial"/>
        </w:rPr>
        <w:t>I</w:t>
      </w:r>
      <w:r w:rsidRPr="007E7998">
        <w:rPr>
          <w:rFonts w:ascii="Arial" w:eastAsia="Calibri" w:hAnsi="Arial" w:cs="Arial"/>
        </w:rPr>
        <w:t>ndexed aortic root area &gt;10 cm</w:t>
      </w:r>
      <w:r w:rsidRPr="007E7998">
        <w:rPr>
          <w:rFonts w:ascii="Arial" w:eastAsia="Calibri" w:hAnsi="Arial" w:cs="Arial"/>
          <w:vertAlign w:val="superscript"/>
        </w:rPr>
        <w:t>2</w:t>
      </w:r>
      <w:r w:rsidR="0016423D" w:rsidRPr="007E7998">
        <w:rPr>
          <w:rFonts w:ascii="Arial" w:eastAsia="Calibri" w:hAnsi="Arial" w:cs="Arial"/>
        </w:rPr>
        <w:t xml:space="preserve">/m has been </w:t>
      </w:r>
      <w:r w:rsidR="00927D16" w:rsidRPr="007E7998">
        <w:rPr>
          <w:rFonts w:ascii="Arial" w:eastAsia="Calibri" w:hAnsi="Arial" w:cs="Arial"/>
        </w:rPr>
        <w:t xml:space="preserve">shown </w:t>
      </w:r>
      <w:r w:rsidRPr="007E7998">
        <w:rPr>
          <w:rFonts w:ascii="Arial" w:eastAsia="Calibri" w:hAnsi="Arial" w:cs="Arial"/>
        </w:rPr>
        <w:t xml:space="preserve">to have significant independent prognostic </w:t>
      </w:r>
      <w:r w:rsidR="00927D16" w:rsidRPr="007E7998">
        <w:rPr>
          <w:rFonts w:ascii="Arial" w:eastAsia="Calibri" w:hAnsi="Arial" w:cs="Arial"/>
        </w:rPr>
        <w:t>value</w:t>
      </w:r>
      <w:r w:rsidRPr="007E7998">
        <w:rPr>
          <w:rFonts w:ascii="Arial" w:eastAsia="Calibri" w:hAnsi="Arial" w:cs="Arial"/>
        </w:rPr>
        <w:t xml:space="preserve"> in patien</w:t>
      </w:r>
      <w:r w:rsidR="006A06DD" w:rsidRPr="007E7998">
        <w:rPr>
          <w:rFonts w:ascii="Arial" w:eastAsia="Calibri" w:hAnsi="Arial" w:cs="Arial"/>
        </w:rPr>
        <w:t xml:space="preserve">ts with tricuspid aortic valve </w:t>
      </w:r>
      <w:r w:rsidRPr="007E7998">
        <w:rPr>
          <w:rFonts w:ascii="Arial" w:eastAsia="Calibri" w:hAnsi="Arial" w:cs="Arial"/>
        </w:rPr>
        <w:t>and concomitant aortopathy, compared to a non-indexed aortic diameter</w:t>
      </w:r>
      <w:r w:rsidR="00C233EC" w:rsidRPr="007E7998">
        <w:rPr>
          <w:rFonts w:ascii="Arial" w:eastAsia="Calibri" w:hAnsi="Arial" w:cs="Arial"/>
        </w:rPr>
        <w:t xml:space="preserve"> </w:t>
      </w:r>
      <w:r w:rsidR="00371E9C" w:rsidRPr="007E7998">
        <w:rPr>
          <w:rFonts w:ascii="Arial" w:eastAsia="Calibri" w:hAnsi="Arial" w:cs="Arial"/>
        </w:rPr>
        <w:t>[</w:t>
      </w:r>
      <w:r w:rsidR="0073298D" w:rsidRPr="007E7998">
        <w:rPr>
          <w:rFonts w:ascii="Arial" w:eastAsia="Calibri" w:hAnsi="Arial" w:cs="Arial"/>
        </w:rPr>
        <w:t>1</w:t>
      </w:r>
      <w:r w:rsidR="00371E9C" w:rsidRPr="007E7998">
        <w:rPr>
          <w:rFonts w:ascii="Arial" w:eastAsia="Calibri" w:hAnsi="Arial" w:cs="Arial"/>
        </w:rPr>
        <w:t>]</w:t>
      </w:r>
      <w:r w:rsidRPr="007E7998">
        <w:rPr>
          <w:rFonts w:ascii="Arial" w:eastAsia="Calibri" w:hAnsi="Arial" w:cs="Arial"/>
        </w:rPr>
        <w:t>. The same study showed that a significant proportion (44% of 771 patients) with aortic root diameter 4.5 – 5.5 cm had an abnormally high aortic root/height ratio; 78% of patients in this sub-group died, although mortality could not be directly attributed to aortic dissection or rupture</w:t>
      </w:r>
      <w:r w:rsidR="00DB3E7E" w:rsidRPr="007E7998">
        <w:rPr>
          <w:rFonts w:ascii="Arial" w:eastAsia="Calibri" w:hAnsi="Arial" w:cs="Arial"/>
        </w:rPr>
        <w:t xml:space="preserve"> </w:t>
      </w:r>
      <w:r w:rsidR="00371E9C" w:rsidRPr="007E7998">
        <w:rPr>
          <w:rFonts w:ascii="Arial" w:eastAsia="Calibri" w:hAnsi="Arial" w:cs="Arial"/>
        </w:rPr>
        <w:t>[</w:t>
      </w:r>
      <w:r w:rsidR="0073298D" w:rsidRPr="007E7998">
        <w:rPr>
          <w:rFonts w:ascii="Arial" w:eastAsia="Calibri" w:hAnsi="Arial" w:cs="Arial"/>
        </w:rPr>
        <w:t>1</w:t>
      </w:r>
      <w:r w:rsidR="00371E9C" w:rsidRPr="007E7998">
        <w:rPr>
          <w:rFonts w:ascii="Arial" w:eastAsia="Calibri" w:hAnsi="Arial" w:cs="Arial"/>
        </w:rPr>
        <w:t>]</w:t>
      </w:r>
      <w:r w:rsidRPr="007E7998">
        <w:rPr>
          <w:rFonts w:ascii="Arial" w:eastAsia="Calibri" w:hAnsi="Arial" w:cs="Arial"/>
        </w:rPr>
        <w:t xml:space="preserve">. </w:t>
      </w:r>
    </w:p>
    <w:p w:rsidR="007168C9" w:rsidRPr="007E7998" w:rsidRDefault="007168C9" w:rsidP="00C80B90">
      <w:pPr>
        <w:spacing w:line="480" w:lineRule="auto"/>
        <w:jc w:val="both"/>
        <w:rPr>
          <w:rFonts w:ascii="Arial" w:eastAsia="Calibri" w:hAnsi="Arial" w:cs="Arial"/>
        </w:rPr>
      </w:pPr>
      <w:r w:rsidRPr="007E7998">
        <w:rPr>
          <w:rFonts w:ascii="Arial" w:eastAsia="Calibri" w:hAnsi="Arial" w:cs="Arial"/>
        </w:rPr>
        <w:t xml:space="preserve">These findings highlight that the cohort of patients </w:t>
      </w:r>
      <w:r w:rsidR="00F87159" w:rsidRPr="007E7998">
        <w:rPr>
          <w:rFonts w:ascii="Arial" w:eastAsia="Calibri" w:hAnsi="Arial" w:cs="Arial"/>
        </w:rPr>
        <w:t xml:space="preserve">with </w:t>
      </w:r>
      <w:r w:rsidRPr="007E7998">
        <w:rPr>
          <w:rFonts w:ascii="Arial" w:eastAsia="Calibri" w:hAnsi="Arial" w:cs="Arial"/>
        </w:rPr>
        <w:t>aortic</w:t>
      </w:r>
      <w:r w:rsidR="005E2205" w:rsidRPr="007E7998">
        <w:rPr>
          <w:rFonts w:ascii="Arial" w:eastAsia="Calibri" w:hAnsi="Arial" w:cs="Arial"/>
        </w:rPr>
        <w:t xml:space="preserve"> size</w:t>
      </w:r>
      <w:r w:rsidRPr="007E7998">
        <w:rPr>
          <w:rFonts w:ascii="Arial" w:eastAsia="Calibri" w:hAnsi="Arial" w:cs="Arial"/>
        </w:rPr>
        <w:t xml:space="preserve"> </w:t>
      </w:r>
      <w:r w:rsidR="00F87159" w:rsidRPr="007E7998">
        <w:rPr>
          <w:rFonts w:ascii="Arial" w:eastAsia="Calibri" w:hAnsi="Arial" w:cs="Arial"/>
        </w:rPr>
        <w:t xml:space="preserve">less than </w:t>
      </w:r>
      <w:r w:rsidRPr="007E7998">
        <w:rPr>
          <w:rFonts w:ascii="Arial" w:eastAsia="Calibri" w:hAnsi="Arial" w:cs="Arial"/>
        </w:rPr>
        <w:t>the thresholds mandating surgery in current established guidelines, and in whom the cross-sectional aortic area/height ratio exceeds 10 cm</w:t>
      </w:r>
      <w:r w:rsidRPr="007E7998">
        <w:rPr>
          <w:rFonts w:ascii="Arial" w:eastAsia="Calibri" w:hAnsi="Arial" w:cs="Arial"/>
          <w:vertAlign w:val="superscript"/>
        </w:rPr>
        <w:t>2</w:t>
      </w:r>
      <w:r w:rsidRPr="007E7998">
        <w:rPr>
          <w:rFonts w:ascii="Arial" w:eastAsia="Calibri" w:hAnsi="Arial" w:cs="Arial"/>
        </w:rPr>
        <w:t xml:space="preserve">/m, represents an opportunity for early, proactive intervention to prevent potentially fatal aortic </w:t>
      </w:r>
      <w:r w:rsidR="002B2EC7" w:rsidRPr="007E7998">
        <w:rPr>
          <w:rFonts w:ascii="Arial" w:eastAsia="Calibri" w:hAnsi="Arial" w:cs="Arial"/>
        </w:rPr>
        <w:t>dissection</w:t>
      </w:r>
      <w:r w:rsidRPr="007E7998">
        <w:rPr>
          <w:rFonts w:ascii="Arial" w:eastAsia="Calibri" w:hAnsi="Arial" w:cs="Arial"/>
        </w:rPr>
        <w:t>. This strategy would theoretically prevent 95% of acute aortic dissections in a Marfan population</w:t>
      </w:r>
      <w:r w:rsidR="00360C8A" w:rsidRPr="007E7998">
        <w:rPr>
          <w:rFonts w:ascii="Arial" w:eastAsia="Calibri" w:hAnsi="Arial" w:cs="Arial"/>
        </w:rPr>
        <w:t xml:space="preserve"> </w:t>
      </w:r>
      <w:r w:rsidR="004305FE" w:rsidRPr="007E7998">
        <w:rPr>
          <w:rFonts w:ascii="Arial" w:eastAsia="Calibri" w:hAnsi="Arial" w:cs="Arial"/>
        </w:rPr>
        <w:t>[</w:t>
      </w:r>
      <w:r w:rsidR="0073298D" w:rsidRPr="007E7998">
        <w:rPr>
          <w:rFonts w:ascii="Arial" w:eastAsia="Calibri" w:hAnsi="Arial" w:cs="Arial"/>
        </w:rPr>
        <w:t>2</w:t>
      </w:r>
      <w:r w:rsidR="00371E9C" w:rsidRPr="007E7998">
        <w:rPr>
          <w:rFonts w:ascii="Arial" w:eastAsia="Calibri" w:hAnsi="Arial" w:cs="Arial"/>
        </w:rPr>
        <w:t>]</w:t>
      </w:r>
      <w:r w:rsidRPr="007E7998">
        <w:rPr>
          <w:rFonts w:ascii="Arial" w:eastAsia="Calibri" w:hAnsi="Arial" w:cs="Arial"/>
        </w:rPr>
        <w:t>.</w:t>
      </w:r>
    </w:p>
    <w:p w:rsidR="007E2851" w:rsidRPr="007E7998" w:rsidRDefault="00E771D7" w:rsidP="00C80B90">
      <w:pPr>
        <w:spacing w:line="480" w:lineRule="auto"/>
        <w:jc w:val="both"/>
        <w:rPr>
          <w:rFonts w:ascii="Arial" w:eastAsia="Calibri" w:hAnsi="Arial" w:cs="Arial"/>
        </w:rPr>
      </w:pPr>
      <w:r w:rsidRPr="007E7998">
        <w:rPr>
          <w:rFonts w:ascii="Arial" w:eastAsia="Calibri" w:hAnsi="Arial" w:cs="Arial"/>
        </w:rPr>
        <w:t>The relationship between aortic diameter</w:t>
      </w:r>
      <w:r w:rsidR="00232954" w:rsidRPr="007E7998">
        <w:rPr>
          <w:rFonts w:ascii="Arial" w:eastAsia="Calibri" w:hAnsi="Arial" w:cs="Arial"/>
        </w:rPr>
        <w:t xml:space="preserve"> and </w:t>
      </w:r>
      <w:r w:rsidRPr="007E7998">
        <w:rPr>
          <w:rFonts w:ascii="Arial" w:eastAsia="Calibri" w:hAnsi="Arial" w:cs="Arial"/>
        </w:rPr>
        <w:t xml:space="preserve">indexed cross-sectional aortic area has not been fully ascertained in patients presenting with isolated thoracic aortic aneurysms and those with acute type </w:t>
      </w:r>
      <w:proofErr w:type="gramStart"/>
      <w:r w:rsidRPr="007E7998">
        <w:rPr>
          <w:rFonts w:ascii="Arial" w:eastAsia="Calibri" w:hAnsi="Arial" w:cs="Arial"/>
        </w:rPr>
        <w:t>A</w:t>
      </w:r>
      <w:proofErr w:type="gramEnd"/>
      <w:r w:rsidRPr="007E7998">
        <w:rPr>
          <w:rFonts w:ascii="Arial" w:eastAsia="Calibri" w:hAnsi="Arial" w:cs="Arial"/>
        </w:rPr>
        <w:t xml:space="preserve"> aortic dissection.</w:t>
      </w:r>
      <w:r w:rsidR="00741FD4" w:rsidRPr="007E7998">
        <w:rPr>
          <w:rFonts w:ascii="Arial" w:eastAsia="Calibri" w:hAnsi="Arial" w:cs="Arial"/>
        </w:rPr>
        <w:t xml:space="preserve"> </w:t>
      </w:r>
      <w:r w:rsidRPr="007E7998">
        <w:rPr>
          <w:rFonts w:ascii="Arial" w:eastAsia="Calibri" w:hAnsi="Arial" w:cs="Arial"/>
        </w:rPr>
        <w:t xml:space="preserve">In this study, </w:t>
      </w:r>
      <w:r w:rsidR="00624E88" w:rsidRPr="007E7998">
        <w:rPr>
          <w:rFonts w:ascii="Arial" w:eastAsia="Calibri" w:hAnsi="Arial" w:cs="Arial"/>
        </w:rPr>
        <w:t xml:space="preserve">we </w:t>
      </w:r>
      <w:r w:rsidR="001D5267" w:rsidRPr="007E7998">
        <w:rPr>
          <w:rFonts w:ascii="Arial" w:eastAsia="Calibri" w:hAnsi="Arial" w:cs="Arial"/>
        </w:rPr>
        <w:t xml:space="preserve">sought to determine </w:t>
      </w:r>
      <w:r w:rsidR="00624E88" w:rsidRPr="007E7998">
        <w:rPr>
          <w:rFonts w:ascii="Arial" w:eastAsia="Calibri" w:hAnsi="Arial" w:cs="Arial"/>
        </w:rPr>
        <w:t xml:space="preserve">(i) the indexed aortic </w:t>
      </w:r>
      <w:r w:rsidR="00783255" w:rsidRPr="007E7998">
        <w:rPr>
          <w:rFonts w:ascii="Arial" w:eastAsia="Calibri" w:hAnsi="Arial" w:cs="Arial"/>
        </w:rPr>
        <w:t>area</w:t>
      </w:r>
      <w:r w:rsidR="00624E88" w:rsidRPr="007E7998">
        <w:rPr>
          <w:rFonts w:ascii="Arial" w:eastAsia="Calibri" w:hAnsi="Arial" w:cs="Arial"/>
        </w:rPr>
        <w:t xml:space="preserve"> </w:t>
      </w:r>
      <w:r w:rsidR="00707B05" w:rsidRPr="007E7998">
        <w:rPr>
          <w:rFonts w:ascii="Arial" w:eastAsia="Calibri" w:hAnsi="Arial" w:cs="Arial"/>
        </w:rPr>
        <w:t xml:space="preserve">(IAA) </w:t>
      </w:r>
      <w:r w:rsidR="00624E88" w:rsidRPr="007E7998">
        <w:rPr>
          <w:rFonts w:ascii="Arial" w:eastAsia="Calibri" w:hAnsi="Arial" w:cs="Arial"/>
        </w:rPr>
        <w:t xml:space="preserve">in patients with thoracic aortic aneurysms and acute type A aortic dissection at different aortic locations, (ii) the proportion of at-risk </w:t>
      </w:r>
      <w:r w:rsidR="00303EDF" w:rsidRPr="007E7998">
        <w:rPr>
          <w:rFonts w:ascii="Arial" w:eastAsia="Calibri" w:hAnsi="Arial" w:cs="Arial"/>
        </w:rPr>
        <w:t xml:space="preserve">aneurysm patients </w:t>
      </w:r>
      <w:r w:rsidR="00624E88" w:rsidRPr="007E7998">
        <w:rPr>
          <w:rFonts w:ascii="Arial" w:eastAsia="Calibri" w:hAnsi="Arial" w:cs="Arial"/>
        </w:rPr>
        <w:t xml:space="preserve">with </w:t>
      </w:r>
      <w:r w:rsidR="00192C8C" w:rsidRPr="007E7998">
        <w:rPr>
          <w:rFonts w:ascii="Arial" w:eastAsia="Calibri" w:hAnsi="Arial" w:cs="Arial"/>
        </w:rPr>
        <w:t>IAA</w:t>
      </w:r>
      <w:r w:rsidR="00624E88" w:rsidRPr="007E7998">
        <w:rPr>
          <w:rFonts w:ascii="Arial" w:eastAsia="Calibri" w:hAnsi="Arial" w:cs="Arial"/>
        </w:rPr>
        <w:t>s &gt;10 cm</w:t>
      </w:r>
      <w:r w:rsidR="00624E88" w:rsidRPr="007E7998">
        <w:rPr>
          <w:rFonts w:ascii="Arial" w:eastAsia="Calibri" w:hAnsi="Arial" w:cs="Arial"/>
          <w:vertAlign w:val="superscript"/>
        </w:rPr>
        <w:t>2</w:t>
      </w:r>
      <w:r w:rsidR="00624E88" w:rsidRPr="007E7998">
        <w:rPr>
          <w:rFonts w:ascii="Arial" w:eastAsia="Calibri" w:hAnsi="Arial" w:cs="Arial"/>
        </w:rPr>
        <w:t>/m</w:t>
      </w:r>
      <w:r w:rsidR="00833936" w:rsidRPr="007E7998">
        <w:rPr>
          <w:rFonts w:ascii="Arial" w:eastAsia="Calibri" w:hAnsi="Arial" w:cs="Arial"/>
        </w:rPr>
        <w:t xml:space="preserve"> and (iii) the relationship between </w:t>
      </w:r>
      <w:r w:rsidR="004541EE" w:rsidRPr="007E7998">
        <w:rPr>
          <w:rFonts w:ascii="Arial" w:eastAsia="Calibri" w:hAnsi="Arial" w:cs="Arial"/>
        </w:rPr>
        <w:t>IAA</w:t>
      </w:r>
      <w:r w:rsidR="00735058" w:rsidRPr="007E7998">
        <w:rPr>
          <w:rFonts w:ascii="Arial" w:eastAsia="Calibri" w:hAnsi="Arial" w:cs="Arial"/>
        </w:rPr>
        <w:t>s</w:t>
      </w:r>
      <w:r w:rsidR="00833936" w:rsidRPr="007E7998">
        <w:rPr>
          <w:rFonts w:ascii="Arial" w:eastAsia="Calibri" w:hAnsi="Arial" w:cs="Arial"/>
        </w:rPr>
        <w:t xml:space="preserve"> &gt;10 cm</w:t>
      </w:r>
      <w:r w:rsidR="00833936" w:rsidRPr="007E7998">
        <w:rPr>
          <w:rFonts w:ascii="Arial" w:eastAsia="Calibri" w:hAnsi="Arial" w:cs="Arial"/>
          <w:vertAlign w:val="superscript"/>
        </w:rPr>
        <w:t>2</w:t>
      </w:r>
      <w:r w:rsidR="00833936" w:rsidRPr="007E7998">
        <w:rPr>
          <w:rFonts w:ascii="Arial" w:eastAsia="Calibri" w:hAnsi="Arial" w:cs="Arial"/>
        </w:rPr>
        <w:t>/m and corresponding aortic diameters</w:t>
      </w:r>
      <w:r w:rsidR="00E51914" w:rsidRPr="007E7998">
        <w:rPr>
          <w:rFonts w:ascii="Arial" w:eastAsia="Calibri" w:hAnsi="Arial" w:cs="Arial"/>
        </w:rPr>
        <w:t xml:space="preserve"> in aneurysm patients</w:t>
      </w:r>
      <w:r w:rsidR="00833936" w:rsidRPr="007E7998">
        <w:rPr>
          <w:rFonts w:ascii="Arial" w:eastAsia="Calibri" w:hAnsi="Arial" w:cs="Arial"/>
        </w:rPr>
        <w:t>.</w:t>
      </w:r>
    </w:p>
    <w:p w:rsidR="007E2851" w:rsidRPr="007E7998" w:rsidRDefault="007E2851" w:rsidP="00C80B90">
      <w:pPr>
        <w:spacing w:line="480" w:lineRule="auto"/>
        <w:jc w:val="both"/>
        <w:rPr>
          <w:rFonts w:ascii="Arial" w:eastAsia="Calibri" w:hAnsi="Arial" w:cs="Arial"/>
        </w:rPr>
      </w:pPr>
    </w:p>
    <w:p w:rsidR="007168C9" w:rsidRPr="007E7998" w:rsidRDefault="008B3F20" w:rsidP="00C80B90">
      <w:pPr>
        <w:spacing w:line="480" w:lineRule="auto"/>
        <w:jc w:val="both"/>
        <w:rPr>
          <w:rFonts w:ascii="Arial" w:eastAsia="Calibri" w:hAnsi="Arial" w:cs="Arial"/>
          <w:b/>
        </w:rPr>
      </w:pPr>
      <w:r w:rsidRPr="007E7998">
        <w:rPr>
          <w:rFonts w:ascii="Arial" w:eastAsia="Calibri" w:hAnsi="Arial" w:cs="Arial"/>
          <w:b/>
        </w:rPr>
        <w:t xml:space="preserve">Materials and </w:t>
      </w:r>
      <w:r w:rsidR="00F55C9E" w:rsidRPr="007E7998">
        <w:rPr>
          <w:rFonts w:ascii="Arial" w:eastAsia="Calibri" w:hAnsi="Arial" w:cs="Arial"/>
          <w:b/>
        </w:rPr>
        <w:t>Methods</w:t>
      </w:r>
    </w:p>
    <w:p w:rsidR="00E978F2" w:rsidRPr="007E7998" w:rsidRDefault="00B27485" w:rsidP="00C80B90">
      <w:pPr>
        <w:spacing w:line="480" w:lineRule="auto"/>
        <w:jc w:val="both"/>
        <w:rPr>
          <w:rFonts w:ascii="Arial" w:eastAsia="Calibri" w:hAnsi="Arial" w:cs="Arial"/>
          <w:b/>
        </w:rPr>
      </w:pPr>
      <w:r w:rsidRPr="007E7998">
        <w:rPr>
          <w:rFonts w:ascii="Arial" w:eastAsia="Calibri" w:hAnsi="Arial" w:cs="Arial"/>
          <w:b/>
        </w:rPr>
        <w:lastRenderedPageBreak/>
        <w:t>Definition</w:t>
      </w:r>
      <w:r w:rsidR="00E978F2" w:rsidRPr="007E7998">
        <w:rPr>
          <w:rFonts w:ascii="Arial" w:eastAsia="Calibri" w:hAnsi="Arial" w:cs="Arial"/>
          <w:b/>
        </w:rPr>
        <w:t>s</w:t>
      </w:r>
    </w:p>
    <w:p w:rsidR="00416722" w:rsidRPr="007E7998" w:rsidRDefault="00B65427" w:rsidP="00C80B90">
      <w:pPr>
        <w:spacing w:line="480" w:lineRule="auto"/>
        <w:jc w:val="both"/>
        <w:rPr>
          <w:rFonts w:ascii="Arial" w:eastAsia="Calibri" w:hAnsi="Arial" w:cs="Arial"/>
        </w:rPr>
      </w:pPr>
      <w:r w:rsidRPr="007E7998">
        <w:rPr>
          <w:rFonts w:ascii="Arial" w:eastAsia="Calibri" w:hAnsi="Arial" w:cs="Arial"/>
        </w:rPr>
        <w:t xml:space="preserve">For the purpose of this study, </w:t>
      </w:r>
      <w:r w:rsidR="00857C2E" w:rsidRPr="007E7998">
        <w:rPr>
          <w:rFonts w:ascii="Arial" w:eastAsia="Calibri" w:hAnsi="Arial" w:cs="Arial"/>
        </w:rPr>
        <w:t>an aortic root or ascending aortic diameter ≥4 cm was considered aneurysma</w:t>
      </w:r>
      <w:r w:rsidR="00025454" w:rsidRPr="007E7998">
        <w:rPr>
          <w:rFonts w:ascii="Arial" w:eastAsia="Calibri" w:hAnsi="Arial" w:cs="Arial"/>
        </w:rPr>
        <w:t>l.</w:t>
      </w:r>
      <w:r w:rsidR="006008E8" w:rsidRPr="007E7998">
        <w:rPr>
          <w:rFonts w:ascii="Arial" w:eastAsia="Calibri" w:hAnsi="Arial" w:cs="Arial"/>
        </w:rPr>
        <w:t xml:space="preserve"> Post-operative </w:t>
      </w:r>
      <w:r w:rsidR="001A3913" w:rsidRPr="007E7998">
        <w:rPr>
          <w:rFonts w:ascii="Arial" w:eastAsia="Calibri" w:hAnsi="Arial" w:cs="Arial"/>
        </w:rPr>
        <w:t>renal dysfunction was defined as a new requirement for haemofiltration or haemodialysis</w:t>
      </w:r>
      <w:r w:rsidR="009F467D" w:rsidRPr="007E7998">
        <w:rPr>
          <w:rFonts w:ascii="Arial" w:eastAsia="Calibri" w:hAnsi="Arial" w:cs="Arial"/>
        </w:rPr>
        <w:t xml:space="preserve"> following surgery.</w:t>
      </w:r>
      <w:r w:rsidR="00182BBA" w:rsidRPr="007E7998">
        <w:rPr>
          <w:rFonts w:ascii="Arial" w:eastAsia="Calibri" w:hAnsi="Arial" w:cs="Arial"/>
        </w:rPr>
        <w:t xml:space="preserve"> </w:t>
      </w:r>
      <w:r w:rsidR="00416722" w:rsidRPr="007E7998">
        <w:rPr>
          <w:rFonts w:ascii="Arial" w:eastAsia="Calibri" w:hAnsi="Arial" w:cs="Arial"/>
        </w:rPr>
        <w:t xml:space="preserve">In-hospital mortality was defined as </w:t>
      </w:r>
      <w:r w:rsidR="00F75DD3" w:rsidRPr="007E7998">
        <w:rPr>
          <w:rFonts w:ascii="Arial" w:eastAsia="Calibri" w:hAnsi="Arial" w:cs="Arial"/>
        </w:rPr>
        <w:t xml:space="preserve">death </w:t>
      </w:r>
      <w:r w:rsidR="00D53C84" w:rsidRPr="007E7998">
        <w:rPr>
          <w:rFonts w:ascii="Arial" w:eastAsia="Calibri" w:hAnsi="Arial" w:cs="Arial"/>
        </w:rPr>
        <w:t xml:space="preserve">during </w:t>
      </w:r>
      <w:r w:rsidR="00F75DD3" w:rsidRPr="007E7998">
        <w:rPr>
          <w:rFonts w:ascii="Arial" w:eastAsia="Calibri" w:hAnsi="Arial" w:cs="Arial"/>
        </w:rPr>
        <w:t>the same hospital admission.</w:t>
      </w:r>
      <w:r w:rsidR="00416722" w:rsidRPr="007E7998">
        <w:rPr>
          <w:rFonts w:ascii="Arial" w:eastAsia="Calibri" w:hAnsi="Arial" w:cs="Arial"/>
        </w:rPr>
        <w:t xml:space="preserve"> </w:t>
      </w:r>
    </w:p>
    <w:p w:rsidR="003B04E3" w:rsidRPr="007E7998" w:rsidRDefault="003B04E3" w:rsidP="00C80B90">
      <w:pPr>
        <w:spacing w:line="480" w:lineRule="auto"/>
        <w:jc w:val="both"/>
        <w:rPr>
          <w:rFonts w:ascii="Arial" w:eastAsia="Calibri" w:hAnsi="Arial" w:cs="Arial"/>
          <w:b/>
        </w:rPr>
      </w:pPr>
      <w:r w:rsidRPr="007E7998">
        <w:rPr>
          <w:rFonts w:ascii="Arial" w:eastAsia="Calibri" w:hAnsi="Arial" w:cs="Arial"/>
          <w:b/>
        </w:rPr>
        <w:t>Study Population</w:t>
      </w:r>
      <w:r w:rsidR="00996FF5" w:rsidRPr="007E7998">
        <w:rPr>
          <w:rFonts w:ascii="Arial" w:eastAsia="Calibri" w:hAnsi="Arial" w:cs="Arial"/>
          <w:b/>
        </w:rPr>
        <w:t>s</w:t>
      </w:r>
    </w:p>
    <w:p w:rsidR="009214EC" w:rsidRPr="007E7998" w:rsidRDefault="00E516C3" w:rsidP="00C80B90">
      <w:pPr>
        <w:spacing w:line="480" w:lineRule="auto"/>
        <w:jc w:val="both"/>
        <w:rPr>
          <w:rFonts w:ascii="Arial" w:eastAsia="Calibri" w:hAnsi="Arial" w:cs="Arial"/>
        </w:rPr>
      </w:pPr>
      <w:r w:rsidRPr="007E7998">
        <w:rPr>
          <w:rFonts w:ascii="Arial" w:eastAsia="Calibri" w:hAnsi="Arial" w:cs="Arial"/>
        </w:rPr>
        <w:t>We performed a</w:t>
      </w:r>
      <w:r w:rsidR="001634A9" w:rsidRPr="007E7998">
        <w:rPr>
          <w:rFonts w:ascii="Arial" w:eastAsia="Calibri" w:hAnsi="Arial" w:cs="Arial"/>
        </w:rPr>
        <w:t xml:space="preserve"> retrospective</w:t>
      </w:r>
      <w:r w:rsidRPr="007E7998">
        <w:rPr>
          <w:rFonts w:ascii="Arial" w:eastAsia="Calibri" w:hAnsi="Arial" w:cs="Arial"/>
        </w:rPr>
        <w:t xml:space="preserve"> observational study on</w:t>
      </w:r>
      <w:r w:rsidR="00D24E5C" w:rsidRPr="007E7998">
        <w:rPr>
          <w:rFonts w:ascii="Arial" w:eastAsia="Calibri" w:hAnsi="Arial" w:cs="Arial"/>
        </w:rPr>
        <w:t xml:space="preserve"> </w:t>
      </w:r>
      <w:r w:rsidR="00B00151" w:rsidRPr="007E7998">
        <w:rPr>
          <w:rFonts w:ascii="Arial" w:eastAsia="Calibri" w:hAnsi="Arial" w:cs="Arial"/>
        </w:rPr>
        <w:t xml:space="preserve">all consecutive </w:t>
      </w:r>
      <w:r w:rsidR="001B0348" w:rsidRPr="007E7998">
        <w:rPr>
          <w:rFonts w:ascii="Arial" w:eastAsia="Calibri" w:hAnsi="Arial" w:cs="Arial"/>
        </w:rPr>
        <w:t xml:space="preserve">adult </w:t>
      </w:r>
      <w:r w:rsidR="00B00151" w:rsidRPr="007E7998">
        <w:rPr>
          <w:rFonts w:ascii="Arial" w:eastAsia="Calibri" w:hAnsi="Arial" w:cs="Arial"/>
        </w:rPr>
        <w:t xml:space="preserve">patients undergoing first-time surgery for thoracic aortic aneurysm (aneurysm group) or acute type </w:t>
      </w:r>
      <w:proofErr w:type="gramStart"/>
      <w:r w:rsidR="00B00151" w:rsidRPr="007E7998">
        <w:rPr>
          <w:rFonts w:ascii="Arial" w:eastAsia="Calibri" w:hAnsi="Arial" w:cs="Arial"/>
        </w:rPr>
        <w:t>A</w:t>
      </w:r>
      <w:proofErr w:type="gramEnd"/>
      <w:r w:rsidR="00B00151" w:rsidRPr="007E7998">
        <w:rPr>
          <w:rFonts w:ascii="Arial" w:eastAsia="Calibri" w:hAnsi="Arial" w:cs="Arial"/>
        </w:rPr>
        <w:t xml:space="preserve"> aortic dissection (dissection group)</w:t>
      </w:r>
      <w:r w:rsidRPr="007E7998">
        <w:rPr>
          <w:rFonts w:ascii="Arial" w:eastAsia="Calibri" w:hAnsi="Arial" w:cs="Arial"/>
        </w:rPr>
        <w:t xml:space="preserve"> between 20</w:t>
      </w:r>
      <w:r w:rsidR="00A50FC5" w:rsidRPr="007E7998">
        <w:rPr>
          <w:rFonts w:ascii="Arial" w:eastAsia="Calibri" w:hAnsi="Arial" w:cs="Arial"/>
        </w:rPr>
        <w:t>10</w:t>
      </w:r>
      <w:r w:rsidRPr="007E7998">
        <w:rPr>
          <w:rFonts w:ascii="Arial" w:eastAsia="Calibri" w:hAnsi="Arial" w:cs="Arial"/>
        </w:rPr>
        <w:t>-2016 at</w:t>
      </w:r>
      <w:r w:rsidR="00D7393E" w:rsidRPr="007E7998">
        <w:rPr>
          <w:rFonts w:ascii="Arial" w:eastAsia="Calibri" w:hAnsi="Arial" w:cs="Arial"/>
        </w:rPr>
        <w:t xml:space="preserve"> St George’s Hospital, London</w:t>
      </w:r>
      <w:r w:rsidR="00B00151" w:rsidRPr="007E7998">
        <w:rPr>
          <w:rFonts w:ascii="Arial" w:eastAsia="Calibri" w:hAnsi="Arial" w:cs="Arial"/>
        </w:rPr>
        <w:t>.</w:t>
      </w:r>
      <w:r w:rsidR="00836B25" w:rsidRPr="007E7998">
        <w:rPr>
          <w:rFonts w:ascii="Arial" w:eastAsia="Calibri" w:hAnsi="Arial" w:cs="Arial"/>
        </w:rPr>
        <w:t xml:space="preserve"> </w:t>
      </w:r>
      <w:r w:rsidR="0047143A" w:rsidRPr="007E7998">
        <w:rPr>
          <w:rFonts w:ascii="Arial" w:eastAsia="Calibri" w:hAnsi="Arial" w:cs="Arial"/>
        </w:rPr>
        <w:t xml:space="preserve">Patients were assigned to the aneurysm group based on </w:t>
      </w:r>
      <w:r w:rsidR="0034417A" w:rsidRPr="007E7998">
        <w:rPr>
          <w:rFonts w:ascii="Arial" w:eastAsia="Calibri" w:hAnsi="Arial" w:cs="Arial"/>
        </w:rPr>
        <w:t>echocardio</w:t>
      </w:r>
      <w:r w:rsidR="00B75078" w:rsidRPr="007E7998">
        <w:rPr>
          <w:rFonts w:ascii="Arial" w:eastAsia="Calibri" w:hAnsi="Arial" w:cs="Arial"/>
        </w:rPr>
        <w:t>graphic</w:t>
      </w:r>
      <w:r w:rsidR="0083394C" w:rsidRPr="007E7998">
        <w:rPr>
          <w:rFonts w:ascii="Arial" w:eastAsia="Calibri" w:hAnsi="Arial" w:cs="Arial"/>
        </w:rPr>
        <w:t xml:space="preserve">, contrast-enhanced computed tomography </w:t>
      </w:r>
      <w:r w:rsidR="005D2BB7" w:rsidRPr="007E7998">
        <w:rPr>
          <w:rFonts w:ascii="Arial" w:eastAsia="Calibri" w:hAnsi="Arial" w:cs="Arial"/>
        </w:rPr>
        <w:t xml:space="preserve">(CT) </w:t>
      </w:r>
      <w:r w:rsidR="0083394C" w:rsidRPr="007E7998">
        <w:rPr>
          <w:rFonts w:ascii="Arial" w:eastAsia="Calibri" w:hAnsi="Arial" w:cs="Arial"/>
        </w:rPr>
        <w:t xml:space="preserve">or contrast-enhanced magnetic resonance imaging </w:t>
      </w:r>
      <w:r w:rsidR="00A2761D" w:rsidRPr="007E7998">
        <w:rPr>
          <w:rFonts w:ascii="Arial" w:eastAsia="Calibri" w:hAnsi="Arial" w:cs="Arial"/>
        </w:rPr>
        <w:t xml:space="preserve">(MRI) </w:t>
      </w:r>
      <w:r w:rsidR="0083394C" w:rsidRPr="007E7998">
        <w:rPr>
          <w:rFonts w:ascii="Arial" w:eastAsia="Calibri" w:hAnsi="Arial" w:cs="Arial"/>
        </w:rPr>
        <w:t xml:space="preserve">demonstrating </w:t>
      </w:r>
      <w:r w:rsidR="003A3692" w:rsidRPr="007E7998">
        <w:rPr>
          <w:rFonts w:ascii="Arial" w:eastAsia="Calibri" w:hAnsi="Arial" w:cs="Arial"/>
        </w:rPr>
        <w:t xml:space="preserve">an aortic root or ascending aorta </w:t>
      </w:r>
      <w:r w:rsidR="00D2089A" w:rsidRPr="007E7998">
        <w:rPr>
          <w:rFonts w:ascii="Arial" w:eastAsia="Calibri" w:hAnsi="Arial" w:cs="Arial"/>
        </w:rPr>
        <w:t>≥</w:t>
      </w:r>
      <w:r w:rsidR="00DF39C4" w:rsidRPr="007E7998">
        <w:rPr>
          <w:rFonts w:ascii="Arial" w:eastAsia="Calibri" w:hAnsi="Arial" w:cs="Arial"/>
        </w:rPr>
        <w:t xml:space="preserve">4 </w:t>
      </w:r>
      <w:r w:rsidR="00D2089A" w:rsidRPr="007E7998">
        <w:rPr>
          <w:rFonts w:ascii="Arial" w:eastAsia="Calibri" w:hAnsi="Arial" w:cs="Arial"/>
        </w:rPr>
        <w:t xml:space="preserve">cm </w:t>
      </w:r>
      <w:r w:rsidR="003A3692" w:rsidRPr="007E7998">
        <w:rPr>
          <w:rFonts w:ascii="Arial" w:eastAsia="Calibri" w:hAnsi="Arial" w:cs="Arial"/>
        </w:rPr>
        <w:t>in diameter.</w:t>
      </w:r>
      <w:r w:rsidR="00045A0C" w:rsidRPr="007E7998">
        <w:rPr>
          <w:rFonts w:ascii="Arial" w:eastAsia="Calibri" w:hAnsi="Arial" w:cs="Arial"/>
        </w:rPr>
        <w:t xml:space="preserve"> Patients</w:t>
      </w:r>
      <w:r w:rsidR="003D275F" w:rsidRPr="007E7998">
        <w:rPr>
          <w:rFonts w:ascii="Arial" w:eastAsia="Calibri" w:hAnsi="Arial" w:cs="Arial"/>
        </w:rPr>
        <w:t xml:space="preserve"> with</w:t>
      </w:r>
      <w:r w:rsidR="00045A0C" w:rsidRPr="007E7998">
        <w:rPr>
          <w:rFonts w:ascii="Arial" w:eastAsia="Calibri" w:hAnsi="Arial" w:cs="Arial"/>
        </w:rPr>
        <w:t xml:space="preserve"> </w:t>
      </w:r>
      <w:r w:rsidR="00186557" w:rsidRPr="007E7998">
        <w:rPr>
          <w:rFonts w:ascii="Arial" w:eastAsia="Calibri" w:hAnsi="Arial" w:cs="Arial"/>
        </w:rPr>
        <w:t xml:space="preserve">an aortic root/ascending aorta approaching 4 cm </w:t>
      </w:r>
      <w:r w:rsidR="00276AE9" w:rsidRPr="007E7998">
        <w:rPr>
          <w:rFonts w:ascii="Arial" w:eastAsia="Calibri" w:hAnsi="Arial" w:cs="Arial"/>
        </w:rPr>
        <w:t xml:space="preserve">in dimension </w:t>
      </w:r>
      <w:r w:rsidR="003D275F" w:rsidRPr="007E7998">
        <w:rPr>
          <w:rFonts w:ascii="Arial" w:eastAsia="Calibri" w:hAnsi="Arial" w:cs="Arial"/>
        </w:rPr>
        <w:t xml:space="preserve">and co-existing connective tissue disease </w:t>
      </w:r>
      <w:r w:rsidR="00A57A2B" w:rsidRPr="007E7998">
        <w:rPr>
          <w:rFonts w:ascii="Arial" w:eastAsia="Calibri" w:hAnsi="Arial" w:cs="Arial"/>
        </w:rPr>
        <w:t>were</w:t>
      </w:r>
      <w:r w:rsidR="00186557" w:rsidRPr="007E7998">
        <w:rPr>
          <w:rFonts w:ascii="Arial" w:eastAsia="Calibri" w:hAnsi="Arial" w:cs="Arial"/>
        </w:rPr>
        <w:t xml:space="preserve"> also included in the aneurysm group.</w:t>
      </w:r>
      <w:r w:rsidR="005D2BB7" w:rsidRPr="007E7998">
        <w:rPr>
          <w:rFonts w:ascii="Arial" w:eastAsia="Calibri" w:hAnsi="Arial" w:cs="Arial"/>
        </w:rPr>
        <w:t xml:space="preserve"> Patients admitted to our service with acute type </w:t>
      </w:r>
      <w:proofErr w:type="gramStart"/>
      <w:r w:rsidR="005D2BB7" w:rsidRPr="007E7998">
        <w:rPr>
          <w:rFonts w:ascii="Arial" w:eastAsia="Calibri" w:hAnsi="Arial" w:cs="Arial"/>
        </w:rPr>
        <w:t>A</w:t>
      </w:r>
      <w:proofErr w:type="gramEnd"/>
      <w:r w:rsidR="005D2BB7" w:rsidRPr="007E7998">
        <w:rPr>
          <w:rFonts w:ascii="Arial" w:eastAsia="Calibri" w:hAnsi="Arial" w:cs="Arial"/>
        </w:rPr>
        <w:t xml:space="preserve"> dissection, confirmed on contrast-enhanced </w:t>
      </w:r>
      <w:r w:rsidR="00926B8B" w:rsidRPr="007E7998">
        <w:rPr>
          <w:rFonts w:ascii="Arial" w:eastAsia="Calibri" w:hAnsi="Arial" w:cs="Arial"/>
        </w:rPr>
        <w:t xml:space="preserve">CT, </w:t>
      </w:r>
      <w:r w:rsidR="008A04A4" w:rsidRPr="007E7998">
        <w:rPr>
          <w:rFonts w:ascii="Arial" w:eastAsia="Calibri" w:hAnsi="Arial" w:cs="Arial"/>
        </w:rPr>
        <w:t>comprise</w:t>
      </w:r>
      <w:r w:rsidR="00926B8B" w:rsidRPr="007E7998">
        <w:rPr>
          <w:rFonts w:ascii="Arial" w:eastAsia="Calibri" w:hAnsi="Arial" w:cs="Arial"/>
        </w:rPr>
        <w:t xml:space="preserve">d </w:t>
      </w:r>
      <w:r w:rsidR="00F0460C" w:rsidRPr="007E7998">
        <w:rPr>
          <w:rFonts w:ascii="Arial" w:eastAsia="Calibri" w:hAnsi="Arial" w:cs="Arial"/>
        </w:rPr>
        <w:t>the dissection group.</w:t>
      </w:r>
      <w:r w:rsidR="008D06D7" w:rsidRPr="007E7998">
        <w:rPr>
          <w:rFonts w:ascii="Arial" w:eastAsia="Calibri" w:hAnsi="Arial" w:cs="Arial"/>
        </w:rPr>
        <w:t xml:space="preserve"> P</w:t>
      </w:r>
      <w:r w:rsidR="00EC3FA6" w:rsidRPr="007E7998">
        <w:rPr>
          <w:rFonts w:ascii="Arial" w:eastAsia="Calibri" w:hAnsi="Arial" w:cs="Arial"/>
        </w:rPr>
        <w:t xml:space="preserve">atients for whom relevant </w:t>
      </w:r>
      <w:r w:rsidR="00EE07F6" w:rsidRPr="007E7998">
        <w:rPr>
          <w:rFonts w:ascii="Arial" w:eastAsia="Calibri" w:hAnsi="Arial" w:cs="Arial"/>
        </w:rPr>
        <w:t xml:space="preserve">pre-operative </w:t>
      </w:r>
      <w:r w:rsidR="00EC3FA6" w:rsidRPr="007E7998">
        <w:rPr>
          <w:rFonts w:ascii="Arial" w:eastAsia="Calibri" w:hAnsi="Arial" w:cs="Arial"/>
        </w:rPr>
        <w:t xml:space="preserve">imaging </w:t>
      </w:r>
      <w:r w:rsidR="00564F30" w:rsidRPr="007E7998">
        <w:rPr>
          <w:rFonts w:ascii="Arial" w:eastAsia="Calibri" w:hAnsi="Arial" w:cs="Arial"/>
        </w:rPr>
        <w:t>had not been performed within the preceding year</w:t>
      </w:r>
      <w:r w:rsidR="00436DBA" w:rsidRPr="007E7998">
        <w:rPr>
          <w:rFonts w:ascii="Arial" w:eastAsia="Calibri" w:hAnsi="Arial" w:cs="Arial"/>
        </w:rPr>
        <w:t xml:space="preserve">, and in </w:t>
      </w:r>
      <w:proofErr w:type="gramStart"/>
      <w:r w:rsidR="00436DBA" w:rsidRPr="007E7998">
        <w:rPr>
          <w:rFonts w:ascii="Arial" w:eastAsia="Calibri" w:hAnsi="Arial" w:cs="Arial"/>
        </w:rPr>
        <w:t>whom</w:t>
      </w:r>
      <w:proofErr w:type="gramEnd"/>
      <w:r w:rsidR="00436DBA" w:rsidRPr="007E7998">
        <w:rPr>
          <w:rFonts w:ascii="Arial" w:eastAsia="Calibri" w:hAnsi="Arial" w:cs="Arial"/>
        </w:rPr>
        <w:t xml:space="preserve"> aortic root/ascending aortic replacement was performed for </w:t>
      </w:r>
      <w:r w:rsidR="002E0FC6" w:rsidRPr="007E7998">
        <w:rPr>
          <w:rFonts w:ascii="Arial" w:eastAsia="Calibri" w:hAnsi="Arial" w:cs="Arial"/>
        </w:rPr>
        <w:t xml:space="preserve">procedural </w:t>
      </w:r>
      <w:r w:rsidR="00436DBA" w:rsidRPr="007E7998">
        <w:rPr>
          <w:rFonts w:ascii="Arial" w:eastAsia="Calibri" w:hAnsi="Arial" w:cs="Arial"/>
        </w:rPr>
        <w:t>complications</w:t>
      </w:r>
      <w:r w:rsidR="00280F25" w:rsidRPr="007E7998">
        <w:rPr>
          <w:rFonts w:ascii="Arial" w:eastAsia="Calibri" w:hAnsi="Arial" w:cs="Arial"/>
        </w:rPr>
        <w:t xml:space="preserve"> in the absence of </w:t>
      </w:r>
      <w:r w:rsidR="002E0FC6" w:rsidRPr="007E7998">
        <w:rPr>
          <w:rFonts w:ascii="Arial" w:eastAsia="Calibri" w:hAnsi="Arial" w:cs="Arial"/>
        </w:rPr>
        <w:t xml:space="preserve">pre-operative </w:t>
      </w:r>
      <w:r w:rsidR="00280F25" w:rsidRPr="007E7998">
        <w:rPr>
          <w:rFonts w:ascii="Arial" w:eastAsia="Calibri" w:hAnsi="Arial" w:cs="Arial"/>
        </w:rPr>
        <w:t>aortic aneurysm or dissection</w:t>
      </w:r>
      <w:r w:rsidR="00F5039A" w:rsidRPr="007E7998">
        <w:rPr>
          <w:rFonts w:ascii="Arial" w:eastAsia="Calibri" w:hAnsi="Arial" w:cs="Arial"/>
        </w:rPr>
        <w:t>, were excluded</w:t>
      </w:r>
      <w:r w:rsidR="00772998" w:rsidRPr="007E7998">
        <w:rPr>
          <w:rFonts w:ascii="Arial" w:eastAsia="Calibri" w:hAnsi="Arial" w:cs="Arial"/>
        </w:rPr>
        <w:t>.</w:t>
      </w:r>
      <w:r w:rsidR="00F50CC9" w:rsidRPr="007E7998">
        <w:rPr>
          <w:rFonts w:ascii="Arial" w:eastAsia="Calibri" w:hAnsi="Arial" w:cs="Arial"/>
        </w:rPr>
        <w:t xml:space="preserve"> </w:t>
      </w:r>
    </w:p>
    <w:p w:rsidR="00A85960" w:rsidRPr="007E7998" w:rsidRDefault="00CF3D69" w:rsidP="00C80B90">
      <w:pPr>
        <w:spacing w:line="480" w:lineRule="auto"/>
        <w:jc w:val="both"/>
        <w:rPr>
          <w:rFonts w:ascii="Arial" w:eastAsia="Calibri" w:hAnsi="Arial" w:cs="Arial"/>
          <w:b/>
        </w:rPr>
      </w:pPr>
      <w:r w:rsidRPr="007E7998">
        <w:rPr>
          <w:rFonts w:ascii="Arial" w:eastAsia="Calibri" w:hAnsi="Arial" w:cs="Arial"/>
        </w:rPr>
        <w:t>Other variables considered included</w:t>
      </w:r>
      <w:r w:rsidR="003E3BA6" w:rsidRPr="007E7998">
        <w:rPr>
          <w:rFonts w:ascii="Arial" w:eastAsia="Calibri" w:hAnsi="Arial" w:cs="Arial"/>
        </w:rPr>
        <w:t xml:space="preserve"> </w:t>
      </w:r>
      <w:r w:rsidR="00B12899" w:rsidRPr="007E7998">
        <w:rPr>
          <w:rFonts w:ascii="Arial" w:eastAsia="Calibri" w:hAnsi="Arial" w:cs="Arial"/>
        </w:rPr>
        <w:t>cardiovascular risk factors (</w:t>
      </w:r>
      <w:r w:rsidR="003E3BA6" w:rsidRPr="007E7998">
        <w:rPr>
          <w:rFonts w:ascii="Arial" w:eastAsia="Calibri" w:hAnsi="Arial" w:cs="Arial"/>
        </w:rPr>
        <w:t>hypertension,</w:t>
      </w:r>
      <w:r w:rsidR="00C060E0" w:rsidRPr="007E7998">
        <w:rPr>
          <w:rFonts w:ascii="Arial" w:eastAsia="Calibri" w:hAnsi="Arial" w:cs="Arial"/>
        </w:rPr>
        <w:t xml:space="preserve"> </w:t>
      </w:r>
      <w:r w:rsidR="00D66547" w:rsidRPr="007E7998">
        <w:rPr>
          <w:rFonts w:ascii="Arial" w:eastAsia="Calibri" w:hAnsi="Arial" w:cs="Arial"/>
        </w:rPr>
        <w:t xml:space="preserve">hypercholesterolaemia, </w:t>
      </w:r>
      <w:r w:rsidR="00F432EA" w:rsidRPr="007E7998">
        <w:rPr>
          <w:rFonts w:ascii="Arial" w:eastAsia="Calibri" w:hAnsi="Arial" w:cs="Arial"/>
        </w:rPr>
        <w:t>diabetes mellitus,</w:t>
      </w:r>
      <w:r w:rsidR="00B12899" w:rsidRPr="007E7998">
        <w:rPr>
          <w:rFonts w:ascii="Arial" w:eastAsia="Calibri" w:hAnsi="Arial" w:cs="Arial"/>
        </w:rPr>
        <w:t xml:space="preserve"> smoking), as well as pulmonary disease, peripheral vascular disease, </w:t>
      </w:r>
      <w:r w:rsidR="00183337" w:rsidRPr="007E7998">
        <w:rPr>
          <w:rFonts w:ascii="Arial" w:eastAsia="Calibri" w:hAnsi="Arial" w:cs="Arial"/>
        </w:rPr>
        <w:t>chronic kidney disease</w:t>
      </w:r>
      <w:r w:rsidR="00C060E0" w:rsidRPr="007E7998">
        <w:rPr>
          <w:rFonts w:ascii="Arial" w:eastAsia="Calibri" w:hAnsi="Arial" w:cs="Arial"/>
        </w:rPr>
        <w:t xml:space="preserve">, </w:t>
      </w:r>
      <w:r w:rsidR="00D66547" w:rsidRPr="007E7998">
        <w:rPr>
          <w:rFonts w:ascii="Arial" w:eastAsia="Calibri" w:hAnsi="Arial" w:cs="Arial"/>
        </w:rPr>
        <w:t>connective tissue disease</w:t>
      </w:r>
      <w:r w:rsidR="00647F58" w:rsidRPr="007E7998">
        <w:rPr>
          <w:rFonts w:ascii="Arial" w:eastAsia="Calibri" w:hAnsi="Arial" w:cs="Arial"/>
        </w:rPr>
        <w:t xml:space="preserve">, </w:t>
      </w:r>
      <w:r w:rsidR="00D77D71" w:rsidRPr="007E7998">
        <w:rPr>
          <w:rFonts w:ascii="Arial" w:eastAsia="Calibri" w:hAnsi="Arial" w:cs="Arial"/>
        </w:rPr>
        <w:t xml:space="preserve">previous transient ischaemic attack/stroke, </w:t>
      </w:r>
      <w:r w:rsidR="000E2217" w:rsidRPr="007E7998">
        <w:rPr>
          <w:rFonts w:ascii="Arial" w:eastAsia="Calibri" w:hAnsi="Arial" w:cs="Arial"/>
        </w:rPr>
        <w:t xml:space="preserve">ventricular function, </w:t>
      </w:r>
      <w:r w:rsidR="00647F58" w:rsidRPr="007E7998">
        <w:rPr>
          <w:rFonts w:ascii="Arial" w:eastAsia="Calibri" w:hAnsi="Arial" w:cs="Arial"/>
        </w:rPr>
        <w:t>aortic valve cusp configuration and aortic valvular regurgitation.</w:t>
      </w:r>
      <w:r w:rsidR="009D2352" w:rsidRPr="007E7998">
        <w:rPr>
          <w:rFonts w:ascii="Arial" w:eastAsia="Calibri" w:hAnsi="Arial" w:cs="Arial"/>
        </w:rPr>
        <w:t xml:space="preserve"> </w:t>
      </w:r>
      <w:r w:rsidR="009E506C" w:rsidRPr="007E7998">
        <w:rPr>
          <w:rFonts w:ascii="Arial" w:eastAsia="Calibri" w:hAnsi="Arial" w:cs="Arial"/>
        </w:rPr>
        <w:t>Prospectively-collected demographic, clinical and operative data was manually retrieved from our institution's computer database</w:t>
      </w:r>
      <w:r w:rsidR="008C5CB5" w:rsidRPr="007E7998">
        <w:rPr>
          <w:rFonts w:ascii="Arial" w:eastAsia="Calibri" w:hAnsi="Arial" w:cs="Arial"/>
        </w:rPr>
        <w:t xml:space="preserve"> and cross-referenced with </w:t>
      </w:r>
      <w:r w:rsidR="008C5CB5" w:rsidRPr="007E7998">
        <w:rPr>
          <w:rFonts w:ascii="Arial" w:eastAsia="Calibri" w:hAnsi="Arial" w:cs="Arial"/>
        </w:rPr>
        <w:lastRenderedPageBreak/>
        <w:t>medical records</w:t>
      </w:r>
      <w:r w:rsidR="00F50FA9" w:rsidRPr="007E7998">
        <w:rPr>
          <w:rFonts w:ascii="Arial" w:eastAsia="Calibri" w:hAnsi="Arial" w:cs="Arial"/>
        </w:rPr>
        <w:t xml:space="preserve">. </w:t>
      </w:r>
      <w:r w:rsidR="00143387" w:rsidRPr="007E7998">
        <w:rPr>
          <w:rFonts w:ascii="Arial" w:eastAsia="Calibri" w:hAnsi="Arial" w:cs="Arial"/>
        </w:rPr>
        <w:t>Local ethical approval (equivalent to institutional review board) was</w:t>
      </w:r>
      <w:r w:rsidR="00B1062B" w:rsidRPr="007E7998">
        <w:rPr>
          <w:rFonts w:ascii="Arial" w:eastAsia="Calibri" w:hAnsi="Arial" w:cs="Arial"/>
        </w:rPr>
        <w:t xml:space="preserve"> granted</w:t>
      </w:r>
      <w:r w:rsidR="00493296" w:rsidRPr="007E7998">
        <w:rPr>
          <w:rFonts w:ascii="Arial" w:eastAsia="Calibri" w:hAnsi="Arial" w:cs="Arial"/>
        </w:rPr>
        <w:t xml:space="preserve"> </w:t>
      </w:r>
      <w:r w:rsidR="00507D59" w:rsidRPr="007E7998">
        <w:rPr>
          <w:rFonts w:ascii="Arial" w:eastAsia="Calibri" w:hAnsi="Arial" w:cs="Arial"/>
        </w:rPr>
        <w:t>for this retrospective study</w:t>
      </w:r>
      <w:r w:rsidR="00920CDB" w:rsidRPr="007E7998">
        <w:rPr>
          <w:rFonts w:ascii="Arial" w:eastAsia="Calibri" w:hAnsi="Arial" w:cs="Arial"/>
        </w:rPr>
        <w:t xml:space="preserve">. </w:t>
      </w:r>
    </w:p>
    <w:p w:rsidR="0034417A" w:rsidRPr="007E7998" w:rsidRDefault="0034417A" w:rsidP="00C80B90">
      <w:pPr>
        <w:spacing w:line="480" w:lineRule="auto"/>
        <w:jc w:val="both"/>
        <w:rPr>
          <w:rFonts w:ascii="Arial" w:eastAsia="Calibri" w:hAnsi="Arial" w:cs="Arial"/>
          <w:b/>
        </w:rPr>
      </w:pPr>
      <w:r w:rsidRPr="007E7998">
        <w:rPr>
          <w:rFonts w:ascii="Arial" w:eastAsia="Calibri" w:hAnsi="Arial" w:cs="Arial"/>
          <w:b/>
        </w:rPr>
        <w:t>Imaging Review</w:t>
      </w:r>
    </w:p>
    <w:p w:rsidR="008B22FD" w:rsidRPr="007E7998" w:rsidRDefault="0067446E" w:rsidP="00C80B90">
      <w:pPr>
        <w:spacing w:line="480" w:lineRule="auto"/>
        <w:jc w:val="both"/>
        <w:rPr>
          <w:rFonts w:ascii="Arial" w:eastAsia="Calibri" w:hAnsi="Arial" w:cs="Arial"/>
        </w:rPr>
      </w:pPr>
      <w:r w:rsidRPr="007E7998">
        <w:rPr>
          <w:rFonts w:ascii="Arial" w:eastAsia="Calibri" w:hAnsi="Arial" w:cs="Arial"/>
        </w:rPr>
        <w:t xml:space="preserve">The </w:t>
      </w:r>
      <w:r w:rsidR="00A559FC" w:rsidRPr="007E7998">
        <w:rPr>
          <w:rFonts w:ascii="Arial" w:eastAsia="Calibri" w:hAnsi="Arial" w:cs="Arial"/>
        </w:rPr>
        <w:t>most recent p</w:t>
      </w:r>
      <w:r w:rsidR="000E6713" w:rsidRPr="007E7998">
        <w:rPr>
          <w:rFonts w:ascii="Arial" w:eastAsia="Calibri" w:hAnsi="Arial" w:cs="Arial"/>
        </w:rPr>
        <w:t xml:space="preserve">re-operative aortic scans were </w:t>
      </w:r>
      <w:r w:rsidR="00CE30BD" w:rsidRPr="007E7998">
        <w:rPr>
          <w:rFonts w:ascii="Arial" w:eastAsia="Calibri" w:hAnsi="Arial" w:cs="Arial"/>
        </w:rPr>
        <w:t xml:space="preserve">retrospectively </w:t>
      </w:r>
      <w:r w:rsidR="000E6713" w:rsidRPr="007E7998">
        <w:rPr>
          <w:rFonts w:ascii="Arial" w:eastAsia="Calibri" w:hAnsi="Arial" w:cs="Arial"/>
        </w:rPr>
        <w:t>reviewed</w:t>
      </w:r>
      <w:r w:rsidR="006B08D4" w:rsidRPr="007E7998">
        <w:rPr>
          <w:rFonts w:ascii="Arial" w:eastAsia="Calibri" w:hAnsi="Arial" w:cs="Arial"/>
        </w:rPr>
        <w:t xml:space="preserve"> </w:t>
      </w:r>
      <w:r w:rsidR="00233EEF" w:rsidRPr="007E7998">
        <w:rPr>
          <w:rFonts w:ascii="Arial" w:eastAsia="Calibri" w:hAnsi="Arial" w:cs="Arial"/>
        </w:rPr>
        <w:t xml:space="preserve">in multi-planar CT </w:t>
      </w:r>
      <w:r w:rsidR="00AD0474" w:rsidRPr="007E7998">
        <w:rPr>
          <w:rFonts w:ascii="Arial" w:eastAsia="Calibri" w:hAnsi="Arial" w:cs="Arial"/>
        </w:rPr>
        <w:t>and/</w:t>
      </w:r>
      <w:r w:rsidR="00233EEF" w:rsidRPr="007E7998">
        <w:rPr>
          <w:rFonts w:ascii="Arial" w:eastAsia="Calibri" w:hAnsi="Arial" w:cs="Arial"/>
        </w:rPr>
        <w:t xml:space="preserve">or MRI modalities </w:t>
      </w:r>
      <w:r w:rsidR="006B08D4" w:rsidRPr="007E7998">
        <w:rPr>
          <w:rFonts w:ascii="Arial" w:eastAsia="Calibri" w:hAnsi="Arial" w:cs="Arial"/>
        </w:rPr>
        <w:t>for each patient.</w:t>
      </w:r>
      <w:r w:rsidR="00D07731" w:rsidRPr="007E7998">
        <w:rPr>
          <w:rFonts w:ascii="Arial" w:eastAsia="Calibri" w:hAnsi="Arial" w:cs="Arial"/>
        </w:rPr>
        <w:t xml:space="preserve"> </w:t>
      </w:r>
      <w:r w:rsidR="00CE3F42" w:rsidRPr="007E7998">
        <w:rPr>
          <w:rFonts w:ascii="Arial" w:eastAsia="Calibri" w:hAnsi="Arial" w:cs="Arial"/>
        </w:rPr>
        <w:t xml:space="preserve">Maximum </w:t>
      </w:r>
      <w:r w:rsidR="00401491" w:rsidRPr="007E7998">
        <w:rPr>
          <w:rFonts w:ascii="Arial" w:eastAsia="Calibri" w:hAnsi="Arial" w:cs="Arial"/>
        </w:rPr>
        <w:t xml:space="preserve">cross-sectional </w:t>
      </w:r>
      <w:r w:rsidR="00CE3F42" w:rsidRPr="007E7998">
        <w:rPr>
          <w:rFonts w:ascii="Arial" w:eastAsia="Calibri" w:hAnsi="Arial" w:cs="Arial"/>
        </w:rPr>
        <w:t>aortic diameter</w:t>
      </w:r>
      <w:r w:rsidR="00B23C87" w:rsidRPr="007E7998">
        <w:rPr>
          <w:rFonts w:ascii="Arial" w:eastAsia="Calibri" w:hAnsi="Arial" w:cs="Arial"/>
        </w:rPr>
        <w:t xml:space="preserve">s were measured </w:t>
      </w:r>
      <w:r w:rsidR="004F730F" w:rsidRPr="007E7998">
        <w:rPr>
          <w:rFonts w:ascii="Arial" w:eastAsia="Calibri" w:hAnsi="Arial" w:cs="Arial"/>
        </w:rPr>
        <w:t xml:space="preserve">using the inner edge-to-inner edge method </w:t>
      </w:r>
      <w:r w:rsidR="003553E2" w:rsidRPr="007E7998">
        <w:rPr>
          <w:rFonts w:ascii="Arial" w:eastAsia="Calibri" w:hAnsi="Arial" w:cs="Arial"/>
        </w:rPr>
        <w:t xml:space="preserve">in coronal and sagittal views </w:t>
      </w:r>
      <w:r w:rsidR="00B23C87" w:rsidRPr="007E7998">
        <w:rPr>
          <w:rFonts w:ascii="Arial" w:eastAsia="Calibri" w:hAnsi="Arial" w:cs="Arial"/>
        </w:rPr>
        <w:t xml:space="preserve">in a plane perpendicular to the </w:t>
      </w:r>
      <w:r w:rsidR="008267F1" w:rsidRPr="007E7998">
        <w:rPr>
          <w:rFonts w:ascii="Arial" w:eastAsia="Calibri" w:hAnsi="Arial" w:cs="Arial"/>
        </w:rPr>
        <w:t>direction of blood flow</w:t>
      </w:r>
      <w:r w:rsidR="00401491" w:rsidRPr="007E7998">
        <w:rPr>
          <w:rFonts w:ascii="Arial" w:eastAsia="Calibri" w:hAnsi="Arial" w:cs="Arial"/>
        </w:rPr>
        <w:t xml:space="preserve"> at </w:t>
      </w:r>
      <w:r w:rsidR="00625E08" w:rsidRPr="007E7998">
        <w:rPr>
          <w:rFonts w:ascii="Arial" w:eastAsia="Calibri" w:hAnsi="Arial" w:cs="Arial"/>
        </w:rPr>
        <w:t>three</w:t>
      </w:r>
      <w:r w:rsidR="00401491" w:rsidRPr="007E7998">
        <w:rPr>
          <w:rFonts w:ascii="Arial" w:eastAsia="Calibri" w:hAnsi="Arial" w:cs="Arial"/>
        </w:rPr>
        <w:t xml:space="preserve"> aortic locations: </w:t>
      </w:r>
      <w:r w:rsidR="005C2B31" w:rsidRPr="007E7998">
        <w:rPr>
          <w:rFonts w:ascii="Arial" w:eastAsia="Calibri" w:hAnsi="Arial" w:cs="Arial"/>
        </w:rPr>
        <w:t xml:space="preserve">the </w:t>
      </w:r>
      <w:r w:rsidR="00F77766" w:rsidRPr="007E7998">
        <w:rPr>
          <w:rFonts w:ascii="Arial" w:eastAsia="Calibri" w:hAnsi="Arial" w:cs="Arial"/>
        </w:rPr>
        <w:t xml:space="preserve">mid-point of the </w:t>
      </w:r>
      <w:r w:rsidR="00C0434D" w:rsidRPr="007E7998">
        <w:rPr>
          <w:rFonts w:ascii="Arial" w:eastAsia="Calibri" w:hAnsi="Arial" w:cs="Arial"/>
        </w:rPr>
        <w:t>s</w:t>
      </w:r>
      <w:r w:rsidR="00F77766" w:rsidRPr="007E7998">
        <w:rPr>
          <w:rFonts w:ascii="Arial" w:eastAsia="Calibri" w:hAnsi="Arial" w:cs="Arial"/>
        </w:rPr>
        <w:t xml:space="preserve">inuses of </w:t>
      </w:r>
      <w:proofErr w:type="spellStart"/>
      <w:r w:rsidR="00F77766" w:rsidRPr="007E7998">
        <w:rPr>
          <w:rFonts w:ascii="Arial" w:eastAsia="Calibri" w:hAnsi="Arial" w:cs="Arial"/>
        </w:rPr>
        <w:t>Valsalva</w:t>
      </w:r>
      <w:proofErr w:type="spellEnd"/>
      <w:r w:rsidR="00AE6B47" w:rsidRPr="007E7998">
        <w:rPr>
          <w:rFonts w:ascii="Arial" w:eastAsia="Calibri" w:hAnsi="Arial" w:cs="Arial"/>
        </w:rPr>
        <w:t xml:space="preserve">, the </w:t>
      </w:r>
      <w:proofErr w:type="spellStart"/>
      <w:r w:rsidR="00AE6B47" w:rsidRPr="007E7998">
        <w:rPr>
          <w:rFonts w:ascii="Arial" w:eastAsia="Calibri" w:hAnsi="Arial" w:cs="Arial"/>
        </w:rPr>
        <w:t>sino</w:t>
      </w:r>
      <w:proofErr w:type="spellEnd"/>
      <w:r w:rsidR="00AE6B47" w:rsidRPr="007E7998">
        <w:rPr>
          <w:rFonts w:ascii="Arial" w:eastAsia="Calibri" w:hAnsi="Arial" w:cs="Arial"/>
        </w:rPr>
        <w:t>-tubular junction</w:t>
      </w:r>
      <w:r w:rsidR="00AE01F6" w:rsidRPr="007E7998">
        <w:rPr>
          <w:rFonts w:ascii="Arial" w:eastAsia="Calibri" w:hAnsi="Arial" w:cs="Arial"/>
        </w:rPr>
        <w:t xml:space="preserve">, </w:t>
      </w:r>
      <w:r w:rsidR="00354346" w:rsidRPr="007E7998">
        <w:rPr>
          <w:rFonts w:ascii="Arial" w:eastAsia="Calibri" w:hAnsi="Arial" w:cs="Arial"/>
        </w:rPr>
        <w:t xml:space="preserve">and </w:t>
      </w:r>
      <w:r w:rsidR="00AE01F6" w:rsidRPr="007E7998">
        <w:rPr>
          <w:rFonts w:ascii="Arial" w:eastAsia="Calibri" w:hAnsi="Arial" w:cs="Arial"/>
        </w:rPr>
        <w:t xml:space="preserve">the mid-ascending aorta (at the </w:t>
      </w:r>
      <w:r w:rsidR="00D325CA" w:rsidRPr="007E7998">
        <w:rPr>
          <w:rFonts w:ascii="Arial" w:eastAsia="Calibri" w:hAnsi="Arial" w:cs="Arial"/>
        </w:rPr>
        <w:t xml:space="preserve">level of </w:t>
      </w:r>
      <w:r w:rsidR="00B47DDD" w:rsidRPr="007E7998">
        <w:rPr>
          <w:rFonts w:ascii="Arial" w:eastAsia="Calibri" w:hAnsi="Arial" w:cs="Arial"/>
        </w:rPr>
        <w:t xml:space="preserve">the </w:t>
      </w:r>
      <w:r w:rsidR="00354346" w:rsidRPr="007E7998">
        <w:rPr>
          <w:rFonts w:ascii="Arial" w:eastAsia="Calibri" w:hAnsi="Arial" w:cs="Arial"/>
        </w:rPr>
        <w:t xml:space="preserve">pulmonary artery bifurcation) </w:t>
      </w:r>
      <w:r w:rsidR="005D3BE8" w:rsidRPr="007E7998">
        <w:rPr>
          <w:rFonts w:ascii="Arial" w:eastAsia="Calibri" w:hAnsi="Arial" w:cs="Arial"/>
        </w:rPr>
        <w:t>[</w:t>
      </w:r>
      <w:r w:rsidR="00062D30" w:rsidRPr="007E7998">
        <w:rPr>
          <w:rFonts w:ascii="Arial" w:eastAsia="Calibri" w:hAnsi="Arial" w:cs="Arial"/>
        </w:rPr>
        <w:t>3</w:t>
      </w:r>
      <w:r w:rsidR="00A94C53" w:rsidRPr="007E7998">
        <w:rPr>
          <w:rFonts w:ascii="Arial" w:eastAsia="Calibri" w:hAnsi="Arial" w:cs="Arial"/>
        </w:rPr>
        <w:t>].</w:t>
      </w:r>
      <w:r w:rsidR="00363041" w:rsidRPr="007E7998">
        <w:rPr>
          <w:rFonts w:ascii="Arial" w:eastAsia="Calibri" w:hAnsi="Arial" w:cs="Arial"/>
        </w:rPr>
        <w:t xml:space="preserve"> </w:t>
      </w:r>
      <w:r w:rsidR="00C41282" w:rsidRPr="007E7998">
        <w:rPr>
          <w:rFonts w:ascii="Arial" w:eastAsia="Calibri" w:hAnsi="Arial" w:cs="Arial"/>
        </w:rPr>
        <w:t>The largest aortic diameter was used for analysis when multiple measurements were generated.</w:t>
      </w:r>
      <w:r w:rsidR="00D66B0A" w:rsidRPr="007E7998">
        <w:rPr>
          <w:rFonts w:ascii="Arial" w:eastAsia="Calibri" w:hAnsi="Arial" w:cs="Arial"/>
        </w:rPr>
        <w:t xml:space="preserve"> </w:t>
      </w:r>
      <w:r w:rsidR="0013628F" w:rsidRPr="007E7998">
        <w:rPr>
          <w:rFonts w:ascii="Arial" w:eastAsia="Calibri" w:hAnsi="Arial" w:cs="Arial"/>
        </w:rPr>
        <w:t>For patients presenting</w:t>
      </w:r>
      <w:r w:rsidR="00872184" w:rsidRPr="007E7998">
        <w:rPr>
          <w:rFonts w:ascii="Arial" w:eastAsia="Calibri" w:hAnsi="Arial" w:cs="Arial"/>
        </w:rPr>
        <w:t xml:space="preserve"> with dissection, diameter measurements included both true and false aortic lumens.</w:t>
      </w:r>
      <w:r w:rsidR="00547BC9" w:rsidRPr="007E7998">
        <w:rPr>
          <w:rFonts w:ascii="Arial" w:eastAsia="Calibri" w:hAnsi="Arial" w:cs="Arial"/>
        </w:rPr>
        <w:t xml:space="preserve"> </w:t>
      </w:r>
      <w:r w:rsidR="00D66B0A" w:rsidRPr="007E7998">
        <w:rPr>
          <w:rFonts w:ascii="Arial" w:eastAsia="Calibri" w:hAnsi="Arial" w:cs="Arial"/>
        </w:rPr>
        <w:t xml:space="preserve">All imaging was reviewed by a single </w:t>
      </w:r>
      <w:r w:rsidR="006D2642" w:rsidRPr="007E7998">
        <w:rPr>
          <w:rFonts w:ascii="Arial" w:eastAsia="Calibri" w:hAnsi="Arial" w:cs="Arial"/>
        </w:rPr>
        <w:t xml:space="preserve">clinician </w:t>
      </w:r>
      <w:r w:rsidR="00D66B0A" w:rsidRPr="007E7998">
        <w:rPr>
          <w:rFonts w:ascii="Arial" w:eastAsia="Calibri" w:hAnsi="Arial" w:cs="Arial"/>
        </w:rPr>
        <w:t>with cross-checking of a random</w:t>
      </w:r>
      <w:r w:rsidR="001D5A96" w:rsidRPr="007E7998">
        <w:rPr>
          <w:rFonts w:ascii="Arial" w:eastAsia="Calibri" w:hAnsi="Arial" w:cs="Arial"/>
        </w:rPr>
        <w:t>ly-selected</w:t>
      </w:r>
      <w:r w:rsidR="00D66B0A" w:rsidRPr="007E7998">
        <w:rPr>
          <w:rFonts w:ascii="Arial" w:eastAsia="Calibri" w:hAnsi="Arial" w:cs="Arial"/>
        </w:rPr>
        <w:t xml:space="preserve"> 10% sample </w:t>
      </w:r>
      <w:r w:rsidR="00CF49B1" w:rsidRPr="007E7998">
        <w:rPr>
          <w:rFonts w:ascii="Arial" w:eastAsia="Calibri" w:hAnsi="Arial" w:cs="Arial"/>
        </w:rPr>
        <w:t xml:space="preserve">by </w:t>
      </w:r>
      <w:r w:rsidR="00D66B0A" w:rsidRPr="007E7998">
        <w:rPr>
          <w:rFonts w:ascii="Arial" w:eastAsia="Calibri" w:hAnsi="Arial" w:cs="Arial"/>
        </w:rPr>
        <w:t xml:space="preserve">two experienced cardiovascular radiologists to ensure </w:t>
      </w:r>
      <w:r w:rsidR="00CF49B1" w:rsidRPr="007E7998">
        <w:rPr>
          <w:rFonts w:ascii="Arial" w:eastAsia="Calibri" w:hAnsi="Arial" w:cs="Arial"/>
        </w:rPr>
        <w:t>concurrence</w:t>
      </w:r>
      <w:r w:rsidR="00290D31" w:rsidRPr="007E7998">
        <w:rPr>
          <w:rFonts w:ascii="Arial" w:eastAsia="Calibri" w:hAnsi="Arial" w:cs="Arial"/>
        </w:rPr>
        <w:t xml:space="preserve"> in measurement technique</w:t>
      </w:r>
      <w:r w:rsidR="00DF50F2" w:rsidRPr="007E7998">
        <w:rPr>
          <w:rFonts w:ascii="Arial" w:eastAsia="Calibri" w:hAnsi="Arial" w:cs="Arial"/>
        </w:rPr>
        <w:t xml:space="preserve"> and reproducibility</w:t>
      </w:r>
      <w:r w:rsidR="00722C4F" w:rsidRPr="007E7998">
        <w:rPr>
          <w:rFonts w:ascii="Arial" w:eastAsia="Calibri" w:hAnsi="Arial" w:cs="Arial"/>
        </w:rPr>
        <w:t xml:space="preserve">. </w:t>
      </w:r>
    </w:p>
    <w:p w:rsidR="009F3CD0" w:rsidRPr="007E7998" w:rsidRDefault="001962F9" w:rsidP="00C80B90">
      <w:pPr>
        <w:tabs>
          <w:tab w:val="left" w:pos="1440"/>
        </w:tabs>
        <w:spacing w:line="480" w:lineRule="auto"/>
        <w:jc w:val="both"/>
        <w:rPr>
          <w:rFonts w:ascii="Arial" w:eastAsia="Calibri" w:hAnsi="Arial" w:cs="Arial"/>
          <w:b/>
        </w:rPr>
      </w:pPr>
      <w:r w:rsidRPr="007E7998">
        <w:rPr>
          <w:rFonts w:ascii="Arial" w:eastAsia="Calibri" w:hAnsi="Arial" w:cs="Arial"/>
          <w:b/>
        </w:rPr>
        <w:t>Outcome Measures</w:t>
      </w:r>
    </w:p>
    <w:p w:rsidR="00B12292" w:rsidRPr="007E7998" w:rsidRDefault="0026744F" w:rsidP="00C80B90">
      <w:pPr>
        <w:spacing w:line="480" w:lineRule="auto"/>
        <w:jc w:val="both"/>
        <w:rPr>
          <w:rFonts w:ascii="Arial" w:hAnsi="Arial" w:cs="Arial"/>
        </w:rPr>
      </w:pPr>
      <w:r w:rsidRPr="007E7998">
        <w:rPr>
          <w:rFonts w:ascii="Arial" w:eastAsia="Calibri" w:hAnsi="Arial" w:cs="Arial"/>
        </w:rPr>
        <w:t xml:space="preserve">Cross-sectional area at each aortic location was calculated using the formula </w:t>
      </w:r>
      <w:r w:rsidRPr="007E7998">
        <w:rPr>
          <w:rFonts w:ascii="Arial" w:hAnsi="Arial" w:cs="Arial"/>
        </w:rPr>
        <w:t>π x r</w:t>
      </w:r>
      <w:r w:rsidRPr="007E7998">
        <w:rPr>
          <w:rFonts w:ascii="Arial" w:hAnsi="Arial" w:cs="Arial"/>
          <w:vertAlign w:val="superscript"/>
        </w:rPr>
        <w:t>2</w:t>
      </w:r>
      <w:r w:rsidRPr="007E7998">
        <w:rPr>
          <w:rFonts w:ascii="Arial" w:hAnsi="Arial" w:cs="Arial"/>
        </w:rPr>
        <w:t>,</w:t>
      </w:r>
      <w:r w:rsidRPr="007E7998">
        <w:rPr>
          <w:rFonts w:ascii="Arial" w:hAnsi="Arial" w:cs="Arial"/>
          <w:vertAlign w:val="superscript"/>
        </w:rPr>
        <w:t xml:space="preserve"> </w:t>
      </w:r>
      <w:r w:rsidRPr="007E7998">
        <w:rPr>
          <w:rFonts w:ascii="Arial" w:hAnsi="Arial" w:cs="Arial"/>
        </w:rPr>
        <w:t>where r represents the aortic radius</w:t>
      </w:r>
      <w:r w:rsidR="000B0782" w:rsidRPr="007E7998">
        <w:rPr>
          <w:rFonts w:ascii="Arial" w:hAnsi="Arial" w:cs="Arial"/>
        </w:rPr>
        <w:t>, for patients in aneurysm and dissection groups</w:t>
      </w:r>
      <w:r w:rsidRPr="007E7998">
        <w:rPr>
          <w:rFonts w:ascii="Arial" w:hAnsi="Arial" w:cs="Arial"/>
        </w:rPr>
        <w:t>.</w:t>
      </w:r>
      <w:r w:rsidR="00237EA6" w:rsidRPr="007E7998">
        <w:rPr>
          <w:rFonts w:ascii="Arial" w:hAnsi="Arial" w:cs="Arial"/>
        </w:rPr>
        <w:t xml:space="preserve"> This was </w:t>
      </w:r>
      <w:r w:rsidR="00CA0E7E" w:rsidRPr="007E7998">
        <w:rPr>
          <w:rFonts w:ascii="Arial" w:hAnsi="Arial" w:cs="Arial"/>
        </w:rPr>
        <w:t>divided by patient height to determine a ratio of the aortic cross-sectional area to height (indexed aortic</w:t>
      </w:r>
      <w:r w:rsidR="003C4C0D" w:rsidRPr="007E7998">
        <w:rPr>
          <w:rFonts w:ascii="Arial" w:hAnsi="Arial" w:cs="Arial"/>
        </w:rPr>
        <w:t xml:space="preserve"> area</w:t>
      </w:r>
      <w:r w:rsidR="00CA0E7E" w:rsidRPr="007E7998">
        <w:rPr>
          <w:rFonts w:ascii="Arial" w:hAnsi="Arial" w:cs="Arial"/>
        </w:rPr>
        <w:t xml:space="preserve">). </w:t>
      </w:r>
      <w:r w:rsidR="007076C4" w:rsidRPr="007E7998">
        <w:rPr>
          <w:rFonts w:ascii="Arial" w:hAnsi="Arial" w:cs="Arial"/>
        </w:rPr>
        <w:t>The me</w:t>
      </w:r>
      <w:r w:rsidR="00F67538" w:rsidRPr="007E7998">
        <w:rPr>
          <w:rFonts w:ascii="Arial" w:hAnsi="Arial" w:cs="Arial"/>
        </w:rPr>
        <w:t>dian</w:t>
      </w:r>
      <w:r w:rsidR="00BF206F" w:rsidRPr="007E7998">
        <w:rPr>
          <w:rFonts w:ascii="Arial" w:hAnsi="Arial" w:cs="Arial"/>
        </w:rPr>
        <w:t xml:space="preserve"> IAA</w:t>
      </w:r>
      <w:r w:rsidR="007076C4" w:rsidRPr="007E7998">
        <w:rPr>
          <w:rFonts w:ascii="Arial" w:hAnsi="Arial" w:cs="Arial"/>
        </w:rPr>
        <w:t xml:space="preserve"> at each of the </w:t>
      </w:r>
      <w:r w:rsidR="005F1316" w:rsidRPr="007E7998">
        <w:rPr>
          <w:rFonts w:ascii="Arial" w:hAnsi="Arial" w:cs="Arial"/>
        </w:rPr>
        <w:t>three</w:t>
      </w:r>
      <w:r w:rsidR="007076C4" w:rsidRPr="007E7998">
        <w:rPr>
          <w:rFonts w:ascii="Arial" w:hAnsi="Arial" w:cs="Arial"/>
        </w:rPr>
        <w:t xml:space="preserve"> aortic locations was calculated</w:t>
      </w:r>
      <w:r w:rsidR="00116ECB" w:rsidRPr="007E7998">
        <w:rPr>
          <w:rFonts w:ascii="Arial" w:hAnsi="Arial" w:cs="Arial"/>
        </w:rPr>
        <w:t xml:space="preserve"> for both groups</w:t>
      </w:r>
      <w:r w:rsidR="007076C4" w:rsidRPr="007E7998">
        <w:rPr>
          <w:rFonts w:ascii="Arial" w:hAnsi="Arial" w:cs="Arial"/>
        </w:rPr>
        <w:t xml:space="preserve">, and </w:t>
      </w:r>
      <w:r w:rsidR="00A91A86" w:rsidRPr="007E7998">
        <w:rPr>
          <w:rFonts w:ascii="Arial" w:hAnsi="Arial" w:cs="Arial"/>
        </w:rPr>
        <w:t xml:space="preserve">the </w:t>
      </w:r>
      <w:r w:rsidR="007076C4" w:rsidRPr="007E7998">
        <w:rPr>
          <w:rFonts w:ascii="Arial" w:hAnsi="Arial" w:cs="Arial"/>
        </w:rPr>
        <w:t xml:space="preserve">proportion of </w:t>
      </w:r>
      <w:r w:rsidR="00E15EF6" w:rsidRPr="007E7998">
        <w:rPr>
          <w:rFonts w:ascii="Arial" w:hAnsi="Arial" w:cs="Arial"/>
        </w:rPr>
        <w:t xml:space="preserve">at-risk </w:t>
      </w:r>
      <w:r w:rsidR="007076C4" w:rsidRPr="007E7998">
        <w:rPr>
          <w:rFonts w:ascii="Arial" w:hAnsi="Arial" w:cs="Arial"/>
        </w:rPr>
        <w:t>patients with</w:t>
      </w:r>
      <w:r w:rsidR="002C381E" w:rsidRPr="007E7998">
        <w:rPr>
          <w:rFonts w:ascii="Arial" w:hAnsi="Arial" w:cs="Arial"/>
        </w:rPr>
        <w:t xml:space="preserve"> IAA</w:t>
      </w:r>
      <w:r w:rsidR="00E15EF6" w:rsidRPr="007E7998">
        <w:rPr>
          <w:rFonts w:ascii="Arial" w:hAnsi="Arial" w:cs="Arial"/>
        </w:rPr>
        <w:t xml:space="preserve"> &gt;10 cm</w:t>
      </w:r>
      <w:r w:rsidR="00E15EF6" w:rsidRPr="007E7998">
        <w:rPr>
          <w:rFonts w:ascii="Arial" w:hAnsi="Arial" w:cs="Arial"/>
          <w:vertAlign w:val="superscript"/>
        </w:rPr>
        <w:t>2</w:t>
      </w:r>
      <w:r w:rsidR="00E15EF6" w:rsidRPr="007E7998">
        <w:rPr>
          <w:rFonts w:ascii="Arial" w:hAnsi="Arial" w:cs="Arial"/>
        </w:rPr>
        <w:t xml:space="preserve">/m </w:t>
      </w:r>
      <w:r w:rsidR="00A91A86" w:rsidRPr="007E7998">
        <w:rPr>
          <w:rFonts w:ascii="Arial" w:hAnsi="Arial" w:cs="Arial"/>
        </w:rPr>
        <w:t xml:space="preserve">identified for </w:t>
      </w:r>
      <w:r w:rsidR="00E15EF6" w:rsidRPr="007E7998">
        <w:rPr>
          <w:rFonts w:ascii="Arial" w:hAnsi="Arial" w:cs="Arial"/>
        </w:rPr>
        <w:t>each aortic location</w:t>
      </w:r>
      <w:r w:rsidR="00C70E12" w:rsidRPr="007E7998">
        <w:rPr>
          <w:rFonts w:ascii="Arial" w:hAnsi="Arial" w:cs="Arial"/>
        </w:rPr>
        <w:t>.</w:t>
      </w:r>
      <w:r w:rsidR="002B555B" w:rsidRPr="007E7998">
        <w:rPr>
          <w:rFonts w:ascii="Arial" w:hAnsi="Arial" w:cs="Arial"/>
        </w:rPr>
        <w:t xml:space="preserve"> </w:t>
      </w:r>
      <w:r w:rsidR="002C70FD" w:rsidRPr="007E7998">
        <w:rPr>
          <w:rFonts w:ascii="Arial" w:hAnsi="Arial" w:cs="Arial"/>
        </w:rPr>
        <w:t>IAA</w:t>
      </w:r>
      <w:r w:rsidR="002B555B" w:rsidRPr="007E7998">
        <w:rPr>
          <w:rFonts w:ascii="Arial" w:hAnsi="Arial" w:cs="Arial"/>
        </w:rPr>
        <w:t xml:space="preserve">s at </w:t>
      </w:r>
      <w:r w:rsidR="000B501A" w:rsidRPr="007E7998">
        <w:rPr>
          <w:rFonts w:ascii="Arial" w:hAnsi="Arial" w:cs="Arial"/>
        </w:rPr>
        <w:t xml:space="preserve">the </w:t>
      </w:r>
      <w:r w:rsidR="002B555B" w:rsidRPr="007E7998">
        <w:rPr>
          <w:rFonts w:ascii="Arial" w:hAnsi="Arial" w:cs="Arial"/>
        </w:rPr>
        <w:t xml:space="preserve">mid-sinus, </w:t>
      </w:r>
      <w:proofErr w:type="spellStart"/>
      <w:r w:rsidR="002B555B" w:rsidRPr="007E7998">
        <w:rPr>
          <w:rFonts w:ascii="Arial" w:hAnsi="Arial" w:cs="Arial"/>
        </w:rPr>
        <w:t>sino</w:t>
      </w:r>
      <w:proofErr w:type="spellEnd"/>
      <w:r w:rsidR="002B555B" w:rsidRPr="007E7998">
        <w:rPr>
          <w:rFonts w:ascii="Arial" w:hAnsi="Arial" w:cs="Arial"/>
        </w:rPr>
        <w:t xml:space="preserve">-tubular junction and mid-ascending aortic locations </w:t>
      </w:r>
      <w:r w:rsidR="00D50011" w:rsidRPr="007E7998">
        <w:rPr>
          <w:rFonts w:ascii="Arial" w:hAnsi="Arial" w:cs="Arial"/>
        </w:rPr>
        <w:t>were categorised into three subgroups (</w:t>
      </w:r>
      <w:r w:rsidR="0076162F" w:rsidRPr="007E7998">
        <w:rPr>
          <w:rFonts w:ascii="Arial" w:hAnsi="Arial" w:cs="Arial"/>
        </w:rPr>
        <w:t>10-12</w:t>
      </w:r>
      <w:r w:rsidR="000F4787" w:rsidRPr="007E7998">
        <w:rPr>
          <w:rFonts w:ascii="Arial" w:hAnsi="Arial" w:cs="Arial"/>
        </w:rPr>
        <w:t xml:space="preserve"> cm</w:t>
      </w:r>
      <w:r w:rsidR="000F4787" w:rsidRPr="007E7998">
        <w:rPr>
          <w:rFonts w:ascii="Arial" w:hAnsi="Arial" w:cs="Arial"/>
          <w:vertAlign w:val="superscript"/>
        </w:rPr>
        <w:t>2</w:t>
      </w:r>
      <w:r w:rsidR="000F4787" w:rsidRPr="007E7998">
        <w:rPr>
          <w:rFonts w:ascii="Arial" w:hAnsi="Arial" w:cs="Arial"/>
        </w:rPr>
        <w:t>/m</w:t>
      </w:r>
      <w:r w:rsidR="0076162F" w:rsidRPr="007E7998">
        <w:rPr>
          <w:rFonts w:ascii="Arial" w:hAnsi="Arial" w:cs="Arial"/>
        </w:rPr>
        <w:t xml:space="preserve">, 12-14 </w:t>
      </w:r>
      <w:r w:rsidR="000F4787" w:rsidRPr="007E7998">
        <w:rPr>
          <w:rFonts w:ascii="Arial" w:hAnsi="Arial" w:cs="Arial"/>
        </w:rPr>
        <w:t>cm</w:t>
      </w:r>
      <w:r w:rsidR="000F4787" w:rsidRPr="007E7998">
        <w:rPr>
          <w:rFonts w:ascii="Arial" w:hAnsi="Arial" w:cs="Arial"/>
          <w:vertAlign w:val="superscript"/>
        </w:rPr>
        <w:t>2</w:t>
      </w:r>
      <w:r w:rsidR="000F4787" w:rsidRPr="007E7998">
        <w:rPr>
          <w:rFonts w:ascii="Arial" w:hAnsi="Arial" w:cs="Arial"/>
        </w:rPr>
        <w:t xml:space="preserve">/m </w:t>
      </w:r>
      <w:r w:rsidR="0076162F" w:rsidRPr="007E7998">
        <w:rPr>
          <w:rFonts w:ascii="Arial" w:hAnsi="Arial" w:cs="Arial"/>
        </w:rPr>
        <w:t>and &gt;14</w:t>
      </w:r>
      <w:r w:rsidR="000F4787" w:rsidRPr="007E7998">
        <w:rPr>
          <w:rFonts w:ascii="Arial" w:hAnsi="Arial" w:cs="Arial"/>
        </w:rPr>
        <w:t xml:space="preserve"> cm</w:t>
      </w:r>
      <w:r w:rsidR="000F4787" w:rsidRPr="007E7998">
        <w:rPr>
          <w:rFonts w:ascii="Arial" w:hAnsi="Arial" w:cs="Arial"/>
          <w:vertAlign w:val="superscript"/>
        </w:rPr>
        <w:t>2</w:t>
      </w:r>
      <w:r w:rsidR="000F4787" w:rsidRPr="007E7998">
        <w:rPr>
          <w:rFonts w:ascii="Arial" w:hAnsi="Arial" w:cs="Arial"/>
        </w:rPr>
        <w:t>/m</w:t>
      </w:r>
      <w:r w:rsidR="0076162F" w:rsidRPr="007E7998">
        <w:rPr>
          <w:rFonts w:ascii="Arial" w:hAnsi="Arial" w:cs="Arial"/>
        </w:rPr>
        <w:t>) and the mean aortic diameter corresponding to each range was calculated</w:t>
      </w:r>
      <w:r w:rsidR="003672D3" w:rsidRPr="007E7998">
        <w:rPr>
          <w:rFonts w:ascii="Arial" w:hAnsi="Arial" w:cs="Arial"/>
        </w:rPr>
        <w:t>.</w:t>
      </w:r>
      <w:r w:rsidR="00B12292" w:rsidRPr="007E7998">
        <w:rPr>
          <w:rFonts w:ascii="Arial" w:hAnsi="Arial" w:cs="Arial"/>
        </w:rPr>
        <w:t xml:space="preserve"> </w:t>
      </w:r>
      <w:r w:rsidR="00DA1213" w:rsidRPr="007E7998">
        <w:rPr>
          <w:rFonts w:ascii="Arial" w:hAnsi="Arial" w:cs="Arial"/>
        </w:rPr>
        <w:t xml:space="preserve">In addition, </w:t>
      </w:r>
      <w:r w:rsidR="00B12292" w:rsidRPr="007E7998">
        <w:rPr>
          <w:rFonts w:ascii="Arial" w:hAnsi="Arial" w:cs="Arial"/>
        </w:rPr>
        <w:t xml:space="preserve">patients in the aneurysm group </w:t>
      </w:r>
      <w:r w:rsidR="00DA1213" w:rsidRPr="007E7998">
        <w:rPr>
          <w:rFonts w:ascii="Arial" w:hAnsi="Arial" w:cs="Arial"/>
        </w:rPr>
        <w:t xml:space="preserve">were assigned </w:t>
      </w:r>
      <w:r w:rsidR="00B12292" w:rsidRPr="007E7998">
        <w:rPr>
          <w:rFonts w:ascii="Arial" w:hAnsi="Arial" w:cs="Arial"/>
        </w:rPr>
        <w:t xml:space="preserve">to one of five subgroups (&lt;4.0 cm, 4.0-4.5 cm, 4.5-5.0 cm, 5.0-5.5 cm or &gt;5.5 cm) depending on aortic diameter at mid-sinus, </w:t>
      </w:r>
      <w:proofErr w:type="spellStart"/>
      <w:r w:rsidR="00B12292" w:rsidRPr="007E7998">
        <w:rPr>
          <w:rFonts w:ascii="Arial" w:hAnsi="Arial" w:cs="Arial"/>
        </w:rPr>
        <w:t>sino</w:t>
      </w:r>
      <w:proofErr w:type="spellEnd"/>
      <w:r w:rsidR="00B12292" w:rsidRPr="007E7998">
        <w:rPr>
          <w:rFonts w:ascii="Arial" w:hAnsi="Arial" w:cs="Arial"/>
        </w:rPr>
        <w:t xml:space="preserve">-tubular junction and mid-ascending aortic locations. </w:t>
      </w:r>
      <w:r w:rsidR="00AB7948" w:rsidRPr="007E7998">
        <w:rPr>
          <w:rFonts w:ascii="Arial" w:hAnsi="Arial" w:cs="Arial"/>
        </w:rPr>
        <w:t>IAA</w:t>
      </w:r>
      <w:r w:rsidR="00B976B5" w:rsidRPr="007E7998">
        <w:rPr>
          <w:rFonts w:ascii="Arial" w:hAnsi="Arial" w:cs="Arial"/>
        </w:rPr>
        <w:t>s</w:t>
      </w:r>
      <w:r w:rsidR="00B12292" w:rsidRPr="007E7998">
        <w:rPr>
          <w:rFonts w:ascii="Arial" w:hAnsi="Arial" w:cs="Arial"/>
        </w:rPr>
        <w:t xml:space="preserve"> were analysed for all patients </w:t>
      </w:r>
      <w:r w:rsidR="00B12292" w:rsidRPr="007E7998">
        <w:rPr>
          <w:rFonts w:ascii="Arial" w:hAnsi="Arial" w:cs="Arial"/>
        </w:rPr>
        <w:lastRenderedPageBreak/>
        <w:t xml:space="preserve">within the subgroups to calculate </w:t>
      </w:r>
      <w:r w:rsidR="00032223" w:rsidRPr="007E7998">
        <w:rPr>
          <w:rFonts w:ascii="Arial" w:hAnsi="Arial" w:cs="Arial"/>
        </w:rPr>
        <w:t>the</w:t>
      </w:r>
      <w:r w:rsidR="00B12292" w:rsidRPr="007E7998">
        <w:rPr>
          <w:rFonts w:ascii="Arial" w:hAnsi="Arial" w:cs="Arial"/>
        </w:rPr>
        <w:t xml:space="preserve"> mean</w:t>
      </w:r>
      <w:r w:rsidR="00D836B4" w:rsidRPr="007E7998">
        <w:rPr>
          <w:rFonts w:ascii="Arial" w:hAnsi="Arial" w:cs="Arial"/>
        </w:rPr>
        <w:t xml:space="preserve"> IAA</w:t>
      </w:r>
      <w:r w:rsidR="00B12292" w:rsidRPr="007E7998">
        <w:rPr>
          <w:rFonts w:ascii="Arial" w:hAnsi="Arial" w:cs="Arial"/>
        </w:rPr>
        <w:t xml:space="preserve"> at each aortic location for each size subgroup.</w:t>
      </w:r>
    </w:p>
    <w:p w:rsidR="009F3CD0" w:rsidRPr="007E7998" w:rsidRDefault="009F3CD0" w:rsidP="00C80B90">
      <w:pPr>
        <w:spacing w:line="480" w:lineRule="auto"/>
        <w:jc w:val="both"/>
        <w:rPr>
          <w:rFonts w:ascii="Arial" w:eastAsia="Calibri" w:hAnsi="Arial" w:cs="Arial"/>
          <w:b/>
        </w:rPr>
      </w:pPr>
      <w:r w:rsidRPr="007E7998">
        <w:rPr>
          <w:rFonts w:ascii="Arial" w:eastAsia="Calibri" w:hAnsi="Arial" w:cs="Arial"/>
          <w:b/>
        </w:rPr>
        <w:t>Statistical Analysis</w:t>
      </w:r>
    </w:p>
    <w:p w:rsidR="007168C9" w:rsidRPr="007E7998" w:rsidRDefault="00760BB2" w:rsidP="00C80B90">
      <w:pPr>
        <w:spacing w:line="480" w:lineRule="auto"/>
        <w:jc w:val="both"/>
        <w:rPr>
          <w:rFonts w:ascii="Arial" w:hAnsi="Arial" w:cs="Arial"/>
        </w:rPr>
      </w:pPr>
      <w:r w:rsidRPr="007E7998">
        <w:rPr>
          <w:rFonts w:ascii="Arial" w:hAnsi="Arial" w:cs="Arial"/>
        </w:rPr>
        <w:t>Statistical analysis was performed using SPSS</w:t>
      </w:r>
      <w:r w:rsidR="00C4177C" w:rsidRPr="007E7998">
        <w:rPr>
          <w:rFonts w:ascii="Arial" w:hAnsi="Arial" w:cs="Arial"/>
        </w:rPr>
        <w:t xml:space="preserve"> software</w:t>
      </w:r>
      <w:r w:rsidR="003A0BA8" w:rsidRPr="007E7998">
        <w:rPr>
          <w:rFonts w:ascii="Arial" w:hAnsi="Arial" w:cs="Arial"/>
        </w:rPr>
        <w:t xml:space="preserve"> (SPSS Inc, Chicago, Illinois, USA)</w:t>
      </w:r>
      <w:r w:rsidR="0064594C" w:rsidRPr="007E7998">
        <w:rPr>
          <w:rFonts w:ascii="Arial" w:hAnsi="Arial" w:cs="Arial"/>
        </w:rPr>
        <w:t xml:space="preserve">. </w:t>
      </w:r>
      <w:r w:rsidR="00A61D6C" w:rsidRPr="007E7998">
        <w:rPr>
          <w:rFonts w:ascii="Arial" w:hAnsi="Arial" w:cs="Arial"/>
        </w:rPr>
        <w:t>Summary statistics</w:t>
      </w:r>
      <w:r w:rsidR="006532B9" w:rsidRPr="007E7998">
        <w:rPr>
          <w:rFonts w:ascii="Arial" w:hAnsi="Arial" w:cs="Arial"/>
        </w:rPr>
        <w:t xml:space="preserve"> are presented as </w:t>
      </w:r>
      <w:r w:rsidR="009D479D" w:rsidRPr="007E7998">
        <w:rPr>
          <w:rFonts w:ascii="Arial" w:hAnsi="Arial" w:cs="Arial"/>
        </w:rPr>
        <w:t xml:space="preserve">percentages for categorical variables, and </w:t>
      </w:r>
      <w:r w:rsidR="00BE13FA" w:rsidRPr="007E7998">
        <w:rPr>
          <w:rFonts w:ascii="Arial" w:hAnsi="Arial" w:cs="Arial"/>
        </w:rPr>
        <w:t>medians and inter</w:t>
      </w:r>
      <w:r w:rsidR="001A0FF8" w:rsidRPr="007E7998">
        <w:rPr>
          <w:rFonts w:ascii="Arial" w:hAnsi="Arial" w:cs="Arial"/>
        </w:rPr>
        <w:t>-</w:t>
      </w:r>
      <w:r w:rsidR="00BE13FA" w:rsidRPr="007E7998">
        <w:rPr>
          <w:rFonts w:ascii="Arial" w:hAnsi="Arial" w:cs="Arial"/>
        </w:rPr>
        <w:t>quartile ranges</w:t>
      </w:r>
      <w:r w:rsidR="00396AD3" w:rsidRPr="007E7998">
        <w:rPr>
          <w:rFonts w:ascii="Arial" w:hAnsi="Arial" w:cs="Arial"/>
        </w:rPr>
        <w:t xml:space="preserve">, or means </w:t>
      </w:r>
      <w:r w:rsidR="0034555B" w:rsidRPr="007E7998">
        <w:rPr>
          <w:rFonts w:ascii="Arial" w:hAnsi="Arial" w:cs="Arial"/>
        </w:rPr>
        <w:t>± standard deviations,</w:t>
      </w:r>
      <w:r w:rsidR="00FD7CDF" w:rsidRPr="007E7998">
        <w:rPr>
          <w:rFonts w:ascii="Arial" w:hAnsi="Arial" w:cs="Arial"/>
        </w:rPr>
        <w:t xml:space="preserve"> for </w:t>
      </w:r>
      <w:r w:rsidR="007268E7" w:rsidRPr="007E7998">
        <w:rPr>
          <w:rFonts w:ascii="Arial" w:hAnsi="Arial" w:cs="Arial"/>
        </w:rPr>
        <w:t>continuous variables.</w:t>
      </w:r>
      <w:r w:rsidR="00B41ED1" w:rsidRPr="007E7998">
        <w:rPr>
          <w:rFonts w:ascii="Arial" w:hAnsi="Arial" w:cs="Arial"/>
        </w:rPr>
        <w:t xml:space="preserve"> </w:t>
      </w:r>
      <w:proofErr w:type="spellStart"/>
      <w:r w:rsidR="00942677" w:rsidRPr="007E7998">
        <w:rPr>
          <w:rFonts w:ascii="Arial" w:hAnsi="Arial" w:cs="Arial"/>
        </w:rPr>
        <w:t>Univaria</w:t>
      </w:r>
      <w:r w:rsidR="00CE1C75" w:rsidRPr="007E7998">
        <w:rPr>
          <w:rFonts w:ascii="Arial" w:hAnsi="Arial" w:cs="Arial"/>
        </w:rPr>
        <w:t>ble</w:t>
      </w:r>
      <w:proofErr w:type="spellEnd"/>
      <w:r w:rsidR="00942677" w:rsidRPr="007E7998">
        <w:rPr>
          <w:rFonts w:ascii="Arial" w:hAnsi="Arial" w:cs="Arial"/>
        </w:rPr>
        <w:t xml:space="preserve"> analyses of categorical and continuous variables were performed using Chi-square and Fisher’s </w:t>
      </w:r>
      <w:proofErr w:type="gramStart"/>
      <w:r w:rsidR="00942677" w:rsidRPr="007E7998">
        <w:rPr>
          <w:rFonts w:ascii="Arial" w:hAnsi="Arial" w:cs="Arial"/>
        </w:rPr>
        <w:t>Exact</w:t>
      </w:r>
      <w:proofErr w:type="gramEnd"/>
      <w:r w:rsidR="00942677" w:rsidRPr="007E7998">
        <w:rPr>
          <w:rFonts w:ascii="Arial" w:hAnsi="Arial" w:cs="Arial"/>
        </w:rPr>
        <w:t xml:space="preserve"> test</w:t>
      </w:r>
      <w:r w:rsidR="00DF3EC4" w:rsidRPr="007E7998">
        <w:rPr>
          <w:rFonts w:ascii="Arial" w:hAnsi="Arial" w:cs="Arial"/>
        </w:rPr>
        <w:t>s</w:t>
      </w:r>
      <w:r w:rsidR="00942677" w:rsidRPr="007E7998">
        <w:rPr>
          <w:rFonts w:ascii="Arial" w:hAnsi="Arial" w:cs="Arial"/>
        </w:rPr>
        <w:t>. The distribution of continuous variables was assessed for normality with the Shapiro-</w:t>
      </w:r>
      <w:proofErr w:type="spellStart"/>
      <w:r w:rsidR="00942677" w:rsidRPr="007E7998">
        <w:rPr>
          <w:rFonts w:ascii="Arial" w:hAnsi="Arial" w:cs="Arial"/>
        </w:rPr>
        <w:t>Wilk</w:t>
      </w:r>
      <w:proofErr w:type="spellEnd"/>
      <w:r w:rsidR="00942677" w:rsidRPr="007E7998">
        <w:rPr>
          <w:rFonts w:ascii="Arial" w:hAnsi="Arial" w:cs="Arial"/>
        </w:rPr>
        <w:t xml:space="preserve"> Test, and </w:t>
      </w:r>
      <w:r w:rsidR="00191799" w:rsidRPr="007E7998">
        <w:rPr>
          <w:rFonts w:ascii="Arial" w:hAnsi="Arial" w:cs="Arial"/>
        </w:rPr>
        <w:t xml:space="preserve">continuous variables </w:t>
      </w:r>
      <w:r w:rsidR="00942677" w:rsidRPr="007E7998">
        <w:rPr>
          <w:rFonts w:ascii="Arial" w:hAnsi="Arial" w:cs="Arial"/>
        </w:rPr>
        <w:t xml:space="preserve">were compared </w:t>
      </w:r>
      <w:r w:rsidR="00191799" w:rsidRPr="007E7998">
        <w:rPr>
          <w:rFonts w:ascii="Arial" w:hAnsi="Arial" w:cs="Arial"/>
        </w:rPr>
        <w:t xml:space="preserve">between groups </w:t>
      </w:r>
      <w:r w:rsidR="00942677" w:rsidRPr="007E7998">
        <w:rPr>
          <w:rFonts w:ascii="Arial" w:hAnsi="Arial" w:cs="Arial"/>
        </w:rPr>
        <w:t xml:space="preserve">using </w:t>
      </w:r>
      <w:r w:rsidR="000445C5" w:rsidRPr="007E7998">
        <w:rPr>
          <w:rFonts w:ascii="Arial" w:hAnsi="Arial" w:cs="Arial"/>
        </w:rPr>
        <w:t xml:space="preserve">the </w:t>
      </w:r>
      <w:r w:rsidR="00942677" w:rsidRPr="007E7998">
        <w:rPr>
          <w:rFonts w:ascii="Arial" w:hAnsi="Arial" w:cs="Arial"/>
        </w:rPr>
        <w:t>Mann-Wh</w:t>
      </w:r>
      <w:r w:rsidR="000B1C31" w:rsidRPr="007E7998">
        <w:rPr>
          <w:rFonts w:ascii="Arial" w:hAnsi="Arial" w:cs="Arial"/>
        </w:rPr>
        <w:t>itney U test</w:t>
      </w:r>
      <w:r w:rsidR="00942677" w:rsidRPr="007E7998">
        <w:rPr>
          <w:rFonts w:ascii="Arial" w:hAnsi="Arial" w:cs="Arial"/>
        </w:rPr>
        <w:t>.</w:t>
      </w:r>
      <w:r w:rsidR="00900568" w:rsidRPr="007E7998">
        <w:rPr>
          <w:rFonts w:ascii="Arial" w:hAnsi="Arial" w:cs="Arial"/>
        </w:rPr>
        <w:t xml:space="preserve"> </w:t>
      </w:r>
      <w:r w:rsidR="00951134" w:rsidRPr="007E7998">
        <w:rPr>
          <w:rFonts w:ascii="Arial" w:hAnsi="Arial" w:cs="Arial"/>
        </w:rPr>
        <w:t xml:space="preserve">A </w:t>
      </w:r>
      <w:r w:rsidR="00951134" w:rsidRPr="007E7998">
        <w:rPr>
          <w:rFonts w:ascii="Arial" w:hAnsi="Arial" w:cs="Arial"/>
          <w:i/>
        </w:rPr>
        <w:t xml:space="preserve">p </w:t>
      </w:r>
      <w:r w:rsidR="00951134" w:rsidRPr="007E7998">
        <w:rPr>
          <w:rFonts w:ascii="Arial" w:hAnsi="Arial" w:cs="Arial"/>
        </w:rPr>
        <w:t xml:space="preserve">value &lt;0.05 was considered </w:t>
      </w:r>
      <w:r w:rsidR="00BA1160" w:rsidRPr="007E7998">
        <w:rPr>
          <w:rFonts w:ascii="Arial" w:hAnsi="Arial" w:cs="Arial"/>
        </w:rPr>
        <w:t xml:space="preserve">statistically </w:t>
      </w:r>
      <w:r w:rsidR="00951134" w:rsidRPr="007E7998">
        <w:rPr>
          <w:rFonts w:ascii="Arial" w:hAnsi="Arial" w:cs="Arial"/>
        </w:rPr>
        <w:t>significant.</w:t>
      </w:r>
      <w:r w:rsidR="00951BDA" w:rsidRPr="007E7998">
        <w:rPr>
          <w:rFonts w:ascii="Arial" w:hAnsi="Arial" w:cs="Arial"/>
        </w:rPr>
        <w:t xml:space="preserve"> </w:t>
      </w:r>
    </w:p>
    <w:p w:rsidR="006433A4" w:rsidRPr="007E7998" w:rsidRDefault="006433A4" w:rsidP="00C80B90">
      <w:pPr>
        <w:spacing w:line="480" w:lineRule="auto"/>
        <w:jc w:val="both"/>
        <w:rPr>
          <w:rFonts w:ascii="Arial" w:hAnsi="Arial" w:cs="Arial"/>
          <w:b/>
        </w:rPr>
      </w:pPr>
    </w:p>
    <w:p w:rsidR="00211FC6" w:rsidRPr="007E7998" w:rsidRDefault="00D02B9C" w:rsidP="00C80B90">
      <w:pPr>
        <w:spacing w:line="480" w:lineRule="auto"/>
        <w:jc w:val="both"/>
        <w:rPr>
          <w:rFonts w:ascii="Arial" w:hAnsi="Arial" w:cs="Arial"/>
          <w:b/>
        </w:rPr>
      </w:pPr>
      <w:r w:rsidRPr="007E7998">
        <w:rPr>
          <w:rFonts w:ascii="Arial" w:hAnsi="Arial" w:cs="Arial"/>
          <w:b/>
        </w:rPr>
        <w:t>Results</w:t>
      </w:r>
    </w:p>
    <w:p w:rsidR="00ED29EB" w:rsidRPr="007E7998" w:rsidRDefault="00996FF5" w:rsidP="00C80B90">
      <w:pPr>
        <w:spacing w:line="480" w:lineRule="auto"/>
        <w:jc w:val="both"/>
        <w:rPr>
          <w:rFonts w:ascii="Arial" w:hAnsi="Arial" w:cs="Arial"/>
          <w:b/>
        </w:rPr>
      </w:pPr>
      <w:r w:rsidRPr="007E7998">
        <w:rPr>
          <w:rFonts w:ascii="Arial" w:hAnsi="Arial" w:cs="Arial"/>
          <w:b/>
        </w:rPr>
        <w:t xml:space="preserve">Study </w:t>
      </w:r>
      <w:r w:rsidR="00FE4982" w:rsidRPr="007E7998">
        <w:rPr>
          <w:rFonts w:ascii="Arial" w:hAnsi="Arial" w:cs="Arial"/>
          <w:b/>
        </w:rPr>
        <w:t>Population</w:t>
      </w:r>
      <w:r w:rsidRPr="007E7998">
        <w:rPr>
          <w:rFonts w:ascii="Arial" w:hAnsi="Arial" w:cs="Arial"/>
          <w:b/>
        </w:rPr>
        <w:t>s</w:t>
      </w:r>
    </w:p>
    <w:p w:rsidR="003256AB" w:rsidRPr="007E7998" w:rsidRDefault="00481DB7" w:rsidP="00C80B90">
      <w:pPr>
        <w:spacing w:line="480" w:lineRule="auto"/>
        <w:jc w:val="both"/>
        <w:rPr>
          <w:rFonts w:ascii="Arial" w:hAnsi="Arial" w:cs="Arial"/>
        </w:rPr>
      </w:pPr>
      <w:r w:rsidRPr="007E7998">
        <w:rPr>
          <w:rFonts w:ascii="Arial" w:hAnsi="Arial" w:cs="Arial"/>
        </w:rPr>
        <w:t>Out of 218 aneurysm patients and 75 dissection patients</w:t>
      </w:r>
      <w:r w:rsidR="00CD2303" w:rsidRPr="007E7998">
        <w:rPr>
          <w:rFonts w:ascii="Arial" w:hAnsi="Arial" w:cs="Arial"/>
        </w:rPr>
        <w:t xml:space="preserve"> undergo</w:t>
      </w:r>
      <w:r w:rsidR="006B1E5D" w:rsidRPr="007E7998">
        <w:rPr>
          <w:rFonts w:ascii="Arial" w:hAnsi="Arial" w:cs="Arial"/>
        </w:rPr>
        <w:t>ing surgical repair between 2010</w:t>
      </w:r>
      <w:r w:rsidR="00CD2303" w:rsidRPr="007E7998">
        <w:rPr>
          <w:rFonts w:ascii="Arial" w:hAnsi="Arial" w:cs="Arial"/>
        </w:rPr>
        <w:t>-2016 at our institution</w:t>
      </w:r>
      <w:r w:rsidRPr="007E7998">
        <w:rPr>
          <w:rFonts w:ascii="Arial" w:hAnsi="Arial" w:cs="Arial"/>
        </w:rPr>
        <w:t xml:space="preserve">, </w:t>
      </w:r>
      <w:r w:rsidR="001B0436" w:rsidRPr="007E7998">
        <w:rPr>
          <w:rFonts w:ascii="Arial" w:hAnsi="Arial" w:cs="Arial"/>
        </w:rPr>
        <w:t>187</w:t>
      </w:r>
      <w:r w:rsidR="00400D28" w:rsidRPr="007E7998">
        <w:rPr>
          <w:rFonts w:ascii="Arial" w:hAnsi="Arial" w:cs="Arial"/>
        </w:rPr>
        <w:t xml:space="preserve"> </w:t>
      </w:r>
      <w:r w:rsidRPr="007E7998">
        <w:rPr>
          <w:rFonts w:ascii="Arial" w:hAnsi="Arial" w:cs="Arial"/>
        </w:rPr>
        <w:t xml:space="preserve">patients </w:t>
      </w:r>
      <w:r w:rsidR="00400D28" w:rsidRPr="007E7998">
        <w:rPr>
          <w:rFonts w:ascii="Arial" w:hAnsi="Arial" w:cs="Arial"/>
        </w:rPr>
        <w:t xml:space="preserve">and </w:t>
      </w:r>
      <w:r w:rsidR="001B0436" w:rsidRPr="007E7998">
        <w:rPr>
          <w:rFonts w:ascii="Arial" w:hAnsi="Arial" w:cs="Arial"/>
        </w:rPr>
        <w:t>66</w:t>
      </w:r>
      <w:r w:rsidR="00400D28" w:rsidRPr="007E7998">
        <w:rPr>
          <w:rFonts w:ascii="Arial" w:hAnsi="Arial" w:cs="Arial"/>
        </w:rPr>
        <w:t xml:space="preserve"> patients</w:t>
      </w:r>
      <w:r w:rsidRPr="007E7998">
        <w:rPr>
          <w:rFonts w:ascii="Arial" w:hAnsi="Arial" w:cs="Arial"/>
        </w:rPr>
        <w:t xml:space="preserve">, respectively, </w:t>
      </w:r>
      <w:r w:rsidR="00400D28" w:rsidRPr="007E7998">
        <w:rPr>
          <w:rFonts w:ascii="Arial" w:hAnsi="Arial" w:cs="Arial"/>
        </w:rPr>
        <w:t>were eligible for analysis.</w:t>
      </w:r>
      <w:r w:rsidR="00CD57F3" w:rsidRPr="007E7998">
        <w:rPr>
          <w:rFonts w:ascii="Arial" w:hAnsi="Arial" w:cs="Arial"/>
        </w:rPr>
        <w:t xml:space="preserve"> </w:t>
      </w:r>
      <w:r w:rsidR="00C3575B" w:rsidRPr="007E7998">
        <w:rPr>
          <w:rFonts w:ascii="Arial" w:hAnsi="Arial" w:cs="Arial"/>
        </w:rPr>
        <w:t>The p</w:t>
      </w:r>
      <w:r w:rsidR="00E11DA0" w:rsidRPr="007E7998">
        <w:rPr>
          <w:rFonts w:ascii="Arial" w:hAnsi="Arial" w:cs="Arial"/>
        </w:rPr>
        <w:t xml:space="preserve">re-operative </w:t>
      </w:r>
      <w:r w:rsidR="00F67BEC" w:rsidRPr="007E7998">
        <w:rPr>
          <w:rFonts w:ascii="Arial" w:hAnsi="Arial" w:cs="Arial"/>
        </w:rPr>
        <w:t xml:space="preserve">characteristics </w:t>
      </w:r>
      <w:r w:rsidR="00E11DA0" w:rsidRPr="007E7998">
        <w:rPr>
          <w:rFonts w:ascii="Arial" w:hAnsi="Arial" w:cs="Arial"/>
        </w:rPr>
        <w:t>of both groups are</w:t>
      </w:r>
      <w:r w:rsidR="00F24F86" w:rsidRPr="007E7998">
        <w:rPr>
          <w:rFonts w:ascii="Arial" w:hAnsi="Arial" w:cs="Arial"/>
        </w:rPr>
        <w:t xml:space="preserve"> shown</w:t>
      </w:r>
      <w:r w:rsidR="00E11DA0" w:rsidRPr="007E7998">
        <w:rPr>
          <w:rFonts w:ascii="Arial" w:hAnsi="Arial" w:cs="Arial"/>
        </w:rPr>
        <w:t xml:space="preserve"> in Table </w:t>
      </w:r>
      <w:r w:rsidR="00991842" w:rsidRPr="007E7998">
        <w:rPr>
          <w:rFonts w:ascii="Arial" w:hAnsi="Arial" w:cs="Arial"/>
        </w:rPr>
        <w:t>1</w:t>
      </w:r>
      <w:r w:rsidR="00E11DA0" w:rsidRPr="007E7998">
        <w:rPr>
          <w:rFonts w:ascii="Arial" w:hAnsi="Arial" w:cs="Arial"/>
        </w:rPr>
        <w:t>.</w:t>
      </w:r>
      <w:r w:rsidR="003B728C" w:rsidRPr="007E7998">
        <w:rPr>
          <w:rFonts w:ascii="Arial" w:hAnsi="Arial" w:cs="Arial"/>
        </w:rPr>
        <w:t xml:space="preserve"> </w:t>
      </w:r>
      <w:r w:rsidR="005777A5" w:rsidRPr="007E7998">
        <w:rPr>
          <w:rFonts w:ascii="Arial" w:hAnsi="Arial" w:cs="Arial"/>
        </w:rPr>
        <w:t>25/187</w:t>
      </w:r>
      <w:r w:rsidR="00D20D6B" w:rsidRPr="007E7998">
        <w:rPr>
          <w:rFonts w:ascii="Arial" w:hAnsi="Arial" w:cs="Arial"/>
        </w:rPr>
        <w:t xml:space="preserve"> </w:t>
      </w:r>
      <w:r w:rsidR="009F45BA" w:rsidRPr="007E7998">
        <w:rPr>
          <w:rFonts w:ascii="Arial" w:hAnsi="Arial" w:cs="Arial"/>
        </w:rPr>
        <w:t xml:space="preserve">patients </w:t>
      </w:r>
      <w:r w:rsidR="00D20D6B" w:rsidRPr="007E7998">
        <w:rPr>
          <w:rFonts w:ascii="Arial" w:hAnsi="Arial" w:cs="Arial"/>
        </w:rPr>
        <w:t xml:space="preserve">(13.4%) </w:t>
      </w:r>
      <w:r w:rsidR="009F45BA" w:rsidRPr="007E7998">
        <w:rPr>
          <w:rFonts w:ascii="Arial" w:hAnsi="Arial" w:cs="Arial"/>
        </w:rPr>
        <w:t xml:space="preserve">in the aneurysm group were diagnosed with MRI scanning, whereas all patients with dissection underwent </w:t>
      </w:r>
      <w:r w:rsidR="007C0CF7" w:rsidRPr="007E7998">
        <w:rPr>
          <w:rFonts w:ascii="Arial" w:hAnsi="Arial" w:cs="Arial"/>
        </w:rPr>
        <w:t xml:space="preserve">CT </w:t>
      </w:r>
      <w:r w:rsidR="009F45BA" w:rsidRPr="007E7998">
        <w:rPr>
          <w:rFonts w:ascii="Arial" w:hAnsi="Arial" w:cs="Arial"/>
        </w:rPr>
        <w:t>imaging.</w:t>
      </w:r>
      <w:r w:rsidR="00EE6B37" w:rsidRPr="007E7998">
        <w:rPr>
          <w:rFonts w:ascii="Arial" w:hAnsi="Arial" w:cs="Arial"/>
        </w:rPr>
        <w:t xml:space="preserve"> </w:t>
      </w:r>
      <w:r w:rsidR="00016FE8" w:rsidRPr="007E7998">
        <w:rPr>
          <w:rFonts w:ascii="Arial" w:hAnsi="Arial" w:cs="Arial"/>
        </w:rPr>
        <w:t xml:space="preserve">Being </w:t>
      </w:r>
      <w:r w:rsidR="0047562F" w:rsidRPr="007E7998">
        <w:rPr>
          <w:rFonts w:ascii="Arial" w:hAnsi="Arial" w:cs="Arial"/>
        </w:rPr>
        <w:t>a tertiary aortic centre</w:t>
      </w:r>
      <w:r w:rsidR="00016FE8" w:rsidRPr="007E7998">
        <w:rPr>
          <w:rFonts w:ascii="Arial" w:hAnsi="Arial" w:cs="Arial"/>
        </w:rPr>
        <w:t>, patients with inherited aortopathies are closely monitored within established surveillance programmes and offered early prophylactic surgery.</w:t>
      </w:r>
      <w:r w:rsidR="00E624EB" w:rsidRPr="007E7998">
        <w:rPr>
          <w:rFonts w:ascii="Arial" w:hAnsi="Arial" w:cs="Arial"/>
        </w:rPr>
        <w:t xml:space="preserve"> Within the aneurysm group, 20 patients (10.7%) had Marfan syndrome, with an additional 5 (2.67%) having other connective tissue diseases. </w:t>
      </w:r>
      <w:r w:rsidR="00AC53F9" w:rsidRPr="007E7998">
        <w:rPr>
          <w:rFonts w:ascii="Arial" w:hAnsi="Arial" w:cs="Arial"/>
        </w:rPr>
        <w:t xml:space="preserve">The dissection group included </w:t>
      </w:r>
      <w:r w:rsidR="00D20D6B" w:rsidRPr="007E7998">
        <w:rPr>
          <w:rFonts w:ascii="Arial" w:hAnsi="Arial" w:cs="Arial"/>
        </w:rPr>
        <w:t xml:space="preserve">6 patients (9.09%) with Marfan syndrome and one patient (1.52%) with </w:t>
      </w:r>
      <w:r w:rsidR="00402F2B" w:rsidRPr="007E7998">
        <w:rPr>
          <w:rFonts w:ascii="Arial" w:hAnsi="Arial" w:cs="Arial"/>
        </w:rPr>
        <w:t>other connective tissue disease.</w:t>
      </w:r>
      <w:r w:rsidR="00E23D70" w:rsidRPr="007E7998">
        <w:rPr>
          <w:rFonts w:ascii="Arial" w:hAnsi="Arial" w:cs="Arial"/>
        </w:rPr>
        <w:t xml:space="preserve"> </w:t>
      </w:r>
      <w:r w:rsidR="00481909" w:rsidRPr="007E7998">
        <w:rPr>
          <w:rFonts w:ascii="Arial" w:hAnsi="Arial" w:cs="Arial"/>
        </w:rPr>
        <w:t xml:space="preserve">Patients in the aneurysm and dissection groups were followed up for a median </w:t>
      </w:r>
      <w:r w:rsidR="009B0882" w:rsidRPr="007E7998">
        <w:rPr>
          <w:rFonts w:ascii="Arial" w:hAnsi="Arial" w:cs="Arial"/>
        </w:rPr>
        <w:t xml:space="preserve">337 and 470 days, respectively. </w:t>
      </w:r>
    </w:p>
    <w:p w:rsidR="009C191C" w:rsidRPr="007E7998" w:rsidRDefault="00892744" w:rsidP="009C191C">
      <w:pPr>
        <w:spacing w:line="480" w:lineRule="auto"/>
        <w:jc w:val="both"/>
        <w:rPr>
          <w:rFonts w:ascii="Arial" w:hAnsi="Arial" w:cs="Arial"/>
          <w:b/>
        </w:rPr>
      </w:pPr>
      <w:r w:rsidRPr="007E7998">
        <w:rPr>
          <w:rFonts w:ascii="Arial" w:hAnsi="Arial" w:cs="Arial"/>
          <w:b/>
        </w:rPr>
        <w:t>Mortality</w:t>
      </w:r>
    </w:p>
    <w:p w:rsidR="009D02D6" w:rsidRPr="007E7998" w:rsidRDefault="00A6367C" w:rsidP="009C191C">
      <w:pPr>
        <w:spacing w:line="480" w:lineRule="auto"/>
        <w:jc w:val="both"/>
        <w:rPr>
          <w:rFonts w:ascii="Arial" w:hAnsi="Arial" w:cs="Arial"/>
        </w:rPr>
      </w:pPr>
      <w:r w:rsidRPr="007E7998">
        <w:rPr>
          <w:rFonts w:ascii="Arial" w:hAnsi="Arial" w:cs="Arial"/>
        </w:rPr>
        <w:lastRenderedPageBreak/>
        <w:t>There was no significant difference in mortality be</w:t>
      </w:r>
      <w:r w:rsidR="0050780A" w:rsidRPr="007E7998">
        <w:rPr>
          <w:rFonts w:ascii="Arial" w:hAnsi="Arial" w:cs="Arial"/>
        </w:rPr>
        <w:t xml:space="preserve">tween </w:t>
      </w:r>
      <w:r w:rsidR="00AE55F8" w:rsidRPr="007E7998">
        <w:rPr>
          <w:rFonts w:ascii="Arial" w:hAnsi="Arial" w:cs="Arial"/>
        </w:rPr>
        <w:t xml:space="preserve">the </w:t>
      </w:r>
      <w:r w:rsidR="0050780A" w:rsidRPr="007E7998">
        <w:rPr>
          <w:rFonts w:ascii="Arial" w:hAnsi="Arial" w:cs="Arial"/>
        </w:rPr>
        <w:t>aneurysm (10/187</w:t>
      </w:r>
      <w:r w:rsidR="002429DC" w:rsidRPr="007E7998">
        <w:rPr>
          <w:rFonts w:ascii="Arial" w:hAnsi="Arial" w:cs="Arial"/>
        </w:rPr>
        <w:t>, 5.</w:t>
      </w:r>
      <w:r w:rsidR="0050780A" w:rsidRPr="007E7998">
        <w:rPr>
          <w:rFonts w:ascii="Arial" w:hAnsi="Arial" w:cs="Arial"/>
        </w:rPr>
        <w:t>3</w:t>
      </w:r>
      <w:r w:rsidR="002429DC" w:rsidRPr="007E7998">
        <w:rPr>
          <w:rFonts w:ascii="Arial" w:hAnsi="Arial" w:cs="Arial"/>
        </w:rPr>
        <w:t>%</w:t>
      </w:r>
      <w:r w:rsidRPr="007E7998">
        <w:rPr>
          <w:rFonts w:ascii="Arial" w:hAnsi="Arial" w:cs="Arial"/>
        </w:rPr>
        <w:t>) and dissection</w:t>
      </w:r>
      <w:r w:rsidR="00502DE4" w:rsidRPr="007E7998">
        <w:rPr>
          <w:rFonts w:ascii="Arial" w:hAnsi="Arial" w:cs="Arial"/>
        </w:rPr>
        <w:t xml:space="preserve"> (7/</w:t>
      </w:r>
      <w:r w:rsidR="00897A9A" w:rsidRPr="007E7998">
        <w:rPr>
          <w:rFonts w:ascii="Arial" w:hAnsi="Arial" w:cs="Arial"/>
        </w:rPr>
        <w:t>66</w:t>
      </w:r>
      <w:r w:rsidR="00F5311D" w:rsidRPr="007E7998">
        <w:rPr>
          <w:rFonts w:ascii="Arial" w:hAnsi="Arial" w:cs="Arial"/>
        </w:rPr>
        <w:t>, 10.6</w:t>
      </w:r>
      <w:r w:rsidR="007640F9" w:rsidRPr="007E7998">
        <w:rPr>
          <w:rFonts w:ascii="Arial" w:hAnsi="Arial" w:cs="Arial"/>
        </w:rPr>
        <w:t>%</w:t>
      </w:r>
      <w:r w:rsidR="00502DE4" w:rsidRPr="007E7998">
        <w:rPr>
          <w:rFonts w:ascii="Arial" w:hAnsi="Arial" w:cs="Arial"/>
        </w:rPr>
        <w:t xml:space="preserve">) </w:t>
      </w:r>
      <w:r w:rsidRPr="007E7998">
        <w:rPr>
          <w:rFonts w:ascii="Arial" w:hAnsi="Arial" w:cs="Arial"/>
        </w:rPr>
        <w:t>group</w:t>
      </w:r>
      <w:r w:rsidR="00A41A95" w:rsidRPr="007E7998">
        <w:rPr>
          <w:rFonts w:ascii="Arial" w:hAnsi="Arial" w:cs="Arial"/>
        </w:rPr>
        <w:t>s</w:t>
      </w:r>
      <w:r w:rsidRPr="007E7998">
        <w:rPr>
          <w:rFonts w:ascii="Arial" w:hAnsi="Arial" w:cs="Arial"/>
        </w:rPr>
        <w:t xml:space="preserve"> </w:t>
      </w:r>
      <w:r w:rsidR="008A5BC5" w:rsidRPr="007E7998">
        <w:rPr>
          <w:rFonts w:ascii="Arial" w:hAnsi="Arial" w:cs="Arial"/>
        </w:rPr>
        <w:t>(</w:t>
      </w:r>
      <w:r w:rsidR="008A5BC5" w:rsidRPr="007E7998">
        <w:rPr>
          <w:rFonts w:ascii="Arial" w:hAnsi="Arial" w:cs="Arial"/>
          <w:i/>
        </w:rPr>
        <w:t>p</w:t>
      </w:r>
      <w:r w:rsidR="008A5BC5" w:rsidRPr="007E7998">
        <w:rPr>
          <w:rFonts w:ascii="Arial" w:hAnsi="Arial" w:cs="Arial"/>
        </w:rPr>
        <w:t>=</w:t>
      </w:r>
      <w:r w:rsidR="00F568EF" w:rsidRPr="007E7998">
        <w:rPr>
          <w:rFonts w:ascii="Arial" w:hAnsi="Arial" w:cs="Arial"/>
        </w:rPr>
        <w:t>0.139</w:t>
      </w:r>
      <w:r w:rsidR="007640F9" w:rsidRPr="007E7998">
        <w:rPr>
          <w:rFonts w:ascii="Arial" w:hAnsi="Arial" w:cs="Arial"/>
        </w:rPr>
        <w:t>)</w:t>
      </w:r>
      <w:r w:rsidR="00933235" w:rsidRPr="007E7998">
        <w:rPr>
          <w:rFonts w:ascii="Arial" w:hAnsi="Arial" w:cs="Arial"/>
        </w:rPr>
        <w:t xml:space="preserve"> during the follow-up period.</w:t>
      </w:r>
    </w:p>
    <w:p w:rsidR="00EB6C23" w:rsidRPr="007E7998" w:rsidRDefault="00EB6C23" w:rsidP="009C191C">
      <w:pPr>
        <w:spacing w:line="480" w:lineRule="auto"/>
        <w:jc w:val="both"/>
        <w:rPr>
          <w:rFonts w:ascii="Arial" w:hAnsi="Arial" w:cs="Arial"/>
          <w:b/>
        </w:rPr>
      </w:pPr>
      <w:r w:rsidRPr="007E7998">
        <w:rPr>
          <w:rFonts w:ascii="Arial" w:hAnsi="Arial" w:cs="Arial"/>
          <w:b/>
        </w:rPr>
        <w:t>Mean Aortic Diameter</w:t>
      </w:r>
    </w:p>
    <w:p w:rsidR="00EB6C23" w:rsidRPr="007E7998" w:rsidRDefault="000C095A" w:rsidP="009C191C">
      <w:pPr>
        <w:spacing w:line="480" w:lineRule="auto"/>
        <w:jc w:val="both"/>
        <w:rPr>
          <w:rFonts w:ascii="Arial" w:hAnsi="Arial" w:cs="Arial"/>
        </w:rPr>
      </w:pPr>
      <w:r w:rsidRPr="007E7998">
        <w:rPr>
          <w:rFonts w:ascii="Arial" w:hAnsi="Arial" w:cs="Arial"/>
        </w:rPr>
        <w:t xml:space="preserve">Table 2 shows the mean aortic diameter for aneurysm and dissection groups according to aortic location. </w:t>
      </w:r>
      <w:r w:rsidR="008F47AB" w:rsidRPr="007E7998">
        <w:rPr>
          <w:rFonts w:ascii="Arial" w:hAnsi="Arial" w:cs="Arial"/>
        </w:rPr>
        <w:t>A</w:t>
      </w:r>
      <w:r w:rsidR="00A255B4" w:rsidRPr="007E7998">
        <w:rPr>
          <w:rFonts w:ascii="Arial" w:hAnsi="Arial" w:cs="Arial"/>
        </w:rPr>
        <w:t>ll a</w:t>
      </w:r>
      <w:r w:rsidR="008F47AB" w:rsidRPr="007E7998">
        <w:rPr>
          <w:rFonts w:ascii="Arial" w:hAnsi="Arial" w:cs="Arial"/>
        </w:rPr>
        <w:t xml:space="preserve">cute type </w:t>
      </w:r>
      <w:proofErr w:type="gramStart"/>
      <w:r w:rsidR="008F47AB" w:rsidRPr="007E7998">
        <w:rPr>
          <w:rFonts w:ascii="Arial" w:hAnsi="Arial" w:cs="Arial"/>
        </w:rPr>
        <w:t>A</w:t>
      </w:r>
      <w:proofErr w:type="gramEnd"/>
      <w:r w:rsidR="008F47AB" w:rsidRPr="007E7998">
        <w:rPr>
          <w:rFonts w:ascii="Arial" w:hAnsi="Arial" w:cs="Arial"/>
        </w:rPr>
        <w:t xml:space="preserve"> aortic dissections occurred at mean aortic diameters &lt;5.5 cm between the aortic root and mid-ascending aorta.</w:t>
      </w:r>
      <w:r w:rsidR="00401D48" w:rsidRPr="007E7998">
        <w:rPr>
          <w:rFonts w:ascii="Arial" w:hAnsi="Arial" w:cs="Arial"/>
        </w:rPr>
        <w:t xml:space="preserve"> </w:t>
      </w:r>
    </w:p>
    <w:p w:rsidR="006A2451" w:rsidRPr="007E7998" w:rsidRDefault="00840F82" w:rsidP="00C80B90">
      <w:pPr>
        <w:spacing w:line="480" w:lineRule="auto"/>
        <w:jc w:val="both"/>
        <w:rPr>
          <w:rFonts w:ascii="Arial" w:hAnsi="Arial" w:cs="Arial"/>
          <w:b/>
        </w:rPr>
      </w:pPr>
      <w:r w:rsidRPr="007E7998">
        <w:rPr>
          <w:rFonts w:ascii="Arial" w:hAnsi="Arial" w:cs="Arial"/>
          <w:b/>
        </w:rPr>
        <w:t xml:space="preserve">Indexed Aortic </w:t>
      </w:r>
      <w:r w:rsidR="00322766" w:rsidRPr="007E7998">
        <w:rPr>
          <w:rFonts w:ascii="Arial" w:hAnsi="Arial" w:cs="Arial"/>
          <w:b/>
        </w:rPr>
        <w:t>Area</w:t>
      </w:r>
      <w:r w:rsidRPr="007E7998">
        <w:rPr>
          <w:rFonts w:ascii="Arial" w:hAnsi="Arial" w:cs="Arial"/>
          <w:b/>
        </w:rPr>
        <w:t>s</w:t>
      </w:r>
    </w:p>
    <w:p w:rsidR="00B76BE0" w:rsidRPr="007E7998" w:rsidRDefault="007B6538" w:rsidP="00C80B90">
      <w:pPr>
        <w:spacing w:line="480" w:lineRule="auto"/>
        <w:jc w:val="both"/>
        <w:rPr>
          <w:rFonts w:ascii="Arial" w:hAnsi="Arial" w:cs="Arial"/>
        </w:rPr>
      </w:pPr>
      <w:r w:rsidRPr="007E7998">
        <w:rPr>
          <w:rFonts w:ascii="Arial" w:hAnsi="Arial" w:cs="Arial"/>
        </w:rPr>
        <w:t xml:space="preserve">Table </w:t>
      </w:r>
      <w:r w:rsidR="0075201E" w:rsidRPr="007E7998">
        <w:rPr>
          <w:rFonts w:ascii="Arial" w:hAnsi="Arial" w:cs="Arial"/>
        </w:rPr>
        <w:t>3</w:t>
      </w:r>
      <w:r w:rsidRPr="007E7998">
        <w:rPr>
          <w:rFonts w:ascii="Arial" w:hAnsi="Arial" w:cs="Arial"/>
        </w:rPr>
        <w:t xml:space="preserve"> shows the me</w:t>
      </w:r>
      <w:r w:rsidR="00E77D68" w:rsidRPr="007E7998">
        <w:rPr>
          <w:rFonts w:ascii="Arial" w:hAnsi="Arial" w:cs="Arial"/>
        </w:rPr>
        <w:t>dian</w:t>
      </w:r>
      <w:r w:rsidRPr="007E7998">
        <w:rPr>
          <w:rFonts w:ascii="Arial" w:hAnsi="Arial" w:cs="Arial"/>
        </w:rPr>
        <w:t xml:space="preserve"> </w:t>
      </w:r>
      <w:r w:rsidR="00CE1BFE" w:rsidRPr="007E7998">
        <w:rPr>
          <w:rFonts w:ascii="Arial" w:hAnsi="Arial" w:cs="Arial"/>
        </w:rPr>
        <w:t>IAAs</w:t>
      </w:r>
      <w:r w:rsidR="00694F03" w:rsidRPr="007E7998">
        <w:rPr>
          <w:rFonts w:ascii="Arial" w:hAnsi="Arial" w:cs="Arial"/>
        </w:rPr>
        <w:t xml:space="preserve">, and Figure </w:t>
      </w:r>
      <w:r w:rsidR="00DF5221" w:rsidRPr="007E7998">
        <w:rPr>
          <w:rFonts w:ascii="Arial" w:hAnsi="Arial" w:cs="Arial"/>
        </w:rPr>
        <w:t>1</w:t>
      </w:r>
      <w:r w:rsidR="00694F03" w:rsidRPr="007E7998">
        <w:rPr>
          <w:rFonts w:ascii="Arial" w:hAnsi="Arial" w:cs="Arial"/>
        </w:rPr>
        <w:t xml:space="preserve"> the overall distribution of IAAs, </w:t>
      </w:r>
      <w:r w:rsidRPr="007E7998">
        <w:rPr>
          <w:rFonts w:ascii="Arial" w:hAnsi="Arial" w:cs="Arial"/>
        </w:rPr>
        <w:t>for aneurysm and dissection groups categorised according to aortic location.</w:t>
      </w:r>
      <w:r w:rsidR="00B76BE0" w:rsidRPr="007E7998">
        <w:rPr>
          <w:rFonts w:ascii="Arial" w:hAnsi="Arial" w:cs="Arial"/>
        </w:rPr>
        <w:t xml:space="preserve"> These were largest at the mid-ascending aorta, where the</w:t>
      </w:r>
      <w:r w:rsidR="004452AD" w:rsidRPr="007E7998">
        <w:rPr>
          <w:rFonts w:ascii="Arial" w:hAnsi="Arial" w:cs="Arial"/>
        </w:rPr>
        <w:t xml:space="preserve"> </w:t>
      </w:r>
      <w:r w:rsidR="00A55D1A" w:rsidRPr="007E7998">
        <w:rPr>
          <w:rFonts w:ascii="Arial" w:hAnsi="Arial" w:cs="Arial"/>
        </w:rPr>
        <w:t>10 cm</w:t>
      </w:r>
      <w:r w:rsidR="00A55D1A" w:rsidRPr="007E7998">
        <w:rPr>
          <w:rFonts w:ascii="Arial" w:hAnsi="Arial" w:cs="Arial"/>
          <w:vertAlign w:val="superscript"/>
        </w:rPr>
        <w:t>2</w:t>
      </w:r>
      <w:r w:rsidR="00A55D1A" w:rsidRPr="007E7998">
        <w:rPr>
          <w:rFonts w:ascii="Arial" w:hAnsi="Arial" w:cs="Arial"/>
        </w:rPr>
        <w:t>/m cut-off</w:t>
      </w:r>
      <w:r w:rsidR="0028075D" w:rsidRPr="007E7998">
        <w:rPr>
          <w:rFonts w:ascii="Arial" w:hAnsi="Arial" w:cs="Arial"/>
        </w:rPr>
        <w:t xml:space="preserve"> was exceeded</w:t>
      </w:r>
      <w:r w:rsidR="006D5E8A" w:rsidRPr="007E7998">
        <w:rPr>
          <w:rFonts w:ascii="Arial" w:hAnsi="Arial" w:cs="Arial"/>
        </w:rPr>
        <w:t xml:space="preserve">, followed by those </w:t>
      </w:r>
      <w:r w:rsidR="00B64914" w:rsidRPr="007E7998">
        <w:rPr>
          <w:rFonts w:ascii="Arial" w:hAnsi="Arial" w:cs="Arial"/>
        </w:rPr>
        <w:t xml:space="preserve">at the mid-sinus level </w:t>
      </w:r>
      <w:r w:rsidR="0028075D" w:rsidRPr="007E7998">
        <w:rPr>
          <w:rFonts w:ascii="Arial" w:hAnsi="Arial" w:cs="Arial"/>
        </w:rPr>
        <w:t>where</w:t>
      </w:r>
      <w:r w:rsidR="009A144C" w:rsidRPr="007E7998">
        <w:rPr>
          <w:rFonts w:ascii="Arial" w:hAnsi="Arial" w:cs="Arial"/>
        </w:rPr>
        <w:t xml:space="preserve"> values</w:t>
      </w:r>
      <w:r w:rsidR="0028075D" w:rsidRPr="007E7998">
        <w:rPr>
          <w:rFonts w:ascii="Arial" w:hAnsi="Arial" w:cs="Arial"/>
        </w:rPr>
        <w:t xml:space="preserve"> </w:t>
      </w:r>
      <w:r w:rsidR="00B64914" w:rsidRPr="007E7998">
        <w:rPr>
          <w:rFonts w:ascii="Arial" w:hAnsi="Arial" w:cs="Arial"/>
        </w:rPr>
        <w:t>approached abnormal level</w:t>
      </w:r>
      <w:r w:rsidR="00E56E4B" w:rsidRPr="007E7998">
        <w:rPr>
          <w:rFonts w:ascii="Arial" w:hAnsi="Arial" w:cs="Arial"/>
        </w:rPr>
        <w:t xml:space="preserve">s. </w:t>
      </w:r>
      <w:r w:rsidR="00D72C8B" w:rsidRPr="007E7998">
        <w:rPr>
          <w:rFonts w:ascii="Arial" w:hAnsi="Arial" w:cs="Arial"/>
        </w:rPr>
        <w:t>Median IAAs were not significantly different between groups at a</w:t>
      </w:r>
      <w:r w:rsidR="00EB5D33" w:rsidRPr="007E7998">
        <w:rPr>
          <w:rFonts w:ascii="Arial" w:hAnsi="Arial" w:cs="Arial"/>
        </w:rPr>
        <w:t>ny</w:t>
      </w:r>
      <w:r w:rsidR="00D72C8B" w:rsidRPr="007E7998">
        <w:rPr>
          <w:rFonts w:ascii="Arial" w:hAnsi="Arial" w:cs="Arial"/>
        </w:rPr>
        <w:t xml:space="preserve"> aortic location.</w:t>
      </w:r>
    </w:p>
    <w:p w:rsidR="005D07E9" w:rsidRPr="007E7998" w:rsidRDefault="0084785E" w:rsidP="00C80B90">
      <w:pPr>
        <w:spacing w:line="480" w:lineRule="auto"/>
        <w:jc w:val="both"/>
        <w:rPr>
          <w:rFonts w:ascii="Arial" w:hAnsi="Arial" w:cs="Arial"/>
          <w:b/>
        </w:rPr>
      </w:pPr>
      <w:r w:rsidRPr="007E7998">
        <w:rPr>
          <w:rFonts w:ascii="Arial" w:hAnsi="Arial" w:cs="Arial"/>
          <w:b/>
        </w:rPr>
        <w:t>I</w:t>
      </w:r>
      <w:r w:rsidR="005D07E9" w:rsidRPr="007E7998">
        <w:rPr>
          <w:rFonts w:ascii="Arial" w:hAnsi="Arial" w:cs="Arial"/>
          <w:b/>
        </w:rPr>
        <w:t xml:space="preserve">ndexed </w:t>
      </w:r>
      <w:r w:rsidRPr="007E7998">
        <w:rPr>
          <w:rFonts w:ascii="Arial" w:hAnsi="Arial" w:cs="Arial"/>
          <w:b/>
        </w:rPr>
        <w:t>A</w:t>
      </w:r>
      <w:r w:rsidR="005D07E9" w:rsidRPr="007E7998">
        <w:rPr>
          <w:rFonts w:ascii="Arial" w:hAnsi="Arial" w:cs="Arial"/>
          <w:b/>
        </w:rPr>
        <w:t>ortic</w:t>
      </w:r>
      <w:r w:rsidR="00C9712F" w:rsidRPr="007E7998">
        <w:rPr>
          <w:rFonts w:ascii="Arial" w:hAnsi="Arial" w:cs="Arial"/>
          <w:b/>
        </w:rPr>
        <w:t xml:space="preserve"> Areas</w:t>
      </w:r>
      <w:r w:rsidR="005D07E9" w:rsidRPr="007E7998">
        <w:rPr>
          <w:rFonts w:ascii="Arial" w:hAnsi="Arial" w:cs="Arial"/>
          <w:b/>
        </w:rPr>
        <w:t xml:space="preserve"> &gt;10 cm</w:t>
      </w:r>
      <w:r w:rsidR="005D07E9" w:rsidRPr="007E7998">
        <w:rPr>
          <w:rFonts w:ascii="Arial" w:hAnsi="Arial" w:cs="Arial"/>
          <w:b/>
          <w:vertAlign w:val="superscript"/>
        </w:rPr>
        <w:t>2</w:t>
      </w:r>
      <w:r w:rsidR="005D07E9" w:rsidRPr="007E7998">
        <w:rPr>
          <w:rFonts w:ascii="Arial" w:hAnsi="Arial" w:cs="Arial"/>
          <w:b/>
        </w:rPr>
        <w:t>/m</w:t>
      </w:r>
    </w:p>
    <w:p w:rsidR="00432071" w:rsidRPr="007E7998" w:rsidRDefault="003D12B7" w:rsidP="00C80B90">
      <w:pPr>
        <w:spacing w:line="480" w:lineRule="auto"/>
        <w:jc w:val="both"/>
        <w:rPr>
          <w:rFonts w:ascii="Arial" w:hAnsi="Arial" w:cs="Arial"/>
        </w:rPr>
      </w:pPr>
      <w:r w:rsidRPr="007E7998">
        <w:rPr>
          <w:rFonts w:ascii="Arial" w:hAnsi="Arial" w:cs="Arial"/>
        </w:rPr>
        <w:t>Number</w:t>
      </w:r>
      <w:r w:rsidR="00DE7A34" w:rsidRPr="007E7998">
        <w:rPr>
          <w:rFonts w:ascii="Arial" w:hAnsi="Arial" w:cs="Arial"/>
        </w:rPr>
        <w:t>s</w:t>
      </w:r>
      <w:r w:rsidRPr="007E7998">
        <w:rPr>
          <w:rFonts w:ascii="Arial" w:hAnsi="Arial" w:cs="Arial"/>
        </w:rPr>
        <w:t xml:space="preserve"> </w:t>
      </w:r>
      <w:r w:rsidR="009F684E" w:rsidRPr="007E7998">
        <w:rPr>
          <w:rFonts w:ascii="Arial" w:hAnsi="Arial" w:cs="Arial"/>
        </w:rPr>
        <w:t xml:space="preserve">of patients with </w:t>
      </w:r>
      <w:r w:rsidR="00A43A01" w:rsidRPr="007E7998">
        <w:rPr>
          <w:rFonts w:ascii="Arial" w:hAnsi="Arial" w:cs="Arial"/>
        </w:rPr>
        <w:t>IAA</w:t>
      </w:r>
      <w:r w:rsidR="003552B0" w:rsidRPr="007E7998">
        <w:rPr>
          <w:rFonts w:ascii="Arial" w:hAnsi="Arial" w:cs="Arial"/>
        </w:rPr>
        <w:t>s</w:t>
      </w:r>
      <w:r w:rsidR="009F684E" w:rsidRPr="007E7998">
        <w:rPr>
          <w:rFonts w:ascii="Arial" w:hAnsi="Arial" w:cs="Arial"/>
        </w:rPr>
        <w:t xml:space="preserve"> exceeding </w:t>
      </w:r>
      <w:proofErr w:type="gramStart"/>
      <w:r w:rsidR="00227A8E" w:rsidRPr="007E7998">
        <w:rPr>
          <w:rFonts w:ascii="Arial" w:hAnsi="Arial" w:cs="Arial"/>
        </w:rPr>
        <w:t>10 cm</w:t>
      </w:r>
      <w:r w:rsidR="00227A8E" w:rsidRPr="007E7998">
        <w:rPr>
          <w:rFonts w:ascii="Arial" w:hAnsi="Arial" w:cs="Arial"/>
          <w:vertAlign w:val="superscript"/>
        </w:rPr>
        <w:t>2</w:t>
      </w:r>
      <w:r w:rsidR="00227A8E" w:rsidRPr="007E7998">
        <w:rPr>
          <w:rFonts w:ascii="Arial" w:hAnsi="Arial" w:cs="Arial"/>
        </w:rPr>
        <w:t>/m</w:t>
      </w:r>
      <w:proofErr w:type="gramEnd"/>
      <w:r w:rsidR="0057783C" w:rsidRPr="007E7998">
        <w:rPr>
          <w:rFonts w:ascii="Arial" w:hAnsi="Arial" w:cs="Arial"/>
        </w:rPr>
        <w:t xml:space="preserve"> are shown in Table </w:t>
      </w:r>
      <w:r w:rsidR="0075201E" w:rsidRPr="007E7998">
        <w:rPr>
          <w:rFonts w:ascii="Arial" w:hAnsi="Arial" w:cs="Arial"/>
        </w:rPr>
        <w:t>4</w:t>
      </w:r>
      <w:r w:rsidR="0057783C" w:rsidRPr="007E7998">
        <w:rPr>
          <w:rFonts w:ascii="Arial" w:hAnsi="Arial" w:cs="Arial"/>
        </w:rPr>
        <w:t xml:space="preserve">. </w:t>
      </w:r>
      <w:r w:rsidR="00740D9A" w:rsidRPr="007E7998">
        <w:rPr>
          <w:rFonts w:ascii="Arial" w:hAnsi="Arial" w:cs="Arial"/>
        </w:rPr>
        <w:t xml:space="preserve">The results reflect the fact that the IAA can exceed </w:t>
      </w:r>
      <w:proofErr w:type="gramStart"/>
      <w:r w:rsidR="00740D9A" w:rsidRPr="007E7998">
        <w:rPr>
          <w:rFonts w:ascii="Arial" w:hAnsi="Arial" w:cs="Arial"/>
        </w:rPr>
        <w:t>10 cm</w:t>
      </w:r>
      <w:r w:rsidR="00740D9A" w:rsidRPr="007E7998">
        <w:rPr>
          <w:rFonts w:ascii="Arial" w:hAnsi="Arial" w:cs="Arial"/>
          <w:vertAlign w:val="superscript"/>
        </w:rPr>
        <w:t>2</w:t>
      </w:r>
      <w:r w:rsidR="00740D9A" w:rsidRPr="007E7998">
        <w:rPr>
          <w:rFonts w:ascii="Arial" w:hAnsi="Arial" w:cs="Arial"/>
        </w:rPr>
        <w:t>/m at several aortic locations in a given patient</w:t>
      </w:r>
      <w:proofErr w:type="gramEnd"/>
      <w:r w:rsidR="00740D9A" w:rsidRPr="007E7998">
        <w:rPr>
          <w:rFonts w:ascii="Arial" w:hAnsi="Arial" w:cs="Arial"/>
        </w:rPr>
        <w:t xml:space="preserve">. </w:t>
      </w:r>
      <w:r w:rsidR="00C26573" w:rsidRPr="007E7998">
        <w:rPr>
          <w:rFonts w:ascii="Arial" w:hAnsi="Arial" w:cs="Arial"/>
        </w:rPr>
        <w:t>The highest</w:t>
      </w:r>
      <w:r w:rsidR="00DD395E" w:rsidRPr="007E7998">
        <w:rPr>
          <w:rFonts w:ascii="Arial" w:hAnsi="Arial" w:cs="Arial"/>
        </w:rPr>
        <w:t xml:space="preserve"> IAA</w:t>
      </w:r>
      <w:r w:rsidR="00C26573" w:rsidRPr="007E7998">
        <w:rPr>
          <w:rFonts w:ascii="Arial" w:hAnsi="Arial" w:cs="Arial"/>
        </w:rPr>
        <w:t xml:space="preserve"> was found at the </w:t>
      </w:r>
      <w:r w:rsidR="00CD7C52" w:rsidRPr="007E7998">
        <w:rPr>
          <w:rFonts w:ascii="Arial" w:hAnsi="Arial" w:cs="Arial"/>
        </w:rPr>
        <w:t>mid-ascending aorta</w:t>
      </w:r>
      <w:r w:rsidR="00C26573" w:rsidRPr="007E7998">
        <w:rPr>
          <w:rFonts w:ascii="Arial" w:hAnsi="Arial" w:cs="Arial"/>
        </w:rPr>
        <w:t xml:space="preserve"> location</w:t>
      </w:r>
      <w:r w:rsidR="00CD7C52" w:rsidRPr="007E7998">
        <w:rPr>
          <w:rFonts w:ascii="Arial" w:hAnsi="Arial" w:cs="Arial"/>
        </w:rPr>
        <w:t xml:space="preserve">, </w:t>
      </w:r>
      <w:r w:rsidR="00C26573" w:rsidRPr="007E7998">
        <w:rPr>
          <w:rFonts w:ascii="Arial" w:hAnsi="Arial" w:cs="Arial"/>
        </w:rPr>
        <w:t xml:space="preserve">where </w:t>
      </w:r>
      <w:r w:rsidR="003A55A5" w:rsidRPr="007E7998">
        <w:rPr>
          <w:rFonts w:ascii="Arial" w:hAnsi="Arial" w:cs="Arial"/>
        </w:rPr>
        <w:t>5</w:t>
      </w:r>
      <w:r w:rsidR="00575924" w:rsidRPr="007E7998">
        <w:rPr>
          <w:rFonts w:ascii="Arial" w:hAnsi="Arial" w:cs="Arial"/>
        </w:rPr>
        <w:t>6.7</w:t>
      </w:r>
      <w:r w:rsidR="003A55A5" w:rsidRPr="007E7998">
        <w:rPr>
          <w:rFonts w:ascii="Arial" w:hAnsi="Arial" w:cs="Arial"/>
        </w:rPr>
        <w:t xml:space="preserve">% </w:t>
      </w:r>
      <w:r w:rsidR="003750EB" w:rsidRPr="007E7998">
        <w:rPr>
          <w:rFonts w:ascii="Arial" w:hAnsi="Arial" w:cs="Arial"/>
        </w:rPr>
        <w:t xml:space="preserve">of aneurysm group patients, </w:t>
      </w:r>
      <w:r w:rsidR="003A55A5" w:rsidRPr="007E7998">
        <w:rPr>
          <w:rFonts w:ascii="Arial" w:hAnsi="Arial" w:cs="Arial"/>
        </w:rPr>
        <w:t xml:space="preserve">and </w:t>
      </w:r>
      <w:r w:rsidR="00575924" w:rsidRPr="007E7998">
        <w:rPr>
          <w:rFonts w:ascii="Arial" w:hAnsi="Arial" w:cs="Arial"/>
        </w:rPr>
        <w:t>60.6</w:t>
      </w:r>
      <w:r w:rsidR="003A55A5" w:rsidRPr="007E7998">
        <w:rPr>
          <w:rFonts w:ascii="Arial" w:hAnsi="Arial" w:cs="Arial"/>
        </w:rPr>
        <w:t xml:space="preserve">% of </w:t>
      </w:r>
      <w:r w:rsidR="003750EB" w:rsidRPr="007E7998">
        <w:rPr>
          <w:rFonts w:ascii="Arial" w:hAnsi="Arial" w:cs="Arial"/>
        </w:rPr>
        <w:t>dissection group patients</w:t>
      </w:r>
      <w:r w:rsidR="003A55A5" w:rsidRPr="007E7998">
        <w:rPr>
          <w:rFonts w:ascii="Arial" w:hAnsi="Arial" w:cs="Arial"/>
        </w:rPr>
        <w:t>, ha</w:t>
      </w:r>
      <w:r w:rsidR="005C5B40" w:rsidRPr="007E7998">
        <w:rPr>
          <w:rFonts w:ascii="Arial" w:hAnsi="Arial" w:cs="Arial"/>
        </w:rPr>
        <w:t>d</w:t>
      </w:r>
      <w:r w:rsidR="003A55A5" w:rsidRPr="007E7998">
        <w:rPr>
          <w:rFonts w:ascii="Arial" w:hAnsi="Arial" w:cs="Arial"/>
        </w:rPr>
        <w:t xml:space="preserve"> abnormally high </w:t>
      </w:r>
      <w:r w:rsidR="00FA2B8C" w:rsidRPr="007E7998">
        <w:rPr>
          <w:rFonts w:ascii="Arial" w:hAnsi="Arial" w:cs="Arial"/>
        </w:rPr>
        <w:t>IAA</w:t>
      </w:r>
      <w:r w:rsidR="003A55A5" w:rsidRPr="007E7998">
        <w:rPr>
          <w:rFonts w:ascii="Arial" w:hAnsi="Arial" w:cs="Arial"/>
        </w:rPr>
        <w:t xml:space="preserve">s. </w:t>
      </w:r>
      <w:r w:rsidR="00F31171" w:rsidRPr="007E7998">
        <w:rPr>
          <w:rFonts w:ascii="Arial" w:hAnsi="Arial" w:cs="Arial"/>
        </w:rPr>
        <w:t xml:space="preserve">At the mid-sinuses, </w:t>
      </w:r>
      <w:r w:rsidR="00575924" w:rsidRPr="007E7998">
        <w:rPr>
          <w:rFonts w:ascii="Arial" w:hAnsi="Arial" w:cs="Arial"/>
        </w:rPr>
        <w:t>39.6</w:t>
      </w:r>
      <w:r w:rsidR="00F31171" w:rsidRPr="007E7998">
        <w:rPr>
          <w:rFonts w:ascii="Arial" w:hAnsi="Arial" w:cs="Arial"/>
        </w:rPr>
        <w:t>%</w:t>
      </w:r>
      <w:r w:rsidR="00290F91" w:rsidRPr="007E7998">
        <w:rPr>
          <w:rFonts w:ascii="Arial" w:hAnsi="Arial" w:cs="Arial"/>
        </w:rPr>
        <w:t xml:space="preserve"> of aneurysm group patients and </w:t>
      </w:r>
      <w:r w:rsidR="00575924" w:rsidRPr="007E7998">
        <w:rPr>
          <w:rFonts w:ascii="Arial" w:hAnsi="Arial" w:cs="Arial"/>
        </w:rPr>
        <w:t>25.8</w:t>
      </w:r>
      <w:r w:rsidR="00F31171" w:rsidRPr="007E7998">
        <w:rPr>
          <w:rFonts w:ascii="Arial" w:hAnsi="Arial" w:cs="Arial"/>
        </w:rPr>
        <w:t xml:space="preserve">% of dissection group patients had </w:t>
      </w:r>
      <w:r w:rsidR="00CB2D63" w:rsidRPr="007E7998">
        <w:rPr>
          <w:rFonts w:ascii="Arial" w:hAnsi="Arial" w:cs="Arial"/>
        </w:rPr>
        <w:t>IAA</w:t>
      </w:r>
      <w:r w:rsidR="00F31171" w:rsidRPr="007E7998">
        <w:rPr>
          <w:rFonts w:ascii="Arial" w:hAnsi="Arial" w:cs="Arial"/>
        </w:rPr>
        <w:t xml:space="preserve">s </w:t>
      </w:r>
      <w:r w:rsidR="00631886" w:rsidRPr="007E7998">
        <w:rPr>
          <w:rFonts w:ascii="Arial" w:hAnsi="Arial" w:cs="Arial"/>
        </w:rPr>
        <w:t>&gt;</w:t>
      </w:r>
      <w:r w:rsidR="00F31171" w:rsidRPr="007E7998">
        <w:rPr>
          <w:rFonts w:ascii="Arial" w:hAnsi="Arial" w:cs="Arial"/>
        </w:rPr>
        <w:t>10 cm</w:t>
      </w:r>
      <w:r w:rsidR="00F31171" w:rsidRPr="007E7998">
        <w:rPr>
          <w:rFonts w:ascii="Arial" w:hAnsi="Arial" w:cs="Arial"/>
          <w:vertAlign w:val="superscript"/>
        </w:rPr>
        <w:t>2</w:t>
      </w:r>
      <w:r w:rsidR="00F31171" w:rsidRPr="007E7998">
        <w:rPr>
          <w:rFonts w:ascii="Arial" w:hAnsi="Arial" w:cs="Arial"/>
        </w:rPr>
        <w:t>/m.</w:t>
      </w:r>
      <w:r w:rsidR="00F166C0" w:rsidRPr="007E7998">
        <w:rPr>
          <w:rFonts w:ascii="Arial" w:hAnsi="Arial" w:cs="Arial"/>
        </w:rPr>
        <w:t xml:space="preserve"> </w:t>
      </w:r>
    </w:p>
    <w:p w:rsidR="002F3439" w:rsidRPr="007E7998" w:rsidRDefault="0084785E" w:rsidP="00C80B90">
      <w:pPr>
        <w:spacing w:line="480" w:lineRule="auto"/>
        <w:jc w:val="both"/>
        <w:rPr>
          <w:rFonts w:ascii="Arial" w:hAnsi="Arial" w:cs="Arial"/>
          <w:b/>
        </w:rPr>
      </w:pPr>
      <w:r w:rsidRPr="007E7998">
        <w:rPr>
          <w:rFonts w:ascii="Arial" w:hAnsi="Arial" w:cs="Arial"/>
          <w:b/>
        </w:rPr>
        <w:t>Mean In</w:t>
      </w:r>
      <w:r w:rsidR="008A13CC" w:rsidRPr="007E7998">
        <w:rPr>
          <w:rFonts w:ascii="Arial" w:hAnsi="Arial" w:cs="Arial"/>
          <w:b/>
        </w:rPr>
        <w:t>de</w:t>
      </w:r>
      <w:r w:rsidRPr="007E7998">
        <w:rPr>
          <w:rFonts w:ascii="Arial" w:hAnsi="Arial" w:cs="Arial"/>
          <w:b/>
        </w:rPr>
        <w:t>xed</w:t>
      </w:r>
      <w:r w:rsidR="008A13CC" w:rsidRPr="007E7998">
        <w:rPr>
          <w:rFonts w:ascii="Arial" w:hAnsi="Arial" w:cs="Arial"/>
          <w:b/>
        </w:rPr>
        <w:t xml:space="preserve"> Aortic </w:t>
      </w:r>
      <w:r w:rsidR="006E2F63" w:rsidRPr="007E7998">
        <w:rPr>
          <w:rFonts w:ascii="Arial" w:hAnsi="Arial" w:cs="Arial"/>
          <w:b/>
        </w:rPr>
        <w:t>Areas</w:t>
      </w:r>
      <w:r w:rsidR="008A13CC" w:rsidRPr="007E7998">
        <w:rPr>
          <w:rFonts w:ascii="Arial" w:hAnsi="Arial" w:cs="Arial"/>
          <w:b/>
        </w:rPr>
        <w:t xml:space="preserve"> </w:t>
      </w:r>
      <w:r w:rsidR="002F3439" w:rsidRPr="007E7998">
        <w:rPr>
          <w:rFonts w:ascii="Arial" w:hAnsi="Arial" w:cs="Arial"/>
          <w:b/>
        </w:rPr>
        <w:t>Corresponding to Aortic Diameter in Aneurysms</w:t>
      </w:r>
    </w:p>
    <w:p w:rsidR="00EA46EC" w:rsidRPr="007E7998" w:rsidRDefault="00A76E5E" w:rsidP="00C80B90">
      <w:pPr>
        <w:spacing w:line="480" w:lineRule="auto"/>
        <w:jc w:val="both"/>
        <w:rPr>
          <w:rFonts w:ascii="Arial" w:hAnsi="Arial" w:cs="Arial"/>
        </w:rPr>
      </w:pPr>
      <w:r w:rsidRPr="007E7998">
        <w:rPr>
          <w:rFonts w:ascii="Arial" w:hAnsi="Arial" w:cs="Arial"/>
        </w:rPr>
        <w:t xml:space="preserve">Figure </w:t>
      </w:r>
      <w:r w:rsidR="002B5A30" w:rsidRPr="007E7998">
        <w:rPr>
          <w:rFonts w:ascii="Arial" w:hAnsi="Arial" w:cs="Arial"/>
        </w:rPr>
        <w:t>2</w:t>
      </w:r>
      <w:r w:rsidRPr="007E7998">
        <w:rPr>
          <w:rFonts w:ascii="Arial" w:hAnsi="Arial" w:cs="Arial"/>
        </w:rPr>
        <w:t xml:space="preserve"> </w:t>
      </w:r>
      <w:r w:rsidR="0098476A" w:rsidRPr="007E7998">
        <w:rPr>
          <w:rFonts w:ascii="Arial" w:hAnsi="Arial" w:cs="Arial"/>
        </w:rPr>
        <w:t>demonstrates the mean</w:t>
      </w:r>
      <w:r w:rsidR="00DC7729" w:rsidRPr="007E7998">
        <w:rPr>
          <w:rFonts w:ascii="Arial" w:hAnsi="Arial" w:cs="Arial"/>
        </w:rPr>
        <w:t xml:space="preserve"> </w:t>
      </w:r>
      <w:r w:rsidR="00CE415A" w:rsidRPr="007E7998">
        <w:rPr>
          <w:rFonts w:ascii="Arial" w:hAnsi="Arial" w:cs="Arial"/>
        </w:rPr>
        <w:t>IAA</w:t>
      </w:r>
      <w:r w:rsidR="0098476A" w:rsidRPr="007E7998">
        <w:rPr>
          <w:rFonts w:ascii="Arial" w:hAnsi="Arial" w:cs="Arial"/>
        </w:rPr>
        <w:t xml:space="preserve"> for patients with aortic diameters &lt;4.0 cm, 4.0-4.5 cm, </w:t>
      </w:r>
      <w:r w:rsidR="005D7569" w:rsidRPr="007E7998">
        <w:rPr>
          <w:rFonts w:ascii="Arial" w:hAnsi="Arial" w:cs="Arial"/>
        </w:rPr>
        <w:t>4.5-5.0 cm, 5.0-5.5 cm and &gt;5.5 cm</w:t>
      </w:r>
      <w:r w:rsidR="00844459" w:rsidRPr="007E7998">
        <w:rPr>
          <w:rFonts w:ascii="Arial" w:hAnsi="Arial" w:cs="Arial"/>
        </w:rPr>
        <w:t xml:space="preserve"> a</w:t>
      </w:r>
      <w:r w:rsidR="006E1470" w:rsidRPr="007E7998">
        <w:rPr>
          <w:rFonts w:ascii="Arial" w:hAnsi="Arial" w:cs="Arial"/>
        </w:rPr>
        <w:t>t</w:t>
      </w:r>
      <w:r w:rsidR="00844459" w:rsidRPr="007E7998">
        <w:rPr>
          <w:rFonts w:ascii="Arial" w:hAnsi="Arial" w:cs="Arial"/>
        </w:rPr>
        <w:t xml:space="preserve"> mid-sinus, </w:t>
      </w:r>
      <w:proofErr w:type="spellStart"/>
      <w:r w:rsidR="00844459" w:rsidRPr="007E7998">
        <w:rPr>
          <w:rFonts w:ascii="Arial" w:hAnsi="Arial" w:cs="Arial"/>
        </w:rPr>
        <w:t>sino</w:t>
      </w:r>
      <w:proofErr w:type="spellEnd"/>
      <w:r w:rsidR="00844459" w:rsidRPr="007E7998">
        <w:rPr>
          <w:rFonts w:ascii="Arial" w:hAnsi="Arial" w:cs="Arial"/>
        </w:rPr>
        <w:t>-tubular junction and mid-ascending aortic locations.</w:t>
      </w:r>
      <w:r w:rsidR="000610EC" w:rsidRPr="007E7998">
        <w:rPr>
          <w:rFonts w:ascii="Arial" w:hAnsi="Arial" w:cs="Arial"/>
        </w:rPr>
        <w:t xml:space="preserve"> </w:t>
      </w:r>
      <w:r w:rsidR="00067015" w:rsidRPr="007E7998">
        <w:rPr>
          <w:rFonts w:ascii="Arial" w:hAnsi="Arial" w:cs="Arial"/>
        </w:rPr>
        <w:t>The mean</w:t>
      </w:r>
      <w:r w:rsidR="00791695" w:rsidRPr="007E7998">
        <w:rPr>
          <w:rFonts w:ascii="Arial" w:hAnsi="Arial" w:cs="Arial"/>
        </w:rPr>
        <w:t xml:space="preserve"> IAA</w:t>
      </w:r>
      <w:r w:rsidR="00067015" w:rsidRPr="007E7998">
        <w:rPr>
          <w:rFonts w:ascii="Arial" w:hAnsi="Arial" w:cs="Arial"/>
        </w:rPr>
        <w:t xml:space="preserve"> is shown to increase </w:t>
      </w:r>
      <w:r w:rsidR="00FA0398" w:rsidRPr="007E7998">
        <w:rPr>
          <w:rFonts w:ascii="Arial" w:hAnsi="Arial" w:cs="Arial"/>
        </w:rPr>
        <w:t xml:space="preserve">linearly </w:t>
      </w:r>
      <w:r w:rsidR="00C96C7E" w:rsidRPr="007E7998">
        <w:rPr>
          <w:rFonts w:ascii="Arial" w:hAnsi="Arial" w:cs="Arial"/>
        </w:rPr>
        <w:t>with increasing aortic diameter</w:t>
      </w:r>
      <w:r w:rsidR="00BA7423" w:rsidRPr="007E7998">
        <w:rPr>
          <w:rFonts w:ascii="Arial" w:hAnsi="Arial" w:cs="Arial"/>
        </w:rPr>
        <w:t xml:space="preserve"> as expected</w:t>
      </w:r>
      <w:r w:rsidR="00601D41" w:rsidRPr="007E7998">
        <w:rPr>
          <w:rFonts w:ascii="Arial" w:hAnsi="Arial" w:cs="Arial"/>
        </w:rPr>
        <w:t xml:space="preserve">. </w:t>
      </w:r>
      <w:r w:rsidR="00AC7DAE" w:rsidRPr="007E7998">
        <w:rPr>
          <w:rFonts w:ascii="Arial" w:hAnsi="Arial" w:cs="Arial"/>
        </w:rPr>
        <w:t xml:space="preserve">Importantly, abnormally high mean </w:t>
      </w:r>
      <w:r w:rsidR="00781CB5" w:rsidRPr="007E7998">
        <w:rPr>
          <w:rFonts w:ascii="Arial" w:hAnsi="Arial" w:cs="Arial"/>
        </w:rPr>
        <w:t>IAA</w:t>
      </w:r>
      <w:r w:rsidR="00AC7DAE" w:rsidRPr="007E7998">
        <w:rPr>
          <w:rFonts w:ascii="Arial" w:hAnsi="Arial" w:cs="Arial"/>
        </w:rPr>
        <w:t xml:space="preserve">s </w:t>
      </w:r>
      <w:r w:rsidR="00B72BAB" w:rsidRPr="007E7998">
        <w:rPr>
          <w:rFonts w:ascii="Arial" w:hAnsi="Arial" w:cs="Arial"/>
        </w:rPr>
        <w:t xml:space="preserve">first </w:t>
      </w:r>
      <w:r w:rsidR="00AC7DAE" w:rsidRPr="007E7998">
        <w:rPr>
          <w:rFonts w:ascii="Arial" w:hAnsi="Arial" w:cs="Arial"/>
        </w:rPr>
        <w:t xml:space="preserve">emerge </w:t>
      </w:r>
      <w:r w:rsidR="00E565BE" w:rsidRPr="007E7998">
        <w:rPr>
          <w:rFonts w:ascii="Arial" w:hAnsi="Arial" w:cs="Arial"/>
        </w:rPr>
        <w:t xml:space="preserve">at aortic diameters of </w:t>
      </w:r>
      <w:r w:rsidR="00AC7DAE" w:rsidRPr="007E7998">
        <w:rPr>
          <w:rFonts w:ascii="Arial" w:hAnsi="Arial" w:cs="Arial"/>
        </w:rPr>
        <w:t>4.5-</w:t>
      </w:r>
      <w:r w:rsidR="00AC7DAE" w:rsidRPr="007E7998">
        <w:rPr>
          <w:rFonts w:ascii="Arial" w:hAnsi="Arial" w:cs="Arial"/>
        </w:rPr>
        <w:lastRenderedPageBreak/>
        <w:t>5.0 cm</w:t>
      </w:r>
      <w:r w:rsidR="00E565BE" w:rsidRPr="007E7998">
        <w:rPr>
          <w:rFonts w:ascii="Arial" w:hAnsi="Arial" w:cs="Arial"/>
        </w:rPr>
        <w:t>.</w:t>
      </w:r>
      <w:r w:rsidR="00C025D1" w:rsidRPr="007E7998">
        <w:rPr>
          <w:rFonts w:ascii="Arial" w:hAnsi="Arial" w:cs="Arial"/>
        </w:rPr>
        <w:t xml:space="preserve"> </w:t>
      </w:r>
      <w:r w:rsidR="00EA46EC" w:rsidRPr="007E7998">
        <w:rPr>
          <w:rFonts w:ascii="Arial" w:hAnsi="Arial" w:cs="Arial"/>
        </w:rPr>
        <w:t>The mean</w:t>
      </w:r>
      <w:r w:rsidR="00A338EA" w:rsidRPr="007E7998">
        <w:rPr>
          <w:rFonts w:ascii="Arial" w:hAnsi="Arial" w:cs="Arial"/>
        </w:rPr>
        <w:t xml:space="preserve"> IAA</w:t>
      </w:r>
      <w:r w:rsidR="00EA46EC" w:rsidRPr="007E7998">
        <w:rPr>
          <w:rFonts w:ascii="Arial" w:hAnsi="Arial" w:cs="Arial"/>
        </w:rPr>
        <w:t xml:space="preserve"> is 1</w:t>
      </w:r>
      <w:r w:rsidR="005F5761" w:rsidRPr="007E7998">
        <w:rPr>
          <w:rFonts w:ascii="Arial" w:hAnsi="Arial" w:cs="Arial"/>
        </w:rPr>
        <w:t>1.9</w:t>
      </w:r>
      <w:r w:rsidR="00EA46EC" w:rsidRPr="007E7998">
        <w:rPr>
          <w:rFonts w:ascii="Arial" w:hAnsi="Arial" w:cs="Arial"/>
        </w:rPr>
        <w:t xml:space="preserve"> cm</w:t>
      </w:r>
      <w:r w:rsidR="00EA46EC" w:rsidRPr="007E7998">
        <w:rPr>
          <w:rFonts w:ascii="Arial" w:hAnsi="Arial" w:cs="Arial"/>
          <w:vertAlign w:val="superscript"/>
        </w:rPr>
        <w:t>2</w:t>
      </w:r>
      <w:r w:rsidR="00EA46EC" w:rsidRPr="007E7998">
        <w:rPr>
          <w:rFonts w:ascii="Arial" w:hAnsi="Arial" w:cs="Arial"/>
        </w:rPr>
        <w:t>/m at an aortic diameter of 5.0-5.5 cm, and 17.</w:t>
      </w:r>
      <w:r w:rsidR="00DD4975" w:rsidRPr="007E7998">
        <w:rPr>
          <w:rFonts w:ascii="Arial" w:hAnsi="Arial" w:cs="Arial"/>
        </w:rPr>
        <w:t>3</w:t>
      </w:r>
      <w:r w:rsidR="00EA46EC" w:rsidRPr="007E7998">
        <w:rPr>
          <w:rFonts w:ascii="Arial" w:hAnsi="Arial" w:cs="Arial"/>
        </w:rPr>
        <w:t xml:space="preserve"> cm</w:t>
      </w:r>
      <w:r w:rsidR="00EA46EC" w:rsidRPr="007E7998">
        <w:rPr>
          <w:rFonts w:ascii="Arial" w:hAnsi="Arial" w:cs="Arial"/>
          <w:vertAlign w:val="superscript"/>
        </w:rPr>
        <w:t>2</w:t>
      </w:r>
      <w:r w:rsidR="00EA46EC" w:rsidRPr="007E7998">
        <w:rPr>
          <w:rFonts w:ascii="Arial" w:hAnsi="Arial" w:cs="Arial"/>
        </w:rPr>
        <w:t xml:space="preserve">/m at &gt;5.5cm. </w:t>
      </w:r>
    </w:p>
    <w:p w:rsidR="009B663C" w:rsidRPr="007E7998" w:rsidRDefault="005D7015" w:rsidP="00C80B90">
      <w:pPr>
        <w:spacing w:line="480" w:lineRule="auto"/>
        <w:jc w:val="both"/>
        <w:rPr>
          <w:rFonts w:ascii="Arial" w:hAnsi="Arial" w:cs="Arial"/>
        </w:rPr>
      </w:pPr>
      <w:r w:rsidRPr="007E7998">
        <w:rPr>
          <w:rFonts w:ascii="Arial" w:hAnsi="Arial" w:cs="Arial"/>
        </w:rPr>
        <w:t>Table 5</w:t>
      </w:r>
      <w:r w:rsidR="00C5455E" w:rsidRPr="007E7998">
        <w:rPr>
          <w:rFonts w:ascii="Arial" w:hAnsi="Arial" w:cs="Arial"/>
        </w:rPr>
        <w:t xml:space="preserve"> shows the proportion of patients with </w:t>
      </w:r>
      <w:r w:rsidR="00DF7686" w:rsidRPr="007E7998">
        <w:rPr>
          <w:rFonts w:ascii="Arial" w:hAnsi="Arial" w:cs="Arial"/>
        </w:rPr>
        <w:t>IAA</w:t>
      </w:r>
      <w:r w:rsidR="003A7B7B" w:rsidRPr="007E7998">
        <w:rPr>
          <w:rFonts w:ascii="Arial" w:hAnsi="Arial" w:cs="Arial"/>
        </w:rPr>
        <w:t>s</w:t>
      </w:r>
      <w:r w:rsidR="00C5455E" w:rsidRPr="007E7998">
        <w:rPr>
          <w:rFonts w:ascii="Arial" w:hAnsi="Arial" w:cs="Arial"/>
        </w:rPr>
        <w:t xml:space="preserve"> &gt;10 cm</w:t>
      </w:r>
      <w:r w:rsidR="00C5455E" w:rsidRPr="007E7998">
        <w:rPr>
          <w:rFonts w:ascii="Arial" w:hAnsi="Arial" w:cs="Arial"/>
          <w:vertAlign w:val="superscript"/>
        </w:rPr>
        <w:t>2</w:t>
      </w:r>
      <w:r w:rsidR="00C5455E" w:rsidRPr="007E7998">
        <w:rPr>
          <w:rFonts w:ascii="Arial" w:hAnsi="Arial" w:cs="Arial"/>
        </w:rPr>
        <w:t xml:space="preserve">/m according to aortic diameter. </w:t>
      </w:r>
      <w:r w:rsidR="000B19B9" w:rsidRPr="007E7998">
        <w:rPr>
          <w:rFonts w:ascii="Arial" w:hAnsi="Arial" w:cs="Arial"/>
        </w:rPr>
        <w:t>No patients with aortic diameters &lt;4.0 cm had an abnormal</w:t>
      </w:r>
      <w:r w:rsidR="00DF7686" w:rsidRPr="007E7998">
        <w:rPr>
          <w:rFonts w:ascii="Arial" w:hAnsi="Arial" w:cs="Arial"/>
        </w:rPr>
        <w:t xml:space="preserve"> IAA</w:t>
      </w:r>
      <w:r w:rsidR="000B19B9" w:rsidRPr="007E7998">
        <w:rPr>
          <w:rFonts w:ascii="Arial" w:hAnsi="Arial" w:cs="Arial"/>
        </w:rPr>
        <w:t xml:space="preserve"> </w:t>
      </w:r>
      <w:r w:rsidR="00C0388B" w:rsidRPr="007E7998">
        <w:rPr>
          <w:rFonts w:ascii="Arial" w:hAnsi="Arial" w:cs="Arial"/>
        </w:rPr>
        <w:t xml:space="preserve">exceeding </w:t>
      </w:r>
      <w:r w:rsidR="000B19B9" w:rsidRPr="007E7998">
        <w:rPr>
          <w:rFonts w:ascii="Arial" w:hAnsi="Arial" w:cs="Arial"/>
        </w:rPr>
        <w:t>10 cm</w:t>
      </w:r>
      <w:r w:rsidR="000B19B9" w:rsidRPr="007E7998">
        <w:rPr>
          <w:rFonts w:ascii="Arial" w:hAnsi="Arial" w:cs="Arial"/>
          <w:vertAlign w:val="superscript"/>
        </w:rPr>
        <w:t>2</w:t>
      </w:r>
      <w:r w:rsidR="000B19B9" w:rsidRPr="007E7998">
        <w:rPr>
          <w:rFonts w:ascii="Arial" w:hAnsi="Arial" w:cs="Arial"/>
        </w:rPr>
        <w:t xml:space="preserve">/m. </w:t>
      </w:r>
      <w:r w:rsidR="009B663C" w:rsidRPr="007E7998">
        <w:rPr>
          <w:rFonts w:ascii="Arial" w:hAnsi="Arial" w:cs="Arial"/>
        </w:rPr>
        <w:t>Within the 4.0-4.5 cm sub</w:t>
      </w:r>
      <w:r w:rsidR="007C5E1B" w:rsidRPr="007E7998">
        <w:rPr>
          <w:rFonts w:ascii="Arial" w:hAnsi="Arial" w:cs="Arial"/>
        </w:rPr>
        <w:t>group, only 1</w:t>
      </w:r>
      <w:r w:rsidR="00A84107" w:rsidRPr="007E7998">
        <w:rPr>
          <w:rFonts w:ascii="Arial" w:hAnsi="Arial" w:cs="Arial"/>
        </w:rPr>
        <w:t>/</w:t>
      </w:r>
      <w:r w:rsidR="002605AE" w:rsidRPr="007E7998">
        <w:rPr>
          <w:rFonts w:ascii="Arial" w:hAnsi="Arial" w:cs="Arial"/>
        </w:rPr>
        <w:t xml:space="preserve">108 </w:t>
      </w:r>
      <w:r w:rsidR="005B3A1C" w:rsidRPr="007E7998">
        <w:rPr>
          <w:rFonts w:ascii="Arial" w:hAnsi="Arial" w:cs="Arial"/>
        </w:rPr>
        <w:t xml:space="preserve">(0.9%) </w:t>
      </w:r>
      <w:r w:rsidR="00A84107" w:rsidRPr="007E7998">
        <w:rPr>
          <w:rFonts w:ascii="Arial" w:hAnsi="Arial" w:cs="Arial"/>
        </w:rPr>
        <w:t xml:space="preserve">patients </w:t>
      </w:r>
      <w:r w:rsidR="007C5E1B" w:rsidRPr="007E7998">
        <w:rPr>
          <w:rFonts w:ascii="Arial" w:hAnsi="Arial" w:cs="Arial"/>
        </w:rPr>
        <w:t xml:space="preserve">had an </w:t>
      </w:r>
      <w:r w:rsidR="009F7B2E" w:rsidRPr="007E7998">
        <w:rPr>
          <w:rFonts w:ascii="Arial" w:hAnsi="Arial" w:cs="Arial"/>
        </w:rPr>
        <w:t>abnormal</w:t>
      </w:r>
      <w:r w:rsidR="005655AB" w:rsidRPr="007E7998">
        <w:rPr>
          <w:rFonts w:ascii="Arial" w:hAnsi="Arial" w:cs="Arial"/>
        </w:rPr>
        <w:t xml:space="preserve"> IAA</w:t>
      </w:r>
      <w:r w:rsidR="002B5F67" w:rsidRPr="007E7998">
        <w:rPr>
          <w:rFonts w:ascii="Arial" w:hAnsi="Arial" w:cs="Arial"/>
        </w:rPr>
        <w:t xml:space="preserve">. </w:t>
      </w:r>
      <w:r w:rsidR="00C9084A" w:rsidRPr="007E7998">
        <w:rPr>
          <w:rFonts w:ascii="Arial" w:hAnsi="Arial" w:cs="Arial"/>
        </w:rPr>
        <w:t xml:space="preserve">Abnormal </w:t>
      </w:r>
      <w:r w:rsidR="003D2532" w:rsidRPr="007E7998">
        <w:rPr>
          <w:rFonts w:ascii="Arial" w:hAnsi="Arial" w:cs="Arial"/>
        </w:rPr>
        <w:t>IAA</w:t>
      </w:r>
      <w:r w:rsidR="003A6478" w:rsidRPr="007E7998">
        <w:rPr>
          <w:rFonts w:ascii="Arial" w:hAnsi="Arial" w:cs="Arial"/>
        </w:rPr>
        <w:t>s</w:t>
      </w:r>
      <w:r w:rsidR="00C9084A" w:rsidRPr="007E7998">
        <w:rPr>
          <w:rFonts w:ascii="Arial" w:hAnsi="Arial" w:cs="Arial"/>
        </w:rPr>
        <w:t xml:space="preserve"> were noted in </w:t>
      </w:r>
      <w:r w:rsidR="00A84107" w:rsidRPr="007E7998">
        <w:rPr>
          <w:rFonts w:ascii="Arial" w:hAnsi="Arial" w:cs="Arial"/>
        </w:rPr>
        <w:t>5</w:t>
      </w:r>
      <w:r w:rsidR="00AA272F" w:rsidRPr="007E7998">
        <w:rPr>
          <w:rFonts w:ascii="Arial" w:hAnsi="Arial" w:cs="Arial"/>
        </w:rPr>
        <w:t>7</w:t>
      </w:r>
      <w:r w:rsidR="00A84107" w:rsidRPr="007E7998">
        <w:rPr>
          <w:rFonts w:ascii="Arial" w:hAnsi="Arial" w:cs="Arial"/>
        </w:rPr>
        <w:t>/11</w:t>
      </w:r>
      <w:r w:rsidR="00AA272F" w:rsidRPr="007E7998">
        <w:rPr>
          <w:rFonts w:ascii="Arial" w:hAnsi="Arial" w:cs="Arial"/>
        </w:rPr>
        <w:t>6</w:t>
      </w:r>
      <w:r w:rsidR="00A84107" w:rsidRPr="007E7998">
        <w:rPr>
          <w:rFonts w:ascii="Arial" w:hAnsi="Arial" w:cs="Arial"/>
        </w:rPr>
        <w:t xml:space="preserve"> </w:t>
      </w:r>
      <w:r w:rsidR="005B3A1C" w:rsidRPr="007E7998">
        <w:rPr>
          <w:rFonts w:ascii="Arial" w:hAnsi="Arial" w:cs="Arial"/>
        </w:rPr>
        <w:t>(49.</w:t>
      </w:r>
      <w:r w:rsidR="00AA272F" w:rsidRPr="007E7998">
        <w:rPr>
          <w:rFonts w:ascii="Arial" w:hAnsi="Arial" w:cs="Arial"/>
        </w:rPr>
        <w:t>1</w:t>
      </w:r>
      <w:r w:rsidR="005B3A1C" w:rsidRPr="007E7998">
        <w:rPr>
          <w:rFonts w:ascii="Arial" w:hAnsi="Arial" w:cs="Arial"/>
        </w:rPr>
        <w:t xml:space="preserve">%) </w:t>
      </w:r>
      <w:r w:rsidR="00A84107" w:rsidRPr="007E7998">
        <w:rPr>
          <w:rFonts w:ascii="Arial" w:hAnsi="Arial" w:cs="Arial"/>
        </w:rPr>
        <w:t>patients in the 4.5-5.0 cm subgroup</w:t>
      </w:r>
      <w:r w:rsidR="00C9084A" w:rsidRPr="007E7998">
        <w:rPr>
          <w:rFonts w:ascii="Arial" w:hAnsi="Arial" w:cs="Arial"/>
        </w:rPr>
        <w:t xml:space="preserve">, rising to </w:t>
      </w:r>
      <w:r w:rsidR="00AA272F" w:rsidRPr="007E7998">
        <w:rPr>
          <w:rFonts w:ascii="Arial" w:hAnsi="Arial" w:cs="Arial"/>
        </w:rPr>
        <w:t xml:space="preserve">67/68 </w:t>
      </w:r>
      <w:r w:rsidR="003911BB" w:rsidRPr="007E7998">
        <w:rPr>
          <w:rFonts w:ascii="Arial" w:hAnsi="Arial" w:cs="Arial"/>
        </w:rPr>
        <w:t>(98.</w:t>
      </w:r>
      <w:r w:rsidR="00AA272F" w:rsidRPr="007E7998">
        <w:rPr>
          <w:rFonts w:ascii="Arial" w:hAnsi="Arial" w:cs="Arial"/>
        </w:rPr>
        <w:t>5</w:t>
      </w:r>
      <w:r w:rsidR="003911BB" w:rsidRPr="007E7998">
        <w:rPr>
          <w:rFonts w:ascii="Arial" w:hAnsi="Arial" w:cs="Arial"/>
        </w:rPr>
        <w:t xml:space="preserve">%) </w:t>
      </w:r>
      <w:r w:rsidR="00C9084A" w:rsidRPr="007E7998">
        <w:rPr>
          <w:rFonts w:ascii="Arial" w:hAnsi="Arial" w:cs="Arial"/>
        </w:rPr>
        <w:t xml:space="preserve">patients </w:t>
      </w:r>
      <w:r w:rsidR="00AF6136" w:rsidRPr="007E7998">
        <w:rPr>
          <w:rFonts w:ascii="Arial" w:hAnsi="Arial" w:cs="Arial"/>
        </w:rPr>
        <w:t xml:space="preserve">in the 5.0-5.5 cm subgroup, </w:t>
      </w:r>
      <w:r w:rsidR="003911BB" w:rsidRPr="007E7998">
        <w:rPr>
          <w:rFonts w:ascii="Arial" w:hAnsi="Arial" w:cs="Arial"/>
        </w:rPr>
        <w:t>and 7</w:t>
      </w:r>
      <w:r w:rsidR="00AA272F" w:rsidRPr="007E7998">
        <w:rPr>
          <w:rFonts w:ascii="Arial" w:hAnsi="Arial" w:cs="Arial"/>
        </w:rPr>
        <w:t>2</w:t>
      </w:r>
      <w:r w:rsidR="003911BB" w:rsidRPr="007E7998">
        <w:rPr>
          <w:rFonts w:ascii="Arial" w:hAnsi="Arial" w:cs="Arial"/>
        </w:rPr>
        <w:t>/7</w:t>
      </w:r>
      <w:r w:rsidR="00AA272F" w:rsidRPr="007E7998">
        <w:rPr>
          <w:rFonts w:ascii="Arial" w:hAnsi="Arial" w:cs="Arial"/>
        </w:rPr>
        <w:t>2</w:t>
      </w:r>
      <w:r w:rsidR="003911BB" w:rsidRPr="007E7998">
        <w:rPr>
          <w:rFonts w:ascii="Arial" w:hAnsi="Arial" w:cs="Arial"/>
        </w:rPr>
        <w:t xml:space="preserve"> (100%) </w:t>
      </w:r>
      <w:r w:rsidR="00C9084A" w:rsidRPr="007E7998">
        <w:rPr>
          <w:rFonts w:ascii="Arial" w:hAnsi="Arial" w:cs="Arial"/>
        </w:rPr>
        <w:t>patients</w:t>
      </w:r>
      <w:r w:rsidR="00BB34E6" w:rsidRPr="007E7998">
        <w:rPr>
          <w:rFonts w:ascii="Arial" w:hAnsi="Arial" w:cs="Arial"/>
        </w:rPr>
        <w:t xml:space="preserve"> in the </w:t>
      </w:r>
      <w:r w:rsidR="00C9084A" w:rsidRPr="007E7998">
        <w:rPr>
          <w:rFonts w:ascii="Arial" w:hAnsi="Arial" w:cs="Arial"/>
        </w:rPr>
        <w:t>&gt;5.5 cm subgroups.</w:t>
      </w:r>
    </w:p>
    <w:p w:rsidR="003E460C" w:rsidRPr="007E7998" w:rsidRDefault="003E460C" w:rsidP="00C80B90">
      <w:pPr>
        <w:spacing w:line="480" w:lineRule="auto"/>
        <w:jc w:val="both"/>
        <w:rPr>
          <w:rFonts w:ascii="Arial" w:hAnsi="Arial" w:cs="Arial"/>
          <w:b/>
        </w:rPr>
      </w:pPr>
      <w:r w:rsidRPr="007E7998">
        <w:rPr>
          <w:rFonts w:ascii="Arial" w:hAnsi="Arial" w:cs="Arial"/>
          <w:b/>
        </w:rPr>
        <w:t xml:space="preserve">Relationship </w:t>
      </w:r>
      <w:proofErr w:type="gramStart"/>
      <w:r w:rsidRPr="007E7998">
        <w:rPr>
          <w:rFonts w:ascii="Arial" w:hAnsi="Arial" w:cs="Arial"/>
          <w:b/>
        </w:rPr>
        <w:t>Between</w:t>
      </w:r>
      <w:proofErr w:type="gramEnd"/>
      <w:r w:rsidRPr="007E7998">
        <w:rPr>
          <w:rFonts w:ascii="Arial" w:hAnsi="Arial" w:cs="Arial"/>
          <w:b/>
        </w:rPr>
        <w:t xml:space="preserve"> Indexed Aortic </w:t>
      </w:r>
      <w:r w:rsidR="00C555CF" w:rsidRPr="007E7998">
        <w:rPr>
          <w:rFonts w:ascii="Arial" w:hAnsi="Arial" w:cs="Arial"/>
          <w:b/>
        </w:rPr>
        <w:t>Area</w:t>
      </w:r>
      <w:r w:rsidR="00361DC5" w:rsidRPr="007E7998">
        <w:rPr>
          <w:rFonts w:ascii="Arial" w:hAnsi="Arial" w:cs="Arial"/>
          <w:b/>
        </w:rPr>
        <w:t>s</w:t>
      </w:r>
      <w:r w:rsidRPr="007E7998">
        <w:rPr>
          <w:rFonts w:ascii="Arial" w:hAnsi="Arial" w:cs="Arial"/>
          <w:b/>
        </w:rPr>
        <w:t xml:space="preserve"> and Aortic Diameter</w:t>
      </w:r>
      <w:r w:rsidR="008E51D6" w:rsidRPr="007E7998">
        <w:rPr>
          <w:rFonts w:ascii="Arial" w:hAnsi="Arial" w:cs="Arial"/>
          <w:b/>
        </w:rPr>
        <w:t xml:space="preserve"> in Aneurysms</w:t>
      </w:r>
    </w:p>
    <w:p w:rsidR="00C90B14" w:rsidRPr="007E7998" w:rsidRDefault="009F0052" w:rsidP="00C80B90">
      <w:pPr>
        <w:spacing w:line="480" w:lineRule="auto"/>
        <w:jc w:val="both"/>
        <w:rPr>
          <w:rFonts w:ascii="Arial" w:hAnsi="Arial" w:cs="Arial"/>
        </w:rPr>
      </w:pPr>
      <w:r w:rsidRPr="007E7998">
        <w:rPr>
          <w:rFonts w:ascii="Arial" w:hAnsi="Arial" w:cs="Arial"/>
        </w:rPr>
        <w:t>P</w:t>
      </w:r>
      <w:r w:rsidR="006F727F" w:rsidRPr="007E7998">
        <w:rPr>
          <w:rFonts w:ascii="Arial" w:hAnsi="Arial" w:cs="Arial"/>
        </w:rPr>
        <w:t>atients with an</w:t>
      </w:r>
      <w:r w:rsidR="00633ABB" w:rsidRPr="007E7998">
        <w:rPr>
          <w:rFonts w:ascii="Arial" w:hAnsi="Arial" w:cs="Arial"/>
        </w:rPr>
        <w:t xml:space="preserve"> IAA</w:t>
      </w:r>
      <w:r w:rsidR="006F727F" w:rsidRPr="007E7998">
        <w:rPr>
          <w:rFonts w:ascii="Arial" w:hAnsi="Arial" w:cs="Arial"/>
        </w:rPr>
        <w:t xml:space="preserve"> &gt;10 cm</w:t>
      </w:r>
      <w:r w:rsidR="006F727F" w:rsidRPr="007E7998">
        <w:rPr>
          <w:rFonts w:ascii="Arial" w:hAnsi="Arial" w:cs="Arial"/>
          <w:vertAlign w:val="superscript"/>
        </w:rPr>
        <w:t>2</w:t>
      </w:r>
      <w:r w:rsidR="006F727F" w:rsidRPr="007E7998">
        <w:rPr>
          <w:rFonts w:ascii="Arial" w:hAnsi="Arial" w:cs="Arial"/>
        </w:rPr>
        <w:t>/m</w:t>
      </w:r>
      <w:r w:rsidR="00992C19" w:rsidRPr="007E7998">
        <w:rPr>
          <w:rFonts w:ascii="Arial" w:hAnsi="Arial" w:cs="Arial"/>
        </w:rPr>
        <w:t xml:space="preserve"> (the at-risk population)</w:t>
      </w:r>
      <w:r w:rsidRPr="007E7998">
        <w:rPr>
          <w:rFonts w:ascii="Arial" w:hAnsi="Arial" w:cs="Arial"/>
        </w:rPr>
        <w:t xml:space="preserve"> at mid-sinus, </w:t>
      </w:r>
      <w:proofErr w:type="spellStart"/>
      <w:r w:rsidRPr="007E7998">
        <w:rPr>
          <w:rFonts w:ascii="Arial" w:hAnsi="Arial" w:cs="Arial"/>
        </w:rPr>
        <w:t>sino</w:t>
      </w:r>
      <w:proofErr w:type="spellEnd"/>
      <w:r w:rsidRPr="007E7998">
        <w:rPr>
          <w:rFonts w:ascii="Arial" w:hAnsi="Arial" w:cs="Arial"/>
        </w:rPr>
        <w:t>-tubular junction and mid-ascending aortic locations</w:t>
      </w:r>
      <w:r w:rsidR="006F727F" w:rsidRPr="007E7998">
        <w:rPr>
          <w:rFonts w:ascii="Arial" w:hAnsi="Arial" w:cs="Arial"/>
        </w:rPr>
        <w:t xml:space="preserve">, </w:t>
      </w:r>
      <w:r w:rsidR="000E5703" w:rsidRPr="007E7998">
        <w:rPr>
          <w:rFonts w:ascii="Arial" w:hAnsi="Arial" w:cs="Arial"/>
        </w:rPr>
        <w:t xml:space="preserve">were </w:t>
      </w:r>
      <w:r w:rsidR="00E279C7" w:rsidRPr="007E7998">
        <w:rPr>
          <w:rFonts w:ascii="Arial" w:hAnsi="Arial" w:cs="Arial"/>
        </w:rPr>
        <w:t xml:space="preserve">categorised into </w:t>
      </w:r>
      <w:r w:rsidR="000E5703" w:rsidRPr="007E7998">
        <w:rPr>
          <w:rFonts w:ascii="Arial" w:hAnsi="Arial" w:cs="Arial"/>
        </w:rPr>
        <w:t>groups with</w:t>
      </w:r>
      <w:r w:rsidR="0079091E" w:rsidRPr="007E7998">
        <w:rPr>
          <w:rFonts w:ascii="Arial" w:hAnsi="Arial" w:cs="Arial"/>
        </w:rPr>
        <w:t xml:space="preserve"> IAA</w:t>
      </w:r>
      <w:r w:rsidR="00E279C7" w:rsidRPr="007E7998">
        <w:rPr>
          <w:rFonts w:ascii="Arial" w:hAnsi="Arial" w:cs="Arial"/>
        </w:rPr>
        <w:t xml:space="preserve"> range</w:t>
      </w:r>
      <w:r w:rsidR="000E5703" w:rsidRPr="007E7998">
        <w:rPr>
          <w:rFonts w:ascii="Arial" w:hAnsi="Arial" w:cs="Arial"/>
        </w:rPr>
        <w:t>s</w:t>
      </w:r>
      <w:r w:rsidR="00E279C7" w:rsidRPr="007E7998">
        <w:rPr>
          <w:rFonts w:ascii="Arial" w:hAnsi="Arial" w:cs="Arial"/>
        </w:rPr>
        <w:t xml:space="preserve"> 10-12 cm</w:t>
      </w:r>
      <w:r w:rsidR="00E279C7" w:rsidRPr="007E7998">
        <w:rPr>
          <w:rFonts w:ascii="Arial" w:hAnsi="Arial" w:cs="Arial"/>
          <w:vertAlign w:val="superscript"/>
        </w:rPr>
        <w:t>2</w:t>
      </w:r>
      <w:r w:rsidR="00E279C7" w:rsidRPr="007E7998">
        <w:rPr>
          <w:rFonts w:ascii="Arial" w:hAnsi="Arial" w:cs="Arial"/>
        </w:rPr>
        <w:t>/m, 12-14 cm</w:t>
      </w:r>
      <w:r w:rsidR="00E279C7" w:rsidRPr="007E7998">
        <w:rPr>
          <w:rFonts w:ascii="Arial" w:hAnsi="Arial" w:cs="Arial"/>
          <w:vertAlign w:val="superscript"/>
        </w:rPr>
        <w:t>2</w:t>
      </w:r>
      <w:r w:rsidR="00E279C7" w:rsidRPr="007E7998">
        <w:rPr>
          <w:rFonts w:ascii="Arial" w:hAnsi="Arial" w:cs="Arial"/>
        </w:rPr>
        <w:t>/m and &gt;14 cm</w:t>
      </w:r>
      <w:r w:rsidR="00E279C7" w:rsidRPr="007E7998">
        <w:rPr>
          <w:rFonts w:ascii="Arial" w:hAnsi="Arial" w:cs="Arial"/>
          <w:vertAlign w:val="superscript"/>
        </w:rPr>
        <w:t>2</w:t>
      </w:r>
      <w:r w:rsidRPr="007E7998">
        <w:rPr>
          <w:rFonts w:ascii="Arial" w:hAnsi="Arial" w:cs="Arial"/>
        </w:rPr>
        <w:t>/m</w:t>
      </w:r>
      <w:r w:rsidR="00E279C7" w:rsidRPr="007E7998">
        <w:rPr>
          <w:rFonts w:ascii="Arial" w:hAnsi="Arial" w:cs="Arial"/>
        </w:rPr>
        <w:t>.</w:t>
      </w:r>
      <w:r w:rsidR="000C4746" w:rsidRPr="007E7998">
        <w:rPr>
          <w:rFonts w:ascii="Arial" w:hAnsi="Arial" w:cs="Arial"/>
        </w:rPr>
        <w:t xml:space="preserve"> </w:t>
      </w:r>
      <w:r w:rsidR="00A32DE8" w:rsidRPr="007E7998">
        <w:rPr>
          <w:rFonts w:ascii="Arial" w:hAnsi="Arial" w:cs="Arial"/>
        </w:rPr>
        <w:t>There were 7</w:t>
      </w:r>
      <w:r w:rsidR="008876D8" w:rsidRPr="007E7998">
        <w:rPr>
          <w:rFonts w:ascii="Arial" w:hAnsi="Arial" w:cs="Arial"/>
        </w:rPr>
        <w:t>4</w:t>
      </w:r>
      <w:r w:rsidR="00A32DE8" w:rsidRPr="007E7998">
        <w:rPr>
          <w:rFonts w:ascii="Arial" w:hAnsi="Arial" w:cs="Arial"/>
        </w:rPr>
        <w:t xml:space="preserve"> patients, 2</w:t>
      </w:r>
      <w:r w:rsidR="008876D8" w:rsidRPr="007E7998">
        <w:rPr>
          <w:rFonts w:ascii="Arial" w:hAnsi="Arial" w:cs="Arial"/>
        </w:rPr>
        <w:t>0</w:t>
      </w:r>
      <w:r w:rsidR="00A32DE8" w:rsidRPr="007E7998">
        <w:rPr>
          <w:rFonts w:ascii="Arial" w:hAnsi="Arial" w:cs="Arial"/>
        </w:rPr>
        <w:t xml:space="preserve"> patients and 1</w:t>
      </w:r>
      <w:r w:rsidR="008876D8" w:rsidRPr="007E7998">
        <w:rPr>
          <w:rFonts w:ascii="Arial" w:hAnsi="Arial" w:cs="Arial"/>
        </w:rPr>
        <w:t>06</w:t>
      </w:r>
      <w:r w:rsidR="00A32DE8" w:rsidRPr="007E7998">
        <w:rPr>
          <w:rFonts w:ascii="Arial" w:hAnsi="Arial" w:cs="Arial"/>
        </w:rPr>
        <w:t xml:space="preserve"> patients who at mid-sinus, </w:t>
      </w:r>
      <w:proofErr w:type="spellStart"/>
      <w:r w:rsidR="00A32DE8" w:rsidRPr="007E7998">
        <w:rPr>
          <w:rFonts w:ascii="Arial" w:hAnsi="Arial" w:cs="Arial"/>
        </w:rPr>
        <w:t>sino</w:t>
      </w:r>
      <w:proofErr w:type="spellEnd"/>
      <w:r w:rsidR="00A32DE8" w:rsidRPr="007E7998">
        <w:rPr>
          <w:rFonts w:ascii="Arial" w:hAnsi="Arial" w:cs="Arial"/>
        </w:rPr>
        <w:t>-tubular junction</w:t>
      </w:r>
      <w:r w:rsidR="00642700" w:rsidRPr="007E7998">
        <w:rPr>
          <w:rFonts w:ascii="Arial" w:hAnsi="Arial" w:cs="Arial"/>
        </w:rPr>
        <w:t xml:space="preserve"> and mid-ascending aorta location, respectively, had IAAs </w:t>
      </w:r>
      <w:r w:rsidR="00F94220" w:rsidRPr="007E7998">
        <w:rPr>
          <w:rFonts w:ascii="Arial" w:hAnsi="Arial" w:cs="Arial"/>
        </w:rPr>
        <w:t>&gt;10 cm</w:t>
      </w:r>
      <w:r w:rsidR="00F94220" w:rsidRPr="007E7998">
        <w:rPr>
          <w:rFonts w:ascii="Arial" w:hAnsi="Arial" w:cs="Arial"/>
          <w:vertAlign w:val="superscript"/>
        </w:rPr>
        <w:t>2</w:t>
      </w:r>
      <w:r w:rsidR="00F94220" w:rsidRPr="007E7998">
        <w:rPr>
          <w:rFonts w:ascii="Arial" w:hAnsi="Arial" w:cs="Arial"/>
        </w:rPr>
        <w:t>/m.</w:t>
      </w:r>
      <w:r w:rsidR="00C4062C" w:rsidRPr="007E7998">
        <w:rPr>
          <w:rFonts w:ascii="Arial" w:hAnsi="Arial" w:cs="Arial"/>
        </w:rPr>
        <w:t xml:space="preserve"> </w:t>
      </w:r>
      <w:proofErr w:type="gramStart"/>
      <w:r w:rsidR="00095D8B" w:rsidRPr="007E7998">
        <w:rPr>
          <w:rFonts w:ascii="Arial" w:hAnsi="Arial" w:cs="Arial"/>
        </w:rPr>
        <w:t>T</w:t>
      </w:r>
      <w:r w:rsidR="004A236F" w:rsidRPr="007E7998">
        <w:rPr>
          <w:rFonts w:ascii="Arial" w:hAnsi="Arial" w:cs="Arial"/>
        </w:rPr>
        <w:t xml:space="preserve">he </w:t>
      </w:r>
      <w:r w:rsidR="00F05CD1" w:rsidRPr="007E7998">
        <w:rPr>
          <w:rFonts w:ascii="Arial" w:hAnsi="Arial" w:cs="Arial"/>
        </w:rPr>
        <w:t xml:space="preserve">mean of the corresponding aortic diameters </w:t>
      </w:r>
      <w:r w:rsidR="00160C6C" w:rsidRPr="007E7998">
        <w:rPr>
          <w:rFonts w:ascii="Arial" w:hAnsi="Arial" w:cs="Arial"/>
        </w:rPr>
        <w:t xml:space="preserve">for </w:t>
      </w:r>
      <w:r w:rsidR="00F05CD1" w:rsidRPr="007E7998">
        <w:rPr>
          <w:rFonts w:ascii="Arial" w:hAnsi="Arial" w:cs="Arial"/>
        </w:rPr>
        <w:t>each range</w:t>
      </w:r>
      <w:r w:rsidR="00095D8B" w:rsidRPr="007E7998">
        <w:rPr>
          <w:rFonts w:ascii="Arial" w:hAnsi="Arial" w:cs="Arial"/>
        </w:rPr>
        <w:t xml:space="preserve"> </w:t>
      </w:r>
      <w:r w:rsidR="003C4216" w:rsidRPr="007E7998">
        <w:rPr>
          <w:rFonts w:ascii="Arial" w:hAnsi="Arial" w:cs="Arial"/>
        </w:rPr>
        <w:t>w</w:t>
      </w:r>
      <w:r w:rsidR="00095D8B" w:rsidRPr="007E7998">
        <w:rPr>
          <w:rFonts w:ascii="Arial" w:hAnsi="Arial" w:cs="Arial"/>
        </w:rPr>
        <w:t>as then calculated (</w:t>
      </w:r>
      <w:r w:rsidR="003922D7" w:rsidRPr="007E7998">
        <w:rPr>
          <w:rFonts w:ascii="Arial" w:hAnsi="Arial" w:cs="Arial"/>
        </w:rPr>
        <w:t xml:space="preserve">Table </w:t>
      </w:r>
      <w:r w:rsidR="00590655" w:rsidRPr="007E7998">
        <w:rPr>
          <w:rFonts w:ascii="Arial" w:hAnsi="Arial" w:cs="Arial"/>
        </w:rPr>
        <w:t>6</w:t>
      </w:r>
      <w:r w:rsidR="00095D8B" w:rsidRPr="007E7998">
        <w:rPr>
          <w:rFonts w:ascii="Arial" w:hAnsi="Arial" w:cs="Arial"/>
        </w:rPr>
        <w:t>)</w:t>
      </w:r>
      <w:r w:rsidR="003922D7" w:rsidRPr="007E7998">
        <w:rPr>
          <w:rFonts w:ascii="Arial" w:hAnsi="Arial" w:cs="Arial"/>
        </w:rPr>
        <w:t>.</w:t>
      </w:r>
      <w:proofErr w:type="gramEnd"/>
    </w:p>
    <w:p w:rsidR="00A836AC" w:rsidRPr="007E7998" w:rsidRDefault="00C90B14" w:rsidP="00C80B90">
      <w:pPr>
        <w:spacing w:line="480" w:lineRule="auto"/>
        <w:jc w:val="both"/>
        <w:rPr>
          <w:rFonts w:ascii="Arial" w:hAnsi="Arial" w:cs="Arial"/>
        </w:rPr>
      </w:pPr>
      <w:r w:rsidRPr="007E7998">
        <w:rPr>
          <w:rFonts w:ascii="Arial" w:hAnsi="Arial" w:cs="Arial"/>
        </w:rPr>
        <w:t xml:space="preserve">A </w:t>
      </w:r>
      <w:r w:rsidR="0092715F" w:rsidRPr="007E7998">
        <w:rPr>
          <w:rFonts w:ascii="Arial" w:hAnsi="Arial" w:cs="Arial"/>
        </w:rPr>
        <w:t xml:space="preserve">considerable </w:t>
      </w:r>
      <w:r w:rsidR="008876D8" w:rsidRPr="007E7998">
        <w:rPr>
          <w:rFonts w:ascii="Arial" w:hAnsi="Arial" w:cs="Arial"/>
        </w:rPr>
        <w:t>84</w:t>
      </w:r>
      <w:r w:rsidR="00177808" w:rsidRPr="007E7998">
        <w:rPr>
          <w:rFonts w:ascii="Arial" w:hAnsi="Arial" w:cs="Arial"/>
        </w:rPr>
        <w:t>.3% of patients with an</w:t>
      </w:r>
      <w:r w:rsidR="007A5F79" w:rsidRPr="007E7998">
        <w:rPr>
          <w:rFonts w:ascii="Arial" w:hAnsi="Arial" w:cs="Arial"/>
        </w:rPr>
        <w:t xml:space="preserve"> IAA</w:t>
      </w:r>
      <w:r w:rsidR="00177808" w:rsidRPr="007E7998">
        <w:rPr>
          <w:rFonts w:ascii="Arial" w:hAnsi="Arial" w:cs="Arial"/>
        </w:rPr>
        <w:t xml:space="preserve"> &gt;10 cm</w:t>
      </w:r>
      <w:r w:rsidR="00177808" w:rsidRPr="007E7998">
        <w:rPr>
          <w:rFonts w:ascii="Arial" w:hAnsi="Arial" w:cs="Arial"/>
          <w:vertAlign w:val="superscript"/>
        </w:rPr>
        <w:t>2</w:t>
      </w:r>
      <w:r w:rsidR="00177808" w:rsidRPr="007E7998">
        <w:rPr>
          <w:rFonts w:ascii="Arial" w:hAnsi="Arial" w:cs="Arial"/>
        </w:rPr>
        <w:t xml:space="preserve">/m based on mid-sinus measurements </w:t>
      </w:r>
      <w:r w:rsidR="007D0CEA" w:rsidRPr="007E7998">
        <w:rPr>
          <w:rFonts w:ascii="Arial" w:hAnsi="Arial" w:cs="Arial"/>
        </w:rPr>
        <w:t>had</w:t>
      </w:r>
      <w:r w:rsidR="00E32276" w:rsidRPr="007E7998">
        <w:rPr>
          <w:rFonts w:ascii="Arial" w:hAnsi="Arial" w:cs="Arial"/>
        </w:rPr>
        <w:t xml:space="preserve"> </w:t>
      </w:r>
      <w:r w:rsidR="00322594" w:rsidRPr="007E7998">
        <w:rPr>
          <w:rFonts w:ascii="Arial" w:hAnsi="Arial" w:cs="Arial"/>
        </w:rPr>
        <w:t xml:space="preserve">a mean </w:t>
      </w:r>
      <w:r w:rsidR="00E32276" w:rsidRPr="007E7998">
        <w:rPr>
          <w:rFonts w:ascii="Arial" w:hAnsi="Arial" w:cs="Arial"/>
        </w:rPr>
        <w:t xml:space="preserve">aortic diameter </w:t>
      </w:r>
      <w:r w:rsidR="004C2614" w:rsidRPr="007E7998">
        <w:rPr>
          <w:rFonts w:ascii="Arial" w:hAnsi="Arial" w:cs="Arial"/>
        </w:rPr>
        <w:t>below</w:t>
      </w:r>
      <w:r w:rsidR="00706108" w:rsidRPr="007E7998">
        <w:rPr>
          <w:rFonts w:ascii="Arial" w:hAnsi="Arial" w:cs="Arial"/>
        </w:rPr>
        <w:t xml:space="preserve"> the </w:t>
      </w:r>
      <w:r w:rsidR="00D02ECB" w:rsidRPr="007E7998">
        <w:rPr>
          <w:rFonts w:ascii="Arial" w:hAnsi="Arial" w:cs="Arial"/>
        </w:rPr>
        <w:t xml:space="preserve">current </w:t>
      </w:r>
      <w:r w:rsidR="007456AA" w:rsidRPr="007E7998">
        <w:rPr>
          <w:rFonts w:ascii="Arial" w:hAnsi="Arial" w:cs="Arial"/>
        </w:rPr>
        <w:t>5.5</w:t>
      </w:r>
      <w:r w:rsidR="001F316E" w:rsidRPr="007E7998">
        <w:rPr>
          <w:rFonts w:ascii="Arial" w:hAnsi="Arial" w:cs="Arial"/>
        </w:rPr>
        <w:t xml:space="preserve"> </w:t>
      </w:r>
      <w:r w:rsidR="007456AA" w:rsidRPr="007E7998">
        <w:rPr>
          <w:rFonts w:ascii="Arial" w:hAnsi="Arial" w:cs="Arial"/>
        </w:rPr>
        <w:t>cm</w:t>
      </w:r>
      <w:r w:rsidR="00706108" w:rsidRPr="007E7998">
        <w:rPr>
          <w:rFonts w:ascii="Arial" w:hAnsi="Arial" w:cs="Arial"/>
        </w:rPr>
        <w:t xml:space="preserve"> threshold for surgical intervention.</w:t>
      </w:r>
      <w:r w:rsidR="00017662" w:rsidRPr="007E7998">
        <w:rPr>
          <w:rFonts w:ascii="Arial" w:hAnsi="Arial" w:cs="Arial"/>
        </w:rPr>
        <w:t xml:space="preserve"> </w:t>
      </w:r>
      <w:r w:rsidR="00D968F5" w:rsidRPr="007E7998">
        <w:rPr>
          <w:rFonts w:ascii="Arial" w:hAnsi="Arial" w:cs="Arial"/>
        </w:rPr>
        <w:t>Similarly</w:t>
      </w:r>
      <w:r w:rsidR="00650906" w:rsidRPr="007E7998">
        <w:rPr>
          <w:rFonts w:ascii="Arial" w:hAnsi="Arial" w:cs="Arial"/>
        </w:rPr>
        <w:t>,</w:t>
      </w:r>
      <w:r w:rsidR="00D43202" w:rsidRPr="007E7998">
        <w:rPr>
          <w:rFonts w:ascii="Arial" w:hAnsi="Arial" w:cs="Arial"/>
        </w:rPr>
        <w:t xml:space="preserve"> at the </w:t>
      </w:r>
      <w:proofErr w:type="spellStart"/>
      <w:r w:rsidR="00D43202" w:rsidRPr="007E7998">
        <w:rPr>
          <w:rFonts w:ascii="Arial" w:hAnsi="Arial" w:cs="Arial"/>
        </w:rPr>
        <w:t>sino</w:t>
      </w:r>
      <w:proofErr w:type="spellEnd"/>
      <w:r w:rsidR="00D43202" w:rsidRPr="007E7998">
        <w:rPr>
          <w:rFonts w:ascii="Arial" w:hAnsi="Arial" w:cs="Arial"/>
        </w:rPr>
        <w:t xml:space="preserve">-tubular junction, </w:t>
      </w:r>
      <w:r w:rsidR="00DC1829" w:rsidRPr="007E7998">
        <w:rPr>
          <w:rFonts w:ascii="Arial" w:hAnsi="Arial" w:cs="Arial"/>
        </w:rPr>
        <w:t xml:space="preserve">some </w:t>
      </w:r>
      <w:r w:rsidR="00D0494B" w:rsidRPr="007E7998">
        <w:rPr>
          <w:rFonts w:ascii="Arial" w:hAnsi="Arial" w:cs="Arial"/>
        </w:rPr>
        <w:t>6</w:t>
      </w:r>
      <w:r w:rsidR="007B0608" w:rsidRPr="007E7998">
        <w:rPr>
          <w:rFonts w:ascii="Arial" w:hAnsi="Arial" w:cs="Arial"/>
        </w:rPr>
        <w:t>2.9</w:t>
      </w:r>
      <w:r w:rsidR="00D0494B" w:rsidRPr="007E7998">
        <w:rPr>
          <w:rFonts w:ascii="Arial" w:hAnsi="Arial" w:cs="Arial"/>
        </w:rPr>
        <w:t>% of patients with an abnormal</w:t>
      </w:r>
      <w:r w:rsidR="001C7691" w:rsidRPr="007E7998">
        <w:rPr>
          <w:rFonts w:ascii="Arial" w:hAnsi="Arial" w:cs="Arial"/>
        </w:rPr>
        <w:t xml:space="preserve"> IAA</w:t>
      </w:r>
      <w:r w:rsidR="00337B80" w:rsidRPr="007E7998">
        <w:rPr>
          <w:rFonts w:ascii="Arial" w:hAnsi="Arial" w:cs="Arial"/>
        </w:rPr>
        <w:t xml:space="preserve"> </w:t>
      </w:r>
      <w:r w:rsidR="00C310C3" w:rsidRPr="007E7998">
        <w:rPr>
          <w:rFonts w:ascii="Arial" w:hAnsi="Arial" w:cs="Arial"/>
        </w:rPr>
        <w:t>had</w:t>
      </w:r>
      <w:r w:rsidR="00337B80" w:rsidRPr="007E7998">
        <w:rPr>
          <w:rFonts w:ascii="Arial" w:hAnsi="Arial" w:cs="Arial"/>
        </w:rPr>
        <w:t xml:space="preserve"> a</w:t>
      </w:r>
      <w:r w:rsidR="004A05B8" w:rsidRPr="007E7998">
        <w:rPr>
          <w:rFonts w:ascii="Arial" w:hAnsi="Arial" w:cs="Arial"/>
        </w:rPr>
        <w:t xml:space="preserve"> mea</w:t>
      </w:r>
      <w:r w:rsidR="00337B80" w:rsidRPr="007E7998">
        <w:rPr>
          <w:rFonts w:ascii="Arial" w:hAnsi="Arial" w:cs="Arial"/>
        </w:rPr>
        <w:t>n aortic diameter &lt;5.5</w:t>
      </w:r>
      <w:r w:rsidR="003175B8" w:rsidRPr="007E7998">
        <w:rPr>
          <w:rFonts w:ascii="Arial" w:hAnsi="Arial" w:cs="Arial"/>
        </w:rPr>
        <w:t xml:space="preserve"> </w:t>
      </w:r>
      <w:r w:rsidR="00337B80" w:rsidRPr="007E7998">
        <w:rPr>
          <w:rFonts w:ascii="Arial" w:hAnsi="Arial" w:cs="Arial"/>
        </w:rPr>
        <w:t>cm</w:t>
      </w:r>
      <w:r w:rsidR="003175B8" w:rsidRPr="007E7998">
        <w:rPr>
          <w:rFonts w:ascii="Arial" w:hAnsi="Arial" w:cs="Arial"/>
        </w:rPr>
        <w:t>.</w:t>
      </w:r>
      <w:r w:rsidR="00860363" w:rsidRPr="007E7998">
        <w:rPr>
          <w:rFonts w:ascii="Arial" w:hAnsi="Arial" w:cs="Arial"/>
        </w:rPr>
        <w:t xml:space="preserve"> </w:t>
      </w:r>
      <w:r w:rsidR="00A258A6" w:rsidRPr="007E7998">
        <w:rPr>
          <w:rFonts w:ascii="Arial" w:hAnsi="Arial" w:cs="Arial"/>
        </w:rPr>
        <w:t xml:space="preserve">At </w:t>
      </w:r>
      <w:r w:rsidR="001B55C6" w:rsidRPr="007E7998">
        <w:rPr>
          <w:rFonts w:ascii="Arial" w:hAnsi="Arial" w:cs="Arial"/>
        </w:rPr>
        <w:t xml:space="preserve">the mid-ascending aortic location, </w:t>
      </w:r>
      <w:r w:rsidR="00295F3B" w:rsidRPr="007E7998">
        <w:rPr>
          <w:rFonts w:ascii="Arial" w:hAnsi="Arial" w:cs="Arial"/>
        </w:rPr>
        <w:t>5</w:t>
      </w:r>
      <w:r w:rsidR="00D6717D" w:rsidRPr="007E7998">
        <w:rPr>
          <w:rFonts w:ascii="Arial" w:hAnsi="Arial" w:cs="Arial"/>
        </w:rPr>
        <w:t>8.8</w:t>
      </w:r>
      <w:r w:rsidR="00295F3B" w:rsidRPr="007E7998">
        <w:rPr>
          <w:rFonts w:ascii="Arial" w:hAnsi="Arial" w:cs="Arial"/>
        </w:rPr>
        <w:t xml:space="preserve">% of </w:t>
      </w:r>
      <w:r w:rsidR="00C728F4" w:rsidRPr="007E7998">
        <w:rPr>
          <w:rFonts w:ascii="Arial" w:hAnsi="Arial" w:cs="Arial"/>
        </w:rPr>
        <w:t xml:space="preserve">the at-risk </w:t>
      </w:r>
      <w:r w:rsidR="00295F3B" w:rsidRPr="007E7998">
        <w:rPr>
          <w:rFonts w:ascii="Arial" w:hAnsi="Arial" w:cs="Arial"/>
        </w:rPr>
        <w:t>patients</w:t>
      </w:r>
      <w:r w:rsidR="00C728F4" w:rsidRPr="007E7998">
        <w:rPr>
          <w:rFonts w:ascii="Arial" w:hAnsi="Arial" w:cs="Arial"/>
        </w:rPr>
        <w:t xml:space="preserve"> with an abnormally high </w:t>
      </w:r>
      <w:r w:rsidR="006F4E0C" w:rsidRPr="007E7998">
        <w:rPr>
          <w:rFonts w:ascii="Arial" w:hAnsi="Arial" w:cs="Arial"/>
        </w:rPr>
        <w:t>IAA</w:t>
      </w:r>
      <w:r w:rsidR="00C728F4" w:rsidRPr="007E7998">
        <w:rPr>
          <w:rFonts w:ascii="Arial" w:hAnsi="Arial" w:cs="Arial"/>
        </w:rPr>
        <w:t xml:space="preserve"> had</w:t>
      </w:r>
      <w:r w:rsidR="00D82F01" w:rsidRPr="007E7998">
        <w:rPr>
          <w:rFonts w:ascii="Arial" w:hAnsi="Arial" w:cs="Arial"/>
        </w:rPr>
        <w:t xml:space="preserve"> a mean aortic diameter &lt;5.5 cm. </w:t>
      </w:r>
    </w:p>
    <w:p w:rsidR="00A836AC" w:rsidRPr="007E7998" w:rsidRDefault="00CA7B0A" w:rsidP="00C80B90">
      <w:pPr>
        <w:spacing w:line="480" w:lineRule="auto"/>
        <w:jc w:val="both"/>
        <w:rPr>
          <w:rFonts w:ascii="Arial" w:hAnsi="Arial" w:cs="Arial"/>
        </w:rPr>
      </w:pPr>
      <w:r w:rsidRPr="007E7998">
        <w:rPr>
          <w:rFonts w:ascii="Arial" w:hAnsi="Arial" w:cs="Arial"/>
        </w:rPr>
        <w:t xml:space="preserve">Only </w:t>
      </w:r>
      <w:r w:rsidR="009B6C2B" w:rsidRPr="007E7998">
        <w:rPr>
          <w:rFonts w:ascii="Arial" w:hAnsi="Arial" w:cs="Arial"/>
        </w:rPr>
        <w:t>139</w:t>
      </w:r>
      <w:r w:rsidR="00DB090E" w:rsidRPr="007E7998">
        <w:rPr>
          <w:rFonts w:ascii="Arial" w:hAnsi="Arial" w:cs="Arial"/>
        </w:rPr>
        <w:t xml:space="preserve"> patients</w:t>
      </w:r>
      <w:r w:rsidR="00371452" w:rsidRPr="007E7998">
        <w:rPr>
          <w:rFonts w:ascii="Arial" w:hAnsi="Arial" w:cs="Arial"/>
        </w:rPr>
        <w:t xml:space="preserve"> </w:t>
      </w:r>
      <w:r w:rsidR="009B6C2B" w:rsidRPr="007E7998">
        <w:rPr>
          <w:rFonts w:ascii="Arial" w:hAnsi="Arial" w:cs="Arial"/>
        </w:rPr>
        <w:t xml:space="preserve">(69.5%) </w:t>
      </w:r>
      <w:r w:rsidR="00371452" w:rsidRPr="007E7998">
        <w:rPr>
          <w:rFonts w:ascii="Arial" w:hAnsi="Arial" w:cs="Arial"/>
        </w:rPr>
        <w:t>out of the entire cohort of 20</w:t>
      </w:r>
      <w:r w:rsidR="001D098C" w:rsidRPr="007E7998">
        <w:rPr>
          <w:rFonts w:ascii="Arial" w:hAnsi="Arial" w:cs="Arial"/>
        </w:rPr>
        <w:t>0</w:t>
      </w:r>
      <w:r w:rsidR="00BD1C3D" w:rsidRPr="007E7998">
        <w:rPr>
          <w:rFonts w:ascii="Arial" w:hAnsi="Arial" w:cs="Arial"/>
        </w:rPr>
        <w:t xml:space="preserve"> patients who have an </w:t>
      </w:r>
      <w:r w:rsidR="009E58C5" w:rsidRPr="007E7998">
        <w:rPr>
          <w:rFonts w:ascii="Arial" w:hAnsi="Arial" w:cs="Arial"/>
        </w:rPr>
        <w:t xml:space="preserve">IAA </w:t>
      </w:r>
      <w:r w:rsidR="00BD1C3D" w:rsidRPr="007E7998">
        <w:rPr>
          <w:rFonts w:ascii="Arial" w:hAnsi="Arial" w:cs="Arial"/>
        </w:rPr>
        <w:t>&gt;10 cm</w:t>
      </w:r>
      <w:r w:rsidR="00BD1C3D" w:rsidRPr="007E7998">
        <w:rPr>
          <w:rFonts w:ascii="Arial" w:hAnsi="Arial" w:cs="Arial"/>
          <w:vertAlign w:val="superscript"/>
        </w:rPr>
        <w:t>2</w:t>
      </w:r>
      <w:r w:rsidR="00BD1C3D" w:rsidRPr="007E7998">
        <w:rPr>
          <w:rFonts w:ascii="Arial" w:hAnsi="Arial" w:cs="Arial"/>
        </w:rPr>
        <w:t xml:space="preserve">/m between the mid-sinus of Valsalva and mid-ascending aorta would be eligible for </w:t>
      </w:r>
      <w:r w:rsidR="008C73EA" w:rsidRPr="007E7998">
        <w:rPr>
          <w:rFonts w:ascii="Arial" w:hAnsi="Arial" w:cs="Arial"/>
        </w:rPr>
        <w:t>surgical intervention for the aortic root/ascending aort</w:t>
      </w:r>
      <w:r w:rsidR="003306DF" w:rsidRPr="007E7998">
        <w:rPr>
          <w:rFonts w:ascii="Arial" w:hAnsi="Arial" w:cs="Arial"/>
        </w:rPr>
        <w:t xml:space="preserve">a on the basis of </w:t>
      </w:r>
      <w:r w:rsidR="005B50DA" w:rsidRPr="007E7998">
        <w:rPr>
          <w:rFonts w:ascii="Arial" w:hAnsi="Arial" w:cs="Arial"/>
        </w:rPr>
        <w:t>existing guidelines.</w:t>
      </w:r>
    </w:p>
    <w:p w:rsidR="00C441AD" w:rsidRPr="007E7998" w:rsidRDefault="00C441AD" w:rsidP="00C80B90">
      <w:pPr>
        <w:spacing w:line="480" w:lineRule="auto"/>
        <w:jc w:val="both"/>
        <w:rPr>
          <w:rFonts w:ascii="Arial" w:hAnsi="Arial" w:cs="Arial"/>
          <w:b/>
        </w:rPr>
      </w:pPr>
    </w:p>
    <w:p w:rsidR="00B45010" w:rsidRPr="007E7998" w:rsidRDefault="00B45010" w:rsidP="00C80B90">
      <w:pPr>
        <w:spacing w:line="480" w:lineRule="auto"/>
        <w:jc w:val="both"/>
        <w:rPr>
          <w:rFonts w:ascii="Arial" w:hAnsi="Arial" w:cs="Arial"/>
          <w:b/>
        </w:rPr>
      </w:pPr>
      <w:r w:rsidRPr="007E7998">
        <w:rPr>
          <w:rFonts w:ascii="Arial" w:hAnsi="Arial" w:cs="Arial"/>
          <w:b/>
        </w:rPr>
        <w:t>Discussio</w:t>
      </w:r>
      <w:r w:rsidR="00A66291" w:rsidRPr="007E7998">
        <w:rPr>
          <w:rFonts w:ascii="Arial" w:hAnsi="Arial" w:cs="Arial"/>
          <w:b/>
        </w:rPr>
        <w:t>n</w:t>
      </w:r>
    </w:p>
    <w:p w:rsidR="004C7A92" w:rsidRPr="007E7998" w:rsidRDefault="008E3C51" w:rsidP="00C80B90">
      <w:pPr>
        <w:spacing w:line="480" w:lineRule="auto"/>
        <w:jc w:val="both"/>
        <w:rPr>
          <w:rFonts w:ascii="Arial" w:hAnsi="Arial" w:cs="Arial"/>
        </w:rPr>
      </w:pPr>
      <w:r w:rsidRPr="007E7998">
        <w:rPr>
          <w:rFonts w:ascii="Arial" w:hAnsi="Arial" w:cs="Arial"/>
        </w:rPr>
        <w:lastRenderedPageBreak/>
        <w:t>We performed a retrospective observational study to assess the correlation between aortic diameter</w:t>
      </w:r>
      <w:r w:rsidR="004C7A92" w:rsidRPr="007E7998">
        <w:rPr>
          <w:rFonts w:ascii="Arial" w:hAnsi="Arial" w:cs="Arial"/>
        </w:rPr>
        <w:t xml:space="preserve"> and </w:t>
      </w:r>
      <w:r w:rsidR="008509CA" w:rsidRPr="007E7998">
        <w:rPr>
          <w:rFonts w:ascii="Arial" w:hAnsi="Arial" w:cs="Arial"/>
        </w:rPr>
        <w:t>IAA</w:t>
      </w:r>
      <w:r w:rsidRPr="007E7998">
        <w:rPr>
          <w:rFonts w:ascii="Arial" w:hAnsi="Arial" w:cs="Arial"/>
        </w:rPr>
        <w:t xml:space="preserve"> in 1</w:t>
      </w:r>
      <w:r w:rsidR="0022046E" w:rsidRPr="007E7998">
        <w:rPr>
          <w:rFonts w:ascii="Arial" w:hAnsi="Arial" w:cs="Arial"/>
        </w:rPr>
        <w:t>87</w:t>
      </w:r>
      <w:r w:rsidRPr="007E7998">
        <w:rPr>
          <w:rFonts w:ascii="Arial" w:hAnsi="Arial" w:cs="Arial"/>
        </w:rPr>
        <w:t xml:space="preserve"> patients with</w:t>
      </w:r>
      <w:r w:rsidR="0022046E" w:rsidRPr="007E7998">
        <w:rPr>
          <w:rFonts w:ascii="Arial" w:hAnsi="Arial" w:cs="Arial"/>
        </w:rPr>
        <w:t xml:space="preserve"> thoracic aortic aneurysm and 66</w:t>
      </w:r>
      <w:r w:rsidRPr="007E7998">
        <w:rPr>
          <w:rFonts w:ascii="Arial" w:hAnsi="Arial" w:cs="Arial"/>
        </w:rPr>
        <w:t xml:space="preserve"> patients with acute type </w:t>
      </w:r>
      <w:proofErr w:type="gramStart"/>
      <w:r w:rsidRPr="007E7998">
        <w:rPr>
          <w:rFonts w:ascii="Arial" w:hAnsi="Arial" w:cs="Arial"/>
        </w:rPr>
        <w:t>A</w:t>
      </w:r>
      <w:proofErr w:type="gramEnd"/>
      <w:r w:rsidRPr="007E7998">
        <w:rPr>
          <w:rFonts w:ascii="Arial" w:hAnsi="Arial" w:cs="Arial"/>
        </w:rPr>
        <w:t xml:space="preserve"> dissection. </w:t>
      </w:r>
      <w:r w:rsidR="00911383" w:rsidRPr="007E7998">
        <w:rPr>
          <w:rFonts w:ascii="Arial" w:hAnsi="Arial" w:cs="Arial"/>
        </w:rPr>
        <w:t>Our study population was limited solely to those patients presenting to us for surgical management of diseased aortas. Of course, there may be a very large group of patients undergoing surveillance for mild proximal aortic dilatation, in whom the IAA may exceed 10 cm</w:t>
      </w:r>
      <w:r w:rsidR="00911383" w:rsidRPr="007E7998">
        <w:rPr>
          <w:rFonts w:ascii="Arial" w:hAnsi="Arial" w:cs="Arial"/>
          <w:vertAlign w:val="superscript"/>
        </w:rPr>
        <w:t>2</w:t>
      </w:r>
      <w:r w:rsidR="00911383" w:rsidRPr="007E7998">
        <w:rPr>
          <w:rFonts w:ascii="Arial" w:hAnsi="Arial" w:cs="Arial"/>
        </w:rPr>
        <w:t xml:space="preserve">/m, but who have not yet been selected for surgical intervention based on </w:t>
      </w:r>
      <w:r w:rsidR="00AE07D1" w:rsidRPr="007E7998">
        <w:rPr>
          <w:rFonts w:ascii="Arial" w:hAnsi="Arial" w:cs="Arial"/>
        </w:rPr>
        <w:t xml:space="preserve">traditional </w:t>
      </w:r>
      <w:r w:rsidR="00911383" w:rsidRPr="007E7998">
        <w:rPr>
          <w:rFonts w:ascii="Arial" w:hAnsi="Arial" w:cs="Arial"/>
        </w:rPr>
        <w:t xml:space="preserve">aortic size criteria, or who have not undergone acute dissection. </w:t>
      </w:r>
    </w:p>
    <w:p w:rsidR="00C32D7D" w:rsidRPr="007E7998" w:rsidRDefault="000B2001" w:rsidP="00701083">
      <w:pPr>
        <w:spacing w:line="480" w:lineRule="auto"/>
        <w:jc w:val="both"/>
        <w:rPr>
          <w:rFonts w:ascii="Arial" w:hAnsi="Arial" w:cs="Arial"/>
        </w:rPr>
      </w:pPr>
      <w:r w:rsidRPr="007E7998">
        <w:rPr>
          <w:rFonts w:ascii="Arial" w:hAnsi="Arial" w:cs="Arial"/>
        </w:rPr>
        <w:t>W</w:t>
      </w:r>
      <w:r w:rsidR="000E1EF8" w:rsidRPr="007E7998">
        <w:rPr>
          <w:rFonts w:ascii="Arial" w:hAnsi="Arial" w:cs="Arial"/>
        </w:rPr>
        <w:t xml:space="preserve">e noted that </w:t>
      </w:r>
      <w:r w:rsidR="00EF66ED" w:rsidRPr="007E7998">
        <w:rPr>
          <w:rFonts w:ascii="Arial" w:hAnsi="Arial" w:cs="Arial"/>
        </w:rPr>
        <w:t xml:space="preserve">dissected aortas had mean </w:t>
      </w:r>
      <w:r w:rsidR="005E1C4E" w:rsidRPr="007E7998">
        <w:rPr>
          <w:rFonts w:ascii="Arial" w:hAnsi="Arial" w:cs="Arial"/>
        </w:rPr>
        <w:t xml:space="preserve">aortic root/mid-ascending </w:t>
      </w:r>
      <w:r w:rsidR="00EF66ED" w:rsidRPr="007E7998">
        <w:rPr>
          <w:rFonts w:ascii="Arial" w:hAnsi="Arial" w:cs="Arial"/>
        </w:rPr>
        <w:t>diameters &lt;5.5 cm on presentation</w:t>
      </w:r>
      <w:r w:rsidR="004C7E5A" w:rsidRPr="007E7998">
        <w:rPr>
          <w:rFonts w:ascii="Arial" w:hAnsi="Arial" w:cs="Arial"/>
        </w:rPr>
        <w:t xml:space="preserve"> (Table 2)</w:t>
      </w:r>
      <w:r w:rsidR="00EF66ED" w:rsidRPr="007E7998">
        <w:rPr>
          <w:rFonts w:ascii="Arial" w:hAnsi="Arial" w:cs="Arial"/>
        </w:rPr>
        <w:t>.</w:t>
      </w:r>
      <w:r w:rsidR="000E1EF8" w:rsidRPr="007E7998">
        <w:rPr>
          <w:rFonts w:ascii="Arial" w:hAnsi="Arial" w:cs="Arial"/>
        </w:rPr>
        <w:t xml:space="preserve"> </w:t>
      </w:r>
      <w:r w:rsidR="004E4E8F" w:rsidRPr="007E7998">
        <w:rPr>
          <w:rFonts w:ascii="Arial" w:hAnsi="Arial" w:cs="Arial"/>
        </w:rPr>
        <w:t>Considering that the diameter of an acutely-dissected aorta will likely increase</w:t>
      </w:r>
      <w:r w:rsidR="00C32D7D" w:rsidRPr="007E7998">
        <w:rPr>
          <w:rFonts w:ascii="Arial" w:hAnsi="Arial" w:cs="Arial"/>
        </w:rPr>
        <w:t xml:space="preserve"> </w:t>
      </w:r>
      <w:r w:rsidR="004E4E8F" w:rsidRPr="007E7998">
        <w:rPr>
          <w:rFonts w:ascii="Arial" w:hAnsi="Arial" w:cs="Arial"/>
        </w:rPr>
        <w:t>compared to its pre-dissected state, with haematoma expansion and resultant  separation of the aortic wall layers, this suggests that the &lt;5.5 cm mean diameter of the dissected aortas seen in our group would have been even smaller prior to the dissection event [</w:t>
      </w:r>
      <w:r w:rsidR="007F28C3" w:rsidRPr="007E7998">
        <w:rPr>
          <w:rFonts w:ascii="Arial" w:hAnsi="Arial" w:cs="Arial"/>
        </w:rPr>
        <w:t>4</w:t>
      </w:r>
      <w:r w:rsidR="004E4E8F" w:rsidRPr="007E7998">
        <w:rPr>
          <w:rFonts w:ascii="Arial" w:hAnsi="Arial" w:cs="Arial"/>
        </w:rPr>
        <w:t>].</w:t>
      </w:r>
    </w:p>
    <w:p w:rsidR="00701083" w:rsidRPr="007E7998" w:rsidRDefault="00701083" w:rsidP="00701083">
      <w:pPr>
        <w:spacing w:line="480" w:lineRule="auto"/>
        <w:jc w:val="both"/>
        <w:rPr>
          <w:rFonts w:ascii="Arial" w:hAnsi="Arial" w:cs="Arial"/>
        </w:rPr>
      </w:pPr>
      <w:r w:rsidRPr="007E7998">
        <w:rPr>
          <w:rFonts w:ascii="Arial" w:hAnsi="Arial" w:cs="Arial"/>
        </w:rPr>
        <w:t xml:space="preserve">Current guidelines </w:t>
      </w:r>
      <w:r w:rsidR="002F2049" w:rsidRPr="007E7998">
        <w:rPr>
          <w:rFonts w:ascii="Arial" w:hAnsi="Arial" w:cs="Arial"/>
        </w:rPr>
        <w:t>advocate</w:t>
      </w:r>
      <w:r w:rsidRPr="007E7998">
        <w:rPr>
          <w:rFonts w:ascii="Arial" w:hAnsi="Arial" w:cs="Arial"/>
        </w:rPr>
        <w:t xml:space="preserve"> </w:t>
      </w:r>
      <w:r w:rsidR="002F2049" w:rsidRPr="007E7998">
        <w:rPr>
          <w:rFonts w:ascii="Arial" w:hAnsi="Arial" w:cs="Arial"/>
        </w:rPr>
        <w:t xml:space="preserve">prophylactic </w:t>
      </w:r>
      <w:r w:rsidRPr="007E7998">
        <w:rPr>
          <w:rFonts w:ascii="Arial" w:hAnsi="Arial" w:cs="Arial"/>
        </w:rPr>
        <w:t xml:space="preserve">aortic replacement at absolute aortic </w:t>
      </w:r>
      <w:r w:rsidR="002F2049" w:rsidRPr="007E7998">
        <w:rPr>
          <w:rFonts w:ascii="Arial" w:eastAsia="Calibri" w:hAnsi="Arial" w:cs="Arial"/>
        </w:rPr>
        <w:t xml:space="preserve">diameters of 4.5-5.5 cm in tricuspid </w:t>
      </w:r>
      <w:r w:rsidR="001A3233" w:rsidRPr="007E7998">
        <w:rPr>
          <w:rFonts w:ascii="Arial" w:eastAsia="Calibri" w:hAnsi="Arial" w:cs="Arial"/>
        </w:rPr>
        <w:t>and bicuspid aortic valves</w:t>
      </w:r>
      <w:r w:rsidR="002F2049" w:rsidRPr="007E7998">
        <w:rPr>
          <w:rFonts w:ascii="Arial" w:eastAsia="Calibri" w:hAnsi="Arial" w:cs="Arial"/>
        </w:rPr>
        <w:t>, or 4.0-4.5 cm with inherited aortopathies,</w:t>
      </w:r>
      <w:r w:rsidRPr="007E7998">
        <w:rPr>
          <w:rFonts w:ascii="Arial" w:hAnsi="Arial" w:cs="Arial"/>
        </w:rPr>
        <w:t xml:space="preserve"> such as </w:t>
      </w:r>
      <w:proofErr w:type="spellStart"/>
      <w:r w:rsidRPr="007E7998">
        <w:rPr>
          <w:rFonts w:ascii="Arial" w:hAnsi="Arial" w:cs="Arial"/>
        </w:rPr>
        <w:t>Marfan</w:t>
      </w:r>
      <w:proofErr w:type="spellEnd"/>
      <w:r w:rsidRPr="007E7998">
        <w:rPr>
          <w:rFonts w:ascii="Arial" w:hAnsi="Arial" w:cs="Arial"/>
        </w:rPr>
        <w:t xml:space="preserve"> and Ehlers-</w:t>
      </w:r>
      <w:proofErr w:type="spellStart"/>
      <w:r w:rsidRPr="007E7998">
        <w:rPr>
          <w:rFonts w:ascii="Arial" w:hAnsi="Arial" w:cs="Arial"/>
        </w:rPr>
        <w:t>Danlos</w:t>
      </w:r>
      <w:proofErr w:type="spellEnd"/>
      <w:r w:rsidRPr="007E7998">
        <w:rPr>
          <w:rFonts w:ascii="Arial" w:hAnsi="Arial" w:cs="Arial"/>
        </w:rPr>
        <w:t xml:space="preserve"> syndromes [</w:t>
      </w:r>
      <w:r w:rsidR="007F28C3" w:rsidRPr="007E7998">
        <w:rPr>
          <w:rFonts w:ascii="Arial" w:hAnsi="Arial" w:cs="Arial"/>
        </w:rPr>
        <w:t>3</w:t>
      </w:r>
      <w:r w:rsidRPr="007E7998">
        <w:rPr>
          <w:rFonts w:ascii="Arial" w:hAnsi="Arial" w:cs="Arial"/>
        </w:rPr>
        <w:t>]. However, 40% of patients presenting with type A aortic dissection</w:t>
      </w:r>
      <w:r w:rsidR="001A28CA" w:rsidRPr="007E7998">
        <w:rPr>
          <w:rFonts w:ascii="Arial" w:hAnsi="Arial" w:cs="Arial"/>
        </w:rPr>
        <w:t xml:space="preserve"> have an aortic diameter &lt;5 cm</w:t>
      </w:r>
      <w:r w:rsidRPr="007E7998">
        <w:rPr>
          <w:rFonts w:ascii="Arial" w:hAnsi="Arial" w:cs="Arial"/>
        </w:rPr>
        <w:t>, at which size 15% of patients with Marfan syndrome</w:t>
      </w:r>
      <w:r w:rsidR="00A73600" w:rsidRPr="007E7998">
        <w:rPr>
          <w:rFonts w:ascii="Arial" w:hAnsi="Arial" w:cs="Arial"/>
        </w:rPr>
        <w:t>, who have the highest lifetime risk of aortic dissection,</w:t>
      </w:r>
      <w:r w:rsidRPr="007E7998">
        <w:rPr>
          <w:rFonts w:ascii="Arial" w:hAnsi="Arial" w:cs="Arial"/>
        </w:rPr>
        <w:t xml:space="preserve"> </w:t>
      </w:r>
      <w:r w:rsidR="00373FDE" w:rsidRPr="007E7998">
        <w:rPr>
          <w:rFonts w:ascii="Arial" w:hAnsi="Arial" w:cs="Arial"/>
        </w:rPr>
        <w:t xml:space="preserve">will </w:t>
      </w:r>
      <w:r w:rsidRPr="007E7998">
        <w:rPr>
          <w:rFonts w:ascii="Arial" w:hAnsi="Arial" w:cs="Arial"/>
        </w:rPr>
        <w:t>undergo dissection or rupture [</w:t>
      </w:r>
      <w:r w:rsidR="006E724F" w:rsidRPr="007E7998">
        <w:rPr>
          <w:rFonts w:ascii="Arial" w:hAnsi="Arial" w:cs="Arial"/>
        </w:rPr>
        <w:t>4-6</w:t>
      </w:r>
      <w:r w:rsidRPr="007E7998">
        <w:rPr>
          <w:rFonts w:ascii="Arial" w:hAnsi="Arial" w:cs="Arial"/>
        </w:rPr>
        <w:t xml:space="preserve">]. </w:t>
      </w:r>
      <w:r w:rsidR="0051128E" w:rsidRPr="007E7998">
        <w:rPr>
          <w:rFonts w:ascii="Arial" w:eastAsia="Calibri" w:hAnsi="Arial" w:cs="Arial"/>
        </w:rPr>
        <w:t>Loss of aortic elastic tissue in bicuspid-valve related aneurysms means dissection risk in this patient population is not dissimilar to those with Marfan syndrome [</w:t>
      </w:r>
      <w:r w:rsidR="0073298D" w:rsidRPr="007E7998">
        <w:rPr>
          <w:rFonts w:ascii="Arial" w:eastAsia="Calibri" w:hAnsi="Arial" w:cs="Arial"/>
        </w:rPr>
        <w:t>2</w:t>
      </w:r>
      <w:proofErr w:type="gramStart"/>
      <w:r w:rsidR="006E724F" w:rsidRPr="007E7998">
        <w:rPr>
          <w:rFonts w:ascii="Arial" w:eastAsia="Calibri" w:hAnsi="Arial" w:cs="Arial"/>
        </w:rPr>
        <w:t>,7</w:t>
      </w:r>
      <w:proofErr w:type="gramEnd"/>
      <w:r w:rsidR="00042945" w:rsidRPr="007E7998">
        <w:rPr>
          <w:rFonts w:ascii="Arial" w:eastAsia="Calibri" w:hAnsi="Arial" w:cs="Arial"/>
        </w:rPr>
        <w:t>]</w:t>
      </w:r>
      <w:r w:rsidR="0051128E" w:rsidRPr="007E7998">
        <w:rPr>
          <w:rFonts w:ascii="Arial" w:eastAsia="Calibri" w:hAnsi="Arial" w:cs="Arial"/>
        </w:rPr>
        <w:t xml:space="preserve">. This questions the true prognostic value of the absolute aortic diameter, and emphasises the need for optimal timing of surgical intervention, especially in those patients under surveillance who do not meet established size criteria for surgery, but may still be at significant risk of dissection. </w:t>
      </w:r>
      <w:r w:rsidRPr="007E7998">
        <w:rPr>
          <w:rFonts w:ascii="Arial" w:hAnsi="Arial" w:cs="Arial"/>
        </w:rPr>
        <w:t xml:space="preserve">Additionally, utilisation of absolute aortic diameter in existing guidelines fails to account for size, height and gender differences in aortic dimensions, as well as the irregular elliptical shape of the aorta. </w:t>
      </w:r>
      <w:r w:rsidR="00B958BF" w:rsidRPr="007E7998">
        <w:rPr>
          <w:rFonts w:ascii="Arial" w:hAnsi="Arial" w:cs="Arial"/>
        </w:rPr>
        <w:t xml:space="preserve"> </w:t>
      </w:r>
    </w:p>
    <w:p w:rsidR="0058439F" w:rsidRPr="007E7998" w:rsidRDefault="0058439F" w:rsidP="0058439F">
      <w:pPr>
        <w:spacing w:line="480" w:lineRule="auto"/>
        <w:jc w:val="both"/>
        <w:rPr>
          <w:rFonts w:ascii="Arial" w:hAnsi="Arial" w:cs="Arial"/>
        </w:rPr>
      </w:pPr>
      <w:r w:rsidRPr="007E7998">
        <w:rPr>
          <w:rFonts w:ascii="Arial" w:hAnsi="Arial" w:cs="Arial"/>
        </w:rPr>
        <w:lastRenderedPageBreak/>
        <w:t>More recently, there has been greater emphasis on indexing aortic cross-sectional area to patient height for dissection and mortality risk stratification in dilated aortas with both bicuspid and tri-leaflet aortic valves [</w:t>
      </w:r>
      <w:r w:rsidR="00F706B0" w:rsidRPr="007E7998">
        <w:rPr>
          <w:rFonts w:ascii="Arial" w:hAnsi="Arial" w:cs="Arial"/>
        </w:rPr>
        <w:t>1,2,5</w:t>
      </w:r>
      <w:r w:rsidRPr="007E7998">
        <w:rPr>
          <w:rFonts w:ascii="Arial" w:hAnsi="Arial" w:cs="Arial"/>
        </w:rPr>
        <w:t>].  An IAA &gt;10 cm</w:t>
      </w:r>
      <w:r w:rsidRPr="007E7998">
        <w:rPr>
          <w:rFonts w:ascii="Arial" w:hAnsi="Arial" w:cs="Arial"/>
          <w:vertAlign w:val="superscript"/>
        </w:rPr>
        <w:t>2</w:t>
      </w:r>
      <w:r w:rsidRPr="007E7998">
        <w:rPr>
          <w:rFonts w:ascii="Arial" w:hAnsi="Arial" w:cs="Arial"/>
        </w:rPr>
        <w:t>/m has been determined  as a cut-off value after which prophylactic aortic root with or without ascending aortic replacement is advocated for curative potential and thus to improve long-term survival [</w:t>
      </w:r>
      <w:r w:rsidR="0073298D" w:rsidRPr="007E7998">
        <w:rPr>
          <w:rFonts w:ascii="Arial" w:hAnsi="Arial" w:cs="Arial"/>
        </w:rPr>
        <w:t>1</w:t>
      </w:r>
      <w:r w:rsidRPr="007E7998">
        <w:rPr>
          <w:rFonts w:ascii="Arial" w:hAnsi="Arial" w:cs="Arial"/>
        </w:rPr>
        <w:t>].</w:t>
      </w:r>
      <w:r w:rsidRPr="007E7998">
        <w:rPr>
          <w:rFonts w:ascii="Arial" w:hAnsi="Arial" w:cs="Arial"/>
        </w:rPr>
        <w:softHyphen/>
      </w:r>
      <w:r w:rsidRPr="007E7998">
        <w:rPr>
          <w:rFonts w:ascii="Arial" w:hAnsi="Arial" w:cs="Arial"/>
        </w:rPr>
        <w:softHyphen/>
      </w:r>
      <w:r w:rsidRPr="007E7998">
        <w:rPr>
          <w:rFonts w:ascii="Arial" w:hAnsi="Arial" w:cs="Arial"/>
        </w:rPr>
        <w:softHyphen/>
      </w:r>
      <w:r w:rsidRPr="007E7998">
        <w:rPr>
          <w:rFonts w:ascii="Arial" w:hAnsi="Arial" w:cs="Arial"/>
        </w:rPr>
        <w:softHyphen/>
      </w:r>
      <w:r w:rsidRPr="007E7998">
        <w:rPr>
          <w:rFonts w:ascii="Arial" w:hAnsi="Arial" w:cs="Arial"/>
        </w:rPr>
        <w:softHyphen/>
      </w:r>
      <w:r w:rsidRPr="007E7998">
        <w:rPr>
          <w:rFonts w:ascii="Arial" w:hAnsi="Arial" w:cs="Arial"/>
        </w:rPr>
        <w:softHyphen/>
      </w:r>
      <w:r w:rsidRPr="007E7998">
        <w:rPr>
          <w:rFonts w:ascii="Arial" w:hAnsi="Arial" w:cs="Arial"/>
        </w:rPr>
        <w:softHyphen/>
      </w:r>
      <w:r w:rsidRPr="007E7998">
        <w:rPr>
          <w:rFonts w:ascii="Arial" w:hAnsi="Arial" w:cs="Arial"/>
        </w:rPr>
        <w:softHyphen/>
      </w:r>
    </w:p>
    <w:p w:rsidR="008E3C51" w:rsidRPr="007E7998" w:rsidRDefault="00FF7A0A" w:rsidP="00C80B90">
      <w:pPr>
        <w:spacing w:line="480" w:lineRule="auto"/>
        <w:jc w:val="both"/>
        <w:rPr>
          <w:rFonts w:ascii="Arial" w:hAnsi="Arial" w:cs="Arial"/>
        </w:rPr>
      </w:pPr>
      <w:r w:rsidRPr="007E7998">
        <w:rPr>
          <w:rFonts w:ascii="Arial" w:hAnsi="Arial" w:cs="Arial"/>
        </w:rPr>
        <w:t>In the present study, w</w:t>
      </w:r>
      <w:r w:rsidR="008E3C51" w:rsidRPr="007E7998">
        <w:rPr>
          <w:rFonts w:ascii="Arial" w:eastAsia="Calibri" w:hAnsi="Arial" w:cs="Arial"/>
        </w:rPr>
        <w:t>e found that me</w:t>
      </w:r>
      <w:r w:rsidR="00936113" w:rsidRPr="007E7998">
        <w:rPr>
          <w:rFonts w:ascii="Arial" w:eastAsia="Calibri" w:hAnsi="Arial" w:cs="Arial"/>
        </w:rPr>
        <w:t>dian</w:t>
      </w:r>
      <w:r w:rsidR="008E3C51" w:rsidRPr="007E7998">
        <w:rPr>
          <w:rFonts w:ascii="Arial" w:eastAsia="Calibri" w:hAnsi="Arial" w:cs="Arial"/>
        </w:rPr>
        <w:t xml:space="preserve"> </w:t>
      </w:r>
      <w:r w:rsidR="00AF4CAF" w:rsidRPr="007E7998">
        <w:rPr>
          <w:rFonts w:ascii="Arial" w:eastAsia="Calibri" w:hAnsi="Arial" w:cs="Arial"/>
        </w:rPr>
        <w:t>IAA</w:t>
      </w:r>
      <w:r w:rsidR="008E3C51" w:rsidRPr="007E7998">
        <w:rPr>
          <w:rFonts w:ascii="Arial" w:eastAsia="Calibri" w:hAnsi="Arial" w:cs="Arial"/>
        </w:rPr>
        <w:t>s were comparable between groups</w:t>
      </w:r>
      <w:r w:rsidR="00892B11" w:rsidRPr="007E7998">
        <w:rPr>
          <w:rFonts w:ascii="Arial" w:eastAsia="Calibri" w:hAnsi="Arial" w:cs="Arial"/>
        </w:rPr>
        <w:t xml:space="preserve"> from the mid-s</w:t>
      </w:r>
      <w:r w:rsidR="007B6575" w:rsidRPr="007E7998">
        <w:rPr>
          <w:rFonts w:ascii="Arial" w:eastAsia="Calibri" w:hAnsi="Arial" w:cs="Arial"/>
        </w:rPr>
        <w:t>inus to the mid-ascending aorta</w:t>
      </w:r>
      <w:r w:rsidR="009D03E0" w:rsidRPr="007E7998">
        <w:rPr>
          <w:rFonts w:ascii="Arial" w:eastAsia="Calibri" w:hAnsi="Arial" w:cs="Arial"/>
        </w:rPr>
        <w:t xml:space="preserve"> (Table 3)</w:t>
      </w:r>
      <w:r w:rsidR="00892B11" w:rsidRPr="007E7998">
        <w:rPr>
          <w:rFonts w:ascii="Arial" w:eastAsia="Calibri" w:hAnsi="Arial" w:cs="Arial"/>
        </w:rPr>
        <w:t>. Median IAAs</w:t>
      </w:r>
      <w:r w:rsidR="008E3C51" w:rsidRPr="007E7998">
        <w:rPr>
          <w:rFonts w:ascii="Arial" w:eastAsia="Calibri" w:hAnsi="Arial" w:cs="Arial"/>
        </w:rPr>
        <w:t xml:space="preserve"> exceeded the critical 10 </w:t>
      </w:r>
      <w:r w:rsidR="008E3C51" w:rsidRPr="007E7998">
        <w:rPr>
          <w:rFonts w:ascii="Arial" w:hAnsi="Arial" w:cs="Arial"/>
        </w:rPr>
        <w:t>cm</w:t>
      </w:r>
      <w:r w:rsidR="008E3C51" w:rsidRPr="007E7998">
        <w:rPr>
          <w:rFonts w:ascii="Arial" w:hAnsi="Arial" w:cs="Arial"/>
          <w:vertAlign w:val="superscript"/>
        </w:rPr>
        <w:t>2</w:t>
      </w:r>
      <w:r w:rsidR="008E3C51" w:rsidRPr="007E7998">
        <w:rPr>
          <w:rFonts w:ascii="Arial" w:hAnsi="Arial" w:cs="Arial"/>
        </w:rPr>
        <w:t>/m point at the ascending aortic location,</w:t>
      </w:r>
      <w:r w:rsidR="008E3C51" w:rsidRPr="007E7998">
        <w:rPr>
          <w:rFonts w:ascii="Arial" w:eastAsia="Calibri" w:hAnsi="Arial" w:cs="Arial"/>
        </w:rPr>
        <w:t xml:space="preserve"> suggesting that aneurysm patients may be at risk of dissection once an</w:t>
      </w:r>
      <w:r w:rsidR="00DD1E5F" w:rsidRPr="007E7998">
        <w:rPr>
          <w:rFonts w:ascii="Arial" w:eastAsia="Calibri" w:hAnsi="Arial" w:cs="Arial"/>
        </w:rPr>
        <w:t xml:space="preserve"> IAA</w:t>
      </w:r>
      <w:r w:rsidR="008E3C51" w:rsidRPr="007E7998">
        <w:rPr>
          <w:rFonts w:ascii="Arial" w:eastAsia="Calibri" w:hAnsi="Arial" w:cs="Arial"/>
        </w:rPr>
        <w:t xml:space="preserve"> </w:t>
      </w:r>
      <w:proofErr w:type="gramStart"/>
      <w:r w:rsidR="008E3C51" w:rsidRPr="007E7998">
        <w:rPr>
          <w:rFonts w:ascii="Arial" w:eastAsia="Calibri" w:hAnsi="Arial" w:cs="Arial"/>
        </w:rPr>
        <w:t xml:space="preserve">of 10 </w:t>
      </w:r>
      <w:r w:rsidR="008E3C51" w:rsidRPr="007E7998">
        <w:rPr>
          <w:rFonts w:ascii="Arial" w:hAnsi="Arial" w:cs="Arial"/>
        </w:rPr>
        <w:t>cm</w:t>
      </w:r>
      <w:r w:rsidR="008E3C51" w:rsidRPr="007E7998">
        <w:rPr>
          <w:rFonts w:ascii="Arial" w:hAnsi="Arial" w:cs="Arial"/>
          <w:vertAlign w:val="superscript"/>
        </w:rPr>
        <w:t>2</w:t>
      </w:r>
      <w:r w:rsidR="008E3C51" w:rsidRPr="007E7998">
        <w:rPr>
          <w:rFonts w:ascii="Arial" w:hAnsi="Arial" w:cs="Arial"/>
        </w:rPr>
        <w:t>/m</w:t>
      </w:r>
      <w:proofErr w:type="gramEnd"/>
      <w:r w:rsidR="008E3C51" w:rsidRPr="007E7998">
        <w:rPr>
          <w:rFonts w:ascii="Arial" w:hAnsi="Arial" w:cs="Arial"/>
        </w:rPr>
        <w:t xml:space="preserve"> is exceeded.</w:t>
      </w:r>
      <w:r w:rsidR="00936113" w:rsidRPr="007E7998">
        <w:rPr>
          <w:rFonts w:ascii="Arial" w:hAnsi="Arial" w:cs="Arial"/>
        </w:rPr>
        <w:t xml:space="preserve"> </w:t>
      </w:r>
      <w:r w:rsidR="008E3C51" w:rsidRPr="007E7998">
        <w:rPr>
          <w:rFonts w:ascii="Arial" w:hAnsi="Arial" w:cs="Arial"/>
        </w:rPr>
        <w:t xml:space="preserve">Based on measurements at the mid-ascending aorta, over half of patients </w:t>
      </w:r>
      <w:r w:rsidR="00D33249" w:rsidRPr="007E7998">
        <w:rPr>
          <w:rFonts w:ascii="Arial" w:hAnsi="Arial" w:cs="Arial"/>
        </w:rPr>
        <w:t xml:space="preserve">(106/187) </w:t>
      </w:r>
      <w:r w:rsidR="008E3C51" w:rsidRPr="007E7998">
        <w:rPr>
          <w:rFonts w:ascii="Arial" w:hAnsi="Arial" w:cs="Arial"/>
        </w:rPr>
        <w:t xml:space="preserve">in the aneurysm group were </w:t>
      </w:r>
      <w:r w:rsidR="000D6505" w:rsidRPr="007E7998">
        <w:rPr>
          <w:rFonts w:ascii="Arial" w:hAnsi="Arial" w:cs="Arial"/>
        </w:rPr>
        <w:t xml:space="preserve">shown to be </w:t>
      </w:r>
      <w:r w:rsidR="008E3C51" w:rsidRPr="007E7998">
        <w:rPr>
          <w:rFonts w:ascii="Arial" w:hAnsi="Arial" w:cs="Arial"/>
        </w:rPr>
        <w:t xml:space="preserve">at risk with </w:t>
      </w:r>
      <w:r w:rsidR="002B1B87" w:rsidRPr="007E7998">
        <w:rPr>
          <w:rFonts w:ascii="Arial" w:hAnsi="Arial" w:cs="Arial"/>
        </w:rPr>
        <w:t>IAA</w:t>
      </w:r>
      <w:r w:rsidR="008E3C51" w:rsidRPr="007E7998">
        <w:rPr>
          <w:rFonts w:ascii="Arial" w:hAnsi="Arial" w:cs="Arial"/>
        </w:rPr>
        <w:t>s &gt;10 cm</w:t>
      </w:r>
      <w:r w:rsidR="008E3C51" w:rsidRPr="007E7998">
        <w:rPr>
          <w:rFonts w:ascii="Arial" w:hAnsi="Arial" w:cs="Arial"/>
          <w:vertAlign w:val="superscript"/>
        </w:rPr>
        <w:t>2</w:t>
      </w:r>
      <w:r w:rsidR="008E3C51" w:rsidRPr="007E7998">
        <w:rPr>
          <w:rFonts w:ascii="Arial" w:hAnsi="Arial" w:cs="Arial"/>
        </w:rPr>
        <w:t xml:space="preserve">/m; the same was true for over a third </w:t>
      </w:r>
      <w:r w:rsidR="006871D7" w:rsidRPr="007E7998">
        <w:rPr>
          <w:rFonts w:ascii="Arial" w:hAnsi="Arial" w:cs="Arial"/>
        </w:rPr>
        <w:t xml:space="preserve">(74/187) </w:t>
      </w:r>
      <w:r w:rsidR="008E3C51" w:rsidRPr="007E7998">
        <w:rPr>
          <w:rFonts w:ascii="Arial" w:hAnsi="Arial" w:cs="Arial"/>
        </w:rPr>
        <w:t xml:space="preserve">of aneurysm patients </w:t>
      </w:r>
      <w:r w:rsidR="002B691F" w:rsidRPr="007E7998">
        <w:rPr>
          <w:rFonts w:ascii="Arial" w:hAnsi="Arial" w:cs="Arial"/>
        </w:rPr>
        <w:t xml:space="preserve">based </w:t>
      </w:r>
      <w:r w:rsidR="008E3C51" w:rsidRPr="007E7998">
        <w:rPr>
          <w:rFonts w:ascii="Arial" w:hAnsi="Arial" w:cs="Arial"/>
        </w:rPr>
        <w:t>on mid-sinus measurements</w:t>
      </w:r>
      <w:r w:rsidR="004B5447" w:rsidRPr="007E7998">
        <w:rPr>
          <w:rFonts w:ascii="Arial" w:hAnsi="Arial" w:cs="Arial"/>
        </w:rPr>
        <w:t xml:space="preserve"> (Table 4)</w:t>
      </w:r>
      <w:r w:rsidR="008E3C51" w:rsidRPr="007E7998">
        <w:rPr>
          <w:rFonts w:ascii="Arial" w:hAnsi="Arial" w:cs="Arial"/>
        </w:rPr>
        <w:t>.</w:t>
      </w:r>
    </w:p>
    <w:p w:rsidR="008E3C51" w:rsidRPr="007E7998" w:rsidRDefault="008E3C51" w:rsidP="00C80B90">
      <w:pPr>
        <w:spacing w:line="480" w:lineRule="auto"/>
        <w:jc w:val="both"/>
        <w:rPr>
          <w:rFonts w:ascii="Arial" w:hAnsi="Arial" w:cs="Arial"/>
        </w:rPr>
      </w:pPr>
      <w:r w:rsidRPr="007E7998">
        <w:rPr>
          <w:rFonts w:ascii="Arial" w:hAnsi="Arial" w:cs="Arial"/>
        </w:rPr>
        <w:t>We</w:t>
      </w:r>
      <w:r w:rsidR="00EF7F99" w:rsidRPr="007E7998">
        <w:rPr>
          <w:rFonts w:ascii="Arial" w:hAnsi="Arial" w:cs="Arial"/>
        </w:rPr>
        <w:t xml:space="preserve"> showed</w:t>
      </w:r>
      <w:r w:rsidR="00442B10" w:rsidRPr="007E7998">
        <w:rPr>
          <w:rFonts w:ascii="Arial" w:hAnsi="Arial" w:cs="Arial"/>
        </w:rPr>
        <w:t xml:space="preserve"> that between 5</w:t>
      </w:r>
      <w:r w:rsidRPr="007E7998">
        <w:rPr>
          <w:rFonts w:ascii="Arial" w:hAnsi="Arial" w:cs="Arial"/>
        </w:rPr>
        <w:t>7</w:t>
      </w:r>
      <w:r w:rsidR="00442B10" w:rsidRPr="007E7998">
        <w:rPr>
          <w:rFonts w:ascii="Arial" w:hAnsi="Arial" w:cs="Arial"/>
        </w:rPr>
        <w:t>.8</w:t>
      </w:r>
      <w:r w:rsidR="002D2B95" w:rsidRPr="007E7998">
        <w:rPr>
          <w:rFonts w:ascii="Arial" w:hAnsi="Arial" w:cs="Arial"/>
        </w:rPr>
        <w:t xml:space="preserve"> </w:t>
      </w:r>
      <w:r w:rsidRPr="007E7998">
        <w:rPr>
          <w:rFonts w:ascii="Arial" w:hAnsi="Arial" w:cs="Arial"/>
        </w:rPr>
        <w:t>-</w:t>
      </w:r>
      <w:r w:rsidR="002D2B95" w:rsidRPr="007E7998">
        <w:rPr>
          <w:rFonts w:ascii="Arial" w:hAnsi="Arial" w:cs="Arial"/>
        </w:rPr>
        <w:t xml:space="preserve"> </w:t>
      </w:r>
      <w:r w:rsidRPr="007E7998">
        <w:rPr>
          <w:rFonts w:ascii="Arial" w:hAnsi="Arial" w:cs="Arial"/>
        </w:rPr>
        <w:t>8</w:t>
      </w:r>
      <w:r w:rsidR="00164A8D" w:rsidRPr="007E7998">
        <w:rPr>
          <w:rFonts w:ascii="Arial" w:hAnsi="Arial" w:cs="Arial"/>
        </w:rPr>
        <w:t>4</w:t>
      </w:r>
      <w:r w:rsidRPr="007E7998">
        <w:rPr>
          <w:rFonts w:ascii="Arial" w:hAnsi="Arial" w:cs="Arial"/>
        </w:rPr>
        <w:t xml:space="preserve">.3% </w:t>
      </w:r>
      <w:r w:rsidR="00577602" w:rsidRPr="007E7998">
        <w:rPr>
          <w:rFonts w:ascii="Arial" w:hAnsi="Arial" w:cs="Arial"/>
        </w:rPr>
        <w:t xml:space="preserve">(Table 6) </w:t>
      </w:r>
      <w:r w:rsidRPr="007E7998">
        <w:rPr>
          <w:rFonts w:ascii="Arial" w:hAnsi="Arial" w:cs="Arial"/>
        </w:rPr>
        <w:t>of our study population</w:t>
      </w:r>
      <w:r w:rsidR="00F50DF9" w:rsidRPr="007E7998">
        <w:rPr>
          <w:rFonts w:ascii="Arial" w:hAnsi="Arial" w:cs="Arial"/>
        </w:rPr>
        <w:t xml:space="preserve"> (</w:t>
      </w:r>
      <w:r w:rsidR="009C61D0" w:rsidRPr="007E7998">
        <w:rPr>
          <w:rFonts w:ascii="Arial" w:hAnsi="Arial" w:cs="Arial"/>
        </w:rPr>
        <w:t>depending on the aortic location considered</w:t>
      </w:r>
      <w:r w:rsidR="00F50DF9" w:rsidRPr="007E7998">
        <w:rPr>
          <w:rFonts w:ascii="Arial" w:hAnsi="Arial" w:cs="Arial"/>
        </w:rPr>
        <w:t xml:space="preserve">) </w:t>
      </w:r>
      <w:r w:rsidRPr="007E7998">
        <w:rPr>
          <w:rFonts w:ascii="Arial" w:hAnsi="Arial" w:cs="Arial"/>
        </w:rPr>
        <w:t xml:space="preserve">who </w:t>
      </w:r>
      <w:r w:rsidR="00CA6A6E" w:rsidRPr="007E7998">
        <w:rPr>
          <w:rFonts w:ascii="Arial" w:hAnsi="Arial" w:cs="Arial"/>
        </w:rPr>
        <w:t xml:space="preserve">were </w:t>
      </w:r>
      <w:r w:rsidRPr="007E7998">
        <w:rPr>
          <w:rFonts w:ascii="Arial" w:hAnsi="Arial" w:cs="Arial"/>
        </w:rPr>
        <w:t xml:space="preserve">at increased risk of aortic complications </w:t>
      </w:r>
      <w:r w:rsidR="00DE58FA" w:rsidRPr="007E7998">
        <w:rPr>
          <w:rFonts w:ascii="Arial" w:hAnsi="Arial" w:cs="Arial"/>
        </w:rPr>
        <w:t>according to IAA</w:t>
      </w:r>
      <w:r w:rsidR="0042550E" w:rsidRPr="007E7998">
        <w:rPr>
          <w:rFonts w:ascii="Arial" w:hAnsi="Arial" w:cs="Arial"/>
        </w:rPr>
        <w:t>s</w:t>
      </w:r>
      <w:r w:rsidR="008D0DB6" w:rsidRPr="007E7998">
        <w:rPr>
          <w:rFonts w:ascii="Arial" w:hAnsi="Arial" w:cs="Arial"/>
        </w:rPr>
        <w:t>,</w:t>
      </w:r>
      <w:r w:rsidR="00DE58FA" w:rsidRPr="007E7998">
        <w:rPr>
          <w:rFonts w:ascii="Arial" w:hAnsi="Arial" w:cs="Arial"/>
        </w:rPr>
        <w:t xml:space="preserve"> </w:t>
      </w:r>
      <w:r w:rsidRPr="007E7998">
        <w:rPr>
          <w:rFonts w:ascii="Arial" w:hAnsi="Arial" w:cs="Arial"/>
        </w:rPr>
        <w:t xml:space="preserve">would not </w:t>
      </w:r>
      <w:r w:rsidR="00CA6A6E" w:rsidRPr="007E7998">
        <w:rPr>
          <w:rFonts w:ascii="Arial" w:hAnsi="Arial" w:cs="Arial"/>
        </w:rPr>
        <w:t xml:space="preserve">have </w:t>
      </w:r>
      <w:r w:rsidRPr="007E7998">
        <w:rPr>
          <w:rFonts w:ascii="Arial" w:hAnsi="Arial" w:cs="Arial"/>
        </w:rPr>
        <w:t>be</w:t>
      </w:r>
      <w:r w:rsidR="00CA6A6E" w:rsidRPr="007E7998">
        <w:rPr>
          <w:rFonts w:ascii="Arial" w:hAnsi="Arial" w:cs="Arial"/>
        </w:rPr>
        <w:t>en</w:t>
      </w:r>
      <w:r w:rsidRPr="007E7998">
        <w:rPr>
          <w:rFonts w:ascii="Arial" w:hAnsi="Arial" w:cs="Arial"/>
        </w:rPr>
        <w:t xml:space="preserve"> eligible for aortic surgery </w:t>
      </w:r>
      <w:r w:rsidR="00D51D20" w:rsidRPr="007E7998">
        <w:rPr>
          <w:rFonts w:ascii="Arial" w:hAnsi="Arial" w:cs="Arial"/>
        </w:rPr>
        <w:t>according to</w:t>
      </w:r>
      <w:r w:rsidRPr="007E7998">
        <w:rPr>
          <w:rFonts w:ascii="Arial" w:hAnsi="Arial" w:cs="Arial"/>
        </w:rPr>
        <w:t xml:space="preserve"> contemporary guidelines. A previous observational study found an abnormally high</w:t>
      </w:r>
      <w:r w:rsidR="00C33BC1" w:rsidRPr="007E7998">
        <w:rPr>
          <w:rFonts w:ascii="Arial" w:hAnsi="Arial" w:cs="Arial"/>
        </w:rPr>
        <w:t xml:space="preserve"> IAA</w:t>
      </w:r>
      <w:r w:rsidRPr="007E7998">
        <w:rPr>
          <w:rFonts w:ascii="Arial" w:hAnsi="Arial" w:cs="Arial"/>
        </w:rPr>
        <w:t xml:space="preserve"> in 44% of patients with aorti</w:t>
      </w:r>
      <w:r w:rsidR="006D5F29" w:rsidRPr="007E7998">
        <w:rPr>
          <w:rFonts w:ascii="Arial" w:hAnsi="Arial" w:cs="Arial"/>
        </w:rPr>
        <w:t>c root diameters at 4.5-5.5 cm [</w:t>
      </w:r>
      <w:r w:rsidR="0073298D" w:rsidRPr="007E7998">
        <w:rPr>
          <w:rFonts w:ascii="Arial" w:hAnsi="Arial" w:cs="Arial"/>
        </w:rPr>
        <w:t>1</w:t>
      </w:r>
      <w:r w:rsidR="006D5F29" w:rsidRPr="007E7998">
        <w:rPr>
          <w:rFonts w:ascii="Arial" w:hAnsi="Arial" w:cs="Arial"/>
        </w:rPr>
        <w:t>]</w:t>
      </w:r>
      <w:r w:rsidRPr="007E7998">
        <w:rPr>
          <w:rFonts w:ascii="Arial" w:hAnsi="Arial" w:cs="Arial"/>
        </w:rPr>
        <w:t>. In our study, 12</w:t>
      </w:r>
      <w:r w:rsidR="00023153" w:rsidRPr="007E7998">
        <w:rPr>
          <w:rFonts w:ascii="Arial" w:hAnsi="Arial" w:cs="Arial"/>
        </w:rPr>
        <w:t>4</w:t>
      </w:r>
      <w:r w:rsidRPr="007E7998">
        <w:rPr>
          <w:rFonts w:ascii="Arial" w:hAnsi="Arial" w:cs="Arial"/>
        </w:rPr>
        <w:t>/18</w:t>
      </w:r>
      <w:r w:rsidR="00023153" w:rsidRPr="007E7998">
        <w:rPr>
          <w:rFonts w:ascii="Arial" w:hAnsi="Arial" w:cs="Arial"/>
        </w:rPr>
        <w:t>4</w:t>
      </w:r>
      <w:r w:rsidRPr="007E7998">
        <w:rPr>
          <w:rFonts w:ascii="Arial" w:hAnsi="Arial" w:cs="Arial"/>
        </w:rPr>
        <w:t xml:space="preserve"> (6</w:t>
      </w:r>
      <w:r w:rsidR="00023153" w:rsidRPr="007E7998">
        <w:rPr>
          <w:rFonts w:ascii="Arial" w:hAnsi="Arial" w:cs="Arial"/>
        </w:rPr>
        <w:t>7</w:t>
      </w:r>
      <w:r w:rsidR="00237C65" w:rsidRPr="007E7998">
        <w:rPr>
          <w:rFonts w:ascii="Arial" w:hAnsi="Arial" w:cs="Arial"/>
        </w:rPr>
        <w:t>.4</w:t>
      </w:r>
      <w:r w:rsidRPr="007E7998">
        <w:rPr>
          <w:rFonts w:ascii="Arial" w:hAnsi="Arial" w:cs="Arial"/>
        </w:rPr>
        <w:t xml:space="preserve">%) patients with aortic diameters 4.5-5.5 cm were found to have abnormally high </w:t>
      </w:r>
      <w:r w:rsidR="0095336C" w:rsidRPr="007E7998">
        <w:rPr>
          <w:rFonts w:ascii="Arial" w:hAnsi="Arial" w:cs="Arial"/>
        </w:rPr>
        <w:t>IAA</w:t>
      </w:r>
      <w:r w:rsidRPr="007E7998">
        <w:rPr>
          <w:rFonts w:ascii="Arial" w:hAnsi="Arial" w:cs="Arial"/>
        </w:rPr>
        <w:t>s</w:t>
      </w:r>
      <w:r w:rsidR="00292258" w:rsidRPr="007E7998">
        <w:rPr>
          <w:rFonts w:ascii="Arial" w:hAnsi="Arial" w:cs="Arial"/>
        </w:rPr>
        <w:t xml:space="preserve"> (Table 5)</w:t>
      </w:r>
      <w:r w:rsidRPr="007E7998">
        <w:rPr>
          <w:rFonts w:ascii="Arial" w:hAnsi="Arial" w:cs="Arial"/>
        </w:rPr>
        <w:t>. Thus</w:t>
      </w:r>
      <w:r w:rsidR="00DA4CFE" w:rsidRPr="007E7998">
        <w:rPr>
          <w:rFonts w:ascii="Arial" w:hAnsi="Arial" w:cs="Arial"/>
        </w:rPr>
        <w:t>,</w:t>
      </w:r>
      <w:r w:rsidRPr="007E7998">
        <w:rPr>
          <w:rFonts w:ascii="Arial" w:hAnsi="Arial" w:cs="Arial"/>
        </w:rPr>
        <w:t xml:space="preserve"> the present study confirms that a significant proportion of patients with aortic diameters that do not reach the size criteria recommended for elective aortic aneurysm surgery have an abnormal</w:t>
      </w:r>
      <w:r w:rsidR="006C766C" w:rsidRPr="007E7998">
        <w:rPr>
          <w:rFonts w:ascii="Arial" w:hAnsi="Arial" w:cs="Arial"/>
        </w:rPr>
        <w:t xml:space="preserve"> IAA</w:t>
      </w:r>
      <w:r w:rsidRPr="007E7998">
        <w:rPr>
          <w:rFonts w:ascii="Arial" w:hAnsi="Arial" w:cs="Arial"/>
        </w:rPr>
        <w:t xml:space="preserve">, indicating their </w:t>
      </w:r>
      <w:r w:rsidR="00DA4CFE" w:rsidRPr="007E7998">
        <w:rPr>
          <w:rFonts w:ascii="Arial" w:hAnsi="Arial" w:cs="Arial"/>
        </w:rPr>
        <w:t>increas</w:t>
      </w:r>
      <w:r w:rsidRPr="007E7998">
        <w:rPr>
          <w:rFonts w:ascii="Arial" w:hAnsi="Arial" w:cs="Arial"/>
        </w:rPr>
        <w:t>ed risk of aortic complications.</w:t>
      </w:r>
    </w:p>
    <w:p w:rsidR="00854171" w:rsidRPr="007E7998" w:rsidRDefault="00751BB0" w:rsidP="00C80B90">
      <w:pPr>
        <w:spacing w:line="480" w:lineRule="auto"/>
        <w:jc w:val="both"/>
        <w:rPr>
          <w:rFonts w:ascii="Arial" w:hAnsi="Arial" w:cs="Arial"/>
        </w:rPr>
      </w:pPr>
      <w:r w:rsidRPr="007E7998">
        <w:rPr>
          <w:rFonts w:ascii="Arial" w:hAnsi="Arial" w:cs="Arial"/>
        </w:rPr>
        <w:t xml:space="preserve">Emergency surgery </w:t>
      </w:r>
      <w:r w:rsidR="00885EDE" w:rsidRPr="007E7998">
        <w:rPr>
          <w:rFonts w:ascii="Arial" w:hAnsi="Arial" w:cs="Arial"/>
        </w:rPr>
        <w:t xml:space="preserve">for acute type </w:t>
      </w:r>
      <w:proofErr w:type="gramStart"/>
      <w:r w:rsidR="00885EDE" w:rsidRPr="007E7998">
        <w:rPr>
          <w:rFonts w:ascii="Arial" w:hAnsi="Arial" w:cs="Arial"/>
        </w:rPr>
        <w:t>A</w:t>
      </w:r>
      <w:proofErr w:type="gramEnd"/>
      <w:r w:rsidR="00885EDE" w:rsidRPr="007E7998">
        <w:rPr>
          <w:rFonts w:ascii="Arial" w:hAnsi="Arial" w:cs="Arial"/>
        </w:rPr>
        <w:t xml:space="preserve"> dissection </w:t>
      </w:r>
      <w:r w:rsidRPr="007E7998">
        <w:rPr>
          <w:rFonts w:ascii="Arial" w:hAnsi="Arial" w:cs="Arial"/>
        </w:rPr>
        <w:t xml:space="preserve">aims to prevent the potentially fatal complications of </w:t>
      </w:r>
      <w:r w:rsidR="00910E5B" w:rsidRPr="007E7998">
        <w:rPr>
          <w:rFonts w:ascii="Arial" w:hAnsi="Arial" w:cs="Arial"/>
        </w:rPr>
        <w:t xml:space="preserve">aortic </w:t>
      </w:r>
      <w:r w:rsidRPr="007E7998">
        <w:rPr>
          <w:rFonts w:ascii="Arial" w:hAnsi="Arial" w:cs="Arial"/>
        </w:rPr>
        <w:t xml:space="preserve">rupture, acute aortic regurgitation, </w:t>
      </w:r>
      <w:r w:rsidR="00BD6EA3" w:rsidRPr="007E7998">
        <w:rPr>
          <w:rFonts w:ascii="Arial" w:hAnsi="Arial" w:cs="Arial"/>
        </w:rPr>
        <w:t>pericardial tamponade, acute coronary occlusion, stroke and limb</w:t>
      </w:r>
      <w:r w:rsidR="00C50D49" w:rsidRPr="007E7998">
        <w:rPr>
          <w:rFonts w:ascii="Arial" w:hAnsi="Arial" w:cs="Arial"/>
        </w:rPr>
        <w:t xml:space="preserve"> and organ </w:t>
      </w:r>
      <w:r w:rsidR="00BD6EA3" w:rsidRPr="007E7998">
        <w:rPr>
          <w:rFonts w:ascii="Arial" w:hAnsi="Arial" w:cs="Arial"/>
        </w:rPr>
        <w:t>ischaemia.</w:t>
      </w:r>
      <w:r w:rsidR="001E36A1" w:rsidRPr="007E7998">
        <w:rPr>
          <w:rFonts w:ascii="Arial" w:hAnsi="Arial" w:cs="Arial"/>
        </w:rPr>
        <w:t xml:space="preserve"> </w:t>
      </w:r>
      <w:r w:rsidR="00A86891" w:rsidRPr="007E7998">
        <w:rPr>
          <w:rFonts w:ascii="Arial" w:hAnsi="Arial" w:cs="Arial"/>
        </w:rPr>
        <w:t>With improving</w:t>
      </w:r>
      <w:r w:rsidR="00D34212" w:rsidRPr="007E7998">
        <w:rPr>
          <w:rFonts w:ascii="Arial" w:hAnsi="Arial" w:cs="Arial"/>
        </w:rPr>
        <w:t xml:space="preserve"> understanding of the underlying pathophysiology</w:t>
      </w:r>
      <w:r w:rsidR="003864DA" w:rsidRPr="007E7998">
        <w:rPr>
          <w:rFonts w:ascii="Arial" w:hAnsi="Arial" w:cs="Arial"/>
        </w:rPr>
        <w:t>, enhanced recognition with modern imaging modalitie</w:t>
      </w:r>
      <w:r w:rsidR="00636F8D" w:rsidRPr="007E7998">
        <w:rPr>
          <w:rFonts w:ascii="Arial" w:hAnsi="Arial" w:cs="Arial"/>
        </w:rPr>
        <w:t>s,</w:t>
      </w:r>
      <w:r w:rsidR="003864DA" w:rsidRPr="007E7998">
        <w:rPr>
          <w:rFonts w:ascii="Arial" w:hAnsi="Arial" w:cs="Arial"/>
        </w:rPr>
        <w:t xml:space="preserve"> prompt referral to cardiothoracic services</w:t>
      </w:r>
      <w:r w:rsidR="00636F8D" w:rsidRPr="007E7998">
        <w:rPr>
          <w:rFonts w:ascii="Arial" w:hAnsi="Arial" w:cs="Arial"/>
        </w:rPr>
        <w:t xml:space="preserve"> and</w:t>
      </w:r>
      <w:r w:rsidR="004E039E" w:rsidRPr="007E7998">
        <w:rPr>
          <w:rFonts w:ascii="Arial" w:hAnsi="Arial" w:cs="Arial"/>
        </w:rPr>
        <w:t xml:space="preserve"> </w:t>
      </w:r>
      <w:r w:rsidR="00BA0E39" w:rsidRPr="007E7998">
        <w:rPr>
          <w:rFonts w:ascii="Arial" w:hAnsi="Arial" w:cs="Arial"/>
        </w:rPr>
        <w:t>accr</w:t>
      </w:r>
      <w:r w:rsidR="00DD51F7" w:rsidRPr="007E7998">
        <w:rPr>
          <w:rFonts w:ascii="Arial" w:hAnsi="Arial" w:cs="Arial"/>
        </w:rPr>
        <w:t>u</w:t>
      </w:r>
      <w:r w:rsidR="00BA0E39" w:rsidRPr="007E7998">
        <w:rPr>
          <w:rFonts w:ascii="Arial" w:hAnsi="Arial" w:cs="Arial"/>
        </w:rPr>
        <w:t xml:space="preserve">ing </w:t>
      </w:r>
      <w:r w:rsidR="004E039E" w:rsidRPr="007E7998">
        <w:rPr>
          <w:rFonts w:ascii="Arial" w:hAnsi="Arial" w:cs="Arial"/>
        </w:rPr>
        <w:t>surgical experience</w:t>
      </w:r>
      <w:r w:rsidR="003864DA" w:rsidRPr="007E7998">
        <w:rPr>
          <w:rFonts w:ascii="Arial" w:hAnsi="Arial" w:cs="Arial"/>
        </w:rPr>
        <w:t xml:space="preserve">, </w:t>
      </w:r>
      <w:r w:rsidR="00EA622D" w:rsidRPr="007E7998">
        <w:rPr>
          <w:rFonts w:ascii="Arial" w:hAnsi="Arial" w:cs="Arial"/>
        </w:rPr>
        <w:t>survival</w:t>
      </w:r>
      <w:r w:rsidR="00600529" w:rsidRPr="007E7998">
        <w:rPr>
          <w:rFonts w:ascii="Arial" w:hAnsi="Arial" w:cs="Arial"/>
        </w:rPr>
        <w:t xml:space="preserve"> </w:t>
      </w:r>
      <w:r w:rsidR="00BA0E39" w:rsidRPr="007E7998">
        <w:rPr>
          <w:rFonts w:ascii="Arial" w:hAnsi="Arial" w:cs="Arial"/>
        </w:rPr>
        <w:t xml:space="preserve">rates </w:t>
      </w:r>
      <w:r w:rsidR="00EA622D" w:rsidRPr="007E7998">
        <w:rPr>
          <w:rFonts w:ascii="Arial" w:hAnsi="Arial" w:cs="Arial"/>
        </w:rPr>
        <w:t xml:space="preserve">in </w:t>
      </w:r>
      <w:r w:rsidR="00717BE5" w:rsidRPr="007E7998">
        <w:rPr>
          <w:rFonts w:ascii="Arial" w:hAnsi="Arial" w:cs="Arial"/>
        </w:rPr>
        <w:lastRenderedPageBreak/>
        <w:t xml:space="preserve">acute aortic syndrome </w:t>
      </w:r>
      <w:r w:rsidR="00BA0E39" w:rsidRPr="007E7998">
        <w:rPr>
          <w:rFonts w:ascii="Arial" w:hAnsi="Arial" w:cs="Arial"/>
        </w:rPr>
        <w:t xml:space="preserve">have </w:t>
      </w:r>
      <w:r w:rsidR="00A75ED8" w:rsidRPr="007E7998">
        <w:rPr>
          <w:rFonts w:ascii="Arial" w:hAnsi="Arial" w:cs="Arial"/>
        </w:rPr>
        <w:t xml:space="preserve">gradually </w:t>
      </w:r>
      <w:r w:rsidR="00BA0E39" w:rsidRPr="007E7998">
        <w:rPr>
          <w:rFonts w:ascii="Arial" w:hAnsi="Arial" w:cs="Arial"/>
        </w:rPr>
        <w:t xml:space="preserve">improved </w:t>
      </w:r>
      <w:r w:rsidR="00A86891" w:rsidRPr="007E7998">
        <w:rPr>
          <w:rFonts w:ascii="Arial" w:hAnsi="Arial" w:cs="Arial"/>
        </w:rPr>
        <w:t>in recent years</w:t>
      </w:r>
      <w:r w:rsidR="0084090F" w:rsidRPr="007E7998">
        <w:rPr>
          <w:rFonts w:ascii="Arial" w:hAnsi="Arial" w:cs="Arial"/>
        </w:rPr>
        <w:t>.</w:t>
      </w:r>
      <w:r w:rsidR="00EB4592" w:rsidRPr="007E7998">
        <w:rPr>
          <w:rFonts w:ascii="Arial" w:hAnsi="Arial" w:cs="Arial"/>
        </w:rPr>
        <w:t xml:space="preserve"> Hospital mortality </w:t>
      </w:r>
      <w:r w:rsidR="00C20589" w:rsidRPr="007E7998">
        <w:rPr>
          <w:rFonts w:ascii="Arial" w:hAnsi="Arial" w:cs="Arial"/>
        </w:rPr>
        <w:t xml:space="preserve">has been reported at 10-25% in the </w:t>
      </w:r>
      <w:r w:rsidR="00F069A3" w:rsidRPr="007E7998">
        <w:rPr>
          <w:rFonts w:ascii="Arial" w:hAnsi="Arial" w:cs="Arial"/>
        </w:rPr>
        <w:t>curren</w:t>
      </w:r>
      <w:r w:rsidR="00C20589" w:rsidRPr="007E7998">
        <w:rPr>
          <w:rFonts w:ascii="Arial" w:hAnsi="Arial" w:cs="Arial"/>
        </w:rPr>
        <w:t>t era across all ages [</w:t>
      </w:r>
      <w:r w:rsidR="002F5055" w:rsidRPr="007E7998">
        <w:rPr>
          <w:rFonts w:ascii="Arial" w:hAnsi="Arial" w:cs="Arial"/>
        </w:rPr>
        <w:t>5</w:t>
      </w:r>
      <w:proofErr w:type="gramStart"/>
      <w:r w:rsidR="006C4E74" w:rsidRPr="007E7998">
        <w:rPr>
          <w:rFonts w:ascii="Arial" w:hAnsi="Arial" w:cs="Arial"/>
        </w:rPr>
        <w:t>,8</w:t>
      </w:r>
      <w:proofErr w:type="gramEnd"/>
      <w:r w:rsidR="00C20589" w:rsidRPr="007E7998">
        <w:rPr>
          <w:rFonts w:ascii="Arial" w:hAnsi="Arial" w:cs="Arial"/>
        </w:rPr>
        <w:t>].</w:t>
      </w:r>
      <w:r w:rsidR="001127A5" w:rsidRPr="007E7998">
        <w:rPr>
          <w:rFonts w:ascii="Arial" w:hAnsi="Arial" w:cs="Arial"/>
        </w:rPr>
        <w:t xml:space="preserve"> Elective</w:t>
      </w:r>
      <w:r w:rsidR="005E3968" w:rsidRPr="007E7998">
        <w:rPr>
          <w:rFonts w:ascii="Arial" w:hAnsi="Arial" w:cs="Arial"/>
        </w:rPr>
        <w:t xml:space="preserve"> </w:t>
      </w:r>
      <w:r w:rsidR="00F33F57" w:rsidRPr="007E7998">
        <w:rPr>
          <w:rFonts w:ascii="Arial" w:hAnsi="Arial" w:cs="Arial"/>
        </w:rPr>
        <w:t>aortic root and/or ascending aortic replacement carries a</w:t>
      </w:r>
      <w:r w:rsidR="00084AF7" w:rsidRPr="007E7998">
        <w:rPr>
          <w:rFonts w:ascii="Arial" w:hAnsi="Arial" w:cs="Arial"/>
        </w:rPr>
        <w:t>n even</w:t>
      </w:r>
      <w:r w:rsidR="00F33F57" w:rsidRPr="007E7998">
        <w:rPr>
          <w:rFonts w:ascii="Arial" w:hAnsi="Arial" w:cs="Arial"/>
        </w:rPr>
        <w:t xml:space="preserve"> low</w:t>
      </w:r>
      <w:r w:rsidR="00084AF7" w:rsidRPr="007E7998">
        <w:rPr>
          <w:rFonts w:ascii="Arial" w:hAnsi="Arial" w:cs="Arial"/>
        </w:rPr>
        <w:t>er</w:t>
      </w:r>
      <w:r w:rsidR="00F33F57" w:rsidRPr="007E7998">
        <w:rPr>
          <w:rFonts w:ascii="Arial" w:hAnsi="Arial" w:cs="Arial"/>
        </w:rPr>
        <w:t xml:space="preserve"> operative risk at experienced centres</w:t>
      </w:r>
      <w:r w:rsidR="006148B2" w:rsidRPr="007E7998">
        <w:rPr>
          <w:rFonts w:ascii="Arial" w:hAnsi="Arial" w:cs="Arial"/>
        </w:rPr>
        <w:t xml:space="preserve"> with a high-volume case output</w:t>
      </w:r>
      <w:r w:rsidR="001A0BB7" w:rsidRPr="007E7998">
        <w:rPr>
          <w:rFonts w:ascii="Arial" w:hAnsi="Arial" w:cs="Arial"/>
        </w:rPr>
        <w:t xml:space="preserve"> [</w:t>
      </w:r>
      <w:r w:rsidR="00F91FD0" w:rsidRPr="007E7998">
        <w:rPr>
          <w:rFonts w:ascii="Arial" w:hAnsi="Arial" w:cs="Arial"/>
        </w:rPr>
        <w:t>9</w:t>
      </w:r>
      <w:r w:rsidR="001A0BB7" w:rsidRPr="007E7998">
        <w:rPr>
          <w:rFonts w:ascii="Arial" w:hAnsi="Arial" w:cs="Arial"/>
        </w:rPr>
        <w:t>]</w:t>
      </w:r>
      <w:r w:rsidR="00F33F57" w:rsidRPr="007E7998">
        <w:rPr>
          <w:rFonts w:ascii="Arial" w:hAnsi="Arial" w:cs="Arial"/>
        </w:rPr>
        <w:t xml:space="preserve">. </w:t>
      </w:r>
      <w:r w:rsidR="00E86C5A" w:rsidRPr="007E7998">
        <w:rPr>
          <w:rFonts w:ascii="Arial" w:hAnsi="Arial" w:cs="Arial"/>
        </w:rPr>
        <w:t>This emphasises the</w:t>
      </w:r>
      <w:r w:rsidR="004E6C49" w:rsidRPr="007E7998">
        <w:rPr>
          <w:rFonts w:ascii="Arial" w:hAnsi="Arial" w:cs="Arial"/>
        </w:rPr>
        <w:t xml:space="preserve"> importance of accurately identifying </w:t>
      </w:r>
      <w:r w:rsidR="00F207C5" w:rsidRPr="007E7998">
        <w:rPr>
          <w:rFonts w:ascii="Arial" w:hAnsi="Arial" w:cs="Arial"/>
        </w:rPr>
        <w:t xml:space="preserve">at-risk </w:t>
      </w:r>
      <w:r w:rsidR="00205711" w:rsidRPr="007E7998">
        <w:rPr>
          <w:rFonts w:ascii="Arial" w:hAnsi="Arial" w:cs="Arial"/>
        </w:rPr>
        <w:t>individuals</w:t>
      </w:r>
      <w:r w:rsidR="00191842" w:rsidRPr="007E7998">
        <w:rPr>
          <w:rFonts w:ascii="Arial" w:hAnsi="Arial" w:cs="Arial"/>
        </w:rPr>
        <w:t xml:space="preserve"> with thoracic aortic aneurysms</w:t>
      </w:r>
      <w:r w:rsidR="00F207C5" w:rsidRPr="007E7998">
        <w:rPr>
          <w:rFonts w:ascii="Arial" w:hAnsi="Arial" w:cs="Arial"/>
        </w:rPr>
        <w:t xml:space="preserve"> for prophylactic surgery.</w:t>
      </w:r>
    </w:p>
    <w:p w:rsidR="00B43199" w:rsidRPr="007E7998" w:rsidRDefault="00B231EF" w:rsidP="00C80B90">
      <w:pPr>
        <w:spacing w:line="480" w:lineRule="auto"/>
        <w:jc w:val="both"/>
        <w:rPr>
          <w:rFonts w:ascii="Arial" w:hAnsi="Arial" w:cs="Arial"/>
        </w:rPr>
      </w:pPr>
      <w:r w:rsidRPr="007E7998">
        <w:rPr>
          <w:rFonts w:ascii="Arial" w:hAnsi="Arial" w:cs="Arial"/>
        </w:rPr>
        <w:t xml:space="preserve">The purpose of this </w:t>
      </w:r>
      <w:r w:rsidR="00652D54" w:rsidRPr="007E7998">
        <w:rPr>
          <w:rFonts w:ascii="Arial" w:hAnsi="Arial" w:cs="Arial"/>
        </w:rPr>
        <w:t xml:space="preserve">isolated </w:t>
      </w:r>
      <w:r w:rsidR="00D3500D" w:rsidRPr="007E7998">
        <w:rPr>
          <w:rFonts w:ascii="Arial" w:hAnsi="Arial" w:cs="Arial"/>
        </w:rPr>
        <w:t xml:space="preserve">retrospective </w:t>
      </w:r>
      <w:r w:rsidRPr="007E7998">
        <w:rPr>
          <w:rFonts w:ascii="Arial" w:hAnsi="Arial" w:cs="Arial"/>
        </w:rPr>
        <w:t xml:space="preserve">observational study was not to determine </w:t>
      </w:r>
      <w:r w:rsidR="009C7486" w:rsidRPr="007E7998">
        <w:rPr>
          <w:rFonts w:ascii="Arial" w:hAnsi="Arial" w:cs="Arial"/>
        </w:rPr>
        <w:t>a novel</w:t>
      </w:r>
      <w:r w:rsidRPr="007E7998">
        <w:rPr>
          <w:rFonts w:ascii="Arial" w:hAnsi="Arial" w:cs="Arial"/>
        </w:rPr>
        <w:t xml:space="preserve"> </w:t>
      </w:r>
      <w:r w:rsidR="00652D54" w:rsidRPr="007E7998">
        <w:rPr>
          <w:rFonts w:ascii="Arial" w:hAnsi="Arial" w:cs="Arial"/>
        </w:rPr>
        <w:t>size t</w:t>
      </w:r>
      <w:r w:rsidR="008F4853" w:rsidRPr="007E7998">
        <w:rPr>
          <w:rFonts w:ascii="Arial" w:hAnsi="Arial" w:cs="Arial"/>
        </w:rPr>
        <w:t>hreshold</w:t>
      </w:r>
      <w:r w:rsidR="00FD169F" w:rsidRPr="007E7998">
        <w:rPr>
          <w:rFonts w:ascii="Arial" w:hAnsi="Arial" w:cs="Arial"/>
        </w:rPr>
        <w:t xml:space="preserve"> for the selection of patients for aortic surg</w:t>
      </w:r>
      <w:r w:rsidR="00314B10" w:rsidRPr="007E7998">
        <w:rPr>
          <w:rFonts w:ascii="Arial" w:hAnsi="Arial" w:cs="Arial"/>
        </w:rPr>
        <w:t>ical intervention</w:t>
      </w:r>
      <w:r w:rsidR="00FD169F" w:rsidRPr="007E7998">
        <w:rPr>
          <w:rFonts w:ascii="Arial" w:hAnsi="Arial" w:cs="Arial"/>
        </w:rPr>
        <w:t>.</w:t>
      </w:r>
      <w:r w:rsidR="009B52B2" w:rsidRPr="007E7998">
        <w:rPr>
          <w:rFonts w:ascii="Arial" w:hAnsi="Arial" w:cs="Arial"/>
        </w:rPr>
        <w:t xml:space="preserve"> </w:t>
      </w:r>
      <w:r w:rsidR="00AC0B0A" w:rsidRPr="007E7998">
        <w:rPr>
          <w:rFonts w:ascii="Arial" w:hAnsi="Arial" w:cs="Arial"/>
        </w:rPr>
        <w:t>Rather, we aimed to elucidate the less well-studied association between absolute aortic diameter and</w:t>
      </w:r>
      <w:r w:rsidR="006C5C0A" w:rsidRPr="007E7998">
        <w:rPr>
          <w:rFonts w:ascii="Arial" w:hAnsi="Arial" w:cs="Arial"/>
        </w:rPr>
        <w:t xml:space="preserve"> IAA</w:t>
      </w:r>
      <w:r w:rsidR="00AC0B0A" w:rsidRPr="007E7998">
        <w:rPr>
          <w:rFonts w:ascii="Arial" w:hAnsi="Arial" w:cs="Arial"/>
        </w:rPr>
        <w:t xml:space="preserve">. </w:t>
      </w:r>
      <w:r w:rsidR="0089598A" w:rsidRPr="007E7998">
        <w:rPr>
          <w:rFonts w:ascii="Arial" w:hAnsi="Arial" w:cs="Arial"/>
        </w:rPr>
        <w:t xml:space="preserve">It is </w:t>
      </w:r>
      <w:r w:rsidR="00BB4089" w:rsidRPr="007E7998">
        <w:rPr>
          <w:rFonts w:ascii="Arial" w:hAnsi="Arial" w:cs="Arial"/>
        </w:rPr>
        <w:t>now well-</w:t>
      </w:r>
      <w:r w:rsidR="0089598A" w:rsidRPr="007E7998">
        <w:rPr>
          <w:rFonts w:ascii="Arial" w:hAnsi="Arial" w:cs="Arial"/>
        </w:rPr>
        <w:t>recognised that</w:t>
      </w:r>
      <w:r w:rsidR="00BD0AAA" w:rsidRPr="007E7998">
        <w:rPr>
          <w:rFonts w:ascii="Arial" w:hAnsi="Arial" w:cs="Arial"/>
        </w:rPr>
        <w:t xml:space="preserve"> </w:t>
      </w:r>
      <w:r w:rsidR="00414975" w:rsidRPr="007E7998">
        <w:rPr>
          <w:rFonts w:ascii="Arial" w:hAnsi="Arial" w:cs="Arial"/>
        </w:rPr>
        <w:t>aortic dissection may occur in a significant cohort of patients at aortic diameters less than the 5.5 cm proposed for surgical repair</w:t>
      </w:r>
      <w:r w:rsidR="003B0912" w:rsidRPr="007E7998">
        <w:rPr>
          <w:rFonts w:ascii="Arial" w:hAnsi="Arial" w:cs="Arial"/>
        </w:rPr>
        <w:t xml:space="preserve"> [</w:t>
      </w:r>
      <w:r w:rsidR="0073298D" w:rsidRPr="007E7998">
        <w:rPr>
          <w:rFonts w:ascii="Arial" w:hAnsi="Arial" w:cs="Arial"/>
        </w:rPr>
        <w:t>2</w:t>
      </w:r>
      <w:proofErr w:type="gramStart"/>
      <w:r w:rsidR="00F275AF" w:rsidRPr="007E7998">
        <w:rPr>
          <w:rFonts w:ascii="Arial" w:hAnsi="Arial" w:cs="Arial"/>
        </w:rPr>
        <w:t>,5,6</w:t>
      </w:r>
      <w:proofErr w:type="gramEnd"/>
      <w:r w:rsidR="00C14B22" w:rsidRPr="007E7998">
        <w:rPr>
          <w:rFonts w:ascii="Arial" w:hAnsi="Arial" w:cs="Arial"/>
        </w:rPr>
        <w:t>]</w:t>
      </w:r>
      <w:r w:rsidR="0089598A" w:rsidRPr="007E7998">
        <w:rPr>
          <w:rFonts w:ascii="Arial" w:hAnsi="Arial" w:cs="Arial"/>
        </w:rPr>
        <w:t xml:space="preserve">. </w:t>
      </w:r>
      <w:r w:rsidR="008318C8" w:rsidRPr="007E7998">
        <w:rPr>
          <w:rFonts w:ascii="Arial" w:hAnsi="Arial" w:cs="Arial"/>
        </w:rPr>
        <w:t>Considering</w:t>
      </w:r>
      <w:r w:rsidR="00B51BB2" w:rsidRPr="007E7998">
        <w:rPr>
          <w:rFonts w:ascii="Arial" w:hAnsi="Arial" w:cs="Arial"/>
        </w:rPr>
        <w:t xml:space="preserve"> t</w:t>
      </w:r>
      <w:r w:rsidR="0089598A" w:rsidRPr="007E7998">
        <w:rPr>
          <w:rFonts w:ascii="Arial" w:hAnsi="Arial" w:cs="Arial"/>
        </w:rPr>
        <w:t xml:space="preserve">his, </w:t>
      </w:r>
      <w:r w:rsidR="00A0486F" w:rsidRPr="007E7998">
        <w:rPr>
          <w:rFonts w:ascii="Arial" w:hAnsi="Arial" w:cs="Arial"/>
        </w:rPr>
        <w:t xml:space="preserve">and </w:t>
      </w:r>
      <w:r w:rsidR="0056307C" w:rsidRPr="007E7998">
        <w:rPr>
          <w:rFonts w:ascii="Arial" w:hAnsi="Arial" w:cs="Arial"/>
        </w:rPr>
        <w:t>in conjunction with the present study's findings that</w:t>
      </w:r>
      <w:r w:rsidR="007D687C" w:rsidRPr="007E7998">
        <w:rPr>
          <w:rFonts w:ascii="Arial" w:hAnsi="Arial" w:cs="Arial"/>
        </w:rPr>
        <w:t xml:space="preserve"> IAA</w:t>
      </w:r>
      <w:r w:rsidR="00B94767" w:rsidRPr="007E7998">
        <w:rPr>
          <w:rFonts w:ascii="Arial" w:hAnsi="Arial" w:cs="Arial"/>
        </w:rPr>
        <w:t xml:space="preserve"> is abnormally increased in 67.4</w:t>
      </w:r>
      <w:r w:rsidR="0056307C" w:rsidRPr="007E7998">
        <w:rPr>
          <w:rFonts w:ascii="Arial" w:hAnsi="Arial" w:cs="Arial"/>
        </w:rPr>
        <w:t>% of patients with aortic diameter 4.5-5.5 cm</w:t>
      </w:r>
      <w:r w:rsidR="002C73D4" w:rsidRPr="007E7998">
        <w:rPr>
          <w:rFonts w:ascii="Arial" w:hAnsi="Arial" w:cs="Arial"/>
        </w:rPr>
        <w:t xml:space="preserve"> (Table 5)</w:t>
      </w:r>
      <w:r w:rsidR="00477A6B" w:rsidRPr="007E7998">
        <w:rPr>
          <w:rFonts w:ascii="Arial" w:hAnsi="Arial" w:cs="Arial"/>
        </w:rPr>
        <w:t xml:space="preserve">, </w:t>
      </w:r>
      <w:r w:rsidR="00E57717" w:rsidRPr="007E7998">
        <w:rPr>
          <w:rFonts w:ascii="Arial" w:hAnsi="Arial" w:cs="Arial"/>
        </w:rPr>
        <w:t>rendering them at higher risk of aortic complications, w</w:t>
      </w:r>
      <w:r w:rsidR="001574D1" w:rsidRPr="007E7998">
        <w:rPr>
          <w:rFonts w:ascii="Arial" w:hAnsi="Arial" w:cs="Arial"/>
        </w:rPr>
        <w:t xml:space="preserve">e </w:t>
      </w:r>
      <w:r w:rsidR="006F0040" w:rsidRPr="007E7998">
        <w:rPr>
          <w:rFonts w:ascii="Arial" w:hAnsi="Arial" w:cs="Arial"/>
        </w:rPr>
        <w:t xml:space="preserve">suggest that </w:t>
      </w:r>
      <w:r w:rsidR="002E2B70" w:rsidRPr="007E7998">
        <w:rPr>
          <w:rFonts w:ascii="Arial" w:hAnsi="Arial" w:cs="Arial"/>
        </w:rPr>
        <w:t>an</w:t>
      </w:r>
      <w:r w:rsidR="007D687C" w:rsidRPr="007E7998">
        <w:rPr>
          <w:rFonts w:ascii="Arial" w:hAnsi="Arial" w:cs="Arial"/>
        </w:rPr>
        <w:t xml:space="preserve"> IAA</w:t>
      </w:r>
      <w:r w:rsidR="006F0040" w:rsidRPr="007E7998">
        <w:rPr>
          <w:rFonts w:ascii="Arial" w:hAnsi="Arial" w:cs="Arial"/>
        </w:rPr>
        <w:t xml:space="preserve"> </w:t>
      </w:r>
      <w:r w:rsidR="002E2B70" w:rsidRPr="007E7998">
        <w:rPr>
          <w:rFonts w:ascii="Arial" w:hAnsi="Arial" w:cs="Arial"/>
        </w:rPr>
        <w:t>&gt;10 cm</w:t>
      </w:r>
      <w:r w:rsidR="002E2B70" w:rsidRPr="007E7998">
        <w:rPr>
          <w:rFonts w:ascii="Arial" w:hAnsi="Arial" w:cs="Arial"/>
          <w:vertAlign w:val="superscript"/>
        </w:rPr>
        <w:t>2</w:t>
      </w:r>
      <w:r w:rsidR="002E2B70" w:rsidRPr="007E7998">
        <w:rPr>
          <w:rFonts w:ascii="Arial" w:hAnsi="Arial" w:cs="Arial"/>
        </w:rPr>
        <w:t xml:space="preserve">/m </w:t>
      </w:r>
      <w:r w:rsidR="008A0C49" w:rsidRPr="007E7998">
        <w:rPr>
          <w:rFonts w:ascii="Arial" w:hAnsi="Arial" w:cs="Arial"/>
        </w:rPr>
        <w:t xml:space="preserve">should be considered </w:t>
      </w:r>
      <w:r w:rsidR="002E2B70" w:rsidRPr="007E7998">
        <w:rPr>
          <w:rFonts w:ascii="Arial" w:hAnsi="Arial" w:cs="Arial"/>
        </w:rPr>
        <w:t>as a potential risk factor in thoracic aortic disease</w:t>
      </w:r>
      <w:r w:rsidR="005D5AD7" w:rsidRPr="007E7998">
        <w:rPr>
          <w:rFonts w:ascii="Arial" w:hAnsi="Arial" w:cs="Arial"/>
        </w:rPr>
        <w:t>, and be further evaluated as a criterion for aortic surgery</w:t>
      </w:r>
      <w:r w:rsidR="00803C46" w:rsidRPr="007E7998">
        <w:rPr>
          <w:rFonts w:ascii="Arial" w:hAnsi="Arial" w:cs="Arial"/>
        </w:rPr>
        <w:t xml:space="preserve">. </w:t>
      </w:r>
      <w:r w:rsidR="003A50C2" w:rsidRPr="007E7998">
        <w:rPr>
          <w:rFonts w:ascii="Arial" w:hAnsi="Arial" w:cs="Arial"/>
        </w:rPr>
        <w:t xml:space="preserve">Large-scale prospective </w:t>
      </w:r>
      <w:r w:rsidR="00D22BB2" w:rsidRPr="007E7998">
        <w:rPr>
          <w:rFonts w:ascii="Arial" w:hAnsi="Arial" w:cs="Arial"/>
        </w:rPr>
        <w:t xml:space="preserve">multi-centre registries </w:t>
      </w:r>
      <w:r w:rsidR="005D2721" w:rsidRPr="007E7998">
        <w:rPr>
          <w:rFonts w:ascii="Arial" w:hAnsi="Arial" w:cs="Arial"/>
        </w:rPr>
        <w:t xml:space="preserve">with </w:t>
      </w:r>
      <w:r w:rsidR="00B560E5" w:rsidRPr="007E7998">
        <w:rPr>
          <w:rFonts w:ascii="Arial" w:hAnsi="Arial" w:cs="Arial"/>
        </w:rPr>
        <w:t xml:space="preserve">accurate </w:t>
      </w:r>
      <w:r w:rsidR="00374DAA" w:rsidRPr="007E7998">
        <w:rPr>
          <w:rFonts w:ascii="Arial" w:hAnsi="Arial" w:cs="Arial"/>
        </w:rPr>
        <w:t xml:space="preserve">long-term </w:t>
      </w:r>
      <w:r w:rsidR="005D2721" w:rsidRPr="007E7998">
        <w:rPr>
          <w:rFonts w:ascii="Arial" w:hAnsi="Arial" w:cs="Arial"/>
        </w:rPr>
        <w:t xml:space="preserve">follow-up of outcomes </w:t>
      </w:r>
      <w:r w:rsidR="003A50C2" w:rsidRPr="007E7998">
        <w:rPr>
          <w:rFonts w:ascii="Arial" w:hAnsi="Arial" w:cs="Arial"/>
        </w:rPr>
        <w:t>are needed to clarify the prognostic value of the</w:t>
      </w:r>
      <w:r w:rsidR="00FA6725" w:rsidRPr="007E7998">
        <w:rPr>
          <w:rFonts w:ascii="Arial" w:hAnsi="Arial" w:cs="Arial"/>
        </w:rPr>
        <w:t xml:space="preserve"> IAA</w:t>
      </w:r>
      <w:r w:rsidR="003A50C2" w:rsidRPr="007E7998">
        <w:rPr>
          <w:rFonts w:ascii="Arial" w:hAnsi="Arial" w:cs="Arial"/>
        </w:rPr>
        <w:t xml:space="preserve"> in varied surgical populations, including bicuspid an</w:t>
      </w:r>
      <w:r w:rsidR="00743D15" w:rsidRPr="007E7998">
        <w:rPr>
          <w:rFonts w:ascii="Arial" w:hAnsi="Arial" w:cs="Arial"/>
        </w:rPr>
        <w:t>d tri-leaflet aortic valves, as well as</w:t>
      </w:r>
      <w:r w:rsidR="003A50C2" w:rsidRPr="007E7998">
        <w:rPr>
          <w:rFonts w:ascii="Arial" w:hAnsi="Arial" w:cs="Arial"/>
        </w:rPr>
        <w:t xml:space="preserve"> Marfan's syndrome</w:t>
      </w:r>
      <w:r w:rsidR="00743D15" w:rsidRPr="007E7998">
        <w:rPr>
          <w:rFonts w:ascii="Arial" w:hAnsi="Arial" w:cs="Arial"/>
        </w:rPr>
        <w:t>, which confers the greatest dissection risk</w:t>
      </w:r>
      <w:r w:rsidR="003A50C2" w:rsidRPr="007E7998">
        <w:rPr>
          <w:rFonts w:ascii="Arial" w:hAnsi="Arial" w:cs="Arial"/>
        </w:rPr>
        <w:t>.</w:t>
      </w:r>
      <w:r w:rsidR="005935A8" w:rsidRPr="007E7998">
        <w:rPr>
          <w:rFonts w:ascii="Arial" w:hAnsi="Arial" w:cs="Arial"/>
        </w:rPr>
        <w:t xml:space="preserve"> </w:t>
      </w:r>
      <w:r w:rsidR="00081494" w:rsidRPr="007E7998">
        <w:rPr>
          <w:rFonts w:ascii="Arial" w:hAnsi="Arial" w:cs="Arial"/>
        </w:rPr>
        <w:t xml:space="preserve">This </w:t>
      </w:r>
      <w:r w:rsidR="00B43847" w:rsidRPr="007E7998">
        <w:rPr>
          <w:rFonts w:ascii="Arial" w:hAnsi="Arial" w:cs="Arial"/>
        </w:rPr>
        <w:t>would ideally afford patients</w:t>
      </w:r>
      <w:r w:rsidR="0082673D" w:rsidRPr="007E7998">
        <w:rPr>
          <w:rFonts w:ascii="Arial" w:hAnsi="Arial" w:cs="Arial"/>
        </w:rPr>
        <w:t xml:space="preserve"> </w:t>
      </w:r>
      <w:r w:rsidR="00B60567" w:rsidRPr="007E7998">
        <w:rPr>
          <w:rFonts w:ascii="Arial" w:hAnsi="Arial" w:cs="Arial"/>
        </w:rPr>
        <w:t xml:space="preserve">at risk of aneurysm-related dissection or rupture </w:t>
      </w:r>
      <w:r w:rsidR="0082673D" w:rsidRPr="007E7998">
        <w:rPr>
          <w:rFonts w:ascii="Arial" w:hAnsi="Arial" w:cs="Arial"/>
        </w:rPr>
        <w:t xml:space="preserve">the </w:t>
      </w:r>
      <w:r w:rsidR="00B43847" w:rsidRPr="007E7998">
        <w:rPr>
          <w:rFonts w:ascii="Arial" w:hAnsi="Arial" w:cs="Arial"/>
        </w:rPr>
        <w:t xml:space="preserve">chance for potentially curative surgery, </w:t>
      </w:r>
      <w:r w:rsidR="00331AA1" w:rsidRPr="007E7998">
        <w:rPr>
          <w:rFonts w:ascii="Arial" w:hAnsi="Arial" w:cs="Arial"/>
        </w:rPr>
        <w:t xml:space="preserve">and at lower </w:t>
      </w:r>
      <w:r w:rsidR="00C14066" w:rsidRPr="007E7998">
        <w:rPr>
          <w:rFonts w:ascii="Arial" w:hAnsi="Arial" w:cs="Arial"/>
        </w:rPr>
        <w:t xml:space="preserve">operative </w:t>
      </w:r>
      <w:r w:rsidR="00331AA1" w:rsidRPr="007E7998">
        <w:rPr>
          <w:rFonts w:ascii="Arial" w:hAnsi="Arial" w:cs="Arial"/>
        </w:rPr>
        <w:t>risk</w:t>
      </w:r>
      <w:r w:rsidR="00B31A21" w:rsidRPr="007E7998">
        <w:rPr>
          <w:rFonts w:ascii="Arial" w:hAnsi="Arial" w:cs="Arial"/>
        </w:rPr>
        <w:t xml:space="preserve"> </w:t>
      </w:r>
      <w:r w:rsidR="00B43847" w:rsidRPr="007E7998">
        <w:rPr>
          <w:rFonts w:ascii="Arial" w:hAnsi="Arial" w:cs="Arial"/>
        </w:rPr>
        <w:t xml:space="preserve">when performed at </w:t>
      </w:r>
      <w:r w:rsidR="00007875" w:rsidRPr="007E7998">
        <w:rPr>
          <w:rFonts w:ascii="Arial" w:hAnsi="Arial" w:cs="Arial"/>
        </w:rPr>
        <w:t>dedicated</w:t>
      </w:r>
      <w:r w:rsidR="00C201F6" w:rsidRPr="007E7998">
        <w:rPr>
          <w:rFonts w:ascii="Arial" w:hAnsi="Arial" w:cs="Arial"/>
        </w:rPr>
        <w:t xml:space="preserve">, </w:t>
      </w:r>
      <w:r w:rsidR="006726F6" w:rsidRPr="007E7998">
        <w:rPr>
          <w:rFonts w:ascii="Arial" w:hAnsi="Arial" w:cs="Arial"/>
        </w:rPr>
        <w:t xml:space="preserve">high-volume </w:t>
      </w:r>
      <w:r w:rsidR="00B43847" w:rsidRPr="007E7998">
        <w:rPr>
          <w:rFonts w:ascii="Arial" w:hAnsi="Arial" w:cs="Arial"/>
        </w:rPr>
        <w:t>aortic centres</w:t>
      </w:r>
      <w:r w:rsidR="0090543E" w:rsidRPr="007E7998">
        <w:rPr>
          <w:rFonts w:ascii="Arial" w:hAnsi="Arial" w:cs="Arial"/>
        </w:rPr>
        <w:t xml:space="preserve"> [</w:t>
      </w:r>
      <w:r w:rsidR="00744973" w:rsidRPr="007E7998">
        <w:rPr>
          <w:rFonts w:ascii="Arial" w:hAnsi="Arial" w:cs="Arial"/>
        </w:rPr>
        <w:t>9-12</w:t>
      </w:r>
      <w:r w:rsidR="0090543E" w:rsidRPr="007E7998">
        <w:rPr>
          <w:rFonts w:ascii="Arial" w:hAnsi="Arial" w:cs="Arial"/>
        </w:rPr>
        <w:t>]</w:t>
      </w:r>
      <w:r w:rsidR="004E4DA0" w:rsidRPr="007E7998">
        <w:rPr>
          <w:rFonts w:ascii="Arial" w:hAnsi="Arial" w:cs="Arial"/>
        </w:rPr>
        <w:t>.</w:t>
      </w:r>
      <w:r w:rsidR="003A50C2" w:rsidRPr="007E7998">
        <w:rPr>
          <w:rFonts w:ascii="Arial" w:hAnsi="Arial" w:cs="Arial"/>
        </w:rPr>
        <w:t xml:space="preserve"> </w:t>
      </w:r>
    </w:p>
    <w:p w:rsidR="00782FBE" w:rsidRPr="007E7998" w:rsidRDefault="00782FBE" w:rsidP="00C80B90">
      <w:pPr>
        <w:spacing w:line="480" w:lineRule="auto"/>
        <w:jc w:val="both"/>
        <w:rPr>
          <w:rFonts w:ascii="Arial" w:hAnsi="Arial" w:cs="Arial"/>
          <w:b/>
        </w:rPr>
      </w:pPr>
      <w:r w:rsidRPr="007E7998">
        <w:rPr>
          <w:rFonts w:ascii="Arial" w:hAnsi="Arial" w:cs="Arial"/>
          <w:b/>
        </w:rPr>
        <w:t>Limitations</w:t>
      </w:r>
    </w:p>
    <w:p w:rsidR="009D5A01" w:rsidRPr="007E7998" w:rsidRDefault="00CF734F" w:rsidP="00C80B90">
      <w:pPr>
        <w:spacing w:line="480" w:lineRule="auto"/>
        <w:jc w:val="both"/>
        <w:rPr>
          <w:rFonts w:ascii="Arial" w:hAnsi="Arial" w:cs="Arial"/>
        </w:rPr>
      </w:pPr>
      <w:r w:rsidRPr="007E7998">
        <w:rPr>
          <w:rFonts w:ascii="Arial" w:hAnsi="Arial" w:cs="Arial"/>
        </w:rPr>
        <w:t>This is a</w:t>
      </w:r>
      <w:r w:rsidR="00A75568" w:rsidRPr="007E7998">
        <w:rPr>
          <w:rFonts w:ascii="Arial" w:hAnsi="Arial" w:cs="Arial"/>
        </w:rPr>
        <w:t xml:space="preserve"> retrospective </w:t>
      </w:r>
      <w:r w:rsidRPr="007E7998">
        <w:rPr>
          <w:rFonts w:ascii="Arial" w:hAnsi="Arial" w:cs="Arial"/>
        </w:rPr>
        <w:t xml:space="preserve">observational study with </w:t>
      </w:r>
      <w:r w:rsidR="00A86EA3" w:rsidRPr="007E7998">
        <w:rPr>
          <w:rFonts w:ascii="Arial" w:hAnsi="Arial" w:cs="Arial"/>
        </w:rPr>
        <w:t xml:space="preserve">inherent </w:t>
      </w:r>
      <w:r w:rsidR="00A75568" w:rsidRPr="007E7998">
        <w:rPr>
          <w:rFonts w:ascii="Arial" w:hAnsi="Arial" w:cs="Arial"/>
        </w:rPr>
        <w:t>potential for associated selection bias.</w:t>
      </w:r>
      <w:r w:rsidR="0007196D" w:rsidRPr="007E7998">
        <w:rPr>
          <w:rFonts w:ascii="Arial" w:hAnsi="Arial" w:cs="Arial"/>
        </w:rPr>
        <w:t xml:space="preserve"> However, since our </w:t>
      </w:r>
      <w:r w:rsidR="00BB082F" w:rsidRPr="007E7998">
        <w:rPr>
          <w:rFonts w:ascii="Arial" w:hAnsi="Arial" w:cs="Arial"/>
        </w:rPr>
        <w:t xml:space="preserve">tertiary </w:t>
      </w:r>
      <w:r w:rsidR="0007196D" w:rsidRPr="007E7998">
        <w:rPr>
          <w:rFonts w:ascii="Arial" w:hAnsi="Arial" w:cs="Arial"/>
        </w:rPr>
        <w:t xml:space="preserve">institution is a referral centre for acute type </w:t>
      </w:r>
      <w:proofErr w:type="gramStart"/>
      <w:r w:rsidR="0007196D" w:rsidRPr="007E7998">
        <w:rPr>
          <w:rFonts w:ascii="Arial" w:hAnsi="Arial" w:cs="Arial"/>
        </w:rPr>
        <w:t>A</w:t>
      </w:r>
      <w:proofErr w:type="gramEnd"/>
      <w:r w:rsidR="0007196D" w:rsidRPr="007E7998">
        <w:rPr>
          <w:rFonts w:ascii="Arial" w:hAnsi="Arial" w:cs="Arial"/>
        </w:rPr>
        <w:t xml:space="preserve"> aortic dissection</w:t>
      </w:r>
      <w:r w:rsidR="00A86EA3" w:rsidRPr="007E7998">
        <w:rPr>
          <w:rFonts w:ascii="Arial" w:hAnsi="Arial" w:cs="Arial"/>
        </w:rPr>
        <w:t xml:space="preserve">, patients </w:t>
      </w:r>
      <w:r w:rsidR="006E5928" w:rsidRPr="007E7998">
        <w:rPr>
          <w:rFonts w:ascii="Arial" w:hAnsi="Arial" w:cs="Arial"/>
        </w:rPr>
        <w:t xml:space="preserve">submitted to aortic surgery at other tertiary cardiac centres </w:t>
      </w:r>
      <w:r w:rsidRPr="007E7998">
        <w:rPr>
          <w:rFonts w:ascii="Arial" w:hAnsi="Arial" w:cs="Arial"/>
        </w:rPr>
        <w:t xml:space="preserve">would </w:t>
      </w:r>
      <w:r w:rsidR="006E5928" w:rsidRPr="007E7998">
        <w:rPr>
          <w:rFonts w:ascii="Arial" w:hAnsi="Arial" w:cs="Arial"/>
        </w:rPr>
        <w:t>share similar characteristics, namely aortic diameter and</w:t>
      </w:r>
      <w:r w:rsidR="002032D8" w:rsidRPr="007E7998">
        <w:rPr>
          <w:rFonts w:ascii="Arial" w:hAnsi="Arial" w:cs="Arial"/>
        </w:rPr>
        <w:t xml:space="preserve"> IAA</w:t>
      </w:r>
      <w:r w:rsidR="006E5928" w:rsidRPr="007E7998">
        <w:rPr>
          <w:rFonts w:ascii="Arial" w:hAnsi="Arial" w:cs="Arial"/>
        </w:rPr>
        <w:t>, to those in our population</w:t>
      </w:r>
      <w:r w:rsidR="001E36D0" w:rsidRPr="007E7998">
        <w:rPr>
          <w:rFonts w:ascii="Arial" w:hAnsi="Arial" w:cs="Arial"/>
        </w:rPr>
        <w:t xml:space="preserve">. </w:t>
      </w:r>
      <w:r w:rsidR="000B566F" w:rsidRPr="007E7998">
        <w:rPr>
          <w:rFonts w:ascii="Arial" w:hAnsi="Arial" w:cs="Arial"/>
        </w:rPr>
        <w:t>Despite examining</w:t>
      </w:r>
      <w:r w:rsidR="007B666B" w:rsidRPr="007E7998">
        <w:rPr>
          <w:rFonts w:ascii="Arial" w:hAnsi="Arial" w:cs="Arial"/>
        </w:rPr>
        <w:t xml:space="preserve"> all-comers submitted to thoracic aortic aneurysm or dissection surgery over a pre-</w:t>
      </w:r>
      <w:r w:rsidR="007B666B" w:rsidRPr="007E7998">
        <w:rPr>
          <w:rFonts w:ascii="Arial" w:hAnsi="Arial" w:cs="Arial"/>
        </w:rPr>
        <w:lastRenderedPageBreak/>
        <w:t>defined time period,</w:t>
      </w:r>
      <w:r w:rsidR="00A203C0" w:rsidRPr="007E7998">
        <w:rPr>
          <w:rFonts w:ascii="Arial" w:hAnsi="Arial" w:cs="Arial"/>
        </w:rPr>
        <w:t xml:space="preserve"> our study population did not comprise </w:t>
      </w:r>
      <w:r w:rsidR="003A1AF2" w:rsidRPr="007E7998">
        <w:rPr>
          <w:rFonts w:ascii="Arial" w:hAnsi="Arial" w:cs="Arial"/>
        </w:rPr>
        <w:t>large</w:t>
      </w:r>
      <w:r w:rsidR="002379D7" w:rsidRPr="007E7998">
        <w:rPr>
          <w:rFonts w:ascii="Arial" w:hAnsi="Arial" w:cs="Arial"/>
        </w:rPr>
        <w:t xml:space="preserve"> </w:t>
      </w:r>
      <w:r w:rsidR="00711591" w:rsidRPr="007E7998">
        <w:rPr>
          <w:rFonts w:ascii="Arial" w:hAnsi="Arial" w:cs="Arial"/>
        </w:rPr>
        <w:t>numbers of patients</w:t>
      </w:r>
      <w:r w:rsidR="001F6065" w:rsidRPr="007E7998">
        <w:rPr>
          <w:rFonts w:ascii="Arial" w:hAnsi="Arial" w:cs="Arial"/>
        </w:rPr>
        <w:t xml:space="preserve"> </w:t>
      </w:r>
      <w:r w:rsidR="00711591" w:rsidRPr="007E7998">
        <w:rPr>
          <w:rFonts w:ascii="Arial" w:hAnsi="Arial" w:cs="Arial"/>
        </w:rPr>
        <w:t>with inherited aortopathies</w:t>
      </w:r>
      <w:r w:rsidR="00D81B91" w:rsidRPr="007E7998">
        <w:rPr>
          <w:rFonts w:ascii="Arial" w:hAnsi="Arial" w:cs="Arial"/>
        </w:rPr>
        <w:t xml:space="preserve"> or bicuspid aortic valves</w:t>
      </w:r>
      <w:r w:rsidR="00083900" w:rsidRPr="007E7998">
        <w:rPr>
          <w:rFonts w:ascii="Arial" w:hAnsi="Arial" w:cs="Arial"/>
        </w:rPr>
        <w:t xml:space="preserve">, since these are </w:t>
      </w:r>
      <w:r w:rsidR="00D7566F" w:rsidRPr="007E7998">
        <w:rPr>
          <w:rFonts w:ascii="Arial" w:hAnsi="Arial" w:cs="Arial"/>
        </w:rPr>
        <w:t xml:space="preserve">monitored </w:t>
      </w:r>
      <w:r w:rsidR="00507F79" w:rsidRPr="007E7998">
        <w:rPr>
          <w:rFonts w:ascii="Arial" w:hAnsi="Arial" w:cs="Arial"/>
        </w:rPr>
        <w:t>closely</w:t>
      </w:r>
      <w:r w:rsidR="005D57B9" w:rsidRPr="007E7998">
        <w:rPr>
          <w:rFonts w:ascii="Arial" w:hAnsi="Arial" w:cs="Arial"/>
        </w:rPr>
        <w:t xml:space="preserve"> </w:t>
      </w:r>
      <w:r w:rsidR="00FC4DAE" w:rsidRPr="007E7998">
        <w:rPr>
          <w:rFonts w:ascii="Arial" w:hAnsi="Arial" w:cs="Arial"/>
        </w:rPr>
        <w:t xml:space="preserve">in </w:t>
      </w:r>
      <w:r w:rsidR="00D7566F" w:rsidRPr="007E7998">
        <w:rPr>
          <w:rFonts w:ascii="Arial" w:hAnsi="Arial" w:cs="Arial"/>
        </w:rPr>
        <w:t xml:space="preserve">established </w:t>
      </w:r>
      <w:r w:rsidR="00FC4DAE" w:rsidRPr="007E7998">
        <w:rPr>
          <w:rFonts w:ascii="Arial" w:hAnsi="Arial" w:cs="Arial"/>
        </w:rPr>
        <w:t xml:space="preserve">surveillance </w:t>
      </w:r>
      <w:r w:rsidR="00D7566F" w:rsidRPr="007E7998">
        <w:rPr>
          <w:rFonts w:ascii="Arial" w:hAnsi="Arial" w:cs="Arial"/>
        </w:rPr>
        <w:t>programmes and selected for early surgery.</w:t>
      </w:r>
      <w:r w:rsidR="00152011" w:rsidRPr="007E7998">
        <w:rPr>
          <w:rFonts w:ascii="Arial" w:hAnsi="Arial" w:cs="Arial"/>
        </w:rPr>
        <w:t xml:space="preserve"> Thus the results of our analysis may be transferable to other major aortic centres in non-aortopathy populations.</w:t>
      </w:r>
      <w:r w:rsidR="00B85632" w:rsidRPr="007E7998">
        <w:rPr>
          <w:rFonts w:ascii="Arial" w:hAnsi="Arial" w:cs="Arial"/>
        </w:rPr>
        <w:t xml:space="preserve"> </w:t>
      </w:r>
      <w:r w:rsidR="00174FB2" w:rsidRPr="007E7998">
        <w:rPr>
          <w:rFonts w:ascii="Arial" w:hAnsi="Arial" w:cs="Arial"/>
        </w:rPr>
        <w:t>W</w:t>
      </w:r>
      <w:r w:rsidR="00921B9A" w:rsidRPr="007E7998">
        <w:rPr>
          <w:rFonts w:ascii="Arial" w:hAnsi="Arial" w:cs="Arial"/>
        </w:rPr>
        <w:t>e utilised the formula π</w:t>
      </w:r>
      <w:r w:rsidR="009B029D" w:rsidRPr="007E7998">
        <w:rPr>
          <w:rFonts w:ascii="Arial" w:hAnsi="Arial" w:cs="Arial"/>
        </w:rPr>
        <w:t xml:space="preserve"> x </w:t>
      </w:r>
      <w:r w:rsidR="00921B9A" w:rsidRPr="007E7998">
        <w:rPr>
          <w:rFonts w:ascii="Arial" w:hAnsi="Arial" w:cs="Arial"/>
        </w:rPr>
        <w:t>r</w:t>
      </w:r>
      <w:r w:rsidR="00921B9A" w:rsidRPr="007E7998">
        <w:rPr>
          <w:rFonts w:ascii="Arial" w:hAnsi="Arial" w:cs="Arial"/>
          <w:vertAlign w:val="superscript"/>
        </w:rPr>
        <w:t>2</w:t>
      </w:r>
      <w:r w:rsidR="00921B9A" w:rsidRPr="007E7998">
        <w:rPr>
          <w:rFonts w:ascii="Arial" w:hAnsi="Arial" w:cs="Arial"/>
        </w:rPr>
        <w:t xml:space="preserve"> </w:t>
      </w:r>
      <w:r w:rsidR="00061EF6" w:rsidRPr="007E7998">
        <w:rPr>
          <w:rFonts w:ascii="Arial" w:hAnsi="Arial" w:cs="Arial"/>
        </w:rPr>
        <w:t xml:space="preserve">for aortic area calculations which may be less suitable for eccentric aortic shapes where a </w:t>
      </w:r>
      <w:proofErr w:type="spellStart"/>
      <w:r w:rsidR="00061EF6" w:rsidRPr="007E7998">
        <w:rPr>
          <w:rFonts w:ascii="Arial" w:hAnsi="Arial" w:cs="Arial"/>
        </w:rPr>
        <w:t>planimetry</w:t>
      </w:r>
      <w:proofErr w:type="spellEnd"/>
      <w:r w:rsidR="00061EF6" w:rsidRPr="007E7998">
        <w:rPr>
          <w:rFonts w:ascii="Arial" w:hAnsi="Arial" w:cs="Arial"/>
        </w:rPr>
        <w:t xml:space="preserve"> technique may be more appropriate</w:t>
      </w:r>
      <w:r w:rsidR="0090543E" w:rsidRPr="007E7998">
        <w:rPr>
          <w:rFonts w:ascii="Arial" w:hAnsi="Arial" w:cs="Arial"/>
        </w:rPr>
        <w:t xml:space="preserve"> [</w:t>
      </w:r>
      <w:r w:rsidR="0073298D" w:rsidRPr="007E7998">
        <w:rPr>
          <w:rFonts w:ascii="Arial" w:hAnsi="Arial" w:cs="Arial"/>
        </w:rPr>
        <w:t>1</w:t>
      </w:r>
      <w:r w:rsidR="0090543E" w:rsidRPr="007E7998">
        <w:rPr>
          <w:rFonts w:ascii="Arial" w:hAnsi="Arial" w:cs="Arial"/>
        </w:rPr>
        <w:t>]</w:t>
      </w:r>
      <w:r w:rsidR="002D1042" w:rsidRPr="007E7998">
        <w:rPr>
          <w:rFonts w:ascii="Arial" w:hAnsi="Arial" w:cs="Arial"/>
        </w:rPr>
        <w:t xml:space="preserve">. </w:t>
      </w:r>
      <w:r w:rsidR="00B6639A" w:rsidRPr="007E7998">
        <w:rPr>
          <w:rFonts w:ascii="Arial" w:hAnsi="Arial" w:cs="Arial"/>
        </w:rPr>
        <w:t>Finally,</w:t>
      </w:r>
      <w:r w:rsidR="002D1042" w:rsidRPr="007E7998">
        <w:rPr>
          <w:rFonts w:ascii="Arial" w:hAnsi="Arial" w:cs="Arial"/>
        </w:rPr>
        <w:t xml:space="preserve"> whilst </w:t>
      </w:r>
      <w:r w:rsidR="00151B0F" w:rsidRPr="007E7998">
        <w:rPr>
          <w:rFonts w:ascii="Arial" w:hAnsi="Arial" w:cs="Arial"/>
        </w:rPr>
        <w:t xml:space="preserve">the </w:t>
      </w:r>
      <w:r w:rsidR="002D1042" w:rsidRPr="007E7998">
        <w:rPr>
          <w:rFonts w:ascii="Arial" w:hAnsi="Arial" w:cs="Arial"/>
        </w:rPr>
        <w:t>results of the present study suggest IAA &gt;10 cm</w:t>
      </w:r>
      <w:r w:rsidR="002D1042" w:rsidRPr="007E7998">
        <w:rPr>
          <w:rFonts w:ascii="Arial" w:hAnsi="Arial" w:cs="Arial"/>
          <w:vertAlign w:val="superscript"/>
        </w:rPr>
        <w:t>2</w:t>
      </w:r>
      <w:r w:rsidR="002D1042" w:rsidRPr="007E7998">
        <w:rPr>
          <w:rFonts w:ascii="Arial" w:hAnsi="Arial" w:cs="Arial"/>
        </w:rPr>
        <w:t xml:space="preserve">/m may be useful as a risk factor in thoracic aortic disease, </w:t>
      </w:r>
      <w:r w:rsidR="009D5A01" w:rsidRPr="007E7998">
        <w:rPr>
          <w:rFonts w:ascii="Arial" w:hAnsi="Arial" w:cs="Arial"/>
        </w:rPr>
        <w:t>validation of the IAA in</w:t>
      </w:r>
      <w:r w:rsidR="00AE296E" w:rsidRPr="007E7998">
        <w:rPr>
          <w:rFonts w:ascii="Arial" w:hAnsi="Arial" w:cs="Arial"/>
        </w:rPr>
        <w:t xml:space="preserve"> </w:t>
      </w:r>
      <w:r w:rsidR="009D5A01" w:rsidRPr="007E7998">
        <w:rPr>
          <w:rFonts w:ascii="Arial" w:hAnsi="Arial" w:cs="Arial"/>
        </w:rPr>
        <w:t xml:space="preserve">comparative analyses would be required prior to </w:t>
      </w:r>
      <w:r w:rsidR="001E40FE" w:rsidRPr="007E7998">
        <w:rPr>
          <w:rFonts w:ascii="Arial" w:hAnsi="Arial" w:cs="Arial"/>
        </w:rPr>
        <w:t xml:space="preserve">its </w:t>
      </w:r>
      <w:r w:rsidR="009D5A01" w:rsidRPr="007E7998">
        <w:rPr>
          <w:rFonts w:ascii="Arial" w:hAnsi="Arial" w:cs="Arial"/>
        </w:rPr>
        <w:t>adoption in pre-operative risk evaluation.</w:t>
      </w:r>
    </w:p>
    <w:p w:rsidR="009D5A01" w:rsidRPr="007E7998" w:rsidRDefault="009D5A01" w:rsidP="00C80B90">
      <w:pPr>
        <w:spacing w:line="480" w:lineRule="auto"/>
        <w:jc w:val="both"/>
        <w:rPr>
          <w:rFonts w:ascii="Arial" w:hAnsi="Arial" w:cs="Arial"/>
        </w:rPr>
      </w:pPr>
    </w:p>
    <w:p w:rsidR="002827CC" w:rsidRPr="007E7998" w:rsidRDefault="002827CC" w:rsidP="00C80B90">
      <w:pPr>
        <w:spacing w:line="480" w:lineRule="auto"/>
        <w:jc w:val="both"/>
        <w:rPr>
          <w:rFonts w:ascii="Arial" w:hAnsi="Arial" w:cs="Arial"/>
          <w:b/>
        </w:rPr>
      </w:pPr>
      <w:r w:rsidRPr="007E7998">
        <w:rPr>
          <w:rFonts w:ascii="Arial" w:hAnsi="Arial" w:cs="Arial"/>
          <w:b/>
        </w:rPr>
        <w:t>Conclusions</w:t>
      </w:r>
    </w:p>
    <w:p w:rsidR="003D2EA3" w:rsidRPr="007E7998" w:rsidRDefault="002827CC" w:rsidP="00C80B90">
      <w:pPr>
        <w:spacing w:line="480" w:lineRule="auto"/>
        <w:jc w:val="both"/>
        <w:rPr>
          <w:rFonts w:ascii="Arial" w:hAnsi="Arial" w:cs="Arial"/>
        </w:rPr>
      </w:pPr>
      <w:r w:rsidRPr="007E7998">
        <w:rPr>
          <w:rFonts w:ascii="Arial" w:hAnsi="Arial" w:cs="Arial"/>
        </w:rPr>
        <w:t>T</w:t>
      </w:r>
      <w:r w:rsidR="003F3B1E" w:rsidRPr="007E7998">
        <w:rPr>
          <w:rFonts w:ascii="Arial" w:hAnsi="Arial" w:cs="Arial"/>
        </w:rPr>
        <w:t xml:space="preserve">his study confirms that </w:t>
      </w:r>
      <w:r w:rsidR="008B51D6" w:rsidRPr="007E7998">
        <w:rPr>
          <w:rFonts w:ascii="Arial" w:hAnsi="Arial" w:cs="Arial"/>
        </w:rPr>
        <w:t>a large proportion of patients with thoracic aortic aneurysms</w:t>
      </w:r>
      <w:r w:rsidR="003D2EA3" w:rsidRPr="007E7998">
        <w:rPr>
          <w:rFonts w:ascii="Arial" w:hAnsi="Arial" w:cs="Arial"/>
        </w:rPr>
        <w:t xml:space="preserve"> </w:t>
      </w:r>
      <w:r w:rsidR="008B51D6" w:rsidRPr="007E7998">
        <w:rPr>
          <w:rFonts w:ascii="Arial" w:hAnsi="Arial" w:cs="Arial"/>
        </w:rPr>
        <w:t xml:space="preserve">have </w:t>
      </w:r>
      <w:r w:rsidR="00742B72" w:rsidRPr="007E7998">
        <w:rPr>
          <w:rFonts w:ascii="Arial" w:hAnsi="Arial" w:cs="Arial"/>
        </w:rPr>
        <w:t>IAA</w:t>
      </w:r>
      <w:r w:rsidR="008B51D6" w:rsidRPr="007E7998">
        <w:rPr>
          <w:rFonts w:ascii="Arial" w:hAnsi="Arial" w:cs="Arial"/>
        </w:rPr>
        <w:t>s &gt;10 cm</w:t>
      </w:r>
      <w:r w:rsidR="008B51D6" w:rsidRPr="007E7998">
        <w:rPr>
          <w:rFonts w:ascii="Arial" w:hAnsi="Arial" w:cs="Arial"/>
          <w:vertAlign w:val="superscript"/>
        </w:rPr>
        <w:t>2</w:t>
      </w:r>
      <w:r w:rsidR="008B51D6" w:rsidRPr="007E7998">
        <w:rPr>
          <w:rFonts w:ascii="Arial" w:hAnsi="Arial" w:cs="Arial"/>
        </w:rPr>
        <w:t>/m</w:t>
      </w:r>
      <w:r w:rsidR="00DE37EF" w:rsidRPr="007E7998">
        <w:rPr>
          <w:rFonts w:ascii="Arial" w:hAnsi="Arial" w:cs="Arial"/>
        </w:rPr>
        <w:t xml:space="preserve"> </w:t>
      </w:r>
      <w:r w:rsidR="003D2EA3" w:rsidRPr="007E7998">
        <w:rPr>
          <w:rFonts w:ascii="Arial" w:hAnsi="Arial" w:cs="Arial"/>
        </w:rPr>
        <w:t xml:space="preserve">corresponding to </w:t>
      </w:r>
      <w:r w:rsidR="00FD0101" w:rsidRPr="007E7998">
        <w:rPr>
          <w:rFonts w:ascii="Arial" w:hAnsi="Arial" w:cs="Arial"/>
        </w:rPr>
        <w:t xml:space="preserve">absolute </w:t>
      </w:r>
      <w:r w:rsidR="003D2EA3" w:rsidRPr="007E7998">
        <w:rPr>
          <w:rFonts w:ascii="Arial" w:hAnsi="Arial" w:cs="Arial"/>
        </w:rPr>
        <w:t>aortic di</w:t>
      </w:r>
      <w:r w:rsidR="00FD0101" w:rsidRPr="007E7998">
        <w:rPr>
          <w:rFonts w:ascii="Arial" w:hAnsi="Arial" w:cs="Arial"/>
        </w:rPr>
        <w:t>mensions</w:t>
      </w:r>
      <w:r w:rsidR="003D2EA3" w:rsidRPr="007E7998">
        <w:rPr>
          <w:rFonts w:ascii="Arial" w:hAnsi="Arial" w:cs="Arial"/>
        </w:rPr>
        <w:t xml:space="preserve"> that do not satisfy </w:t>
      </w:r>
      <w:r w:rsidR="006B3629" w:rsidRPr="007E7998">
        <w:rPr>
          <w:rFonts w:ascii="Arial" w:hAnsi="Arial" w:cs="Arial"/>
        </w:rPr>
        <w:t>contemporary guideline criteria for aortic surgical intervention</w:t>
      </w:r>
      <w:r w:rsidR="00C23AA2" w:rsidRPr="007E7998">
        <w:rPr>
          <w:rFonts w:ascii="Arial" w:hAnsi="Arial" w:cs="Arial"/>
        </w:rPr>
        <w:t xml:space="preserve">, despite </w:t>
      </w:r>
      <w:r w:rsidR="0097460A" w:rsidRPr="007E7998">
        <w:rPr>
          <w:rFonts w:ascii="Arial" w:hAnsi="Arial" w:cs="Arial"/>
        </w:rPr>
        <w:t xml:space="preserve">being at </w:t>
      </w:r>
      <w:r w:rsidR="00E6114A" w:rsidRPr="007E7998">
        <w:rPr>
          <w:rFonts w:ascii="Arial" w:hAnsi="Arial" w:cs="Arial"/>
        </w:rPr>
        <w:t xml:space="preserve">increased </w:t>
      </w:r>
      <w:r w:rsidR="0097460A" w:rsidRPr="007E7998">
        <w:rPr>
          <w:rFonts w:ascii="Arial" w:hAnsi="Arial" w:cs="Arial"/>
        </w:rPr>
        <w:t>risk of aortic complications.</w:t>
      </w:r>
      <w:r w:rsidR="007E0D3C" w:rsidRPr="007E7998">
        <w:rPr>
          <w:rFonts w:ascii="Arial" w:hAnsi="Arial" w:cs="Arial"/>
        </w:rPr>
        <w:t xml:space="preserve"> This cohort of patients may benefit from </w:t>
      </w:r>
      <w:r w:rsidR="00BB48EA" w:rsidRPr="007E7998">
        <w:rPr>
          <w:rFonts w:ascii="Arial" w:hAnsi="Arial" w:cs="Arial"/>
        </w:rPr>
        <w:t xml:space="preserve">undergoing </w:t>
      </w:r>
      <w:r w:rsidR="007E0D3C" w:rsidRPr="007E7998">
        <w:rPr>
          <w:rFonts w:ascii="Arial" w:hAnsi="Arial" w:cs="Arial"/>
        </w:rPr>
        <w:t xml:space="preserve">earlier surgery </w:t>
      </w:r>
      <w:r w:rsidR="00BB48EA" w:rsidRPr="007E7998">
        <w:rPr>
          <w:rFonts w:ascii="Arial" w:hAnsi="Arial" w:cs="Arial"/>
        </w:rPr>
        <w:t xml:space="preserve">performed </w:t>
      </w:r>
      <w:r w:rsidR="00350D63" w:rsidRPr="007E7998">
        <w:rPr>
          <w:rFonts w:ascii="Arial" w:hAnsi="Arial" w:cs="Arial"/>
        </w:rPr>
        <w:t xml:space="preserve">at high-volume centres </w:t>
      </w:r>
      <w:r w:rsidR="003253CC" w:rsidRPr="007E7998">
        <w:rPr>
          <w:rFonts w:ascii="Arial" w:hAnsi="Arial" w:cs="Arial"/>
        </w:rPr>
        <w:t xml:space="preserve">with special aortic expertise, </w:t>
      </w:r>
      <w:r w:rsidR="009847B8" w:rsidRPr="007E7998">
        <w:rPr>
          <w:rFonts w:ascii="Arial" w:hAnsi="Arial" w:cs="Arial"/>
        </w:rPr>
        <w:t xml:space="preserve">and </w:t>
      </w:r>
      <w:r w:rsidR="007D282E" w:rsidRPr="007E7998">
        <w:rPr>
          <w:rFonts w:ascii="Arial" w:hAnsi="Arial" w:cs="Arial"/>
        </w:rPr>
        <w:t xml:space="preserve">at more </w:t>
      </w:r>
      <w:r w:rsidR="00350D63" w:rsidRPr="007E7998">
        <w:rPr>
          <w:rFonts w:ascii="Arial" w:hAnsi="Arial" w:cs="Arial"/>
        </w:rPr>
        <w:t>conservative aortic size</w:t>
      </w:r>
      <w:r w:rsidR="00BB581B" w:rsidRPr="007E7998">
        <w:rPr>
          <w:rFonts w:ascii="Arial" w:hAnsi="Arial" w:cs="Arial"/>
        </w:rPr>
        <w:t xml:space="preserve"> range</w:t>
      </w:r>
      <w:r w:rsidR="00350D63" w:rsidRPr="007E7998">
        <w:rPr>
          <w:rFonts w:ascii="Arial" w:hAnsi="Arial" w:cs="Arial"/>
        </w:rPr>
        <w:t xml:space="preserve">s, </w:t>
      </w:r>
      <w:r w:rsidR="00BB581B" w:rsidRPr="007E7998">
        <w:rPr>
          <w:rFonts w:ascii="Arial" w:hAnsi="Arial" w:cs="Arial"/>
        </w:rPr>
        <w:t xml:space="preserve">which need </w:t>
      </w:r>
      <w:r w:rsidR="00CC074A" w:rsidRPr="007E7998">
        <w:rPr>
          <w:rFonts w:ascii="Arial" w:hAnsi="Arial" w:cs="Arial"/>
        </w:rPr>
        <w:t>verification</w:t>
      </w:r>
      <w:r w:rsidR="00BB581B" w:rsidRPr="007E7998">
        <w:rPr>
          <w:rFonts w:ascii="Arial" w:hAnsi="Arial" w:cs="Arial"/>
        </w:rPr>
        <w:t xml:space="preserve"> in larger </w:t>
      </w:r>
      <w:r w:rsidR="00677FEA" w:rsidRPr="007E7998">
        <w:rPr>
          <w:rFonts w:ascii="Arial" w:hAnsi="Arial" w:cs="Arial"/>
        </w:rPr>
        <w:t xml:space="preserve">prospective </w:t>
      </w:r>
      <w:r w:rsidR="00BB581B" w:rsidRPr="007E7998">
        <w:rPr>
          <w:rFonts w:ascii="Arial" w:hAnsi="Arial" w:cs="Arial"/>
        </w:rPr>
        <w:t>studies with extended follow-up.</w:t>
      </w:r>
    </w:p>
    <w:p w:rsidR="002724A1" w:rsidRPr="007E7998" w:rsidRDefault="002724A1" w:rsidP="00C80B90">
      <w:pPr>
        <w:spacing w:line="480" w:lineRule="auto"/>
        <w:jc w:val="both"/>
        <w:rPr>
          <w:rFonts w:ascii="Arial" w:hAnsi="Arial" w:cs="Arial"/>
        </w:rPr>
      </w:pPr>
    </w:p>
    <w:p w:rsidR="00C23AA2" w:rsidRPr="007E7998" w:rsidRDefault="00E97457" w:rsidP="00C80B90">
      <w:pPr>
        <w:spacing w:line="480" w:lineRule="auto"/>
        <w:jc w:val="both"/>
        <w:rPr>
          <w:rFonts w:ascii="Arial" w:hAnsi="Arial" w:cs="Arial"/>
        </w:rPr>
      </w:pPr>
      <w:proofErr w:type="gramStart"/>
      <w:r w:rsidRPr="007E7998">
        <w:rPr>
          <w:rFonts w:ascii="Arial" w:hAnsi="Arial" w:cs="Arial"/>
          <w:b/>
        </w:rPr>
        <w:t xml:space="preserve">Funding Statement: </w:t>
      </w:r>
      <w:r w:rsidR="00823F52" w:rsidRPr="007E7998">
        <w:rPr>
          <w:rFonts w:ascii="Arial" w:hAnsi="Arial" w:cs="Arial"/>
        </w:rPr>
        <w:t>This work received</w:t>
      </w:r>
      <w:r w:rsidR="00AF0749" w:rsidRPr="007E7998">
        <w:rPr>
          <w:rFonts w:ascii="Arial" w:hAnsi="Arial" w:cs="Arial"/>
        </w:rPr>
        <w:t xml:space="preserve"> no external sources of support.</w:t>
      </w:r>
      <w:proofErr w:type="gramEnd"/>
    </w:p>
    <w:p w:rsidR="00E97457" w:rsidRPr="007E7998" w:rsidRDefault="00E97457" w:rsidP="00C80B90">
      <w:pPr>
        <w:spacing w:line="480" w:lineRule="auto"/>
        <w:jc w:val="both"/>
        <w:rPr>
          <w:rFonts w:ascii="Arial" w:hAnsi="Arial" w:cs="Arial"/>
        </w:rPr>
      </w:pPr>
      <w:r w:rsidRPr="007E7998">
        <w:rPr>
          <w:rFonts w:ascii="Arial" w:hAnsi="Arial" w:cs="Arial"/>
          <w:b/>
        </w:rPr>
        <w:t xml:space="preserve">Conflict of Interest Statement: </w:t>
      </w:r>
      <w:r w:rsidR="00AF0749" w:rsidRPr="007E7998">
        <w:rPr>
          <w:rFonts w:ascii="Arial" w:hAnsi="Arial" w:cs="Arial"/>
        </w:rPr>
        <w:t xml:space="preserve">The authors </w:t>
      </w:r>
      <w:r w:rsidR="00296228" w:rsidRPr="007E7998">
        <w:rPr>
          <w:rFonts w:ascii="Arial" w:hAnsi="Arial" w:cs="Arial"/>
        </w:rPr>
        <w:t>declare that they have no conflicts of interest to</w:t>
      </w:r>
      <w:r w:rsidR="004D2C98" w:rsidRPr="007E7998">
        <w:rPr>
          <w:rFonts w:ascii="Arial" w:hAnsi="Arial" w:cs="Arial"/>
        </w:rPr>
        <w:t xml:space="preserve"> declare</w:t>
      </w:r>
      <w:r w:rsidR="00296228" w:rsidRPr="007E7998">
        <w:rPr>
          <w:rFonts w:ascii="Arial" w:hAnsi="Arial" w:cs="Arial"/>
        </w:rPr>
        <w:t>.</w:t>
      </w:r>
    </w:p>
    <w:p w:rsidR="002D2154" w:rsidRPr="007E7998" w:rsidRDefault="002D2154" w:rsidP="00BF57F5">
      <w:pPr>
        <w:spacing w:line="480" w:lineRule="auto"/>
        <w:jc w:val="both"/>
        <w:rPr>
          <w:rFonts w:ascii="Arial" w:hAnsi="Arial" w:cs="Arial"/>
          <w:b/>
        </w:rPr>
      </w:pPr>
    </w:p>
    <w:p w:rsidR="002D2154" w:rsidRPr="007E7998" w:rsidRDefault="002D2154" w:rsidP="00BF57F5">
      <w:pPr>
        <w:spacing w:line="480" w:lineRule="auto"/>
        <w:jc w:val="both"/>
        <w:rPr>
          <w:rFonts w:ascii="Arial" w:hAnsi="Arial" w:cs="Arial"/>
          <w:b/>
        </w:rPr>
      </w:pPr>
    </w:p>
    <w:p w:rsidR="002A3ACB" w:rsidRPr="007E7998" w:rsidRDefault="002A3ACB" w:rsidP="00BF57F5">
      <w:pPr>
        <w:spacing w:line="480" w:lineRule="auto"/>
        <w:jc w:val="both"/>
        <w:rPr>
          <w:rFonts w:ascii="Arial" w:hAnsi="Arial" w:cs="Arial"/>
          <w:b/>
        </w:rPr>
      </w:pPr>
      <w:r w:rsidRPr="007E7998">
        <w:rPr>
          <w:rFonts w:ascii="Arial" w:hAnsi="Arial" w:cs="Arial"/>
          <w:b/>
        </w:rPr>
        <w:lastRenderedPageBreak/>
        <w:t>Figure Legends</w:t>
      </w:r>
    </w:p>
    <w:p w:rsidR="002026C4" w:rsidRDefault="00895C45" w:rsidP="00BF57F5">
      <w:pPr>
        <w:spacing w:line="480" w:lineRule="auto"/>
        <w:jc w:val="both"/>
        <w:rPr>
          <w:rFonts w:ascii="Arial" w:hAnsi="Arial" w:cs="Arial"/>
        </w:rPr>
      </w:pPr>
      <w:r>
        <w:rPr>
          <w:rFonts w:ascii="Arial" w:hAnsi="Arial" w:cs="Arial"/>
          <w:b/>
          <w:noProof/>
        </w:rPr>
        <w:drawing>
          <wp:anchor distT="0" distB="0" distL="114300" distR="114300" simplePos="0" relativeHeight="251661312" behindDoc="0" locked="0" layoutInCell="1" allowOverlap="1">
            <wp:simplePos x="0" y="0"/>
            <wp:positionH relativeFrom="column">
              <wp:posOffset>-83185</wp:posOffset>
            </wp:positionH>
            <wp:positionV relativeFrom="paragraph">
              <wp:posOffset>964565</wp:posOffset>
            </wp:positionV>
            <wp:extent cx="5205730" cy="3609975"/>
            <wp:effectExtent l="19050" t="0" r="0" b="0"/>
            <wp:wrapTopAndBottom/>
            <wp:docPr id="5" name="Picture 4" descr="15-01-18 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18 Fig 1.tif"/>
                    <pic:cNvPicPr/>
                  </pic:nvPicPr>
                  <pic:blipFill>
                    <a:blip r:embed="rId10" cstate="print"/>
                    <a:stretch>
                      <a:fillRect/>
                    </a:stretch>
                  </pic:blipFill>
                  <pic:spPr>
                    <a:xfrm>
                      <a:off x="0" y="0"/>
                      <a:ext cx="5205730" cy="3609975"/>
                    </a:xfrm>
                    <a:prstGeom prst="rect">
                      <a:avLst/>
                    </a:prstGeom>
                  </pic:spPr>
                </pic:pic>
              </a:graphicData>
            </a:graphic>
          </wp:anchor>
        </w:drawing>
      </w:r>
      <w:r w:rsidR="002026C4" w:rsidRPr="007E7998">
        <w:rPr>
          <w:rFonts w:ascii="Arial" w:hAnsi="Arial" w:cs="Arial"/>
          <w:b/>
        </w:rPr>
        <w:t xml:space="preserve">Figure 1: </w:t>
      </w:r>
      <w:r w:rsidR="002026C4" w:rsidRPr="007E7998">
        <w:rPr>
          <w:rFonts w:ascii="Arial" w:hAnsi="Arial" w:cs="Arial"/>
        </w:rPr>
        <w:t xml:space="preserve">Distribution of indexed aortic areas in aneurysm </w:t>
      </w:r>
      <w:r w:rsidR="00651D04" w:rsidRPr="007E7998">
        <w:rPr>
          <w:rFonts w:ascii="Arial" w:hAnsi="Arial" w:cs="Arial"/>
        </w:rPr>
        <w:t xml:space="preserve">group (left-sided bars) and dissection group (right-sided bars) </w:t>
      </w:r>
      <w:r w:rsidR="002026C4" w:rsidRPr="007E7998">
        <w:rPr>
          <w:rFonts w:ascii="Arial" w:hAnsi="Arial" w:cs="Arial"/>
        </w:rPr>
        <w:t>according to aortic location</w:t>
      </w:r>
    </w:p>
    <w:p w:rsidR="00895C45" w:rsidRDefault="00895C45" w:rsidP="00BF57F5">
      <w:pPr>
        <w:spacing w:line="480" w:lineRule="auto"/>
        <w:jc w:val="both"/>
        <w:rPr>
          <w:rFonts w:ascii="Arial" w:hAnsi="Arial" w:cs="Arial"/>
        </w:rPr>
      </w:pPr>
    </w:p>
    <w:p w:rsidR="00895C45" w:rsidRDefault="00895C45" w:rsidP="00BF57F5">
      <w:pPr>
        <w:spacing w:line="480" w:lineRule="auto"/>
        <w:jc w:val="both"/>
        <w:rPr>
          <w:rFonts w:ascii="Arial" w:hAnsi="Arial" w:cs="Arial"/>
        </w:rPr>
      </w:pPr>
    </w:p>
    <w:p w:rsidR="00895C45" w:rsidRDefault="00895C45" w:rsidP="00BF57F5">
      <w:pPr>
        <w:spacing w:line="480" w:lineRule="auto"/>
        <w:jc w:val="both"/>
        <w:rPr>
          <w:rFonts w:ascii="Arial" w:hAnsi="Arial" w:cs="Arial"/>
        </w:rPr>
      </w:pPr>
    </w:p>
    <w:p w:rsidR="00895C45" w:rsidRDefault="00895C45" w:rsidP="00BF57F5">
      <w:pPr>
        <w:spacing w:line="480" w:lineRule="auto"/>
        <w:jc w:val="both"/>
        <w:rPr>
          <w:rFonts w:ascii="Arial" w:hAnsi="Arial" w:cs="Arial"/>
        </w:rPr>
      </w:pPr>
    </w:p>
    <w:p w:rsidR="00895C45" w:rsidRDefault="00895C45" w:rsidP="00BF57F5">
      <w:pPr>
        <w:spacing w:line="480" w:lineRule="auto"/>
        <w:jc w:val="both"/>
        <w:rPr>
          <w:rFonts w:ascii="Arial" w:hAnsi="Arial" w:cs="Arial"/>
        </w:rPr>
      </w:pPr>
    </w:p>
    <w:p w:rsidR="00895C45" w:rsidRDefault="00895C45" w:rsidP="00BF57F5">
      <w:pPr>
        <w:spacing w:line="480" w:lineRule="auto"/>
        <w:jc w:val="both"/>
        <w:rPr>
          <w:rFonts w:ascii="Arial" w:hAnsi="Arial" w:cs="Arial"/>
        </w:rPr>
      </w:pPr>
    </w:p>
    <w:p w:rsidR="00895C45" w:rsidRDefault="00895C45" w:rsidP="00BF57F5">
      <w:pPr>
        <w:spacing w:line="480" w:lineRule="auto"/>
        <w:jc w:val="both"/>
        <w:rPr>
          <w:rFonts w:ascii="Arial" w:hAnsi="Arial" w:cs="Arial"/>
        </w:rPr>
      </w:pPr>
    </w:p>
    <w:p w:rsidR="00895C45" w:rsidRDefault="00895C45" w:rsidP="00BF57F5">
      <w:pPr>
        <w:spacing w:line="480" w:lineRule="auto"/>
        <w:jc w:val="both"/>
        <w:rPr>
          <w:rFonts w:ascii="Arial" w:hAnsi="Arial" w:cs="Arial"/>
        </w:rPr>
      </w:pPr>
    </w:p>
    <w:p w:rsidR="00895C45" w:rsidRPr="007E7998" w:rsidRDefault="00895C45" w:rsidP="00BF57F5">
      <w:pPr>
        <w:spacing w:line="480" w:lineRule="auto"/>
        <w:jc w:val="both"/>
        <w:rPr>
          <w:rFonts w:ascii="Arial" w:hAnsi="Arial" w:cs="Arial"/>
        </w:rPr>
      </w:pPr>
    </w:p>
    <w:p w:rsidR="002A3ACB" w:rsidRPr="007E7998" w:rsidRDefault="00895C45" w:rsidP="006E7BD7">
      <w:pPr>
        <w:spacing w:line="480" w:lineRule="auto"/>
        <w:jc w:val="both"/>
        <w:rPr>
          <w:rFonts w:ascii="Arial" w:hAnsi="Arial" w:cs="Arial"/>
          <w:b/>
        </w:rPr>
      </w:pPr>
      <w:r>
        <w:rPr>
          <w:rFonts w:ascii="Arial" w:hAnsi="Arial" w:cs="Arial"/>
          <w:b/>
          <w:noProof/>
        </w:rPr>
        <w:lastRenderedPageBreak/>
        <w:drawing>
          <wp:anchor distT="0" distB="0" distL="114300" distR="114300" simplePos="0" relativeHeight="251659264" behindDoc="0" locked="0" layoutInCell="1" allowOverlap="1">
            <wp:simplePos x="0" y="0"/>
            <wp:positionH relativeFrom="column">
              <wp:posOffset>-83185</wp:posOffset>
            </wp:positionH>
            <wp:positionV relativeFrom="paragraph">
              <wp:posOffset>735965</wp:posOffset>
            </wp:positionV>
            <wp:extent cx="5735320" cy="3158490"/>
            <wp:effectExtent l="0" t="0" r="0" b="0"/>
            <wp:wrapTopAndBottom/>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F57F5" w:rsidRPr="007E7998">
        <w:rPr>
          <w:rFonts w:ascii="Arial" w:hAnsi="Arial" w:cs="Arial"/>
          <w:b/>
        </w:rPr>
        <w:t xml:space="preserve">Figure 2: </w:t>
      </w:r>
      <w:r w:rsidR="00BF57F5" w:rsidRPr="007E7998">
        <w:rPr>
          <w:rFonts w:ascii="Arial" w:hAnsi="Arial" w:cs="Arial"/>
          <w:bCs/>
        </w:rPr>
        <w:t xml:space="preserve">Mean indexed aortic area corresponding to aortic diameter in aneurysms </w:t>
      </w:r>
    </w:p>
    <w:p w:rsidR="002A3ACB" w:rsidRDefault="002A3ACB" w:rsidP="006E7BD7">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895C45" w:rsidRDefault="00895C45" w:rsidP="00BC5A2F">
      <w:pPr>
        <w:spacing w:line="480" w:lineRule="auto"/>
        <w:jc w:val="both"/>
        <w:rPr>
          <w:rFonts w:ascii="Arial" w:hAnsi="Arial" w:cs="Arial"/>
          <w:b/>
        </w:rPr>
      </w:pPr>
    </w:p>
    <w:p w:rsidR="005D07E9" w:rsidRPr="007E7998" w:rsidRDefault="004B010A" w:rsidP="00BC5A2F">
      <w:pPr>
        <w:spacing w:line="480" w:lineRule="auto"/>
        <w:jc w:val="both"/>
        <w:rPr>
          <w:rFonts w:ascii="Arial" w:hAnsi="Arial" w:cs="Arial"/>
          <w:b/>
        </w:rPr>
      </w:pPr>
      <w:r w:rsidRPr="007E7998">
        <w:rPr>
          <w:rFonts w:ascii="Arial" w:hAnsi="Arial" w:cs="Arial"/>
          <w:b/>
        </w:rPr>
        <w:lastRenderedPageBreak/>
        <w:t xml:space="preserve">Table </w:t>
      </w:r>
      <w:r w:rsidR="00E23DA3" w:rsidRPr="007E7998">
        <w:rPr>
          <w:rFonts w:ascii="Arial" w:hAnsi="Arial" w:cs="Arial"/>
          <w:b/>
        </w:rPr>
        <w:t>1</w:t>
      </w:r>
      <w:r w:rsidRPr="007E7998">
        <w:rPr>
          <w:rFonts w:ascii="Arial" w:hAnsi="Arial" w:cs="Arial"/>
          <w:b/>
        </w:rPr>
        <w:t xml:space="preserve">: Pre-operative </w:t>
      </w:r>
      <w:r w:rsidR="00825D1D" w:rsidRPr="007E7998">
        <w:rPr>
          <w:rFonts w:ascii="Arial" w:hAnsi="Arial" w:cs="Arial"/>
          <w:b/>
        </w:rPr>
        <w:t xml:space="preserve">patient </w:t>
      </w:r>
      <w:r w:rsidRPr="007E7998">
        <w:rPr>
          <w:rFonts w:ascii="Arial" w:hAnsi="Arial" w:cs="Arial"/>
          <w:b/>
        </w:rPr>
        <w:t>characteristics</w:t>
      </w:r>
    </w:p>
    <w:tbl>
      <w:tblPr>
        <w:tblStyle w:val="TableGrid"/>
        <w:tblW w:w="0" w:type="auto"/>
        <w:tblBorders>
          <w:insideV w:val="none" w:sz="0" w:space="0" w:color="auto"/>
        </w:tblBorders>
        <w:tblLook w:val="04A0" w:firstRow="1" w:lastRow="0" w:firstColumn="1" w:lastColumn="0" w:noHBand="0" w:noVBand="1"/>
      </w:tblPr>
      <w:tblGrid>
        <w:gridCol w:w="3369"/>
        <w:gridCol w:w="2126"/>
        <w:gridCol w:w="1984"/>
        <w:gridCol w:w="1763"/>
      </w:tblGrid>
      <w:tr w:rsidR="00A848B0" w:rsidRPr="007E7998" w:rsidTr="005C76BE">
        <w:tc>
          <w:tcPr>
            <w:tcW w:w="3369" w:type="dxa"/>
          </w:tcPr>
          <w:p w:rsidR="00A848B0" w:rsidRPr="007E7998" w:rsidRDefault="00A848B0" w:rsidP="003C0495">
            <w:pPr>
              <w:spacing w:line="480" w:lineRule="auto"/>
              <w:jc w:val="center"/>
              <w:rPr>
                <w:rFonts w:ascii="Arial" w:hAnsi="Arial" w:cs="Arial"/>
              </w:rPr>
            </w:pPr>
            <w:r w:rsidRPr="007E7998">
              <w:rPr>
                <w:rFonts w:ascii="Arial" w:hAnsi="Arial" w:cs="Arial"/>
              </w:rPr>
              <w:t>Characteristic</w:t>
            </w:r>
          </w:p>
        </w:tc>
        <w:tc>
          <w:tcPr>
            <w:tcW w:w="2126" w:type="dxa"/>
          </w:tcPr>
          <w:p w:rsidR="00A848B0" w:rsidRPr="007E7998" w:rsidRDefault="00A848B0" w:rsidP="003C0495">
            <w:pPr>
              <w:spacing w:line="480" w:lineRule="auto"/>
              <w:jc w:val="center"/>
              <w:rPr>
                <w:rFonts w:ascii="Arial" w:hAnsi="Arial" w:cs="Arial"/>
              </w:rPr>
            </w:pPr>
            <w:r w:rsidRPr="007E7998">
              <w:rPr>
                <w:rFonts w:ascii="Arial" w:hAnsi="Arial" w:cs="Arial"/>
              </w:rPr>
              <w:t>Aneurysm Group</w:t>
            </w:r>
          </w:p>
          <w:p w:rsidR="008767B7" w:rsidRPr="007E7998" w:rsidRDefault="008767B7" w:rsidP="008767B7">
            <w:pPr>
              <w:spacing w:line="480" w:lineRule="auto"/>
              <w:jc w:val="center"/>
              <w:rPr>
                <w:rFonts w:ascii="Arial" w:hAnsi="Arial" w:cs="Arial"/>
              </w:rPr>
            </w:pPr>
            <w:r w:rsidRPr="007E7998">
              <w:rPr>
                <w:rFonts w:ascii="Arial" w:hAnsi="Arial" w:cs="Arial"/>
              </w:rPr>
              <w:t>N = 187</w:t>
            </w:r>
          </w:p>
        </w:tc>
        <w:tc>
          <w:tcPr>
            <w:tcW w:w="1984" w:type="dxa"/>
          </w:tcPr>
          <w:p w:rsidR="00A848B0" w:rsidRPr="007E7998" w:rsidRDefault="00A848B0" w:rsidP="003C0495">
            <w:pPr>
              <w:spacing w:line="480" w:lineRule="auto"/>
              <w:jc w:val="center"/>
              <w:rPr>
                <w:rFonts w:ascii="Arial" w:hAnsi="Arial" w:cs="Arial"/>
              </w:rPr>
            </w:pPr>
            <w:r w:rsidRPr="007E7998">
              <w:rPr>
                <w:rFonts w:ascii="Arial" w:hAnsi="Arial" w:cs="Arial"/>
              </w:rPr>
              <w:t>Dissection Group</w:t>
            </w:r>
          </w:p>
          <w:p w:rsidR="008767B7" w:rsidRPr="007E7998" w:rsidRDefault="008767B7" w:rsidP="003C0495">
            <w:pPr>
              <w:spacing w:line="480" w:lineRule="auto"/>
              <w:jc w:val="center"/>
              <w:rPr>
                <w:rFonts w:ascii="Arial" w:hAnsi="Arial" w:cs="Arial"/>
              </w:rPr>
            </w:pPr>
            <w:r w:rsidRPr="007E7998">
              <w:rPr>
                <w:rFonts w:ascii="Arial" w:hAnsi="Arial" w:cs="Arial"/>
              </w:rPr>
              <w:t>N = 66</w:t>
            </w:r>
          </w:p>
        </w:tc>
        <w:tc>
          <w:tcPr>
            <w:tcW w:w="1763" w:type="dxa"/>
          </w:tcPr>
          <w:p w:rsidR="00A848B0" w:rsidRPr="007E7998" w:rsidRDefault="00A848B0" w:rsidP="003C0495">
            <w:pPr>
              <w:spacing w:line="480" w:lineRule="auto"/>
              <w:jc w:val="center"/>
              <w:rPr>
                <w:rFonts w:ascii="Arial" w:hAnsi="Arial" w:cs="Arial"/>
              </w:rPr>
            </w:pPr>
            <w:r w:rsidRPr="007E7998">
              <w:rPr>
                <w:rFonts w:ascii="Arial" w:hAnsi="Arial" w:cs="Arial"/>
                <w:i/>
              </w:rPr>
              <w:t>p</w:t>
            </w:r>
            <w:r w:rsidRPr="007E7998">
              <w:rPr>
                <w:rFonts w:ascii="Arial" w:hAnsi="Arial" w:cs="Arial"/>
              </w:rPr>
              <w:t>-value</w:t>
            </w:r>
          </w:p>
        </w:tc>
      </w:tr>
      <w:tr w:rsidR="00A848B0" w:rsidRPr="007E7998" w:rsidTr="005C76BE">
        <w:tc>
          <w:tcPr>
            <w:tcW w:w="3369" w:type="dxa"/>
          </w:tcPr>
          <w:p w:rsidR="00A848B0" w:rsidRPr="007E7998" w:rsidRDefault="00E81989" w:rsidP="00D4740B">
            <w:pPr>
              <w:spacing w:line="480" w:lineRule="auto"/>
              <w:jc w:val="center"/>
              <w:rPr>
                <w:rFonts w:ascii="Arial" w:hAnsi="Arial" w:cs="Arial"/>
              </w:rPr>
            </w:pPr>
            <w:r w:rsidRPr="007E7998">
              <w:rPr>
                <w:rFonts w:ascii="Arial" w:hAnsi="Arial" w:cs="Arial"/>
              </w:rPr>
              <w:t>A</w:t>
            </w:r>
            <w:r w:rsidR="007C07AE" w:rsidRPr="007E7998">
              <w:rPr>
                <w:rFonts w:ascii="Arial" w:hAnsi="Arial" w:cs="Arial"/>
              </w:rPr>
              <w:t>ge (years)</w:t>
            </w:r>
          </w:p>
        </w:tc>
        <w:tc>
          <w:tcPr>
            <w:tcW w:w="2126" w:type="dxa"/>
          </w:tcPr>
          <w:p w:rsidR="00A848B0" w:rsidRPr="007E7998" w:rsidRDefault="001E2183" w:rsidP="00D4740B">
            <w:pPr>
              <w:spacing w:line="480" w:lineRule="auto"/>
              <w:jc w:val="center"/>
              <w:rPr>
                <w:rFonts w:ascii="Arial" w:hAnsi="Arial" w:cs="Arial"/>
              </w:rPr>
            </w:pPr>
            <w:r w:rsidRPr="007E7998">
              <w:rPr>
                <w:rFonts w:ascii="Arial" w:hAnsi="Arial" w:cs="Arial"/>
              </w:rPr>
              <w:t>63</w:t>
            </w:r>
            <w:r w:rsidR="00502C86" w:rsidRPr="007E7998">
              <w:rPr>
                <w:rFonts w:ascii="Arial" w:hAnsi="Arial" w:cs="Arial"/>
              </w:rPr>
              <w:t xml:space="preserve"> (52-73)</w:t>
            </w:r>
          </w:p>
        </w:tc>
        <w:tc>
          <w:tcPr>
            <w:tcW w:w="1984" w:type="dxa"/>
          </w:tcPr>
          <w:p w:rsidR="00A848B0" w:rsidRPr="007E7998" w:rsidRDefault="001E2183" w:rsidP="00D4740B">
            <w:pPr>
              <w:spacing w:line="480" w:lineRule="auto"/>
              <w:jc w:val="center"/>
              <w:rPr>
                <w:rFonts w:ascii="Arial" w:hAnsi="Arial" w:cs="Arial"/>
              </w:rPr>
            </w:pPr>
            <w:r w:rsidRPr="007E7998">
              <w:rPr>
                <w:rFonts w:ascii="Arial" w:hAnsi="Arial" w:cs="Arial"/>
              </w:rPr>
              <w:t>66</w:t>
            </w:r>
            <w:r w:rsidR="00502C86" w:rsidRPr="007E7998">
              <w:rPr>
                <w:rFonts w:ascii="Arial" w:hAnsi="Arial" w:cs="Arial"/>
              </w:rPr>
              <w:t xml:space="preserve"> (51-73)</w:t>
            </w:r>
          </w:p>
        </w:tc>
        <w:tc>
          <w:tcPr>
            <w:tcW w:w="1763" w:type="dxa"/>
          </w:tcPr>
          <w:p w:rsidR="00A848B0" w:rsidRPr="007E7998" w:rsidRDefault="001E2183" w:rsidP="00D4740B">
            <w:pPr>
              <w:spacing w:line="480" w:lineRule="auto"/>
              <w:jc w:val="center"/>
              <w:rPr>
                <w:rFonts w:ascii="Arial" w:hAnsi="Arial" w:cs="Arial"/>
              </w:rPr>
            </w:pPr>
            <w:r w:rsidRPr="007E7998">
              <w:rPr>
                <w:rFonts w:ascii="Arial" w:hAnsi="Arial" w:cs="Arial"/>
              </w:rPr>
              <w:t>0.77</w:t>
            </w:r>
          </w:p>
        </w:tc>
      </w:tr>
      <w:tr w:rsidR="00644FE1" w:rsidRPr="007E7998" w:rsidTr="005C76BE">
        <w:tc>
          <w:tcPr>
            <w:tcW w:w="3369" w:type="dxa"/>
          </w:tcPr>
          <w:p w:rsidR="00644FE1" w:rsidRPr="007E7998" w:rsidRDefault="007C07AE" w:rsidP="00D4740B">
            <w:pPr>
              <w:spacing w:line="480" w:lineRule="auto"/>
              <w:jc w:val="center"/>
              <w:rPr>
                <w:rFonts w:ascii="Arial" w:hAnsi="Arial" w:cs="Arial"/>
              </w:rPr>
            </w:pPr>
            <w:r w:rsidRPr="007E7998">
              <w:rPr>
                <w:rFonts w:ascii="Arial" w:hAnsi="Arial" w:cs="Arial"/>
              </w:rPr>
              <w:t>Male</w:t>
            </w:r>
          </w:p>
        </w:tc>
        <w:tc>
          <w:tcPr>
            <w:tcW w:w="2126" w:type="dxa"/>
          </w:tcPr>
          <w:p w:rsidR="00644FE1" w:rsidRPr="007E7998" w:rsidRDefault="00FB33D3" w:rsidP="00D4740B">
            <w:pPr>
              <w:spacing w:line="480" w:lineRule="auto"/>
              <w:jc w:val="center"/>
              <w:rPr>
                <w:rFonts w:ascii="Arial" w:hAnsi="Arial" w:cs="Arial"/>
              </w:rPr>
            </w:pPr>
            <w:r w:rsidRPr="007E7998">
              <w:rPr>
                <w:rFonts w:ascii="Arial" w:hAnsi="Arial" w:cs="Arial"/>
              </w:rPr>
              <w:t>127 (67.9)</w:t>
            </w:r>
          </w:p>
        </w:tc>
        <w:tc>
          <w:tcPr>
            <w:tcW w:w="1984" w:type="dxa"/>
          </w:tcPr>
          <w:p w:rsidR="00644FE1" w:rsidRPr="007E7998" w:rsidRDefault="00FB33D3" w:rsidP="00D4740B">
            <w:pPr>
              <w:spacing w:line="480" w:lineRule="auto"/>
              <w:jc w:val="center"/>
              <w:rPr>
                <w:rFonts w:ascii="Arial" w:hAnsi="Arial" w:cs="Arial"/>
              </w:rPr>
            </w:pPr>
            <w:r w:rsidRPr="007E7998">
              <w:rPr>
                <w:rFonts w:ascii="Arial" w:hAnsi="Arial" w:cs="Arial"/>
              </w:rPr>
              <w:t>45 (68.2)</w:t>
            </w:r>
          </w:p>
        </w:tc>
        <w:tc>
          <w:tcPr>
            <w:tcW w:w="1763" w:type="dxa"/>
          </w:tcPr>
          <w:p w:rsidR="00644FE1" w:rsidRPr="007E7998" w:rsidRDefault="008D6E03" w:rsidP="00D4740B">
            <w:pPr>
              <w:spacing w:line="480" w:lineRule="auto"/>
              <w:jc w:val="center"/>
              <w:rPr>
                <w:rFonts w:ascii="Arial" w:hAnsi="Arial" w:cs="Arial"/>
              </w:rPr>
            </w:pPr>
            <w:r w:rsidRPr="007E7998">
              <w:rPr>
                <w:rFonts w:ascii="Arial" w:hAnsi="Arial" w:cs="Arial"/>
              </w:rPr>
              <w:t>0.97</w:t>
            </w:r>
          </w:p>
        </w:tc>
      </w:tr>
      <w:tr w:rsidR="00644FE1" w:rsidRPr="007E7998" w:rsidTr="005C76BE">
        <w:tc>
          <w:tcPr>
            <w:tcW w:w="3369" w:type="dxa"/>
          </w:tcPr>
          <w:p w:rsidR="00644FE1" w:rsidRPr="007E7998" w:rsidRDefault="007C07AE" w:rsidP="00D4740B">
            <w:pPr>
              <w:spacing w:line="480" w:lineRule="auto"/>
              <w:jc w:val="center"/>
              <w:rPr>
                <w:rFonts w:ascii="Arial" w:hAnsi="Arial" w:cs="Arial"/>
              </w:rPr>
            </w:pPr>
            <w:r w:rsidRPr="007E7998">
              <w:rPr>
                <w:rFonts w:ascii="Arial" w:hAnsi="Arial" w:cs="Arial"/>
              </w:rPr>
              <w:t>BMI</w:t>
            </w:r>
          </w:p>
        </w:tc>
        <w:tc>
          <w:tcPr>
            <w:tcW w:w="2126" w:type="dxa"/>
          </w:tcPr>
          <w:p w:rsidR="00644FE1" w:rsidRPr="007E7998" w:rsidRDefault="00E81989" w:rsidP="00D4740B">
            <w:pPr>
              <w:tabs>
                <w:tab w:val="center" w:pos="997"/>
                <w:tab w:val="right" w:pos="1995"/>
              </w:tabs>
              <w:spacing w:line="480" w:lineRule="auto"/>
              <w:jc w:val="center"/>
              <w:rPr>
                <w:rFonts w:ascii="Arial" w:hAnsi="Arial" w:cs="Arial"/>
              </w:rPr>
            </w:pPr>
            <w:r w:rsidRPr="007E7998">
              <w:rPr>
                <w:rFonts w:ascii="Arial" w:hAnsi="Arial" w:cs="Arial"/>
              </w:rPr>
              <w:t>27</w:t>
            </w:r>
            <w:r w:rsidR="0070258C" w:rsidRPr="007E7998">
              <w:rPr>
                <w:rFonts w:ascii="Arial" w:hAnsi="Arial" w:cs="Arial"/>
              </w:rPr>
              <w:t xml:space="preserve"> (24-30)</w:t>
            </w:r>
          </w:p>
        </w:tc>
        <w:tc>
          <w:tcPr>
            <w:tcW w:w="1984" w:type="dxa"/>
          </w:tcPr>
          <w:p w:rsidR="00644FE1" w:rsidRPr="007E7998" w:rsidRDefault="00E81989" w:rsidP="00D4740B">
            <w:pPr>
              <w:spacing w:line="480" w:lineRule="auto"/>
              <w:jc w:val="center"/>
              <w:rPr>
                <w:rFonts w:ascii="Arial" w:hAnsi="Arial" w:cs="Arial"/>
              </w:rPr>
            </w:pPr>
            <w:r w:rsidRPr="007E7998">
              <w:rPr>
                <w:rFonts w:ascii="Arial" w:hAnsi="Arial" w:cs="Arial"/>
              </w:rPr>
              <w:t>27</w:t>
            </w:r>
            <w:r w:rsidR="0070258C" w:rsidRPr="007E7998">
              <w:rPr>
                <w:rFonts w:ascii="Arial" w:hAnsi="Arial" w:cs="Arial"/>
              </w:rPr>
              <w:t xml:space="preserve"> (25-29)</w:t>
            </w:r>
          </w:p>
        </w:tc>
        <w:tc>
          <w:tcPr>
            <w:tcW w:w="1763" w:type="dxa"/>
          </w:tcPr>
          <w:p w:rsidR="00644FE1" w:rsidRPr="007E7998" w:rsidRDefault="00AF7C06" w:rsidP="00D4740B">
            <w:pPr>
              <w:spacing w:line="480" w:lineRule="auto"/>
              <w:jc w:val="center"/>
              <w:rPr>
                <w:rFonts w:ascii="Arial" w:hAnsi="Arial" w:cs="Arial"/>
              </w:rPr>
            </w:pPr>
            <w:r w:rsidRPr="007E7998">
              <w:rPr>
                <w:rFonts w:ascii="Arial" w:hAnsi="Arial" w:cs="Arial"/>
              </w:rPr>
              <w:t>0.67</w:t>
            </w:r>
          </w:p>
        </w:tc>
      </w:tr>
      <w:tr w:rsidR="00ED04F2" w:rsidRPr="007E7998" w:rsidTr="005C76BE">
        <w:tc>
          <w:tcPr>
            <w:tcW w:w="3369" w:type="dxa"/>
          </w:tcPr>
          <w:p w:rsidR="00ED04F2" w:rsidRPr="007E7998" w:rsidRDefault="00ED04F2" w:rsidP="00D4740B">
            <w:pPr>
              <w:spacing w:line="480" w:lineRule="auto"/>
              <w:jc w:val="center"/>
              <w:rPr>
                <w:rFonts w:ascii="Arial" w:hAnsi="Arial" w:cs="Arial"/>
              </w:rPr>
            </w:pPr>
            <w:r w:rsidRPr="007E7998">
              <w:rPr>
                <w:rFonts w:ascii="Arial" w:hAnsi="Arial" w:cs="Arial"/>
              </w:rPr>
              <w:t>Logistic EuroS</w:t>
            </w:r>
            <w:r w:rsidR="004F3D0E" w:rsidRPr="007E7998">
              <w:rPr>
                <w:rFonts w:ascii="Arial" w:hAnsi="Arial" w:cs="Arial"/>
              </w:rPr>
              <w:t>CORE</w:t>
            </w:r>
          </w:p>
        </w:tc>
        <w:tc>
          <w:tcPr>
            <w:tcW w:w="2126" w:type="dxa"/>
          </w:tcPr>
          <w:p w:rsidR="00ED04F2" w:rsidRPr="007E7998" w:rsidRDefault="004456F8" w:rsidP="00D4740B">
            <w:pPr>
              <w:tabs>
                <w:tab w:val="center" w:pos="997"/>
                <w:tab w:val="right" w:pos="1995"/>
              </w:tabs>
              <w:spacing w:line="480" w:lineRule="auto"/>
              <w:jc w:val="center"/>
              <w:rPr>
                <w:rFonts w:ascii="Arial" w:hAnsi="Arial" w:cs="Arial"/>
              </w:rPr>
            </w:pPr>
            <w:r w:rsidRPr="007E7998">
              <w:rPr>
                <w:rFonts w:ascii="Arial" w:hAnsi="Arial" w:cs="Arial"/>
              </w:rPr>
              <w:t>5.58 (2.17-9.17)</w:t>
            </w:r>
          </w:p>
        </w:tc>
        <w:tc>
          <w:tcPr>
            <w:tcW w:w="1984" w:type="dxa"/>
          </w:tcPr>
          <w:p w:rsidR="00ED04F2" w:rsidRPr="007E7998" w:rsidRDefault="004456F8" w:rsidP="00D4740B">
            <w:pPr>
              <w:spacing w:line="480" w:lineRule="auto"/>
              <w:jc w:val="center"/>
              <w:rPr>
                <w:rFonts w:ascii="Arial" w:hAnsi="Arial" w:cs="Arial"/>
              </w:rPr>
            </w:pPr>
            <w:r w:rsidRPr="007E7998">
              <w:rPr>
                <w:rFonts w:ascii="Arial" w:hAnsi="Arial" w:cs="Arial"/>
              </w:rPr>
              <w:t>8.86 (4.23-14.0)</w:t>
            </w:r>
          </w:p>
        </w:tc>
        <w:tc>
          <w:tcPr>
            <w:tcW w:w="1763" w:type="dxa"/>
          </w:tcPr>
          <w:p w:rsidR="00ED04F2" w:rsidRPr="007E7998" w:rsidRDefault="004456F8" w:rsidP="00D4740B">
            <w:pPr>
              <w:spacing w:line="480" w:lineRule="auto"/>
              <w:jc w:val="center"/>
              <w:rPr>
                <w:rFonts w:ascii="Arial" w:hAnsi="Arial" w:cs="Arial"/>
              </w:rPr>
            </w:pPr>
            <w:r w:rsidRPr="007E7998">
              <w:rPr>
                <w:rFonts w:ascii="Arial" w:hAnsi="Arial" w:cs="Arial"/>
              </w:rPr>
              <w:t>0.001</w:t>
            </w:r>
          </w:p>
        </w:tc>
      </w:tr>
      <w:tr w:rsidR="00644FE1" w:rsidRPr="007E7998" w:rsidTr="005C76BE">
        <w:tc>
          <w:tcPr>
            <w:tcW w:w="3369" w:type="dxa"/>
          </w:tcPr>
          <w:p w:rsidR="00644FE1" w:rsidRPr="007E7998" w:rsidRDefault="007C07AE" w:rsidP="00D4740B">
            <w:pPr>
              <w:spacing w:line="480" w:lineRule="auto"/>
              <w:jc w:val="center"/>
              <w:rPr>
                <w:rFonts w:ascii="Arial" w:hAnsi="Arial" w:cs="Arial"/>
              </w:rPr>
            </w:pPr>
            <w:r w:rsidRPr="007E7998">
              <w:rPr>
                <w:rFonts w:ascii="Arial" w:hAnsi="Arial" w:cs="Arial"/>
              </w:rPr>
              <w:t xml:space="preserve">NYHA </w:t>
            </w:r>
            <w:r w:rsidR="002F54E3" w:rsidRPr="007E7998">
              <w:rPr>
                <w:rFonts w:ascii="Arial" w:hAnsi="Arial" w:cs="Arial"/>
              </w:rPr>
              <w:t>c</w:t>
            </w:r>
            <w:r w:rsidRPr="007E7998">
              <w:rPr>
                <w:rFonts w:ascii="Arial" w:hAnsi="Arial" w:cs="Arial"/>
              </w:rPr>
              <w:t>lass</w:t>
            </w:r>
          </w:p>
        </w:tc>
        <w:tc>
          <w:tcPr>
            <w:tcW w:w="2126" w:type="dxa"/>
          </w:tcPr>
          <w:p w:rsidR="00644FE1" w:rsidRPr="007E7998" w:rsidRDefault="00644FE1" w:rsidP="00D4740B">
            <w:pPr>
              <w:spacing w:line="480" w:lineRule="auto"/>
              <w:jc w:val="center"/>
              <w:rPr>
                <w:rFonts w:ascii="Arial" w:hAnsi="Arial" w:cs="Arial"/>
              </w:rPr>
            </w:pPr>
          </w:p>
        </w:tc>
        <w:tc>
          <w:tcPr>
            <w:tcW w:w="1984" w:type="dxa"/>
          </w:tcPr>
          <w:p w:rsidR="00644FE1" w:rsidRPr="007E7998" w:rsidRDefault="00644FE1" w:rsidP="00D4740B">
            <w:pPr>
              <w:spacing w:line="480" w:lineRule="auto"/>
              <w:jc w:val="center"/>
              <w:rPr>
                <w:rFonts w:ascii="Arial" w:hAnsi="Arial" w:cs="Arial"/>
              </w:rPr>
            </w:pPr>
          </w:p>
        </w:tc>
        <w:tc>
          <w:tcPr>
            <w:tcW w:w="1763" w:type="dxa"/>
          </w:tcPr>
          <w:p w:rsidR="00644FE1" w:rsidRPr="007E7998" w:rsidRDefault="007B7C5A" w:rsidP="00D4740B">
            <w:pPr>
              <w:spacing w:line="480" w:lineRule="auto"/>
              <w:jc w:val="center"/>
              <w:rPr>
                <w:rFonts w:ascii="Arial" w:hAnsi="Arial" w:cs="Arial"/>
              </w:rPr>
            </w:pPr>
            <w:r w:rsidRPr="007E7998">
              <w:rPr>
                <w:rFonts w:ascii="Arial" w:hAnsi="Arial" w:cs="Arial"/>
              </w:rPr>
              <w:t>&lt;0.001</w:t>
            </w:r>
          </w:p>
        </w:tc>
      </w:tr>
      <w:tr w:rsidR="00644FE1" w:rsidRPr="007E7998" w:rsidTr="005C76BE">
        <w:tc>
          <w:tcPr>
            <w:tcW w:w="3369" w:type="dxa"/>
          </w:tcPr>
          <w:p w:rsidR="00644FE1" w:rsidRPr="007E7998" w:rsidRDefault="007C07AE" w:rsidP="00D4740B">
            <w:pPr>
              <w:spacing w:line="480" w:lineRule="auto"/>
              <w:jc w:val="center"/>
              <w:rPr>
                <w:rFonts w:ascii="Arial" w:hAnsi="Arial" w:cs="Arial"/>
              </w:rPr>
            </w:pPr>
            <w:r w:rsidRPr="007E7998">
              <w:rPr>
                <w:rFonts w:ascii="Arial" w:hAnsi="Arial" w:cs="Arial"/>
              </w:rPr>
              <w:t>I</w:t>
            </w:r>
          </w:p>
        </w:tc>
        <w:tc>
          <w:tcPr>
            <w:tcW w:w="2126" w:type="dxa"/>
          </w:tcPr>
          <w:p w:rsidR="00644FE1" w:rsidRPr="007E7998" w:rsidRDefault="007235D3" w:rsidP="00D4740B">
            <w:pPr>
              <w:spacing w:line="480" w:lineRule="auto"/>
              <w:jc w:val="center"/>
              <w:rPr>
                <w:rFonts w:ascii="Arial" w:hAnsi="Arial" w:cs="Arial"/>
              </w:rPr>
            </w:pPr>
            <w:r w:rsidRPr="007E7998">
              <w:rPr>
                <w:rFonts w:ascii="Arial" w:hAnsi="Arial" w:cs="Arial"/>
              </w:rPr>
              <w:t>75</w:t>
            </w:r>
            <w:r w:rsidR="00A87347" w:rsidRPr="007E7998">
              <w:rPr>
                <w:rFonts w:ascii="Arial" w:hAnsi="Arial" w:cs="Arial"/>
              </w:rPr>
              <w:t xml:space="preserve"> (40.1)</w:t>
            </w:r>
          </w:p>
        </w:tc>
        <w:tc>
          <w:tcPr>
            <w:tcW w:w="1984" w:type="dxa"/>
          </w:tcPr>
          <w:p w:rsidR="00644FE1" w:rsidRPr="007E7998" w:rsidRDefault="007235D3" w:rsidP="00D4740B">
            <w:pPr>
              <w:spacing w:line="480" w:lineRule="auto"/>
              <w:jc w:val="center"/>
              <w:rPr>
                <w:rFonts w:ascii="Arial" w:hAnsi="Arial" w:cs="Arial"/>
              </w:rPr>
            </w:pPr>
            <w:r w:rsidRPr="007E7998">
              <w:rPr>
                <w:rFonts w:ascii="Arial" w:hAnsi="Arial" w:cs="Arial"/>
              </w:rPr>
              <w:t>50</w:t>
            </w:r>
            <w:r w:rsidR="00A87347" w:rsidRPr="007E7998">
              <w:rPr>
                <w:rFonts w:ascii="Arial" w:hAnsi="Arial" w:cs="Arial"/>
              </w:rPr>
              <w:t xml:space="preserve"> (75.8)</w:t>
            </w:r>
          </w:p>
        </w:tc>
        <w:tc>
          <w:tcPr>
            <w:tcW w:w="1763" w:type="dxa"/>
          </w:tcPr>
          <w:p w:rsidR="00644FE1" w:rsidRPr="007E7998" w:rsidRDefault="00644FE1" w:rsidP="00D4740B">
            <w:pPr>
              <w:spacing w:line="480" w:lineRule="auto"/>
              <w:jc w:val="center"/>
              <w:rPr>
                <w:rFonts w:ascii="Arial" w:hAnsi="Arial" w:cs="Arial"/>
              </w:rPr>
            </w:pPr>
          </w:p>
        </w:tc>
      </w:tr>
      <w:tr w:rsidR="00644FE1" w:rsidRPr="007E7998" w:rsidTr="005C76BE">
        <w:tc>
          <w:tcPr>
            <w:tcW w:w="3369" w:type="dxa"/>
          </w:tcPr>
          <w:p w:rsidR="007C07AE" w:rsidRPr="007E7998" w:rsidRDefault="007C07AE" w:rsidP="00D4740B">
            <w:pPr>
              <w:spacing w:line="480" w:lineRule="auto"/>
              <w:jc w:val="center"/>
              <w:rPr>
                <w:rFonts w:ascii="Arial" w:hAnsi="Arial" w:cs="Arial"/>
              </w:rPr>
            </w:pPr>
            <w:r w:rsidRPr="007E7998">
              <w:rPr>
                <w:rFonts w:ascii="Arial" w:hAnsi="Arial" w:cs="Arial"/>
              </w:rPr>
              <w:t>II</w:t>
            </w:r>
          </w:p>
        </w:tc>
        <w:tc>
          <w:tcPr>
            <w:tcW w:w="2126" w:type="dxa"/>
          </w:tcPr>
          <w:p w:rsidR="00644FE1" w:rsidRPr="007E7998" w:rsidRDefault="007235D3" w:rsidP="00D4740B">
            <w:pPr>
              <w:spacing w:line="480" w:lineRule="auto"/>
              <w:jc w:val="center"/>
              <w:rPr>
                <w:rFonts w:ascii="Arial" w:hAnsi="Arial" w:cs="Arial"/>
              </w:rPr>
            </w:pPr>
            <w:r w:rsidRPr="007E7998">
              <w:rPr>
                <w:rFonts w:ascii="Arial" w:hAnsi="Arial" w:cs="Arial"/>
              </w:rPr>
              <w:t>79</w:t>
            </w:r>
            <w:r w:rsidR="0077307F" w:rsidRPr="007E7998">
              <w:rPr>
                <w:rFonts w:ascii="Arial" w:hAnsi="Arial" w:cs="Arial"/>
              </w:rPr>
              <w:t xml:space="preserve"> (42.2)</w:t>
            </w:r>
          </w:p>
        </w:tc>
        <w:tc>
          <w:tcPr>
            <w:tcW w:w="1984" w:type="dxa"/>
          </w:tcPr>
          <w:p w:rsidR="00644FE1" w:rsidRPr="007E7998" w:rsidRDefault="007235D3" w:rsidP="00D4740B">
            <w:pPr>
              <w:spacing w:line="480" w:lineRule="auto"/>
              <w:jc w:val="center"/>
              <w:rPr>
                <w:rFonts w:ascii="Arial" w:hAnsi="Arial" w:cs="Arial"/>
              </w:rPr>
            </w:pPr>
            <w:r w:rsidRPr="007E7998">
              <w:rPr>
                <w:rFonts w:ascii="Arial" w:hAnsi="Arial" w:cs="Arial"/>
              </w:rPr>
              <w:t>8</w:t>
            </w:r>
            <w:r w:rsidR="0077307F" w:rsidRPr="007E7998">
              <w:rPr>
                <w:rFonts w:ascii="Arial" w:hAnsi="Arial" w:cs="Arial"/>
              </w:rPr>
              <w:t xml:space="preserve"> (12.1)</w:t>
            </w:r>
          </w:p>
        </w:tc>
        <w:tc>
          <w:tcPr>
            <w:tcW w:w="1763" w:type="dxa"/>
          </w:tcPr>
          <w:p w:rsidR="00644FE1" w:rsidRPr="007E7998" w:rsidRDefault="00644FE1" w:rsidP="00D4740B">
            <w:pPr>
              <w:spacing w:line="480" w:lineRule="auto"/>
              <w:jc w:val="center"/>
              <w:rPr>
                <w:rFonts w:ascii="Arial" w:hAnsi="Arial" w:cs="Arial"/>
              </w:rPr>
            </w:pPr>
          </w:p>
        </w:tc>
      </w:tr>
      <w:tr w:rsidR="00644FE1" w:rsidRPr="007E7998" w:rsidTr="005C76BE">
        <w:tc>
          <w:tcPr>
            <w:tcW w:w="3369" w:type="dxa"/>
          </w:tcPr>
          <w:p w:rsidR="00644FE1" w:rsidRPr="007E7998" w:rsidRDefault="007C07AE" w:rsidP="00D4740B">
            <w:pPr>
              <w:spacing w:line="480" w:lineRule="auto"/>
              <w:jc w:val="center"/>
              <w:rPr>
                <w:rFonts w:ascii="Arial" w:hAnsi="Arial" w:cs="Arial"/>
              </w:rPr>
            </w:pPr>
            <w:r w:rsidRPr="007E7998">
              <w:rPr>
                <w:rFonts w:ascii="Arial" w:hAnsi="Arial" w:cs="Arial"/>
              </w:rPr>
              <w:t>III</w:t>
            </w:r>
          </w:p>
        </w:tc>
        <w:tc>
          <w:tcPr>
            <w:tcW w:w="2126" w:type="dxa"/>
          </w:tcPr>
          <w:p w:rsidR="00644FE1" w:rsidRPr="007E7998" w:rsidRDefault="007235D3" w:rsidP="00D4740B">
            <w:pPr>
              <w:spacing w:line="480" w:lineRule="auto"/>
              <w:jc w:val="center"/>
              <w:rPr>
                <w:rFonts w:ascii="Arial" w:hAnsi="Arial" w:cs="Arial"/>
              </w:rPr>
            </w:pPr>
            <w:r w:rsidRPr="007E7998">
              <w:rPr>
                <w:rFonts w:ascii="Arial" w:hAnsi="Arial" w:cs="Arial"/>
              </w:rPr>
              <w:t>33</w:t>
            </w:r>
            <w:r w:rsidR="0077307F" w:rsidRPr="007E7998">
              <w:rPr>
                <w:rFonts w:ascii="Arial" w:hAnsi="Arial" w:cs="Arial"/>
              </w:rPr>
              <w:t xml:space="preserve"> (17.6)</w:t>
            </w:r>
          </w:p>
        </w:tc>
        <w:tc>
          <w:tcPr>
            <w:tcW w:w="1984" w:type="dxa"/>
          </w:tcPr>
          <w:p w:rsidR="00644FE1" w:rsidRPr="007E7998" w:rsidRDefault="007235D3" w:rsidP="00D4740B">
            <w:pPr>
              <w:spacing w:line="480" w:lineRule="auto"/>
              <w:jc w:val="center"/>
              <w:rPr>
                <w:rFonts w:ascii="Arial" w:hAnsi="Arial" w:cs="Arial"/>
              </w:rPr>
            </w:pPr>
            <w:r w:rsidRPr="007E7998">
              <w:rPr>
                <w:rFonts w:ascii="Arial" w:hAnsi="Arial" w:cs="Arial"/>
              </w:rPr>
              <w:t>8</w:t>
            </w:r>
            <w:r w:rsidR="0077307F" w:rsidRPr="007E7998">
              <w:rPr>
                <w:rFonts w:ascii="Arial" w:hAnsi="Arial" w:cs="Arial"/>
              </w:rPr>
              <w:t xml:space="preserve"> (12.1)</w:t>
            </w:r>
          </w:p>
        </w:tc>
        <w:tc>
          <w:tcPr>
            <w:tcW w:w="1763" w:type="dxa"/>
          </w:tcPr>
          <w:p w:rsidR="00644FE1" w:rsidRPr="007E7998" w:rsidRDefault="00644FE1" w:rsidP="00D4740B">
            <w:pPr>
              <w:spacing w:line="480" w:lineRule="auto"/>
              <w:jc w:val="center"/>
              <w:rPr>
                <w:rFonts w:ascii="Arial" w:hAnsi="Arial" w:cs="Arial"/>
              </w:rPr>
            </w:pPr>
          </w:p>
        </w:tc>
      </w:tr>
      <w:tr w:rsidR="00644FE1" w:rsidRPr="007E7998" w:rsidTr="005C76BE">
        <w:tc>
          <w:tcPr>
            <w:tcW w:w="3369" w:type="dxa"/>
          </w:tcPr>
          <w:p w:rsidR="007646B9" w:rsidRPr="007E7998" w:rsidRDefault="007646B9" w:rsidP="003C0495">
            <w:pPr>
              <w:spacing w:line="480" w:lineRule="auto"/>
              <w:jc w:val="center"/>
              <w:rPr>
                <w:rFonts w:ascii="Arial" w:hAnsi="Arial" w:cs="Arial"/>
              </w:rPr>
            </w:pPr>
            <w:r w:rsidRPr="007E7998">
              <w:rPr>
                <w:rFonts w:ascii="Arial" w:hAnsi="Arial" w:cs="Arial"/>
              </w:rPr>
              <w:t>Hypertension</w:t>
            </w:r>
          </w:p>
        </w:tc>
        <w:tc>
          <w:tcPr>
            <w:tcW w:w="2126" w:type="dxa"/>
          </w:tcPr>
          <w:p w:rsidR="00644FE1" w:rsidRPr="007E7998" w:rsidRDefault="003952FA" w:rsidP="003C0495">
            <w:pPr>
              <w:spacing w:line="480" w:lineRule="auto"/>
              <w:jc w:val="center"/>
              <w:rPr>
                <w:rFonts w:ascii="Arial" w:hAnsi="Arial" w:cs="Arial"/>
              </w:rPr>
            </w:pPr>
            <w:r w:rsidRPr="007E7998">
              <w:rPr>
                <w:rFonts w:ascii="Arial" w:hAnsi="Arial" w:cs="Arial"/>
              </w:rPr>
              <w:t>109 (58.3)</w:t>
            </w:r>
          </w:p>
        </w:tc>
        <w:tc>
          <w:tcPr>
            <w:tcW w:w="1984" w:type="dxa"/>
          </w:tcPr>
          <w:p w:rsidR="00644FE1" w:rsidRPr="007E7998" w:rsidRDefault="003952FA" w:rsidP="003C0495">
            <w:pPr>
              <w:spacing w:line="480" w:lineRule="auto"/>
              <w:jc w:val="center"/>
              <w:rPr>
                <w:rFonts w:ascii="Arial" w:hAnsi="Arial" w:cs="Arial"/>
              </w:rPr>
            </w:pPr>
            <w:r w:rsidRPr="007E7998">
              <w:rPr>
                <w:rFonts w:ascii="Arial" w:hAnsi="Arial" w:cs="Arial"/>
              </w:rPr>
              <w:t>35 (53.</w:t>
            </w:r>
            <w:r w:rsidR="000E3B28" w:rsidRPr="007E7998">
              <w:rPr>
                <w:rFonts w:ascii="Arial" w:hAnsi="Arial" w:cs="Arial"/>
              </w:rPr>
              <w:t>0</w:t>
            </w:r>
            <w:r w:rsidRPr="007E7998">
              <w:rPr>
                <w:rFonts w:ascii="Arial" w:hAnsi="Arial" w:cs="Arial"/>
              </w:rPr>
              <w:t>)</w:t>
            </w:r>
          </w:p>
        </w:tc>
        <w:tc>
          <w:tcPr>
            <w:tcW w:w="1763" w:type="dxa"/>
          </w:tcPr>
          <w:p w:rsidR="00644FE1" w:rsidRPr="007E7998" w:rsidRDefault="00714368" w:rsidP="003C0495">
            <w:pPr>
              <w:spacing w:line="480" w:lineRule="auto"/>
              <w:jc w:val="center"/>
              <w:rPr>
                <w:rFonts w:ascii="Arial" w:hAnsi="Arial" w:cs="Arial"/>
              </w:rPr>
            </w:pPr>
            <w:r w:rsidRPr="007E7998">
              <w:rPr>
                <w:rFonts w:ascii="Arial" w:hAnsi="Arial" w:cs="Arial"/>
              </w:rPr>
              <w:t>0.46</w:t>
            </w:r>
          </w:p>
        </w:tc>
      </w:tr>
      <w:tr w:rsidR="00644FE1" w:rsidRPr="007E7998" w:rsidTr="005C76BE">
        <w:tc>
          <w:tcPr>
            <w:tcW w:w="3369" w:type="dxa"/>
          </w:tcPr>
          <w:p w:rsidR="00644FE1" w:rsidRPr="007E7998" w:rsidRDefault="007646B9" w:rsidP="003C0495">
            <w:pPr>
              <w:spacing w:line="480" w:lineRule="auto"/>
              <w:jc w:val="center"/>
              <w:rPr>
                <w:rFonts w:ascii="Arial" w:hAnsi="Arial" w:cs="Arial"/>
              </w:rPr>
            </w:pPr>
            <w:r w:rsidRPr="007E7998">
              <w:rPr>
                <w:rFonts w:ascii="Arial" w:hAnsi="Arial" w:cs="Arial"/>
              </w:rPr>
              <w:t>Hypercholesterolaemia</w:t>
            </w:r>
          </w:p>
        </w:tc>
        <w:tc>
          <w:tcPr>
            <w:tcW w:w="2126" w:type="dxa"/>
          </w:tcPr>
          <w:p w:rsidR="00644FE1" w:rsidRPr="007E7998" w:rsidRDefault="00E51200" w:rsidP="003C0495">
            <w:pPr>
              <w:spacing w:line="480" w:lineRule="auto"/>
              <w:jc w:val="center"/>
              <w:rPr>
                <w:rFonts w:ascii="Arial" w:hAnsi="Arial" w:cs="Arial"/>
              </w:rPr>
            </w:pPr>
            <w:r w:rsidRPr="007E7998">
              <w:rPr>
                <w:rFonts w:ascii="Arial" w:hAnsi="Arial" w:cs="Arial"/>
              </w:rPr>
              <w:t>60 (32.1)</w:t>
            </w:r>
          </w:p>
        </w:tc>
        <w:tc>
          <w:tcPr>
            <w:tcW w:w="1984" w:type="dxa"/>
          </w:tcPr>
          <w:p w:rsidR="00644FE1" w:rsidRPr="007E7998" w:rsidRDefault="00E51200" w:rsidP="003C0495">
            <w:pPr>
              <w:spacing w:line="480" w:lineRule="auto"/>
              <w:jc w:val="center"/>
              <w:rPr>
                <w:rFonts w:ascii="Arial" w:hAnsi="Arial" w:cs="Arial"/>
              </w:rPr>
            </w:pPr>
            <w:r w:rsidRPr="007E7998">
              <w:rPr>
                <w:rFonts w:ascii="Arial" w:hAnsi="Arial" w:cs="Arial"/>
              </w:rPr>
              <w:t>11 (16.7)</w:t>
            </w:r>
          </w:p>
        </w:tc>
        <w:tc>
          <w:tcPr>
            <w:tcW w:w="1763" w:type="dxa"/>
          </w:tcPr>
          <w:p w:rsidR="00644FE1" w:rsidRPr="007E7998" w:rsidRDefault="00E51200" w:rsidP="003C0495">
            <w:pPr>
              <w:spacing w:line="480" w:lineRule="auto"/>
              <w:jc w:val="center"/>
              <w:rPr>
                <w:rFonts w:ascii="Arial" w:hAnsi="Arial" w:cs="Arial"/>
              </w:rPr>
            </w:pPr>
            <w:r w:rsidRPr="007E7998">
              <w:rPr>
                <w:rFonts w:ascii="Arial" w:hAnsi="Arial" w:cs="Arial"/>
              </w:rPr>
              <w:t>0.017</w:t>
            </w:r>
          </w:p>
        </w:tc>
      </w:tr>
      <w:tr w:rsidR="00644FE1" w:rsidRPr="007E7998" w:rsidTr="005C76BE">
        <w:tc>
          <w:tcPr>
            <w:tcW w:w="3369" w:type="dxa"/>
          </w:tcPr>
          <w:p w:rsidR="00644FE1" w:rsidRPr="007E7998" w:rsidRDefault="007646B9" w:rsidP="003C0495">
            <w:pPr>
              <w:spacing w:line="480" w:lineRule="auto"/>
              <w:jc w:val="center"/>
              <w:rPr>
                <w:rFonts w:ascii="Arial" w:hAnsi="Arial" w:cs="Arial"/>
              </w:rPr>
            </w:pPr>
            <w:r w:rsidRPr="007E7998">
              <w:rPr>
                <w:rFonts w:ascii="Arial" w:hAnsi="Arial" w:cs="Arial"/>
              </w:rPr>
              <w:t>Smoking</w:t>
            </w:r>
          </w:p>
        </w:tc>
        <w:tc>
          <w:tcPr>
            <w:tcW w:w="2126" w:type="dxa"/>
          </w:tcPr>
          <w:p w:rsidR="00644FE1" w:rsidRPr="007E7998" w:rsidRDefault="00E51200" w:rsidP="003C0495">
            <w:pPr>
              <w:spacing w:line="480" w:lineRule="auto"/>
              <w:jc w:val="center"/>
              <w:rPr>
                <w:rFonts w:ascii="Arial" w:hAnsi="Arial" w:cs="Arial"/>
              </w:rPr>
            </w:pPr>
            <w:r w:rsidRPr="007E7998">
              <w:rPr>
                <w:rFonts w:ascii="Arial" w:hAnsi="Arial" w:cs="Arial"/>
              </w:rPr>
              <w:t>84 (44.9)</w:t>
            </w:r>
          </w:p>
        </w:tc>
        <w:tc>
          <w:tcPr>
            <w:tcW w:w="1984" w:type="dxa"/>
          </w:tcPr>
          <w:p w:rsidR="00644FE1" w:rsidRPr="007E7998" w:rsidRDefault="004F0B7B" w:rsidP="003C0495">
            <w:pPr>
              <w:spacing w:line="480" w:lineRule="auto"/>
              <w:jc w:val="center"/>
              <w:rPr>
                <w:rFonts w:ascii="Arial" w:hAnsi="Arial" w:cs="Arial"/>
              </w:rPr>
            </w:pPr>
            <w:r w:rsidRPr="007E7998">
              <w:rPr>
                <w:rFonts w:ascii="Arial" w:hAnsi="Arial" w:cs="Arial"/>
              </w:rPr>
              <w:t>18 (27.3)</w:t>
            </w:r>
          </w:p>
        </w:tc>
        <w:tc>
          <w:tcPr>
            <w:tcW w:w="1763" w:type="dxa"/>
          </w:tcPr>
          <w:p w:rsidR="00644FE1" w:rsidRPr="007E7998" w:rsidRDefault="004F0B7B" w:rsidP="003C0495">
            <w:pPr>
              <w:spacing w:line="480" w:lineRule="auto"/>
              <w:jc w:val="center"/>
              <w:rPr>
                <w:rFonts w:ascii="Arial" w:hAnsi="Arial" w:cs="Arial"/>
              </w:rPr>
            </w:pPr>
            <w:r w:rsidRPr="007E7998">
              <w:rPr>
                <w:rFonts w:ascii="Arial" w:hAnsi="Arial" w:cs="Arial"/>
              </w:rPr>
              <w:t>0.022</w:t>
            </w:r>
          </w:p>
        </w:tc>
      </w:tr>
      <w:tr w:rsidR="00644FE1" w:rsidRPr="007E7998" w:rsidTr="005C76BE">
        <w:tc>
          <w:tcPr>
            <w:tcW w:w="3369" w:type="dxa"/>
          </w:tcPr>
          <w:p w:rsidR="00644FE1" w:rsidRPr="007E7998" w:rsidRDefault="00145251" w:rsidP="003C0495">
            <w:pPr>
              <w:spacing w:line="480" w:lineRule="auto"/>
              <w:jc w:val="center"/>
              <w:rPr>
                <w:rFonts w:ascii="Arial" w:hAnsi="Arial" w:cs="Arial"/>
              </w:rPr>
            </w:pPr>
            <w:r w:rsidRPr="007E7998">
              <w:rPr>
                <w:rFonts w:ascii="Arial" w:hAnsi="Arial" w:cs="Arial"/>
              </w:rPr>
              <w:t>Pulmonary disease</w:t>
            </w:r>
          </w:p>
        </w:tc>
        <w:tc>
          <w:tcPr>
            <w:tcW w:w="2126" w:type="dxa"/>
          </w:tcPr>
          <w:p w:rsidR="00644FE1" w:rsidRPr="007E7998" w:rsidRDefault="00542E37" w:rsidP="003C0495">
            <w:pPr>
              <w:spacing w:line="480" w:lineRule="auto"/>
              <w:jc w:val="center"/>
              <w:rPr>
                <w:rFonts w:ascii="Arial" w:hAnsi="Arial" w:cs="Arial"/>
              </w:rPr>
            </w:pPr>
            <w:r w:rsidRPr="007E7998">
              <w:rPr>
                <w:rFonts w:ascii="Arial" w:hAnsi="Arial" w:cs="Arial"/>
              </w:rPr>
              <w:t>14 (7.49)</w:t>
            </w:r>
          </w:p>
        </w:tc>
        <w:tc>
          <w:tcPr>
            <w:tcW w:w="1984" w:type="dxa"/>
          </w:tcPr>
          <w:p w:rsidR="00644FE1" w:rsidRPr="007E7998" w:rsidRDefault="00542E37" w:rsidP="003C0495">
            <w:pPr>
              <w:spacing w:line="480" w:lineRule="auto"/>
              <w:jc w:val="center"/>
              <w:rPr>
                <w:rFonts w:ascii="Arial" w:hAnsi="Arial" w:cs="Arial"/>
              </w:rPr>
            </w:pPr>
            <w:r w:rsidRPr="007E7998">
              <w:rPr>
                <w:rFonts w:ascii="Arial" w:hAnsi="Arial" w:cs="Arial"/>
              </w:rPr>
              <w:t>6 (9.09)</w:t>
            </w:r>
          </w:p>
        </w:tc>
        <w:tc>
          <w:tcPr>
            <w:tcW w:w="1763" w:type="dxa"/>
          </w:tcPr>
          <w:p w:rsidR="00644FE1" w:rsidRPr="007E7998" w:rsidRDefault="00542E37" w:rsidP="003C0495">
            <w:pPr>
              <w:spacing w:line="480" w:lineRule="auto"/>
              <w:jc w:val="center"/>
              <w:rPr>
                <w:rFonts w:ascii="Arial" w:hAnsi="Arial" w:cs="Arial"/>
              </w:rPr>
            </w:pPr>
            <w:r w:rsidRPr="007E7998">
              <w:rPr>
                <w:rFonts w:ascii="Arial" w:hAnsi="Arial" w:cs="Arial"/>
              </w:rPr>
              <w:t>0.68</w:t>
            </w:r>
          </w:p>
        </w:tc>
      </w:tr>
      <w:tr w:rsidR="00644FE1" w:rsidRPr="007E7998" w:rsidTr="005C76BE">
        <w:tc>
          <w:tcPr>
            <w:tcW w:w="3369" w:type="dxa"/>
          </w:tcPr>
          <w:p w:rsidR="00644FE1" w:rsidRPr="007E7998" w:rsidRDefault="008471D9" w:rsidP="00A85FF6">
            <w:pPr>
              <w:spacing w:line="480" w:lineRule="auto"/>
              <w:jc w:val="center"/>
              <w:rPr>
                <w:rFonts w:ascii="Arial" w:hAnsi="Arial" w:cs="Arial"/>
              </w:rPr>
            </w:pPr>
            <w:r w:rsidRPr="007E7998">
              <w:rPr>
                <w:rFonts w:ascii="Arial" w:hAnsi="Arial" w:cs="Arial"/>
              </w:rPr>
              <w:t>CKD</w:t>
            </w:r>
            <w:r w:rsidR="00A85FF6" w:rsidRPr="007E7998">
              <w:rPr>
                <w:rFonts w:ascii="Arial" w:hAnsi="Arial" w:cs="Arial"/>
              </w:rPr>
              <w:t xml:space="preserve"> </w:t>
            </w:r>
            <w:r w:rsidR="002F54E3" w:rsidRPr="007E7998">
              <w:rPr>
                <w:rFonts w:ascii="Arial" w:hAnsi="Arial" w:cs="Arial"/>
              </w:rPr>
              <w:t>s</w:t>
            </w:r>
            <w:r w:rsidR="00A85FF6" w:rsidRPr="007E7998">
              <w:rPr>
                <w:rFonts w:ascii="Arial" w:hAnsi="Arial" w:cs="Arial"/>
              </w:rPr>
              <w:t>tage</w:t>
            </w:r>
          </w:p>
        </w:tc>
        <w:tc>
          <w:tcPr>
            <w:tcW w:w="2126" w:type="dxa"/>
          </w:tcPr>
          <w:p w:rsidR="00644FE1" w:rsidRPr="007E7998" w:rsidRDefault="00644FE1" w:rsidP="003C0495">
            <w:pPr>
              <w:spacing w:line="480" w:lineRule="auto"/>
              <w:jc w:val="center"/>
              <w:rPr>
                <w:rFonts w:ascii="Arial" w:hAnsi="Arial" w:cs="Arial"/>
              </w:rPr>
            </w:pPr>
          </w:p>
        </w:tc>
        <w:tc>
          <w:tcPr>
            <w:tcW w:w="1984" w:type="dxa"/>
          </w:tcPr>
          <w:p w:rsidR="00644FE1" w:rsidRPr="007E7998" w:rsidRDefault="00644FE1" w:rsidP="003C0495">
            <w:pPr>
              <w:spacing w:line="480" w:lineRule="auto"/>
              <w:jc w:val="center"/>
              <w:rPr>
                <w:rFonts w:ascii="Arial" w:hAnsi="Arial" w:cs="Arial"/>
              </w:rPr>
            </w:pPr>
          </w:p>
        </w:tc>
        <w:tc>
          <w:tcPr>
            <w:tcW w:w="1763" w:type="dxa"/>
          </w:tcPr>
          <w:p w:rsidR="00644FE1" w:rsidRPr="007E7998" w:rsidRDefault="00765B01" w:rsidP="003C0495">
            <w:pPr>
              <w:spacing w:line="480" w:lineRule="auto"/>
              <w:jc w:val="center"/>
              <w:rPr>
                <w:rFonts w:ascii="Arial" w:hAnsi="Arial" w:cs="Arial"/>
              </w:rPr>
            </w:pPr>
            <w:r w:rsidRPr="007E7998">
              <w:rPr>
                <w:rFonts w:ascii="Arial" w:hAnsi="Arial" w:cs="Arial"/>
              </w:rPr>
              <w:t>&lt;0.001</w:t>
            </w:r>
          </w:p>
        </w:tc>
      </w:tr>
      <w:tr w:rsidR="00644FE1" w:rsidRPr="007E7998" w:rsidTr="005C76BE">
        <w:tc>
          <w:tcPr>
            <w:tcW w:w="3369" w:type="dxa"/>
          </w:tcPr>
          <w:p w:rsidR="00602BC3" w:rsidRPr="007E7998" w:rsidRDefault="00602BC3" w:rsidP="003C0495">
            <w:pPr>
              <w:spacing w:line="480" w:lineRule="auto"/>
              <w:jc w:val="center"/>
              <w:rPr>
                <w:rFonts w:ascii="Arial" w:hAnsi="Arial" w:cs="Arial"/>
              </w:rPr>
            </w:pPr>
            <w:r w:rsidRPr="007E7998">
              <w:rPr>
                <w:rFonts w:ascii="Arial" w:hAnsi="Arial" w:cs="Arial"/>
              </w:rPr>
              <w:t>1</w:t>
            </w:r>
          </w:p>
        </w:tc>
        <w:tc>
          <w:tcPr>
            <w:tcW w:w="2126" w:type="dxa"/>
          </w:tcPr>
          <w:p w:rsidR="00644FE1" w:rsidRPr="007E7998" w:rsidRDefault="009C4D92" w:rsidP="003C0495">
            <w:pPr>
              <w:spacing w:line="480" w:lineRule="auto"/>
              <w:jc w:val="center"/>
              <w:rPr>
                <w:rFonts w:ascii="Arial" w:hAnsi="Arial" w:cs="Arial"/>
              </w:rPr>
            </w:pPr>
            <w:r w:rsidRPr="007E7998">
              <w:rPr>
                <w:rFonts w:ascii="Arial" w:hAnsi="Arial" w:cs="Arial"/>
              </w:rPr>
              <w:t>75 (40.1)</w:t>
            </w:r>
          </w:p>
        </w:tc>
        <w:tc>
          <w:tcPr>
            <w:tcW w:w="1984" w:type="dxa"/>
          </w:tcPr>
          <w:p w:rsidR="00644FE1" w:rsidRPr="007E7998" w:rsidRDefault="009C4D92" w:rsidP="003C0495">
            <w:pPr>
              <w:spacing w:line="480" w:lineRule="auto"/>
              <w:jc w:val="center"/>
              <w:rPr>
                <w:rFonts w:ascii="Arial" w:hAnsi="Arial" w:cs="Arial"/>
              </w:rPr>
            </w:pPr>
            <w:r w:rsidRPr="007E7998">
              <w:rPr>
                <w:rFonts w:ascii="Arial" w:hAnsi="Arial" w:cs="Arial"/>
              </w:rPr>
              <w:t>15 (22.7)</w:t>
            </w:r>
          </w:p>
        </w:tc>
        <w:tc>
          <w:tcPr>
            <w:tcW w:w="1763" w:type="dxa"/>
          </w:tcPr>
          <w:p w:rsidR="00644FE1" w:rsidRPr="007E7998" w:rsidRDefault="00644FE1" w:rsidP="003C0495">
            <w:pPr>
              <w:spacing w:line="480" w:lineRule="auto"/>
              <w:jc w:val="center"/>
              <w:rPr>
                <w:rFonts w:ascii="Arial" w:hAnsi="Arial" w:cs="Arial"/>
              </w:rPr>
            </w:pPr>
          </w:p>
        </w:tc>
      </w:tr>
      <w:tr w:rsidR="00644FE1" w:rsidRPr="007E7998" w:rsidTr="005C76BE">
        <w:tc>
          <w:tcPr>
            <w:tcW w:w="3369" w:type="dxa"/>
          </w:tcPr>
          <w:p w:rsidR="00644FE1" w:rsidRPr="007E7998" w:rsidRDefault="00602BC3" w:rsidP="003C0495">
            <w:pPr>
              <w:spacing w:line="480" w:lineRule="auto"/>
              <w:jc w:val="center"/>
              <w:rPr>
                <w:rFonts w:ascii="Arial" w:hAnsi="Arial" w:cs="Arial"/>
              </w:rPr>
            </w:pPr>
            <w:r w:rsidRPr="007E7998">
              <w:rPr>
                <w:rFonts w:ascii="Arial" w:hAnsi="Arial" w:cs="Arial"/>
              </w:rPr>
              <w:t>2</w:t>
            </w:r>
          </w:p>
        </w:tc>
        <w:tc>
          <w:tcPr>
            <w:tcW w:w="2126" w:type="dxa"/>
          </w:tcPr>
          <w:p w:rsidR="00644FE1" w:rsidRPr="007E7998" w:rsidRDefault="009C4D92" w:rsidP="003C0495">
            <w:pPr>
              <w:spacing w:line="480" w:lineRule="auto"/>
              <w:jc w:val="center"/>
              <w:rPr>
                <w:rFonts w:ascii="Arial" w:hAnsi="Arial" w:cs="Arial"/>
              </w:rPr>
            </w:pPr>
            <w:r w:rsidRPr="007E7998">
              <w:rPr>
                <w:rFonts w:ascii="Arial" w:hAnsi="Arial" w:cs="Arial"/>
              </w:rPr>
              <w:t>89 (47.6)</w:t>
            </w:r>
          </w:p>
        </w:tc>
        <w:tc>
          <w:tcPr>
            <w:tcW w:w="1984" w:type="dxa"/>
          </w:tcPr>
          <w:p w:rsidR="00644FE1" w:rsidRPr="007E7998" w:rsidRDefault="009C4D92" w:rsidP="003C0495">
            <w:pPr>
              <w:spacing w:line="480" w:lineRule="auto"/>
              <w:jc w:val="center"/>
              <w:rPr>
                <w:rFonts w:ascii="Arial" w:hAnsi="Arial" w:cs="Arial"/>
              </w:rPr>
            </w:pPr>
            <w:r w:rsidRPr="007E7998">
              <w:rPr>
                <w:rFonts w:ascii="Arial" w:hAnsi="Arial" w:cs="Arial"/>
              </w:rPr>
              <w:t>28 (42.2)</w:t>
            </w:r>
          </w:p>
        </w:tc>
        <w:tc>
          <w:tcPr>
            <w:tcW w:w="1763" w:type="dxa"/>
          </w:tcPr>
          <w:p w:rsidR="00644FE1" w:rsidRPr="007E7998" w:rsidRDefault="00644FE1" w:rsidP="003C0495">
            <w:pPr>
              <w:spacing w:line="480" w:lineRule="auto"/>
              <w:jc w:val="center"/>
              <w:rPr>
                <w:rFonts w:ascii="Arial" w:hAnsi="Arial" w:cs="Arial"/>
              </w:rPr>
            </w:pPr>
          </w:p>
        </w:tc>
      </w:tr>
      <w:tr w:rsidR="00644FE1" w:rsidRPr="007E7998" w:rsidTr="005C76BE">
        <w:tc>
          <w:tcPr>
            <w:tcW w:w="3369" w:type="dxa"/>
          </w:tcPr>
          <w:p w:rsidR="00644FE1" w:rsidRPr="007E7998" w:rsidRDefault="00602BC3" w:rsidP="003C0495">
            <w:pPr>
              <w:spacing w:line="480" w:lineRule="auto"/>
              <w:jc w:val="center"/>
              <w:rPr>
                <w:rFonts w:ascii="Arial" w:hAnsi="Arial" w:cs="Arial"/>
              </w:rPr>
            </w:pPr>
            <w:r w:rsidRPr="007E7998">
              <w:rPr>
                <w:rFonts w:ascii="Arial" w:hAnsi="Arial" w:cs="Arial"/>
              </w:rPr>
              <w:t>3</w:t>
            </w:r>
          </w:p>
        </w:tc>
        <w:tc>
          <w:tcPr>
            <w:tcW w:w="2126" w:type="dxa"/>
          </w:tcPr>
          <w:p w:rsidR="00644FE1" w:rsidRPr="007E7998" w:rsidRDefault="009C4D92" w:rsidP="003C0495">
            <w:pPr>
              <w:spacing w:line="480" w:lineRule="auto"/>
              <w:jc w:val="center"/>
              <w:rPr>
                <w:rFonts w:ascii="Arial" w:hAnsi="Arial" w:cs="Arial"/>
              </w:rPr>
            </w:pPr>
            <w:r w:rsidRPr="007E7998">
              <w:rPr>
                <w:rFonts w:ascii="Arial" w:hAnsi="Arial" w:cs="Arial"/>
              </w:rPr>
              <w:t>20 (10.7)</w:t>
            </w:r>
          </w:p>
        </w:tc>
        <w:tc>
          <w:tcPr>
            <w:tcW w:w="1984" w:type="dxa"/>
          </w:tcPr>
          <w:p w:rsidR="00644FE1" w:rsidRPr="007E7998" w:rsidRDefault="009C4D92" w:rsidP="003C0495">
            <w:pPr>
              <w:spacing w:line="480" w:lineRule="auto"/>
              <w:jc w:val="center"/>
              <w:rPr>
                <w:rFonts w:ascii="Arial" w:hAnsi="Arial" w:cs="Arial"/>
              </w:rPr>
            </w:pPr>
            <w:r w:rsidRPr="007E7998">
              <w:rPr>
                <w:rFonts w:ascii="Arial" w:hAnsi="Arial" w:cs="Arial"/>
              </w:rPr>
              <w:t>21 (31.8)</w:t>
            </w:r>
          </w:p>
        </w:tc>
        <w:tc>
          <w:tcPr>
            <w:tcW w:w="1763" w:type="dxa"/>
          </w:tcPr>
          <w:p w:rsidR="00644FE1" w:rsidRPr="007E7998" w:rsidRDefault="00644FE1" w:rsidP="003C0495">
            <w:pPr>
              <w:spacing w:line="480" w:lineRule="auto"/>
              <w:jc w:val="center"/>
              <w:rPr>
                <w:rFonts w:ascii="Arial" w:hAnsi="Arial" w:cs="Arial"/>
              </w:rPr>
            </w:pPr>
          </w:p>
        </w:tc>
      </w:tr>
      <w:tr w:rsidR="00644FE1" w:rsidRPr="007E7998" w:rsidTr="005C76BE">
        <w:tc>
          <w:tcPr>
            <w:tcW w:w="3369" w:type="dxa"/>
          </w:tcPr>
          <w:p w:rsidR="00644FE1" w:rsidRPr="007E7998" w:rsidRDefault="00602BC3" w:rsidP="003C0495">
            <w:pPr>
              <w:spacing w:line="480" w:lineRule="auto"/>
              <w:jc w:val="center"/>
              <w:rPr>
                <w:rFonts w:ascii="Arial" w:hAnsi="Arial" w:cs="Arial"/>
              </w:rPr>
            </w:pPr>
            <w:r w:rsidRPr="007E7998">
              <w:rPr>
                <w:rFonts w:ascii="Arial" w:hAnsi="Arial" w:cs="Arial"/>
              </w:rPr>
              <w:t>4</w:t>
            </w:r>
          </w:p>
        </w:tc>
        <w:tc>
          <w:tcPr>
            <w:tcW w:w="2126" w:type="dxa"/>
          </w:tcPr>
          <w:p w:rsidR="00644FE1" w:rsidRPr="007E7998" w:rsidRDefault="009C4D92" w:rsidP="003C0495">
            <w:pPr>
              <w:spacing w:line="480" w:lineRule="auto"/>
              <w:jc w:val="center"/>
              <w:rPr>
                <w:rFonts w:ascii="Arial" w:hAnsi="Arial" w:cs="Arial"/>
              </w:rPr>
            </w:pPr>
            <w:r w:rsidRPr="007E7998">
              <w:rPr>
                <w:rFonts w:ascii="Arial" w:hAnsi="Arial" w:cs="Arial"/>
              </w:rPr>
              <w:t>2 (1.07)</w:t>
            </w:r>
          </w:p>
        </w:tc>
        <w:tc>
          <w:tcPr>
            <w:tcW w:w="1984" w:type="dxa"/>
          </w:tcPr>
          <w:p w:rsidR="00644FE1" w:rsidRPr="007E7998" w:rsidRDefault="009C4D92" w:rsidP="003C0495">
            <w:pPr>
              <w:spacing w:line="480" w:lineRule="auto"/>
              <w:jc w:val="center"/>
              <w:rPr>
                <w:rFonts w:ascii="Arial" w:hAnsi="Arial" w:cs="Arial"/>
              </w:rPr>
            </w:pPr>
            <w:r w:rsidRPr="007E7998">
              <w:rPr>
                <w:rFonts w:ascii="Arial" w:hAnsi="Arial" w:cs="Arial"/>
              </w:rPr>
              <w:t>1 (1.52)</w:t>
            </w:r>
          </w:p>
        </w:tc>
        <w:tc>
          <w:tcPr>
            <w:tcW w:w="1763" w:type="dxa"/>
          </w:tcPr>
          <w:p w:rsidR="00644FE1" w:rsidRPr="007E7998" w:rsidRDefault="00644FE1" w:rsidP="003C0495">
            <w:pPr>
              <w:spacing w:line="480" w:lineRule="auto"/>
              <w:jc w:val="center"/>
              <w:rPr>
                <w:rFonts w:ascii="Arial" w:hAnsi="Arial" w:cs="Arial"/>
              </w:rPr>
            </w:pPr>
          </w:p>
        </w:tc>
      </w:tr>
      <w:tr w:rsidR="00644FE1" w:rsidRPr="007E7998" w:rsidTr="005C76BE">
        <w:tc>
          <w:tcPr>
            <w:tcW w:w="3369" w:type="dxa"/>
          </w:tcPr>
          <w:p w:rsidR="00644FE1" w:rsidRPr="007E7998" w:rsidRDefault="00602BC3" w:rsidP="003C0495">
            <w:pPr>
              <w:spacing w:line="480" w:lineRule="auto"/>
              <w:jc w:val="center"/>
              <w:rPr>
                <w:rFonts w:ascii="Arial" w:hAnsi="Arial" w:cs="Arial"/>
              </w:rPr>
            </w:pPr>
            <w:r w:rsidRPr="007E7998">
              <w:rPr>
                <w:rFonts w:ascii="Arial" w:hAnsi="Arial" w:cs="Arial"/>
              </w:rPr>
              <w:t>5</w:t>
            </w:r>
          </w:p>
        </w:tc>
        <w:tc>
          <w:tcPr>
            <w:tcW w:w="2126" w:type="dxa"/>
          </w:tcPr>
          <w:p w:rsidR="00644FE1" w:rsidRPr="007E7998" w:rsidRDefault="009C4D92" w:rsidP="003C0495">
            <w:pPr>
              <w:spacing w:line="480" w:lineRule="auto"/>
              <w:jc w:val="center"/>
              <w:rPr>
                <w:rFonts w:ascii="Arial" w:hAnsi="Arial" w:cs="Arial"/>
              </w:rPr>
            </w:pPr>
            <w:r w:rsidRPr="007E7998">
              <w:rPr>
                <w:rFonts w:ascii="Arial" w:hAnsi="Arial" w:cs="Arial"/>
              </w:rPr>
              <w:t>1 (0.53)</w:t>
            </w:r>
          </w:p>
        </w:tc>
        <w:tc>
          <w:tcPr>
            <w:tcW w:w="1984" w:type="dxa"/>
          </w:tcPr>
          <w:p w:rsidR="00644FE1" w:rsidRPr="007E7998" w:rsidRDefault="009C4D92" w:rsidP="003C0495">
            <w:pPr>
              <w:spacing w:line="480" w:lineRule="auto"/>
              <w:jc w:val="center"/>
              <w:rPr>
                <w:rFonts w:ascii="Arial" w:hAnsi="Arial" w:cs="Arial"/>
              </w:rPr>
            </w:pPr>
            <w:r w:rsidRPr="007E7998">
              <w:rPr>
                <w:rFonts w:ascii="Arial" w:hAnsi="Arial" w:cs="Arial"/>
              </w:rPr>
              <w:t>0 (0.00)</w:t>
            </w:r>
          </w:p>
        </w:tc>
        <w:tc>
          <w:tcPr>
            <w:tcW w:w="1763" w:type="dxa"/>
          </w:tcPr>
          <w:p w:rsidR="00644FE1" w:rsidRPr="007E7998" w:rsidRDefault="00644FE1" w:rsidP="003C0495">
            <w:pPr>
              <w:spacing w:line="480" w:lineRule="auto"/>
              <w:jc w:val="center"/>
              <w:rPr>
                <w:rFonts w:ascii="Arial" w:hAnsi="Arial" w:cs="Arial"/>
              </w:rPr>
            </w:pPr>
          </w:p>
        </w:tc>
      </w:tr>
      <w:tr w:rsidR="00644FE1" w:rsidRPr="007E7998" w:rsidTr="005C76BE">
        <w:tc>
          <w:tcPr>
            <w:tcW w:w="3369" w:type="dxa"/>
          </w:tcPr>
          <w:p w:rsidR="00644FE1" w:rsidRPr="007E7998" w:rsidRDefault="00602BC3" w:rsidP="003C0495">
            <w:pPr>
              <w:spacing w:line="480" w:lineRule="auto"/>
              <w:jc w:val="center"/>
              <w:rPr>
                <w:rFonts w:ascii="Arial" w:hAnsi="Arial" w:cs="Arial"/>
              </w:rPr>
            </w:pPr>
            <w:r w:rsidRPr="007E7998">
              <w:rPr>
                <w:rFonts w:ascii="Arial" w:hAnsi="Arial" w:cs="Arial"/>
              </w:rPr>
              <w:t>Pre-operative dialysis</w:t>
            </w:r>
          </w:p>
        </w:tc>
        <w:tc>
          <w:tcPr>
            <w:tcW w:w="2126" w:type="dxa"/>
          </w:tcPr>
          <w:p w:rsidR="00644FE1" w:rsidRPr="007E7998" w:rsidRDefault="00B3461E" w:rsidP="003C0495">
            <w:pPr>
              <w:spacing w:line="480" w:lineRule="auto"/>
              <w:jc w:val="center"/>
              <w:rPr>
                <w:rFonts w:ascii="Arial" w:hAnsi="Arial" w:cs="Arial"/>
              </w:rPr>
            </w:pPr>
            <w:r w:rsidRPr="007E7998">
              <w:rPr>
                <w:rFonts w:ascii="Arial" w:hAnsi="Arial" w:cs="Arial"/>
              </w:rPr>
              <w:t>1 (0.53)</w:t>
            </w:r>
          </w:p>
        </w:tc>
        <w:tc>
          <w:tcPr>
            <w:tcW w:w="1984" w:type="dxa"/>
          </w:tcPr>
          <w:p w:rsidR="00644FE1" w:rsidRPr="007E7998" w:rsidRDefault="00B3461E" w:rsidP="003C0495">
            <w:pPr>
              <w:spacing w:line="480" w:lineRule="auto"/>
              <w:jc w:val="center"/>
              <w:rPr>
                <w:rFonts w:ascii="Arial" w:hAnsi="Arial" w:cs="Arial"/>
              </w:rPr>
            </w:pPr>
            <w:r w:rsidRPr="007E7998">
              <w:rPr>
                <w:rFonts w:ascii="Arial" w:hAnsi="Arial" w:cs="Arial"/>
              </w:rPr>
              <w:t>1 (1.52)</w:t>
            </w:r>
          </w:p>
        </w:tc>
        <w:tc>
          <w:tcPr>
            <w:tcW w:w="1763" w:type="dxa"/>
          </w:tcPr>
          <w:p w:rsidR="00644FE1" w:rsidRPr="007E7998" w:rsidRDefault="00DA55E5" w:rsidP="003C0495">
            <w:pPr>
              <w:spacing w:line="480" w:lineRule="auto"/>
              <w:jc w:val="center"/>
              <w:rPr>
                <w:rFonts w:ascii="Arial" w:hAnsi="Arial" w:cs="Arial"/>
              </w:rPr>
            </w:pPr>
            <w:r w:rsidRPr="007E7998">
              <w:rPr>
                <w:rFonts w:ascii="Arial" w:hAnsi="Arial" w:cs="Arial"/>
              </w:rPr>
              <w:t>0.45</w:t>
            </w:r>
          </w:p>
        </w:tc>
      </w:tr>
      <w:tr w:rsidR="00644FE1" w:rsidRPr="007E7998" w:rsidTr="005C76BE">
        <w:tc>
          <w:tcPr>
            <w:tcW w:w="3369" w:type="dxa"/>
          </w:tcPr>
          <w:p w:rsidR="00644FE1" w:rsidRPr="007E7998" w:rsidRDefault="00073299" w:rsidP="003C0495">
            <w:pPr>
              <w:spacing w:line="480" w:lineRule="auto"/>
              <w:jc w:val="center"/>
              <w:rPr>
                <w:rFonts w:ascii="Arial" w:hAnsi="Arial" w:cs="Arial"/>
              </w:rPr>
            </w:pPr>
            <w:r w:rsidRPr="007E7998">
              <w:rPr>
                <w:rFonts w:ascii="Arial" w:hAnsi="Arial" w:cs="Arial"/>
              </w:rPr>
              <w:t>TIA / CVA</w:t>
            </w:r>
          </w:p>
        </w:tc>
        <w:tc>
          <w:tcPr>
            <w:tcW w:w="2126" w:type="dxa"/>
          </w:tcPr>
          <w:p w:rsidR="00644FE1" w:rsidRPr="007E7998" w:rsidRDefault="00DF629C" w:rsidP="003C0495">
            <w:pPr>
              <w:spacing w:line="480" w:lineRule="auto"/>
              <w:jc w:val="center"/>
              <w:rPr>
                <w:rFonts w:ascii="Arial" w:hAnsi="Arial" w:cs="Arial"/>
              </w:rPr>
            </w:pPr>
            <w:r w:rsidRPr="007E7998">
              <w:rPr>
                <w:rFonts w:ascii="Arial" w:hAnsi="Arial" w:cs="Arial"/>
              </w:rPr>
              <w:t>19</w:t>
            </w:r>
            <w:r w:rsidR="006458FE" w:rsidRPr="007E7998">
              <w:rPr>
                <w:rFonts w:ascii="Arial" w:hAnsi="Arial" w:cs="Arial"/>
              </w:rPr>
              <w:t xml:space="preserve"> (10.2)</w:t>
            </w:r>
          </w:p>
        </w:tc>
        <w:tc>
          <w:tcPr>
            <w:tcW w:w="1984" w:type="dxa"/>
          </w:tcPr>
          <w:p w:rsidR="00644FE1" w:rsidRPr="007E7998" w:rsidRDefault="00DF629C" w:rsidP="003C0495">
            <w:pPr>
              <w:spacing w:line="480" w:lineRule="auto"/>
              <w:jc w:val="center"/>
              <w:rPr>
                <w:rFonts w:ascii="Arial" w:hAnsi="Arial" w:cs="Arial"/>
              </w:rPr>
            </w:pPr>
            <w:r w:rsidRPr="007E7998">
              <w:rPr>
                <w:rFonts w:ascii="Arial" w:hAnsi="Arial" w:cs="Arial"/>
              </w:rPr>
              <w:t>9</w:t>
            </w:r>
            <w:r w:rsidR="006458FE" w:rsidRPr="007E7998">
              <w:rPr>
                <w:rFonts w:ascii="Arial" w:hAnsi="Arial" w:cs="Arial"/>
              </w:rPr>
              <w:t xml:space="preserve"> (13.6)</w:t>
            </w:r>
          </w:p>
        </w:tc>
        <w:tc>
          <w:tcPr>
            <w:tcW w:w="1763" w:type="dxa"/>
          </w:tcPr>
          <w:p w:rsidR="00644FE1" w:rsidRPr="007E7998" w:rsidRDefault="00AA762C" w:rsidP="003C0495">
            <w:pPr>
              <w:spacing w:line="480" w:lineRule="auto"/>
              <w:jc w:val="center"/>
              <w:rPr>
                <w:rFonts w:ascii="Arial" w:hAnsi="Arial" w:cs="Arial"/>
              </w:rPr>
            </w:pPr>
            <w:r w:rsidRPr="007E7998">
              <w:rPr>
                <w:rFonts w:ascii="Arial" w:hAnsi="Arial" w:cs="Arial"/>
              </w:rPr>
              <w:t>0.40</w:t>
            </w:r>
          </w:p>
        </w:tc>
      </w:tr>
      <w:tr w:rsidR="00644FE1" w:rsidRPr="007E7998" w:rsidTr="005C76BE">
        <w:tc>
          <w:tcPr>
            <w:tcW w:w="3369" w:type="dxa"/>
          </w:tcPr>
          <w:p w:rsidR="00644FE1" w:rsidRPr="007E7998" w:rsidRDefault="000449E9" w:rsidP="003C0495">
            <w:pPr>
              <w:spacing w:line="480" w:lineRule="auto"/>
              <w:jc w:val="center"/>
              <w:rPr>
                <w:rFonts w:ascii="Arial" w:hAnsi="Arial" w:cs="Arial"/>
              </w:rPr>
            </w:pPr>
            <w:r w:rsidRPr="007E7998">
              <w:rPr>
                <w:rFonts w:ascii="Arial" w:hAnsi="Arial" w:cs="Arial"/>
              </w:rPr>
              <w:t>Previous MI</w:t>
            </w:r>
          </w:p>
        </w:tc>
        <w:tc>
          <w:tcPr>
            <w:tcW w:w="2126" w:type="dxa"/>
          </w:tcPr>
          <w:p w:rsidR="00644FE1" w:rsidRPr="007E7998" w:rsidRDefault="00866C93" w:rsidP="003C0495">
            <w:pPr>
              <w:spacing w:line="480" w:lineRule="auto"/>
              <w:jc w:val="center"/>
              <w:rPr>
                <w:rFonts w:ascii="Arial" w:hAnsi="Arial" w:cs="Arial"/>
              </w:rPr>
            </w:pPr>
            <w:r w:rsidRPr="007E7998">
              <w:rPr>
                <w:rFonts w:ascii="Arial" w:hAnsi="Arial" w:cs="Arial"/>
              </w:rPr>
              <w:t>13 (6.95)</w:t>
            </w:r>
          </w:p>
        </w:tc>
        <w:tc>
          <w:tcPr>
            <w:tcW w:w="1984" w:type="dxa"/>
          </w:tcPr>
          <w:p w:rsidR="00644FE1" w:rsidRPr="007E7998" w:rsidRDefault="00866C93" w:rsidP="003C0495">
            <w:pPr>
              <w:spacing w:line="480" w:lineRule="auto"/>
              <w:jc w:val="center"/>
              <w:rPr>
                <w:rFonts w:ascii="Arial" w:hAnsi="Arial" w:cs="Arial"/>
              </w:rPr>
            </w:pPr>
            <w:r w:rsidRPr="007E7998">
              <w:rPr>
                <w:rFonts w:ascii="Arial" w:hAnsi="Arial" w:cs="Arial"/>
              </w:rPr>
              <w:t>5 (7.58)</w:t>
            </w:r>
          </w:p>
        </w:tc>
        <w:tc>
          <w:tcPr>
            <w:tcW w:w="1763" w:type="dxa"/>
          </w:tcPr>
          <w:p w:rsidR="00644FE1" w:rsidRPr="007E7998" w:rsidRDefault="00866C93" w:rsidP="003C0495">
            <w:pPr>
              <w:spacing w:line="480" w:lineRule="auto"/>
              <w:jc w:val="center"/>
              <w:rPr>
                <w:rFonts w:ascii="Arial" w:hAnsi="Arial" w:cs="Arial"/>
              </w:rPr>
            </w:pPr>
            <w:r w:rsidRPr="007E7998">
              <w:rPr>
                <w:rFonts w:ascii="Arial" w:hAnsi="Arial" w:cs="Arial"/>
              </w:rPr>
              <w:t>0.79</w:t>
            </w:r>
          </w:p>
        </w:tc>
      </w:tr>
      <w:tr w:rsidR="00AB6BF3" w:rsidRPr="007E7998" w:rsidTr="005C76BE">
        <w:tc>
          <w:tcPr>
            <w:tcW w:w="3369" w:type="dxa"/>
          </w:tcPr>
          <w:p w:rsidR="00AB6BF3" w:rsidRPr="007E7998" w:rsidRDefault="00AB6BF3" w:rsidP="00AB6BF3">
            <w:pPr>
              <w:spacing w:line="480" w:lineRule="auto"/>
              <w:jc w:val="center"/>
              <w:rPr>
                <w:rFonts w:ascii="Arial" w:hAnsi="Arial" w:cs="Arial"/>
              </w:rPr>
            </w:pPr>
            <w:r w:rsidRPr="007E7998">
              <w:rPr>
                <w:rFonts w:ascii="Arial" w:hAnsi="Arial" w:cs="Arial"/>
              </w:rPr>
              <w:t>Peripheral vascular disease</w:t>
            </w:r>
          </w:p>
        </w:tc>
        <w:tc>
          <w:tcPr>
            <w:tcW w:w="2126" w:type="dxa"/>
          </w:tcPr>
          <w:p w:rsidR="00AB6BF3" w:rsidRPr="007E7998" w:rsidRDefault="00866C93" w:rsidP="003C0495">
            <w:pPr>
              <w:spacing w:line="480" w:lineRule="auto"/>
              <w:jc w:val="center"/>
              <w:rPr>
                <w:rFonts w:ascii="Arial" w:hAnsi="Arial" w:cs="Arial"/>
              </w:rPr>
            </w:pPr>
            <w:r w:rsidRPr="007E7998">
              <w:rPr>
                <w:rFonts w:ascii="Arial" w:hAnsi="Arial" w:cs="Arial"/>
              </w:rPr>
              <w:t>11 (5.88)</w:t>
            </w:r>
          </w:p>
        </w:tc>
        <w:tc>
          <w:tcPr>
            <w:tcW w:w="1984" w:type="dxa"/>
          </w:tcPr>
          <w:p w:rsidR="00AB6BF3" w:rsidRPr="007E7998" w:rsidRDefault="00866C93" w:rsidP="003C0495">
            <w:pPr>
              <w:spacing w:line="480" w:lineRule="auto"/>
              <w:jc w:val="center"/>
              <w:rPr>
                <w:rFonts w:ascii="Arial" w:hAnsi="Arial" w:cs="Arial"/>
              </w:rPr>
            </w:pPr>
            <w:r w:rsidRPr="007E7998">
              <w:rPr>
                <w:rFonts w:ascii="Arial" w:hAnsi="Arial" w:cs="Arial"/>
              </w:rPr>
              <w:t>0 (0.00)</w:t>
            </w:r>
          </w:p>
        </w:tc>
        <w:tc>
          <w:tcPr>
            <w:tcW w:w="1763" w:type="dxa"/>
          </w:tcPr>
          <w:p w:rsidR="00AB6BF3" w:rsidRPr="007E7998" w:rsidRDefault="00866C93" w:rsidP="003C0495">
            <w:pPr>
              <w:spacing w:line="480" w:lineRule="auto"/>
              <w:jc w:val="center"/>
              <w:rPr>
                <w:rFonts w:ascii="Arial" w:hAnsi="Arial" w:cs="Arial"/>
              </w:rPr>
            </w:pPr>
            <w:r w:rsidRPr="007E7998">
              <w:rPr>
                <w:rFonts w:ascii="Arial" w:hAnsi="Arial" w:cs="Arial"/>
              </w:rPr>
              <w:t>0.07</w:t>
            </w:r>
          </w:p>
        </w:tc>
      </w:tr>
      <w:tr w:rsidR="00644FE1" w:rsidRPr="007E7998" w:rsidTr="005C76BE">
        <w:tc>
          <w:tcPr>
            <w:tcW w:w="3369" w:type="dxa"/>
          </w:tcPr>
          <w:p w:rsidR="000449E9" w:rsidRPr="007E7998" w:rsidRDefault="000449E9" w:rsidP="003C0495">
            <w:pPr>
              <w:spacing w:line="480" w:lineRule="auto"/>
              <w:jc w:val="center"/>
              <w:rPr>
                <w:rFonts w:ascii="Arial" w:hAnsi="Arial" w:cs="Arial"/>
              </w:rPr>
            </w:pPr>
            <w:r w:rsidRPr="007E7998">
              <w:rPr>
                <w:rFonts w:ascii="Arial" w:hAnsi="Arial" w:cs="Arial"/>
              </w:rPr>
              <w:t>LV function</w:t>
            </w:r>
          </w:p>
        </w:tc>
        <w:tc>
          <w:tcPr>
            <w:tcW w:w="2126" w:type="dxa"/>
          </w:tcPr>
          <w:p w:rsidR="00644FE1" w:rsidRPr="007E7998" w:rsidRDefault="00644FE1" w:rsidP="003C0495">
            <w:pPr>
              <w:spacing w:line="480" w:lineRule="auto"/>
              <w:jc w:val="center"/>
              <w:rPr>
                <w:rFonts w:ascii="Arial" w:hAnsi="Arial" w:cs="Arial"/>
              </w:rPr>
            </w:pPr>
          </w:p>
        </w:tc>
        <w:tc>
          <w:tcPr>
            <w:tcW w:w="1984" w:type="dxa"/>
          </w:tcPr>
          <w:p w:rsidR="00644FE1" w:rsidRPr="007E7998" w:rsidRDefault="00644FE1" w:rsidP="003C0495">
            <w:pPr>
              <w:spacing w:line="480" w:lineRule="auto"/>
              <w:jc w:val="center"/>
              <w:rPr>
                <w:rFonts w:ascii="Arial" w:hAnsi="Arial" w:cs="Arial"/>
              </w:rPr>
            </w:pPr>
          </w:p>
        </w:tc>
        <w:tc>
          <w:tcPr>
            <w:tcW w:w="1763" w:type="dxa"/>
          </w:tcPr>
          <w:p w:rsidR="00644FE1" w:rsidRPr="007E7998" w:rsidRDefault="00413E7C" w:rsidP="003C0495">
            <w:pPr>
              <w:spacing w:line="480" w:lineRule="auto"/>
              <w:jc w:val="center"/>
              <w:rPr>
                <w:rFonts w:ascii="Arial" w:hAnsi="Arial" w:cs="Arial"/>
              </w:rPr>
            </w:pPr>
            <w:r w:rsidRPr="007E7998">
              <w:rPr>
                <w:rFonts w:ascii="Arial" w:hAnsi="Arial" w:cs="Arial"/>
              </w:rPr>
              <w:t>0.10</w:t>
            </w:r>
          </w:p>
        </w:tc>
      </w:tr>
      <w:tr w:rsidR="00644FE1" w:rsidRPr="007E7998" w:rsidTr="005C76BE">
        <w:tc>
          <w:tcPr>
            <w:tcW w:w="3369" w:type="dxa"/>
          </w:tcPr>
          <w:p w:rsidR="00644FE1" w:rsidRPr="007E7998" w:rsidRDefault="000449E9" w:rsidP="003C0495">
            <w:pPr>
              <w:spacing w:line="480" w:lineRule="auto"/>
              <w:jc w:val="center"/>
              <w:rPr>
                <w:rFonts w:ascii="Arial" w:hAnsi="Arial" w:cs="Arial"/>
              </w:rPr>
            </w:pPr>
            <w:r w:rsidRPr="007E7998">
              <w:rPr>
                <w:rFonts w:ascii="Arial" w:hAnsi="Arial" w:cs="Arial"/>
              </w:rPr>
              <w:lastRenderedPageBreak/>
              <w:t>Good</w:t>
            </w:r>
          </w:p>
        </w:tc>
        <w:tc>
          <w:tcPr>
            <w:tcW w:w="2126" w:type="dxa"/>
          </w:tcPr>
          <w:p w:rsidR="00644FE1" w:rsidRPr="007E7998" w:rsidRDefault="00413E7C" w:rsidP="003C0495">
            <w:pPr>
              <w:spacing w:line="480" w:lineRule="auto"/>
              <w:jc w:val="center"/>
              <w:rPr>
                <w:rFonts w:ascii="Arial" w:hAnsi="Arial" w:cs="Arial"/>
              </w:rPr>
            </w:pPr>
            <w:r w:rsidRPr="007E7998">
              <w:rPr>
                <w:rFonts w:ascii="Arial" w:hAnsi="Arial" w:cs="Arial"/>
              </w:rPr>
              <w:t>153 (81.8)</w:t>
            </w:r>
          </w:p>
        </w:tc>
        <w:tc>
          <w:tcPr>
            <w:tcW w:w="1984" w:type="dxa"/>
          </w:tcPr>
          <w:p w:rsidR="00644FE1" w:rsidRPr="007E7998" w:rsidRDefault="00413E7C" w:rsidP="003C0495">
            <w:pPr>
              <w:spacing w:line="480" w:lineRule="auto"/>
              <w:jc w:val="center"/>
              <w:rPr>
                <w:rFonts w:ascii="Arial" w:hAnsi="Arial" w:cs="Arial"/>
              </w:rPr>
            </w:pPr>
            <w:r w:rsidRPr="007E7998">
              <w:rPr>
                <w:rFonts w:ascii="Arial" w:hAnsi="Arial" w:cs="Arial"/>
              </w:rPr>
              <w:t>61 (92.4)</w:t>
            </w:r>
          </w:p>
        </w:tc>
        <w:tc>
          <w:tcPr>
            <w:tcW w:w="1763" w:type="dxa"/>
          </w:tcPr>
          <w:p w:rsidR="00644FE1" w:rsidRPr="007E7998" w:rsidRDefault="00644FE1" w:rsidP="003C0495">
            <w:pPr>
              <w:spacing w:line="480" w:lineRule="auto"/>
              <w:jc w:val="center"/>
              <w:rPr>
                <w:rFonts w:ascii="Arial" w:hAnsi="Arial" w:cs="Arial"/>
              </w:rPr>
            </w:pPr>
          </w:p>
        </w:tc>
      </w:tr>
      <w:tr w:rsidR="00644FE1" w:rsidRPr="007E7998" w:rsidTr="005C76BE">
        <w:tc>
          <w:tcPr>
            <w:tcW w:w="3369" w:type="dxa"/>
          </w:tcPr>
          <w:p w:rsidR="00644FE1" w:rsidRPr="007E7998" w:rsidRDefault="000449E9" w:rsidP="003C0495">
            <w:pPr>
              <w:spacing w:line="480" w:lineRule="auto"/>
              <w:jc w:val="center"/>
              <w:rPr>
                <w:rFonts w:ascii="Arial" w:hAnsi="Arial" w:cs="Arial"/>
              </w:rPr>
            </w:pPr>
            <w:r w:rsidRPr="007E7998">
              <w:rPr>
                <w:rFonts w:ascii="Arial" w:hAnsi="Arial" w:cs="Arial"/>
              </w:rPr>
              <w:t>Moderate</w:t>
            </w:r>
          </w:p>
        </w:tc>
        <w:tc>
          <w:tcPr>
            <w:tcW w:w="2126" w:type="dxa"/>
          </w:tcPr>
          <w:p w:rsidR="00644FE1" w:rsidRPr="007E7998" w:rsidRDefault="00413E7C" w:rsidP="003C0495">
            <w:pPr>
              <w:spacing w:line="480" w:lineRule="auto"/>
              <w:jc w:val="center"/>
              <w:rPr>
                <w:rFonts w:ascii="Arial" w:hAnsi="Arial" w:cs="Arial"/>
              </w:rPr>
            </w:pPr>
            <w:r w:rsidRPr="007E7998">
              <w:rPr>
                <w:rFonts w:ascii="Arial" w:hAnsi="Arial" w:cs="Arial"/>
              </w:rPr>
              <w:t>30 (16.0)</w:t>
            </w:r>
          </w:p>
        </w:tc>
        <w:tc>
          <w:tcPr>
            <w:tcW w:w="1984" w:type="dxa"/>
          </w:tcPr>
          <w:p w:rsidR="00644FE1" w:rsidRPr="007E7998" w:rsidRDefault="00413E7C" w:rsidP="003C0495">
            <w:pPr>
              <w:spacing w:line="480" w:lineRule="auto"/>
              <w:jc w:val="center"/>
              <w:rPr>
                <w:rFonts w:ascii="Arial" w:hAnsi="Arial" w:cs="Arial"/>
              </w:rPr>
            </w:pPr>
            <w:r w:rsidRPr="007E7998">
              <w:rPr>
                <w:rFonts w:ascii="Arial" w:hAnsi="Arial" w:cs="Arial"/>
              </w:rPr>
              <w:t>5 (7.58)</w:t>
            </w:r>
          </w:p>
        </w:tc>
        <w:tc>
          <w:tcPr>
            <w:tcW w:w="1763" w:type="dxa"/>
          </w:tcPr>
          <w:p w:rsidR="00644FE1" w:rsidRPr="007E7998" w:rsidRDefault="00644FE1" w:rsidP="003C0495">
            <w:pPr>
              <w:spacing w:line="480" w:lineRule="auto"/>
              <w:jc w:val="center"/>
              <w:rPr>
                <w:rFonts w:ascii="Arial" w:hAnsi="Arial" w:cs="Arial"/>
              </w:rPr>
            </w:pPr>
          </w:p>
        </w:tc>
      </w:tr>
      <w:tr w:rsidR="00A848B0" w:rsidRPr="007E7998" w:rsidTr="005C76BE">
        <w:tc>
          <w:tcPr>
            <w:tcW w:w="3369" w:type="dxa"/>
          </w:tcPr>
          <w:p w:rsidR="00A848B0" w:rsidRPr="007E7998" w:rsidRDefault="000449E9" w:rsidP="003C0495">
            <w:pPr>
              <w:spacing w:line="480" w:lineRule="auto"/>
              <w:jc w:val="center"/>
              <w:rPr>
                <w:rFonts w:ascii="Arial" w:hAnsi="Arial" w:cs="Arial"/>
              </w:rPr>
            </w:pPr>
            <w:r w:rsidRPr="007E7998">
              <w:rPr>
                <w:rFonts w:ascii="Arial" w:hAnsi="Arial" w:cs="Arial"/>
              </w:rPr>
              <w:t>Poor</w:t>
            </w:r>
          </w:p>
        </w:tc>
        <w:tc>
          <w:tcPr>
            <w:tcW w:w="2126" w:type="dxa"/>
          </w:tcPr>
          <w:p w:rsidR="00A848B0" w:rsidRPr="007E7998" w:rsidRDefault="00413E7C" w:rsidP="003C0495">
            <w:pPr>
              <w:spacing w:line="480" w:lineRule="auto"/>
              <w:jc w:val="center"/>
              <w:rPr>
                <w:rFonts w:ascii="Arial" w:hAnsi="Arial" w:cs="Arial"/>
              </w:rPr>
            </w:pPr>
            <w:r w:rsidRPr="007E7998">
              <w:rPr>
                <w:rFonts w:ascii="Arial" w:hAnsi="Arial" w:cs="Arial"/>
              </w:rPr>
              <w:t>4 (2.14)</w:t>
            </w:r>
          </w:p>
        </w:tc>
        <w:tc>
          <w:tcPr>
            <w:tcW w:w="1984" w:type="dxa"/>
          </w:tcPr>
          <w:p w:rsidR="00A848B0" w:rsidRPr="007E7998" w:rsidRDefault="00413E7C" w:rsidP="003C0495">
            <w:pPr>
              <w:spacing w:line="480" w:lineRule="auto"/>
              <w:jc w:val="center"/>
              <w:rPr>
                <w:rFonts w:ascii="Arial" w:hAnsi="Arial" w:cs="Arial"/>
              </w:rPr>
            </w:pPr>
            <w:r w:rsidRPr="007E7998">
              <w:rPr>
                <w:rFonts w:ascii="Arial" w:hAnsi="Arial" w:cs="Arial"/>
              </w:rPr>
              <w:t>0 (0.00)</w:t>
            </w:r>
          </w:p>
        </w:tc>
        <w:tc>
          <w:tcPr>
            <w:tcW w:w="1763" w:type="dxa"/>
          </w:tcPr>
          <w:p w:rsidR="00A848B0" w:rsidRPr="007E7998" w:rsidRDefault="00A848B0" w:rsidP="003C0495">
            <w:pPr>
              <w:spacing w:line="480" w:lineRule="auto"/>
              <w:jc w:val="center"/>
              <w:rPr>
                <w:rFonts w:ascii="Arial" w:hAnsi="Arial" w:cs="Arial"/>
              </w:rPr>
            </w:pPr>
          </w:p>
        </w:tc>
      </w:tr>
      <w:tr w:rsidR="00A848B0" w:rsidRPr="007E7998" w:rsidTr="005C76BE">
        <w:tc>
          <w:tcPr>
            <w:tcW w:w="3369" w:type="dxa"/>
          </w:tcPr>
          <w:p w:rsidR="000449E9" w:rsidRPr="007E7998" w:rsidRDefault="000449E9" w:rsidP="003C0495">
            <w:pPr>
              <w:spacing w:line="480" w:lineRule="auto"/>
              <w:jc w:val="center"/>
              <w:rPr>
                <w:rFonts w:ascii="Arial" w:hAnsi="Arial" w:cs="Arial"/>
              </w:rPr>
            </w:pPr>
            <w:r w:rsidRPr="007E7998">
              <w:rPr>
                <w:rFonts w:ascii="Arial" w:hAnsi="Arial" w:cs="Arial"/>
              </w:rPr>
              <w:t>RV function</w:t>
            </w:r>
          </w:p>
        </w:tc>
        <w:tc>
          <w:tcPr>
            <w:tcW w:w="2126" w:type="dxa"/>
          </w:tcPr>
          <w:p w:rsidR="00A848B0" w:rsidRPr="007E7998" w:rsidRDefault="00A848B0" w:rsidP="003C0495">
            <w:pPr>
              <w:spacing w:line="480" w:lineRule="auto"/>
              <w:jc w:val="center"/>
              <w:rPr>
                <w:rFonts w:ascii="Arial" w:hAnsi="Arial" w:cs="Arial"/>
              </w:rPr>
            </w:pPr>
          </w:p>
        </w:tc>
        <w:tc>
          <w:tcPr>
            <w:tcW w:w="1984" w:type="dxa"/>
          </w:tcPr>
          <w:p w:rsidR="00A848B0" w:rsidRPr="007E7998" w:rsidRDefault="00A848B0" w:rsidP="003C0495">
            <w:pPr>
              <w:spacing w:line="480" w:lineRule="auto"/>
              <w:jc w:val="center"/>
              <w:rPr>
                <w:rFonts w:ascii="Arial" w:hAnsi="Arial" w:cs="Arial"/>
              </w:rPr>
            </w:pPr>
          </w:p>
        </w:tc>
        <w:tc>
          <w:tcPr>
            <w:tcW w:w="1763" w:type="dxa"/>
          </w:tcPr>
          <w:p w:rsidR="00A848B0" w:rsidRPr="007E7998" w:rsidRDefault="00765B01" w:rsidP="003C0495">
            <w:pPr>
              <w:spacing w:line="480" w:lineRule="auto"/>
              <w:jc w:val="center"/>
              <w:rPr>
                <w:rFonts w:ascii="Arial" w:hAnsi="Arial" w:cs="Arial"/>
              </w:rPr>
            </w:pPr>
            <w:r w:rsidRPr="007E7998">
              <w:rPr>
                <w:rFonts w:ascii="Arial" w:hAnsi="Arial" w:cs="Arial"/>
              </w:rPr>
              <w:t>&lt;0.001</w:t>
            </w:r>
          </w:p>
        </w:tc>
      </w:tr>
      <w:tr w:rsidR="00A848B0" w:rsidRPr="007E7998" w:rsidTr="005C76BE">
        <w:tc>
          <w:tcPr>
            <w:tcW w:w="3369" w:type="dxa"/>
          </w:tcPr>
          <w:p w:rsidR="00A848B0" w:rsidRPr="007E7998" w:rsidRDefault="000449E9" w:rsidP="003C0495">
            <w:pPr>
              <w:spacing w:line="480" w:lineRule="auto"/>
              <w:jc w:val="center"/>
              <w:rPr>
                <w:rFonts w:ascii="Arial" w:hAnsi="Arial" w:cs="Arial"/>
              </w:rPr>
            </w:pPr>
            <w:r w:rsidRPr="007E7998">
              <w:rPr>
                <w:rFonts w:ascii="Arial" w:hAnsi="Arial" w:cs="Arial"/>
              </w:rPr>
              <w:t xml:space="preserve">Good </w:t>
            </w:r>
          </w:p>
        </w:tc>
        <w:tc>
          <w:tcPr>
            <w:tcW w:w="2126" w:type="dxa"/>
          </w:tcPr>
          <w:p w:rsidR="00A848B0" w:rsidRPr="007E7998" w:rsidRDefault="00C40A7B" w:rsidP="003C0495">
            <w:pPr>
              <w:spacing w:line="480" w:lineRule="auto"/>
              <w:jc w:val="center"/>
              <w:rPr>
                <w:rFonts w:ascii="Arial" w:hAnsi="Arial" w:cs="Arial"/>
              </w:rPr>
            </w:pPr>
            <w:r w:rsidRPr="007E7998">
              <w:rPr>
                <w:rFonts w:ascii="Arial" w:hAnsi="Arial" w:cs="Arial"/>
              </w:rPr>
              <w:t>176 (94.1)</w:t>
            </w:r>
          </w:p>
        </w:tc>
        <w:tc>
          <w:tcPr>
            <w:tcW w:w="1984" w:type="dxa"/>
          </w:tcPr>
          <w:p w:rsidR="00A848B0" w:rsidRPr="007E7998" w:rsidRDefault="00C40A7B" w:rsidP="003C0495">
            <w:pPr>
              <w:spacing w:line="480" w:lineRule="auto"/>
              <w:jc w:val="center"/>
              <w:rPr>
                <w:rFonts w:ascii="Arial" w:hAnsi="Arial" w:cs="Arial"/>
              </w:rPr>
            </w:pPr>
            <w:r w:rsidRPr="007E7998">
              <w:rPr>
                <w:rFonts w:ascii="Arial" w:hAnsi="Arial" w:cs="Arial"/>
              </w:rPr>
              <w:t>50 (75.8)</w:t>
            </w:r>
          </w:p>
        </w:tc>
        <w:tc>
          <w:tcPr>
            <w:tcW w:w="1763" w:type="dxa"/>
          </w:tcPr>
          <w:p w:rsidR="00A848B0" w:rsidRPr="007E7998" w:rsidRDefault="00A848B0" w:rsidP="003C0495">
            <w:pPr>
              <w:spacing w:line="480" w:lineRule="auto"/>
              <w:jc w:val="center"/>
              <w:rPr>
                <w:rFonts w:ascii="Arial" w:hAnsi="Arial" w:cs="Arial"/>
              </w:rPr>
            </w:pPr>
          </w:p>
        </w:tc>
      </w:tr>
      <w:tr w:rsidR="00A848B0" w:rsidRPr="007E7998" w:rsidTr="005C76BE">
        <w:tc>
          <w:tcPr>
            <w:tcW w:w="3369" w:type="dxa"/>
          </w:tcPr>
          <w:p w:rsidR="00A848B0" w:rsidRPr="007E7998" w:rsidRDefault="000449E9" w:rsidP="003C0495">
            <w:pPr>
              <w:spacing w:line="480" w:lineRule="auto"/>
              <w:jc w:val="center"/>
              <w:rPr>
                <w:rFonts w:ascii="Arial" w:hAnsi="Arial" w:cs="Arial"/>
              </w:rPr>
            </w:pPr>
            <w:r w:rsidRPr="007E7998">
              <w:rPr>
                <w:rFonts w:ascii="Arial" w:hAnsi="Arial" w:cs="Arial"/>
              </w:rPr>
              <w:t>Moderate</w:t>
            </w:r>
          </w:p>
        </w:tc>
        <w:tc>
          <w:tcPr>
            <w:tcW w:w="2126" w:type="dxa"/>
          </w:tcPr>
          <w:p w:rsidR="00A848B0" w:rsidRPr="007E7998" w:rsidRDefault="00C40A7B" w:rsidP="003C0495">
            <w:pPr>
              <w:spacing w:line="480" w:lineRule="auto"/>
              <w:jc w:val="center"/>
              <w:rPr>
                <w:rFonts w:ascii="Arial" w:hAnsi="Arial" w:cs="Arial"/>
              </w:rPr>
            </w:pPr>
            <w:r w:rsidRPr="007E7998">
              <w:rPr>
                <w:rFonts w:ascii="Arial" w:hAnsi="Arial" w:cs="Arial"/>
              </w:rPr>
              <w:t>9 (4.81)</w:t>
            </w:r>
          </w:p>
        </w:tc>
        <w:tc>
          <w:tcPr>
            <w:tcW w:w="1984" w:type="dxa"/>
          </w:tcPr>
          <w:p w:rsidR="00A848B0" w:rsidRPr="007E7998" w:rsidRDefault="00C40A7B" w:rsidP="003C0495">
            <w:pPr>
              <w:spacing w:line="480" w:lineRule="auto"/>
              <w:jc w:val="center"/>
              <w:rPr>
                <w:rFonts w:ascii="Arial" w:hAnsi="Arial" w:cs="Arial"/>
              </w:rPr>
            </w:pPr>
            <w:r w:rsidRPr="007E7998">
              <w:rPr>
                <w:rFonts w:ascii="Arial" w:hAnsi="Arial" w:cs="Arial"/>
              </w:rPr>
              <w:t>15 (22.7)</w:t>
            </w:r>
          </w:p>
        </w:tc>
        <w:tc>
          <w:tcPr>
            <w:tcW w:w="1763" w:type="dxa"/>
          </w:tcPr>
          <w:p w:rsidR="00A848B0" w:rsidRPr="007E7998" w:rsidRDefault="00A848B0" w:rsidP="003C0495">
            <w:pPr>
              <w:spacing w:line="480" w:lineRule="auto"/>
              <w:jc w:val="center"/>
              <w:rPr>
                <w:rFonts w:ascii="Arial" w:hAnsi="Arial" w:cs="Arial"/>
              </w:rPr>
            </w:pPr>
          </w:p>
        </w:tc>
      </w:tr>
      <w:tr w:rsidR="00A848B0" w:rsidRPr="007E7998" w:rsidTr="005C76BE">
        <w:tc>
          <w:tcPr>
            <w:tcW w:w="3369" w:type="dxa"/>
          </w:tcPr>
          <w:p w:rsidR="00A848B0" w:rsidRPr="007E7998" w:rsidRDefault="004F7AE9" w:rsidP="003C0495">
            <w:pPr>
              <w:spacing w:line="480" w:lineRule="auto"/>
              <w:jc w:val="center"/>
              <w:rPr>
                <w:rFonts w:ascii="Arial" w:hAnsi="Arial" w:cs="Arial"/>
              </w:rPr>
            </w:pPr>
            <w:r w:rsidRPr="007E7998">
              <w:rPr>
                <w:rFonts w:ascii="Arial" w:hAnsi="Arial" w:cs="Arial"/>
              </w:rPr>
              <w:t>Poor</w:t>
            </w:r>
          </w:p>
        </w:tc>
        <w:tc>
          <w:tcPr>
            <w:tcW w:w="2126" w:type="dxa"/>
          </w:tcPr>
          <w:p w:rsidR="00A848B0" w:rsidRPr="007E7998" w:rsidRDefault="00C40A7B" w:rsidP="003C0495">
            <w:pPr>
              <w:spacing w:line="480" w:lineRule="auto"/>
              <w:jc w:val="center"/>
              <w:rPr>
                <w:rFonts w:ascii="Arial" w:hAnsi="Arial" w:cs="Arial"/>
              </w:rPr>
            </w:pPr>
            <w:r w:rsidRPr="007E7998">
              <w:rPr>
                <w:rFonts w:ascii="Arial" w:hAnsi="Arial" w:cs="Arial"/>
              </w:rPr>
              <w:t>1 (0.53)</w:t>
            </w:r>
          </w:p>
        </w:tc>
        <w:tc>
          <w:tcPr>
            <w:tcW w:w="1984" w:type="dxa"/>
          </w:tcPr>
          <w:p w:rsidR="00A848B0" w:rsidRPr="007E7998" w:rsidRDefault="00C40A7B" w:rsidP="003C0495">
            <w:pPr>
              <w:spacing w:line="480" w:lineRule="auto"/>
              <w:jc w:val="center"/>
              <w:rPr>
                <w:rFonts w:ascii="Arial" w:hAnsi="Arial" w:cs="Arial"/>
              </w:rPr>
            </w:pPr>
            <w:r w:rsidRPr="007E7998">
              <w:rPr>
                <w:rFonts w:ascii="Arial" w:hAnsi="Arial" w:cs="Arial"/>
              </w:rPr>
              <w:t>0 (0.00)</w:t>
            </w:r>
          </w:p>
        </w:tc>
        <w:tc>
          <w:tcPr>
            <w:tcW w:w="1763" w:type="dxa"/>
          </w:tcPr>
          <w:p w:rsidR="00A848B0" w:rsidRPr="007E7998" w:rsidRDefault="00A848B0" w:rsidP="003C0495">
            <w:pPr>
              <w:spacing w:line="480" w:lineRule="auto"/>
              <w:jc w:val="center"/>
              <w:rPr>
                <w:rFonts w:ascii="Arial" w:hAnsi="Arial" w:cs="Arial"/>
              </w:rPr>
            </w:pPr>
          </w:p>
        </w:tc>
      </w:tr>
      <w:tr w:rsidR="00CD0F61" w:rsidRPr="007E7998" w:rsidTr="005C76BE">
        <w:tc>
          <w:tcPr>
            <w:tcW w:w="3369" w:type="dxa"/>
          </w:tcPr>
          <w:p w:rsidR="00CD0F61" w:rsidRPr="007E7998" w:rsidRDefault="00CD0F61" w:rsidP="003C0495">
            <w:pPr>
              <w:spacing w:line="480" w:lineRule="auto"/>
              <w:jc w:val="center"/>
              <w:rPr>
                <w:rFonts w:ascii="Arial" w:hAnsi="Arial" w:cs="Arial"/>
              </w:rPr>
            </w:pPr>
            <w:r w:rsidRPr="007E7998">
              <w:rPr>
                <w:rFonts w:ascii="Arial" w:hAnsi="Arial" w:cs="Arial"/>
              </w:rPr>
              <w:t xml:space="preserve">Aortic valve </w:t>
            </w:r>
            <w:proofErr w:type="spellStart"/>
            <w:r w:rsidRPr="007E7998">
              <w:rPr>
                <w:rFonts w:ascii="Arial" w:hAnsi="Arial" w:cs="Arial"/>
              </w:rPr>
              <w:t>cuspidity</w:t>
            </w:r>
            <w:proofErr w:type="spellEnd"/>
            <w:r w:rsidRPr="007E7998">
              <w:rPr>
                <w:rFonts w:ascii="Arial" w:hAnsi="Arial" w:cs="Arial"/>
              </w:rPr>
              <w:t xml:space="preserve"> </w:t>
            </w:r>
          </w:p>
        </w:tc>
        <w:tc>
          <w:tcPr>
            <w:tcW w:w="2126" w:type="dxa"/>
          </w:tcPr>
          <w:p w:rsidR="00CD0F61" w:rsidRPr="007E7998" w:rsidRDefault="00CD0F61" w:rsidP="003C0495">
            <w:pPr>
              <w:spacing w:line="480" w:lineRule="auto"/>
              <w:jc w:val="center"/>
              <w:rPr>
                <w:rFonts w:ascii="Arial" w:hAnsi="Arial" w:cs="Arial"/>
              </w:rPr>
            </w:pPr>
          </w:p>
        </w:tc>
        <w:tc>
          <w:tcPr>
            <w:tcW w:w="1984" w:type="dxa"/>
          </w:tcPr>
          <w:p w:rsidR="00CD0F61" w:rsidRPr="007E7998" w:rsidRDefault="00CD0F61" w:rsidP="003C0495">
            <w:pPr>
              <w:spacing w:line="480" w:lineRule="auto"/>
              <w:jc w:val="center"/>
              <w:rPr>
                <w:rFonts w:ascii="Arial" w:hAnsi="Arial" w:cs="Arial"/>
              </w:rPr>
            </w:pPr>
          </w:p>
        </w:tc>
        <w:tc>
          <w:tcPr>
            <w:tcW w:w="1763" w:type="dxa"/>
          </w:tcPr>
          <w:p w:rsidR="00CD0F61" w:rsidRPr="007E7998" w:rsidRDefault="00765B01" w:rsidP="003C0495">
            <w:pPr>
              <w:spacing w:line="480" w:lineRule="auto"/>
              <w:jc w:val="center"/>
              <w:rPr>
                <w:rFonts w:ascii="Arial" w:hAnsi="Arial" w:cs="Arial"/>
              </w:rPr>
            </w:pPr>
            <w:r w:rsidRPr="007E7998">
              <w:rPr>
                <w:rFonts w:ascii="Arial" w:hAnsi="Arial" w:cs="Arial"/>
              </w:rPr>
              <w:t>&lt;0.001</w:t>
            </w:r>
          </w:p>
        </w:tc>
      </w:tr>
      <w:tr w:rsidR="00CD0F61" w:rsidRPr="007E7998" w:rsidTr="005C76BE">
        <w:tc>
          <w:tcPr>
            <w:tcW w:w="3369" w:type="dxa"/>
          </w:tcPr>
          <w:p w:rsidR="00CD0F61" w:rsidRPr="007E7998" w:rsidRDefault="00AC583C" w:rsidP="003C0495">
            <w:pPr>
              <w:spacing w:line="480" w:lineRule="auto"/>
              <w:jc w:val="center"/>
              <w:rPr>
                <w:rFonts w:ascii="Arial" w:hAnsi="Arial" w:cs="Arial"/>
              </w:rPr>
            </w:pPr>
            <w:proofErr w:type="spellStart"/>
            <w:r w:rsidRPr="007E7998">
              <w:rPr>
                <w:rFonts w:ascii="Arial" w:hAnsi="Arial" w:cs="Arial"/>
              </w:rPr>
              <w:t>Unicuspid</w:t>
            </w:r>
            <w:proofErr w:type="spellEnd"/>
          </w:p>
        </w:tc>
        <w:tc>
          <w:tcPr>
            <w:tcW w:w="2126" w:type="dxa"/>
          </w:tcPr>
          <w:p w:rsidR="00CD0F61" w:rsidRPr="007E7998" w:rsidRDefault="00B916E2" w:rsidP="003C0495">
            <w:pPr>
              <w:spacing w:line="480" w:lineRule="auto"/>
              <w:jc w:val="center"/>
              <w:rPr>
                <w:rFonts w:ascii="Arial" w:hAnsi="Arial" w:cs="Arial"/>
              </w:rPr>
            </w:pPr>
            <w:r w:rsidRPr="007E7998">
              <w:rPr>
                <w:rFonts w:ascii="Arial" w:hAnsi="Arial" w:cs="Arial"/>
              </w:rPr>
              <w:t>3</w:t>
            </w:r>
            <w:r w:rsidR="00554E03" w:rsidRPr="007E7998">
              <w:rPr>
                <w:rFonts w:ascii="Arial" w:hAnsi="Arial" w:cs="Arial"/>
              </w:rPr>
              <w:t xml:space="preserve"> (1.60)</w:t>
            </w:r>
          </w:p>
        </w:tc>
        <w:tc>
          <w:tcPr>
            <w:tcW w:w="1984" w:type="dxa"/>
          </w:tcPr>
          <w:p w:rsidR="00CD0F61" w:rsidRPr="007E7998" w:rsidRDefault="00B916E2" w:rsidP="003C0495">
            <w:pPr>
              <w:spacing w:line="480" w:lineRule="auto"/>
              <w:jc w:val="center"/>
              <w:rPr>
                <w:rFonts w:ascii="Arial" w:hAnsi="Arial" w:cs="Arial"/>
              </w:rPr>
            </w:pPr>
            <w:r w:rsidRPr="007E7998">
              <w:rPr>
                <w:rFonts w:ascii="Arial" w:hAnsi="Arial" w:cs="Arial"/>
              </w:rPr>
              <w:t>0</w:t>
            </w:r>
            <w:r w:rsidR="00554E03" w:rsidRPr="007E7998">
              <w:rPr>
                <w:rFonts w:ascii="Arial" w:hAnsi="Arial" w:cs="Arial"/>
              </w:rPr>
              <w:t xml:space="preserve"> (0.00)</w:t>
            </w:r>
          </w:p>
        </w:tc>
        <w:tc>
          <w:tcPr>
            <w:tcW w:w="1763" w:type="dxa"/>
          </w:tcPr>
          <w:p w:rsidR="00CD0F61" w:rsidRPr="007E7998" w:rsidRDefault="00CD0F61" w:rsidP="003C0495">
            <w:pPr>
              <w:spacing w:line="480" w:lineRule="auto"/>
              <w:jc w:val="center"/>
              <w:rPr>
                <w:rFonts w:ascii="Arial" w:hAnsi="Arial" w:cs="Arial"/>
              </w:rPr>
            </w:pPr>
          </w:p>
        </w:tc>
      </w:tr>
      <w:tr w:rsidR="00CD0F61" w:rsidRPr="007E7998" w:rsidTr="005C76BE">
        <w:tc>
          <w:tcPr>
            <w:tcW w:w="3369" w:type="dxa"/>
          </w:tcPr>
          <w:p w:rsidR="00CD0F61" w:rsidRPr="007E7998" w:rsidRDefault="00AC583C" w:rsidP="003C0495">
            <w:pPr>
              <w:spacing w:line="480" w:lineRule="auto"/>
              <w:jc w:val="center"/>
              <w:rPr>
                <w:rFonts w:ascii="Arial" w:hAnsi="Arial" w:cs="Arial"/>
              </w:rPr>
            </w:pPr>
            <w:r w:rsidRPr="007E7998">
              <w:rPr>
                <w:rFonts w:ascii="Arial" w:hAnsi="Arial" w:cs="Arial"/>
              </w:rPr>
              <w:t>Bicuspid</w:t>
            </w:r>
          </w:p>
        </w:tc>
        <w:tc>
          <w:tcPr>
            <w:tcW w:w="2126" w:type="dxa"/>
          </w:tcPr>
          <w:p w:rsidR="00CD0F61" w:rsidRPr="007E7998" w:rsidRDefault="00554E03" w:rsidP="003C0495">
            <w:pPr>
              <w:spacing w:line="480" w:lineRule="auto"/>
              <w:jc w:val="center"/>
              <w:rPr>
                <w:rFonts w:ascii="Arial" w:hAnsi="Arial" w:cs="Arial"/>
              </w:rPr>
            </w:pPr>
            <w:r w:rsidRPr="007E7998">
              <w:rPr>
                <w:rFonts w:ascii="Arial" w:hAnsi="Arial" w:cs="Arial"/>
              </w:rPr>
              <w:t>70 (37.4)</w:t>
            </w:r>
          </w:p>
        </w:tc>
        <w:tc>
          <w:tcPr>
            <w:tcW w:w="1984" w:type="dxa"/>
          </w:tcPr>
          <w:p w:rsidR="00CD0F61" w:rsidRPr="007E7998" w:rsidRDefault="00554E03" w:rsidP="003C0495">
            <w:pPr>
              <w:spacing w:line="480" w:lineRule="auto"/>
              <w:jc w:val="center"/>
              <w:rPr>
                <w:rFonts w:ascii="Arial" w:hAnsi="Arial" w:cs="Arial"/>
              </w:rPr>
            </w:pPr>
            <w:r w:rsidRPr="007E7998">
              <w:rPr>
                <w:rFonts w:ascii="Arial" w:hAnsi="Arial" w:cs="Arial"/>
              </w:rPr>
              <w:t>1 (1.52)</w:t>
            </w:r>
          </w:p>
        </w:tc>
        <w:tc>
          <w:tcPr>
            <w:tcW w:w="1763" w:type="dxa"/>
          </w:tcPr>
          <w:p w:rsidR="00CD0F61" w:rsidRPr="007E7998" w:rsidRDefault="00CD0F61" w:rsidP="003C0495">
            <w:pPr>
              <w:spacing w:line="480" w:lineRule="auto"/>
              <w:jc w:val="center"/>
              <w:rPr>
                <w:rFonts w:ascii="Arial" w:hAnsi="Arial" w:cs="Arial"/>
              </w:rPr>
            </w:pPr>
          </w:p>
        </w:tc>
      </w:tr>
      <w:tr w:rsidR="00CD0F61" w:rsidRPr="007E7998" w:rsidTr="005C76BE">
        <w:tc>
          <w:tcPr>
            <w:tcW w:w="3369" w:type="dxa"/>
          </w:tcPr>
          <w:p w:rsidR="00CD0F61" w:rsidRPr="007E7998" w:rsidRDefault="00AC583C" w:rsidP="003C0495">
            <w:pPr>
              <w:spacing w:line="480" w:lineRule="auto"/>
              <w:jc w:val="center"/>
              <w:rPr>
                <w:rFonts w:ascii="Arial" w:hAnsi="Arial" w:cs="Arial"/>
              </w:rPr>
            </w:pPr>
            <w:r w:rsidRPr="007E7998">
              <w:rPr>
                <w:rFonts w:ascii="Arial" w:hAnsi="Arial" w:cs="Arial"/>
              </w:rPr>
              <w:t>Tricuspid</w:t>
            </w:r>
          </w:p>
        </w:tc>
        <w:tc>
          <w:tcPr>
            <w:tcW w:w="2126" w:type="dxa"/>
          </w:tcPr>
          <w:p w:rsidR="00CD0F61" w:rsidRPr="007E7998" w:rsidRDefault="00554E03" w:rsidP="003C0495">
            <w:pPr>
              <w:spacing w:line="480" w:lineRule="auto"/>
              <w:jc w:val="center"/>
              <w:rPr>
                <w:rFonts w:ascii="Arial" w:hAnsi="Arial" w:cs="Arial"/>
              </w:rPr>
            </w:pPr>
            <w:r w:rsidRPr="007E7998">
              <w:rPr>
                <w:rFonts w:ascii="Arial" w:hAnsi="Arial" w:cs="Arial"/>
              </w:rPr>
              <w:t>113 (60.4)</w:t>
            </w:r>
          </w:p>
        </w:tc>
        <w:tc>
          <w:tcPr>
            <w:tcW w:w="1984" w:type="dxa"/>
          </w:tcPr>
          <w:p w:rsidR="00CD0F61" w:rsidRPr="007E7998" w:rsidRDefault="00554E03" w:rsidP="003C0495">
            <w:pPr>
              <w:spacing w:line="480" w:lineRule="auto"/>
              <w:jc w:val="center"/>
              <w:rPr>
                <w:rFonts w:ascii="Arial" w:hAnsi="Arial" w:cs="Arial"/>
              </w:rPr>
            </w:pPr>
            <w:r w:rsidRPr="007E7998">
              <w:rPr>
                <w:rFonts w:ascii="Arial" w:hAnsi="Arial" w:cs="Arial"/>
              </w:rPr>
              <w:t>65 (98.5)</w:t>
            </w:r>
          </w:p>
        </w:tc>
        <w:tc>
          <w:tcPr>
            <w:tcW w:w="1763" w:type="dxa"/>
          </w:tcPr>
          <w:p w:rsidR="00CD0F61" w:rsidRPr="007E7998" w:rsidRDefault="00CD0F61" w:rsidP="003C0495">
            <w:pPr>
              <w:spacing w:line="480" w:lineRule="auto"/>
              <w:jc w:val="center"/>
              <w:rPr>
                <w:rFonts w:ascii="Arial" w:hAnsi="Arial" w:cs="Arial"/>
              </w:rPr>
            </w:pPr>
          </w:p>
        </w:tc>
      </w:tr>
      <w:tr w:rsidR="00CD0F61" w:rsidRPr="007E7998" w:rsidTr="005C76BE">
        <w:tc>
          <w:tcPr>
            <w:tcW w:w="3369" w:type="dxa"/>
          </w:tcPr>
          <w:p w:rsidR="00CD0F61" w:rsidRPr="007E7998" w:rsidRDefault="00AC583C" w:rsidP="003C0495">
            <w:pPr>
              <w:spacing w:line="480" w:lineRule="auto"/>
              <w:jc w:val="center"/>
              <w:rPr>
                <w:rFonts w:ascii="Arial" w:hAnsi="Arial" w:cs="Arial"/>
              </w:rPr>
            </w:pPr>
            <w:proofErr w:type="spellStart"/>
            <w:r w:rsidRPr="007E7998">
              <w:rPr>
                <w:rFonts w:ascii="Arial" w:hAnsi="Arial" w:cs="Arial"/>
              </w:rPr>
              <w:t>Quadricuspid</w:t>
            </w:r>
            <w:proofErr w:type="spellEnd"/>
          </w:p>
        </w:tc>
        <w:tc>
          <w:tcPr>
            <w:tcW w:w="2126" w:type="dxa"/>
          </w:tcPr>
          <w:p w:rsidR="00CD0F61" w:rsidRPr="007E7998" w:rsidRDefault="00554E03" w:rsidP="003C0495">
            <w:pPr>
              <w:spacing w:line="480" w:lineRule="auto"/>
              <w:jc w:val="center"/>
              <w:rPr>
                <w:rFonts w:ascii="Arial" w:hAnsi="Arial" w:cs="Arial"/>
              </w:rPr>
            </w:pPr>
            <w:r w:rsidRPr="007E7998">
              <w:rPr>
                <w:rFonts w:ascii="Arial" w:hAnsi="Arial" w:cs="Arial"/>
              </w:rPr>
              <w:t>1 (0.53)</w:t>
            </w:r>
          </w:p>
        </w:tc>
        <w:tc>
          <w:tcPr>
            <w:tcW w:w="1984" w:type="dxa"/>
          </w:tcPr>
          <w:p w:rsidR="00CD0F61" w:rsidRPr="007E7998" w:rsidRDefault="00554E03" w:rsidP="003C0495">
            <w:pPr>
              <w:spacing w:line="480" w:lineRule="auto"/>
              <w:jc w:val="center"/>
              <w:rPr>
                <w:rFonts w:ascii="Arial" w:hAnsi="Arial" w:cs="Arial"/>
              </w:rPr>
            </w:pPr>
            <w:r w:rsidRPr="007E7998">
              <w:rPr>
                <w:rFonts w:ascii="Arial" w:hAnsi="Arial" w:cs="Arial"/>
              </w:rPr>
              <w:t>0 (0.00)</w:t>
            </w:r>
          </w:p>
        </w:tc>
        <w:tc>
          <w:tcPr>
            <w:tcW w:w="1763" w:type="dxa"/>
          </w:tcPr>
          <w:p w:rsidR="00CD0F61" w:rsidRPr="007E7998" w:rsidRDefault="00CD0F61" w:rsidP="003C0495">
            <w:pPr>
              <w:spacing w:line="480" w:lineRule="auto"/>
              <w:jc w:val="center"/>
              <w:rPr>
                <w:rFonts w:ascii="Arial" w:hAnsi="Arial" w:cs="Arial"/>
              </w:rPr>
            </w:pPr>
          </w:p>
        </w:tc>
      </w:tr>
      <w:tr w:rsidR="00A848B0" w:rsidRPr="007E7998" w:rsidTr="005C76BE">
        <w:tc>
          <w:tcPr>
            <w:tcW w:w="3369" w:type="dxa"/>
          </w:tcPr>
          <w:p w:rsidR="00A848B0" w:rsidRPr="007E7998" w:rsidRDefault="004F7AE9" w:rsidP="003C0495">
            <w:pPr>
              <w:spacing w:line="480" w:lineRule="auto"/>
              <w:jc w:val="center"/>
              <w:rPr>
                <w:rFonts w:ascii="Arial" w:hAnsi="Arial" w:cs="Arial"/>
              </w:rPr>
            </w:pPr>
            <w:r w:rsidRPr="007E7998">
              <w:rPr>
                <w:rFonts w:ascii="Arial" w:hAnsi="Arial" w:cs="Arial"/>
              </w:rPr>
              <w:t>Marfan syndrome</w:t>
            </w:r>
          </w:p>
        </w:tc>
        <w:tc>
          <w:tcPr>
            <w:tcW w:w="2126" w:type="dxa"/>
          </w:tcPr>
          <w:p w:rsidR="00A848B0" w:rsidRPr="007E7998" w:rsidRDefault="00536AB4" w:rsidP="003C0495">
            <w:pPr>
              <w:spacing w:line="480" w:lineRule="auto"/>
              <w:jc w:val="center"/>
              <w:rPr>
                <w:rFonts w:ascii="Arial" w:hAnsi="Arial" w:cs="Arial"/>
              </w:rPr>
            </w:pPr>
            <w:r w:rsidRPr="007E7998">
              <w:rPr>
                <w:rFonts w:ascii="Arial" w:hAnsi="Arial" w:cs="Arial"/>
              </w:rPr>
              <w:t>20 (10.7)</w:t>
            </w:r>
          </w:p>
        </w:tc>
        <w:tc>
          <w:tcPr>
            <w:tcW w:w="1984" w:type="dxa"/>
          </w:tcPr>
          <w:p w:rsidR="00A848B0" w:rsidRPr="007E7998" w:rsidRDefault="00536AB4" w:rsidP="003C0495">
            <w:pPr>
              <w:spacing w:line="480" w:lineRule="auto"/>
              <w:jc w:val="center"/>
              <w:rPr>
                <w:rFonts w:ascii="Arial" w:hAnsi="Arial" w:cs="Arial"/>
              </w:rPr>
            </w:pPr>
            <w:r w:rsidRPr="007E7998">
              <w:rPr>
                <w:rFonts w:ascii="Arial" w:hAnsi="Arial" w:cs="Arial"/>
              </w:rPr>
              <w:t>6 (9.09)</w:t>
            </w:r>
          </w:p>
        </w:tc>
        <w:tc>
          <w:tcPr>
            <w:tcW w:w="1763" w:type="dxa"/>
          </w:tcPr>
          <w:p w:rsidR="00A848B0" w:rsidRPr="007E7998" w:rsidRDefault="00193D8D" w:rsidP="003C0495">
            <w:pPr>
              <w:spacing w:line="480" w:lineRule="auto"/>
              <w:jc w:val="center"/>
              <w:rPr>
                <w:rFonts w:ascii="Arial" w:hAnsi="Arial" w:cs="Arial"/>
              </w:rPr>
            </w:pPr>
            <w:r w:rsidRPr="007E7998">
              <w:rPr>
                <w:rFonts w:ascii="Arial" w:hAnsi="Arial" w:cs="Arial"/>
              </w:rPr>
              <w:t>0.71</w:t>
            </w:r>
          </w:p>
        </w:tc>
      </w:tr>
      <w:tr w:rsidR="00BC78BB" w:rsidRPr="007E7998" w:rsidTr="005C76BE">
        <w:tc>
          <w:tcPr>
            <w:tcW w:w="3369" w:type="dxa"/>
          </w:tcPr>
          <w:p w:rsidR="00BC78BB" w:rsidRPr="007E7998" w:rsidRDefault="001C6C35" w:rsidP="001C6C35">
            <w:pPr>
              <w:spacing w:line="480" w:lineRule="auto"/>
              <w:jc w:val="center"/>
              <w:rPr>
                <w:rFonts w:ascii="Arial" w:hAnsi="Arial" w:cs="Arial"/>
              </w:rPr>
            </w:pPr>
            <w:r w:rsidRPr="007E7998">
              <w:rPr>
                <w:rFonts w:ascii="Arial" w:hAnsi="Arial" w:cs="Arial"/>
              </w:rPr>
              <w:t>Other connective tissue disease</w:t>
            </w:r>
          </w:p>
        </w:tc>
        <w:tc>
          <w:tcPr>
            <w:tcW w:w="2126" w:type="dxa"/>
          </w:tcPr>
          <w:p w:rsidR="00BC78BB" w:rsidRPr="007E7998" w:rsidRDefault="00193D8D" w:rsidP="003C0495">
            <w:pPr>
              <w:spacing w:line="480" w:lineRule="auto"/>
              <w:jc w:val="center"/>
              <w:rPr>
                <w:rFonts w:ascii="Arial" w:hAnsi="Arial" w:cs="Arial"/>
              </w:rPr>
            </w:pPr>
            <w:r w:rsidRPr="007E7998">
              <w:rPr>
                <w:rFonts w:ascii="Arial" w:hAnsi="Arial" w:cs="Arial"/>
              </w:rPr>
              <w:t>5 (2.67)</w:t>
            </w:r>
          </w:p>
        </w:tc>
        <w:tc>
          <w:tcPr>
            <w:tcW w:w="1984" w:type="dxa"/>
          </w:tcPr>
          <w:p w:rsidR="00BC78BB" w:rsidRPr="007E7998" w:rsidRDefault="00193D8D" w:rsidP="003C0495">
            <w:pPr>
              <w:spacing w:line="480" w:lineRule="auto"/>
              <w:jc w:val="center"/>
              <w:rPr>
                <w:rFonts w:ascii="Arial" w:hAnsi="Arial" w:cs="Arial"/>
              </w:rPr>
            </w:pPr>
            <w:r w:rsidRPr="007E7998">
              <w:rPr>
                <w:rFonts w:ascii="Arial" w:hAnsi="Arial" w:cs="Arial"/>
              </w:rPr>
              <w:t>1 (1.52)</w:t>
            </w:r>
          </w:p>
        </w:tc>
        <w:tc>
          <w:tcPr>
            <w:tcW w:w="1763" w:type="dxa"/>
          </w:tcPr>
          <w:p w:rsidR="00BC78BB" w:rsidRPr="007E7998" w:rsidRDefault="00C4699D" w:rsidP="003C0495">
            <w:pPr>
              <w:spacing w:line="480" w:lineRule="auto"/>
              <w:jc w:val="center"/>
              <w:rPr>
                <w:rFonts w:ascii="Arial" w:hAnsi="Arial" w:cs="Arial"/>
              </w:rPr>
            </w:pPr>
            <w:r w:rsidRPr="007E7998">
              <w:rPr>
                <w:rFonts w:ascii="Arial" w:hAnsi="Arial" w:cs="Arial"/>
              </w:rPr>
              <w:t>0.59</w:t>
            </w:r>
          </w:p>
        </w:tc>
      </w:tr>
      <w:tr w:rsidR="00BC78BB" w:rsidRPr="007E7998" w:rsidTr="005C76BE">
        <w:tc>
          <w:tcPr>
            <w:tcW w:w="3369" w:type="dxa"/>
          </w:tcPr>
          <w:p w:rsidR="00BC78BB" w:rsidRPr="007E7998" w:rsidRDefault="00957847" w:rsidP="003C0495">
            <w:pPr>
              <w:spacing w:line="480" w:lineRule="auto"/>
              <w:jc w:val="center"/>
              <w:rPr>
                <w:rFonts w:ascii="Arial" w:hAnsi="Arial" w:cs="Arial"/>
              </w:rPr>
            </w:pPr>
            <w:r w:rsidRPr="007E7998">
              <w:rPr>
                <w:rFonts w:ascii="Arial" w:hAnsi="Arial" w:cs="Arial"/>
              </w:rPr>
              <w:t>Aortic regurgitation</w:t>
            </w:r>
          </w:p>
        </w:tc>
        <w:tc>
          <w:tcPr>
            <w:tcW w:w="2126" w:type="dxa"/>
          </w:tcPr>
          <w:p w:rsidR="00BC78BB" w:rsidRPr="007E7998" w:rsidRDefault="00BA108C" w:rsidP="003C0495">
            <w:pPr>
              <w:spacing w:line="480" w:lineRule="auto"/>
              <w:jc w:val="center"/>
              <w:rPr>
                <w:rFonts w:ascii="Arial" w:hAnsi="Arial" w:cs="Arial"/>
              </w:rPr>
            </w:pPr>
            <w:r w:rsidRPr="007E7998">
              <w:rPr>
                <w:rFonts w:ascii="Arial" w:hAnsi="Arial" w:cs="Arial"/>
              </w:rPr>
              <w:t>133 (71.1)</w:t>
            </w:r>
          </w:p>
        </w:tc>
        <w:tc>
          <w:tcPr>
            <w:tcW w:w="1984" w:type="dxa"/>
          </w:tcPr>
          <w:p w:rsidR="00BC78BB" w:rsidRPr="007E7998" w:rsidRDefault="00BA108C" w:rsidP="003C0495">
            <w:pPr>
              <w:spacing w:line="480" w:lineRule="auto"/>
              <w:jc w:val="center"/>
              <w:rPr>
                <w:rFonts w:ascii="Arial" w:hAnsi="Arial" w:cs="Arial"/>
              </w:rPr>
            </w:pPr>
            <w:r w:rsidRPr="007E7998">
              <w:rPr>
                <w:rFonts w:ascii="Arial" w:hAnsi="Arial" w:cs="Arial"/>
              </w:rPr>
              <w:t>45 (68.2)</w:t>
            </w:r>
          </w:p>
        </w:tc>
        <w:tc>
          <w:tcPr>
            <w:tcW w:w="1763" w:type="dxa"/>
          </w:tcPr>
          <w:p w:rsidR="00BC78BB" w:rsidRPr="007E7998" w:rsidRDefault="00BA108C" w:rsidP="003C0495">
            <w:pPr>
              <w:spacing w:line="480" w:lineRule="auto"/>
              <w:jc w:val="center"/>
              <w:rPr>
                <w:rFonts w:ascii="Arial" w:hAnsi="Arial" w:cs="Arial"/>
              </w:rPr>
            </w:pPr>
            <w:r w:rsidRPr="007E7998">
              <w:rPr>
                <w:rFonts w:ascii="Arial" w:hAnsi="Arial" w:cs="Arial"/>
              </w:rPr>
              <w:t>0.65</w:t>
            </w:r>
          </w:p>
        </w:tc>
      </w:tr>
      <w:tr w:rsidR="00BC78BB" w:rsidRPr="007E7998" w:rsidTr="005C76BE">
        <w:tc>
          <w:tcPr>
            <w:tcW w:w="3369" w:type="dxa"/>
          </w:tcPr>
          <w:p w:rsidR="00BC78BB" w:rsidRPr="007E7998" w:rsidRDefault="00957847" w:rsidP="003C0495">
            <w:pPr>
              <w:spacing w:line="480" w:lineRule="auto"/>
              <w:jc w:val="center"/>
              <w:rPr>
                <w:rFonts w:ascii="Arial" w:hAnsi="Arial" w:cs="Arial"/>
              </w:rPr>
            </w:pPr>
            <w:r w:rsidRPr="007E7998">
              <w:rPr>
                <w:rFonts w:ascii="Arial" w:hAnsi="Arial" w:cs="Arial"/>
              </w:rPr>
              <w:t>Pericardial effusion</w:t>
            </w:r>
          </w:p>
        </w:tc>
        <w:tc>
          <w:tcPr>
            <w:tcW w:w="2126" w:type="dxa"/>
          </w:tcPr>
          <w:p w:rsidR="00BC78BB" w:rsidRPr="007E7998" w:rsidRDefault="00BA108C" w:rsidP="003C0495">
            <w:pPr>
              <w:spacing w:line="480" w:lineRule="auto"/>
              <w:jc w:val="center"/>
              <w:rPr>
                <w:rFonts w:ascii="Arial" w:hAnsi="Arial" w:cs="Arial"/>
              </w:rPr>
            </w:pPr>
            <w:r w:rsidRPr="007E7998">
              <w:rPr>
                <w:rFonts w:ascii="Arial" w:hAnsi="Arial" w:cs="Arial"/>
              </w:rPr>
              <w:t>4 (2.14)</w:t>
            </w:r>
          </w:p>
        </w:tc>
        <w:tc>
          <w:tcPr>
            <w:tcW w:w="1984" w:type="dxa"/>
          </w:tcPr>
          <w:p w:rsidR="00BC78BB" w:rsidRPr="007E7998" w:rsidRDefault="00BA108C" w:rsidP="003C0495">
            <w:pPr>
              <w:spacing w:line="480" w:lineRule="auto"/>
              <w:jc w:val="center"/>
              <w:rPr>
                <w:rFonts w:ascii="Arial" w:hAnsi="Arial" w:cs="Arial"/>
              </w:rPr>
            </w:pPr>
            <w:r w:rsidRPr="007E7998">
              <w:rPr>
                <w:rFonts w:ascii="Arial" w:hAnsi="Arial" w:cs="Arial"/>
              </w:rPr>
              <w:t>21 (31.8)</w:t>
            </w:r>
          </w:p>
        </w:tc>
        <w:tc>
          <w:tcPr>
            <w:tcW w:w="1763" w:type="dxa"/>
          </w:tcPr>
          <w:p w:rsidR="00BC78BB" w:rsidRPr="007E7998" w:rsidRDefault="00765B01" w:rsidP="003C0495">
            <w:pPr>
              <w:spacing w:line="480" w:lineRule="auto"/>
              <w:jc w:val="center"/>
              <w:rPr>
                <w:rFonts w:ascii="Arial" w:hAnsi="Arial" w:cs="Arial"/>
              </w:rPr>
            </w:pPr>
            <w:r w:rsidRPr="007E7998">
              <w:rPr>
                <w:rFonts w:ascii="Arial" w:hAnsi="Arial" w:cs="Arial"/>
              </w:rPr>
              <w:t>&lt;0.001</w:t>
            </w:r>
          </w:p>
        </w:tc>
      </w:tr>
      <w:tr w:rsidR="00BC78BB" w:rsidRPr="007E7998" w:rsidTr="005C76BE">
        <w:tc>
          <w:tcPr>
            <w:tcW w:w="3369" w:type="dxa"/>
          </w:tcPr>
          <w:p w:rsidR="00BC78BB" w:rsidRPr="007E7998" w:rsidRDefault="004560E9" w:rsidP="003C0495">
            <w:pPr>
              <w:spacing w:line="480" w:lineRule="auto"/>
              <w:jc w:val="center"/>
              <w:rPr>
                <w:rFonts w:ascii="Arial" w:hAnsi="Arial" w:cs="Arial"/>
              </w:rPr>
            </w:pPr>
            <w:r w:rsidRPr="007E7998">
              <w:rPr>
                <w:rFonts w:ascii="Arial" w:hAnsi="Arial" w:cs="Arial"/>
              </w:rPr>
              <w:t>Cardiac tamponade</w:t>
            </w:r>
          </w:p>
        </w:tc>
        <w:tc>
          <w:tcPr>
            <w:tcW w:w="2126" w:type="dxa"/>
          </w:tcPr>
          <w:p w:rsidR="00BC78BB" w:rsidRPr="007E7998" w:rsidRDefault="0092325A" w:rsidP="003C0495">
            <w:pPr>
              <w:spacing w:line="480" w:lineRule="auto"/>
              <w:jc w:val="center"/>
              <w:rPr>
                <w:rFonts w:ascii="Arial" w:hAnsi="Arial" w:cs="Arial"/>
              </w:rPr>
            </w:pPr>
            <w:r w:rsidRPr="007E7998">
              <w:rPr>
                <w:rFonts w:ascii="Arial" w:hAnsi="Arial" w:cs="Arial"/>
              </w:rPr>
              <w:t>0 (0.00)</w:t>
            </w:r>
          </w:p>
        </w:tc>
        <w:tc>
          <w:tcPr>
            <w:tcW w:w="1984" w:type="dxa"/>
          </w:tcPr>
          <w:p w:rsidR="00BC78BB" w:rsidRPr="007E7998" w:rsidRDefault="0092325A" w:rsidP="003C0495">
            <w:pPr>
              <w:spacing w:line="480" w:lineRule="auto"/>
              <w:jc w:val="center"/>
              <w:rPr>
                <w:rFonts w:ascii="Arial" w:hAnsi="Arial" w:cs="Arial"/>
              </w:rPr>
            </w:pPr>
            <w:r w:rsidRPr="007E7998">
              <w:rPr>
                <w:rFonts w:ascii="Arial" w:hAnsi="Arial" w:cs="Arial"/>
              </w:rPr>
              <w:t>8 (12.1)</w:t>
            </w:r>
          </w:p>
        </w:tc>
        <w:tc>
          <w:tcPr>
            <w:tcW w:w="1763" w:type="dxa"/>
          </w:tcPr>
          <w:p w:rsidR="00BC78BB" w:rsidRPr="007E7998" w:rsidRDefault="00765B01" w:rsidP="003C0495">
            <w:pPr>
              <w:spacing w:line="480" w:lineRule="auto"/>
              <w:jc w:val="center"/>
              <w:rPr>
                <w:rFonts w:ascii="Arial" w:hAnsi="Arial" w:cs="Arial"/>
              </w:rPr>
            </w:pPr>
            <w:r w:rsidRPr="007E7998">
              <w:rPr>
                <w:rFonts w:ascii="Arial" w:hAnsi="Arial" w:cs="Arial"/>
              </w:rPr>
              <w:t>&lt;0.001</w:t>
            </w:r>
          </w:p>
        </w:tc>
      </w:tr>
      <w:tr w:rsidR="00BC78BB" w:rsidRPr="007E7998" w:rsidTr="005C76BE">
        <w:tc>
          <w:tcPr>
            <w:tcW w:w="3369" w:type="dxa"/>
          </w:tcPr>
          <w:p w:rsidR="00BC78BB" w:rsidRPr="007E7998" w:rsidRDefault="004560E9" w:rsidP="004560E9">
            <w:pPr>
              <w:spacing w:line="480" w:lineRule="auto"/>
              <w:jc w:val="center"/>
              <w:rPr>
                <w:rFonts w:ascii="Arial" w:hAnsi="Arial" w:cs="Arial"/>
              </w:rPr>
            </w:pPr>
            <w:r w:rsidRPr="007E7998">
              <w:rPr>
                <w:rFonts w:ascii="Arial" w:hAnsi="Arial" w:cs="Arial"/>
              </w:rPr>
              <w:t>Aortic rupture</w:t>
            </w:r>
          </w:p>
        </w:tc>
        <w:tc>
          <w:tcPr>
            <w:tcW w:w="2126" w:type="dxa"/>
          </w:tcPr>
          <w:p w:rsidR="00BC78BB" w:rsidRPr="007E7998" w:rsidRDefault="001E2880" w:rsidP="003C0495">
            <w:pPr>
              <w:spacing w:line="480" w:lineRule="auto"/>
              <w:jc w:val="center"/>
              <w:rPr>
                <w:rFonts w:ascii="Arial" w:hAnsi="Arial" w:cs="Arial"/>
              </w:rPr>
            </w:pPr>
            <w:r w:rsidRPr="007E7998">
              <w:rPr>
                <w:rFonts w:ascii="Arial" w:hAnsi="Arial" w:cs="Arial"/>
              </w:rPr>
              <w:t>0 (0.00)</w:t>
            </w:r>
          </w:p>
        </w:tc>
        <w:tc>
          <w:tcPr>
            <w:tcW w:w="1984" w:type="dxa"/>
          </w:tcPr>
          <w:p w:rsidR="00BC78BB" w:rsidRPr="007E7998" w:rsidRDefault="001E2880" w:rsidP="003C0495">
            <w:pPr>
              <w:spacing w:line="480" w:lineRule="auto"/>
              <w:jc w:val="center"/>
              <w:rPr>
                <w:rFonts w:ascii="Arial" w:hAnsi="Arial" w:cs="Arial"/>
              </w:rPr>
            </w:pPr>
            <w:r w:rsidRPr="007E7998">
              <w:rPr>
                <w:rFonts w:ascii="Arial" w:hAnsi="Arial" w:cs="Arial"/>
              </w:rPr>
              <w:t>3 (4.55)</w:t>
            </w:r>
          </w:p>
        </w:tc>
        <w:tc>
          <w:tcPr>
            <w:tcW w:w="1763" w:type="dxa"/>
          </w:tcPr>
          <w:p w:rsidR="00BC78BB" w:rsidRPr="007E7998" w:rsidRDefault="001E2880" w:rsidP="003C0495">
            <w:pPr>
              <w:spacing w:line="480" w:lineRule="auto"/>
              <w:jc w:val="center"/>
              <w:rPr>
                <w:rFonts w:ascii="Arial" w:hAnsi="Arial" w:cs="Arial"/>
              </w:rPr>
            </w:pPr>
            <w:r w:rsidRPr="007E7998">
              <w:rPr>
                <w:rFonts w:ascii="Arial" w:hAnsi="Arial" w:cs="Arial"/>
              </w:rPr>
              <w:t>0.017</w:t>
            </w:r>
          </w:p>
        </w:tc>
      </w:tr>
      <w:tr w:rsidR="00837835" w:rsidRPr="007E7998" w:rsidTr="005C76BE">
        <w:tc>
          <w:tcPr>
            <w:tcW w:w="3369" w:type="dxa"/>
          </w:tcPr>
          <w:p w:rsidR="00837835" w:rsidRPr="007E7998" w:rsidRDefault="00837835" w:rsidP="004560E9">
            <w:pPr>
              <w:spacing w:line="480" w:lineRule="auto"/>
              <w:jc w:val="center"/>
              <w:rPr>
                <w:rFonts w:ascii="Arial" w:hAnsi="Arial" w:cs="Arial"/>
              </w:rPr>
            </w:pPr>
            <w:r w:rsidRPr="007E7998">
              <w:rPr>
                <w:rFonts w:ascii="Arial" w:hAnsi="Arial" w:cs="Arial"/>
              </w:rPr>
              <w:t>Pre-operative ventilation</w:t>
            </w:r>
          </w:p>
        </w:tc>
        <w:tc>
          <w:tcPr>
            <w:tcW w:w="2126" w:type="dxa"/>
          </w:tcPr>
          <w:p w:rsidR="00837835" w:rsidRPr="007E7998" w:rsidRDefault="00602693" w:rsidP="003C0495">
            <w:pPr>
              <w:spacing w:line="480" w:lineRule="auto"/>
              <w:jc w:val="center"/>
              <w:rPr>
                <w:rFonts w:ascii="Arial" w:hAnsi="Arial" w:cs="Arial"/>
              </w:rPr>
            </w:pPr>
            <w:r w:rsidRPr="007E7998">
              <w:rPr>
                <w:rFonts w:ascii="Arial" w:hAnsi="Arial" w:cs="Arial"/>
              </w:rPr>
              <w:t>0 (0.00)</w:t>
            </w:r>
          </w:p>
        </w:tc>
        <w:tc>
          <w:tcPr>
            <w:tcW w:w="1984" w:type="dxa"/>
          </w:tcPr>
          <w:p w:rsidR="00837835" w:rsidRPr="007E7998" w:rsidRDefault="00602693" w:rsidP="003C0495">
            <w:pPr>
              <w:spacing w:line="480" w:lineRule="auto"/>
              <w:jc w:val="center"/>
              <w:rPr>
                <w:rFonts w:ascii="Arial" w:hAnsi="Arial" w:cs="Arial"/>
              </w:rPr>
            </w:pPr>
            <w:r w:rsidRPr="007E7998">
              <w:rPr>
                <w:rFonts w:ascii="Arial" w:hAnsi="Arial" w:cs="Arial"/>
              </w:rPr>
              <w:t>2 (3.03)</w:t>
            </w:r>
          </w:p>
        </w:tc>
        <w:tc>
          <w:tcPr>
            <w:tcW w:w="1763" w:type="dxa"/>
          </w:tcPr>
          <w:p w:rsidR="00837835" w:rsidRPr="007E7998" w:rsidRDefault="00602693" w:rsidP="003C0495">
            <w:pPr>
              <w:spacing w:line="480" w:lineRule="auto"/>
              <w:jc w:val="center"/>
              <w:rPr>
                <w:rFonts w:ascii="Arial" w:hAnsi="Arial" w:cs="Arial"/>
              </w:rPr>
            </w:pPr>
            <w:r w:rsidRPr="007E7998">
              <w:rPr>
                <w:rFonts w:ascii="Arial" w:hAnsi="Arial" w:cs="Arial"/>
              </w:rPr>
              <w:t>0.07</w:t>
            </w:r>
          </w:p>
        </w:tc>
      </w:tr>
      <w:tr w:rsidR="00840D04" w:rsidRPr="007E7998" w:rsidTr="005C76BE">
        <w:tc>
          <w:tcPr>
            <w:tcW w:w="3369" w:type="dxa"/>
          </w:tcPr>
          <w:p w:rsidR="00840D04" w:rsidRPr="007E7998" w:rsidRDefault="00840D04" w:rsidP="004560E9">
            <w:pPr>
              <w:spacing w:line="480" w:lineRule="auto"/>
              <w:jc w:val="center"/>
              <w:rPr>
                <w:rFonts w:ascii="Arial" w:hAnsi="Arial" w:cs="Arial"/>
              </w:rPr>
            </w:pPr>
            <w:r w:rsidRPr="007E7998">
              <w:rPr>
                <w:rFonts w:ascii="Arial" w:hAnsi="Arial" w:cs="Arial"/>
              </w:rPr>
              <w:t>Cardiogenic shock</w:t>
            </w:r>
          </w:p>
        </w:tc>
        <w:tc>
          <w:tcPr>
            <w:tcW w:w="2126" w:type="dxa"/>
          </w:tcPr>
          <w:p w:rsidR="00840D04" w:rsidRPr="007E7998" w:rsidRDefault="0019293C" w:rsidP="003C0495">
            <w:pPr>
              <w:spacing w:line="480" w:lineRule="auto"/>
              <w:jc w:val="center"/>
              <w:rPr>
                <w:rFonts w:ascii="Arial" w:hAnsi="Arial" w:cs="Arial"/>
              </w:rPr>
            </w:pPr>
            <w:r w:rsidRPr="007E7998">
              <w:rPr>
                <w:rFonts w:ascii="Arial" w:hAnsi="Arial" w:cs="Arial"/>
              </w:rPr>
              <w:t>0 (0.00)</w:t>
            </w:r>
          </w:p>
        </w:tc>
        <w:tc>
          <w:tcPr>
            <w:tcW w:w="1984" w:type="dxa"/>
          </w:tcPr>
          <w:p w:rsidR="00840D04" w:rsidRPr="007E7998" w:rsidRDefault="0019293C" w:rsidP="003C0495">
            <w:pPr>
              <w:spacing w:line="480" w:lineRule="auto"/>
              <w:jc w:val="center"/>
              <w:rPr>
                <w:rFonts w:ascii="Arial" w:hAnsi="Arial" w:cs="Arial"/>
              </w:rPr>
            </w:pPr>
            <w:r w:rsidRPr="007E7998">
              <w:rPr>
                <w:rFonts w:ascii="Arial" w:hAnsi="Arial" w:cs="Arial"/>
              </w:rPr>
              <w:t>4 (6.06)</w:t>
            </w:r>
          </w:p>
        </w:tc>
        <w:tc>
          <w:tcPr>
            <w:tcW w:w="1763" w:type="dxa"/>
          </w:tcPr>
          <w:p w:rsidR="00840D04" w:rsidRPr="007E7998" w:rsidRDefault="002009F7" w:rsidP="003C0495">
            <w:pPr>
              <w:spacing w:line="480" w:lineRule="auto"/>
              <w:jc w:val="center"/>
              <w:rPr>
                <w:rFonts w:ascii="Arial" w:hAnsi="Arial" w:cs="Arial"/>
              </w:rPr>
            </w:pPr>
            <w:r w:rsidRPr="007E7998">
              <w:rPr>
                <w:rFonts w:ascii="Arial" w:hAnsi="Arial" w:cs="Arial"/>
              </w:rPr>
              <w:t>0.004</w:t>
            </w:r>
          </w:p>
        </w:tc>
      </w:tr>
      <w:tr w:rsidR="00BC78BB" w:rsidRPr="007E7998" w:rsidTr="005C76BE">
        <w:tc>
          <w:tcPr>
            <w:tcW w:w="3369" w:type="dxa"/>
          </w:tcPr>
          <w:p w:rsidR="00BC78BB" w:rsidRPr="007E7998" w:rsidRDefault="004560E9" w:rsidP="003C0495">
            <w:pPr>
              <w:spacing w:line="480" w:lineRule="auto"/>
              <w:jc w:val="center"/>
              <w:rPr>
                <w:rFonts w:ascii="Arial" w:hAnsi="Arial" w:cs="Arial"/>
              </w:rPr>
            </w:pPr>
            <w:r w:rsidRPr="007E7998">
              <w:rPr>
                <w:rFonts w:ascii="Arial" w:hAnsi="Arial" w:cs="Arial"/>
              </w:rPr>
              <w:t>Mesenteric ischaemia</w:t>
            </w:r>
          </w:p>
        </w:tc>
        <w:tc>
          <w:tcPr>
            <w:tcW w:w="2126" w:type="dxa"/>
          </w:tcPr>
          <w:p w:rsidR="00BC78BB" w:rsidRPr="007E7998" w:rsidRDefault="00415A6D" w:rsidP="00415A6D">
            <w:pPr>
              <w:spacing w:line="480" w:lineRule="auto"/>
              <w:jc w:val="center"/>
              <w:rPr>
                <w:rFonts w:ascii="Arial" w:hAnsi="Arial" w:cs="Arial"/>
              </w:rPr>
            </w:pPr>
            <w:r w:rsidRPr="007E7998">
              <w:rPr>
                <w:rFonts w:ascii="Arial" w:hAnsi="Arial" w:cs="Arial"/>
              </w:rPr>
              <w:t>0 (0.00)</w:t>
            </w:r>
          </w:p>
        </w:tc>
        <w:tc>
          <w:tcPr>
            <w:tcW w:w="1984" w:type="dxa"/>
          </w:tcPr>
          <w:p w:rsidR="00BC78BB" w:rsidRPr="007E7998" w:rsidRDefault="00415A6D" w:rsidP="003C0495">
            <w:pPr>
              <w:spacing w:line="480" w:lineRule="auto"/>
              <w:jc w:val="center"/>
              <w:rPr>
                <w:rFonts w:ascii="Arial" w:hAnsi="Arial" w:cs="Arial"/>
              </w:rPr>
            </w:pPr>
            <w:r w:rsidRPr="007E7998">
              <w:rPr>
                <w:rFonts w:ascii="Arial" w:hAnsi="Arial" w:cs="Arial"/>
              </w:rPr>
              <w:t>1 (1.52)</w:t>
            </w:r>
          </w:p>
        </w:tc>
        <w:tc>
          <w:tcPr>
            <w:tcW w:w="1763" w:type="dxa"/>
          </w:tcPr>
          <w:p w:rsidR="00BC78BB" w:rsidRPr="007E7998" w:rsidRDefault="00415A6D" w:rsidP="003C0495">
            <w:pPr>
              <w:spacing w:line="480" w:lineRule="auto"/>
              <w:jc w:val="center"/>
              <w:rPr>
                <w:rFonts w:ascii="Arial" w:hAnsi="Arial" w:cs="Arial"/>
              </w:rPr>
            </w:pPr>
            <w:r w:rsidRPr="007E7998">
              <w:rPr>
                <w:rFonts w:ascii="Arial" w:hAnsi="Arial" w:cs="Arial"/>
              </w:rPr>
              <w:t>0.26</w:t>
            </w:r>
          </w:p>
        </w:tc>
      </w:tr>
      <w:tr w:rsidR="00BC78BB" w:rsidRPr="007E7998" w:rsidTr="005C76BE">
        <w:tc>
          <w:tcPr>
            <w:tcW w:w="3369" w:type="dxa"/>
          </w:tcPr>
          <w:p w:rsidR="00BC78BB" w:rsidRPr="007E7998" w:rsidRDefault="004560E9" w:rsidP="003C0495">
            <w:pPr>
              <w:spacing w:line="480" w:lineRule="auto"/>
              <w:jc w:val="center"/>
              <w:rPr>
                <w:rFonts w:ascii="Arial" w:hAnsi="Arial" w:cs="Arial"/>
              </w:rPr>
            </w:pPr>
            <w:r w:rsidRPr="007E7998">
              <w:rPr>
                <w:rFonts w:ascii="Arial" w:hAnsi="Arial" w:cs="Arial"/>
              </w:rPr>
              <w:t>Site of intimal tear</w:t>
            </w:r>
          </w:p>
        </w:tc>
        <w:tc>
          <w:tcPr>
            <w:tcW w:w="2126" w:type="dxa"/>
          </w:tcPr>
          <w:p w:rsidR="00BC78BB" w:rsidRPr="007E7998" w:rsidRDefault="00BC78BB" w:rsidP="003C0495">
            <w:pPr>
              <w:spacing w:line="480" w:lineRule="auto"/>
              <w:jc w:val="center"/>
              <w:rPr>
                <w:rFonts w:ascii="Arial" w:hAnsi="Arial" w:cs="Arial"/>
              </w:rPr>
            </w:pPr>
          </w:p>
        </w:tc>
        <w:tc>
          <w:tcPr>
            <w:tcW w:w="1984" w:type="dxa"/>
          </w:tcPr>
          <w:p w:rsidR="00BC78BB" w:rsidRPr="007E7998" w:rsidRDefault="00BC78BB" w:rsidP="003C0495">
            <w:pPr>
              <w:spacing w:line="480" w:lineRule="auto"/>
              <w:jc w:val="center"/>
              <w:rPr>
                <w:rFonts w:ascii="Arial" w:hAnsi="Arial" w:cs="Arial"/>
              </w:rPr>
            </w:pPr>
          </w:p>
        </w:tc>
        <w:tc>
          <w:tcPr>
            <w:tcW w:w="1763" w:type="dxa"/>
          </w:tcPr>
          <w:p w:rsidR="00BC78BB" w:rsidRPr="007E7998" w:rsidRDefault="00BC78BB" w:rsidP="003C0495">
            <w:pPr>
              <w:spacing w:line="480" w:lineRule="auto"/>
              <w:jc w:val="center"/>
              <w:rPr>
                <w:rFonts w:ascii="Arial" w:hAnsi="Arial" w:cs="Arial"/>
              </w:rPr>
            </w:pPr>
          </w:p>
        </w:tc>
      </w:tr>
      <w:tr w:rsidR="00BC78BB" w:rsidRPr="007E7998" w:rsidTr="005C76BE">
        <w:tc>
          <w:tcPr>
            <w:tcW w:w="3369" w:type="dxa"/>
          </w:tcPr>
          <w:p w:rsidR="00BC78BB" w:rsidRPr="007E7998" w:rsidRDefault="004560E9" w:rsidP="003C0495">
            <w:pPr>
              <w:spacing w:line="480" w:lineRule="auto"/>
              <w:jc w:val="center"/>
              <w:rPr>
                <w:rFonts w:ascii="Arial" w:hAnsi="Arial" w:cs="Arial"/>
              </w:rPr>
            </w:pPr>
            <w:r w:rsidRPr="007E7998">
              <w:rPr>
                <w:rFonts w:ascii="Arial" w:hAnsi="Arial" w:cs="Arial"/>
              </w:rPr>
              <w:t>Aortic root</w:t>
            </w:r>
          </w:p>
        </w:tc>
        <w:tc>
          <w:tcPr>
            <w:tcW w:w="2126" w:type="dxa"/>
          </w:tcPr>
          <w:p w:rsidR="00BC78BB" w:rsidRPr="007E7998" w:rsidRDefault="00BC78BB" w:rsidP="003C0495">
            <w:pPr>
              <w:spacing w:line="480" w:lineRule="auto"/>
              <w:jc w:val="center"/>
              <w:rPr>
                <w:rFonts w:ascii="Arial" w:hAnsi="Arial" w:cs="Arial"/>
              </w:rPr>
            </w:pPr>
          </w:p>
        </w:tc>
        <w:tc>
          <w:tcPr>
            <w:tcW w:w="1984" w:type="dxa"/>
          </w:tcPr>
          <w:p w:rsidR="00BC78BB" w:rsidRPr="007E7998" w:rsidRDefault="000F4D3A" w:rsidP="003C0495">
            <w:pPr>
              <w:spacing w:line="480" w:lineRule="auto"/>
              <w:jc w:val="center"/>
              <w:rPr>
                <w:rFonts w:ascii="Arial" w:hAnsi="Arial" w:cs="Arial"/>
              </w:rPr>
            </w:pPr>
            <w:r w:rsidRPr="007E7998">
              <w:rPr>
                <w:rFonts w:ascii="Arial" w:hAnsi="Arial" w:cs="Arial"/>
              </w:rPr>
              <w:t>28</w:t>
            </w:r>
            <w:r w:rsidR="002A1F94" w:rsidRPr="007E7998">
              <w:rPr>
                <w:rFonts w:ascii="Arial" w:hAnsi="Arial" w:cs="Arial"/>
              </w:rPr>
              <w:t xml:space="preserve"> (42.4)</w:t>
            </w:r>
          </w:p>
        </w:tc>
        <w:tc>
          <w:tcPr>
            <w:tcW w:w="1763" w:type="dxa"/>
          </w:tcPr>
          <w:p w:rsidR="00BC78BB" w:rsidRPr="007E7998" w:rsidRDefault="00BC78BB" w:rsidP="003C0495">
            <w:pPr>
              <w:spacing w:line="480" w:lineRule="auto"/>
              <w:jc w:val="center"/>
              <w:rPr>
                <w:rFonts w:ascii="Arial" w:hAnsi="Arial" w:cs="Arial"/>
              </w:rPr>
            </w:pPr>
          </w:p>
        </w:tc>
      </w:tr>
      <w:tr w:rsidR="004560E9" w:rsidRPr="007E7998" w:rsidTr="005C76BE">
        <w:tc>
          <w:tcPr>
            <w:tcW w:w="3369" w:type="dxa"/>
          </w:tcPr>
          <w:p w:rsidR="004560E9" w:rsidRPr="007E7998" w:rsidRDefault="004560E9" w:rsidP="003C0495">
            <w:pPr>
              <w:spacing w:line="480" w:lineRule="auto"/>
              <w:jc w:val="center"/>
              <w:rPr>
                <w:rFonts w:ascii="Arial" w:hAnsi="Arial" w:cs="Arial"/>
              </w:rPr>
            </w:pPr>
            <w:r w:rsidRPr="007E7998">
              <w:rPr>
                <w:rFonts w:ascii="Arial" w:hAnsi="Arial" w:cs="Arial"/>
              </w:rPr>
              <w:t>Sino-tubular junction</w:t>
            </w:r>
          </w:p>
        </w:tc>
        <w:tc>
          <w:tcPr>
            <w:tcW w:w="2126" w:type="dxa"/>
          </w:tcPr>
          <w:p w:rsidR="004560E9" w:rsidRPr="007E7998" w:rsidRDefault="004560E9" w:rsidP="003C0495">
            <w:pPr>
              <w:spacing w:line="480" w:lineRule="auto"/>
              <w:jc w:val="center"/>
              <w:rPr>
                <w:rFonts w:ascii="Arial" w:hAnsi="Arial" w:cs="Arial"/>
              </w:rPr>
            </w:pPr>
          </w:p>
        </w:tc>
        <w:tc>
          <w:tcPr>
            <w:tcW w:w="1984" w:type="dxa"/>
          </w:tcPr>
          <w:p w:rsidR="004560E9" w:rsidRPr="007E7998" w:rsidRDefault="002A1F94" w:rsidP="003C0495">
            <w:pPr>
              <w:spacing w:line="480" w:lineRule="auto"/>
              <w:jc w:val="center"/>
              <w:rPr>
                <w:rFonts w:ascii="Arial" w:hAnsi="Arial" w:cs="Arial"/>
              </w:rPr>
            </w:pPr>
            <w:r w:rsidRPr="007E7998">
              <w:rPr>
                <w:rFonts w:ascii="Arial" w:hAnsi="Arial" w:cs="Arial"/>
              </w:rPr>
              <w:t>3 (4.55)</w:t>
            </w:r>
          </w:p>
        </w:tc>
        <w:tc>
          <w:tcPr>
            <w:tcW w:w="1763" w:type="dxa"/>
          </w:tcPr>
          <w:p w:rsidR="004560E9" w:rsidRPr="007E7998" w:rsidRDefault="004560E9" w:rsidP="003C0495">
            <w:pPr>
              <w:spacing w:line="480" w:lineRule="auto"/>
              <w:jc w:val="center"/>
              <w:rPr>
                <w:rFonts w:ascii="Arial" w:hAnsi="Arial" w:cs="Arial"/>
              </w:rPr>
            </w:pPr>
          </w:p>
        </w:tc>
      </w:tr>
      <w:tr w:rsidR="00BC78BB" w:rsidRPr="007E7998" w:rsidTr="005C76BE">
        <w:tc>
          <w:tcPr>
            <w:tcW w:w="3369" w:type="dxa"/>
          </w:tcPr>
          <w:p w:rsidR="00BC78BB" w:rsidRPr="007E7998" w:rsidRDefault="004560E9" w:rsidP="003C0495">
            <w:pPr>
              <w:spacing w:line="480" w:lineRule="auto"/>
              <w:jc w:val="center"/>
              <w:rPr>
                <w:rFonts w:ascii="Arial" w:hAnsi="Arial" w:cs="Arial"/>
              </w:rPr>
            </w:pPr>
            <w:r w:rsidRPr="007E7998">
              <w:rPr>
                <w:rFonts w:ascii="Arial" w:hAnsi="Arial" w:cs="Arial"/>
              </w:rPr>
              <w:t>Ascending aorta</w:t>
            </w:r>
          </w:p>
        </w:tc>
        <w:tc>
          <w:tcPr>
            <w:tcW w:w="2126" w:type="dxa"/>
          </w:tcPr>
          <w:p w:rsidR="00BC78BB" w:rsidRPr="007E7998" w:rsidRDefault="00BC78BB" w:rsidP="003C0495">
            <w:pPr>
              <w:spacing w:line="480" w:lineRule="auto"/>
              <w:jc w:val="center"/>
              <w:rPr>
                <w:rFonts w:ascii="Arial" w:hAnsi="Arial" w:cs="Arial"/>
              </w:rPr>
            </w:pPr>
          </w:p>
        </w:tc>
        <w:tc>
          <w:tcPr>
            <w:tcW w:w="1984" w:type="dxa"/>
          </w:tcPr>
          <w:p w:rsidR="00BC78BB" w:rsidRPr="007E7998" w:rsidRDefault="002A1F94" w:rsidP="003C0495">
            <w:pPr>
              <w:spacing w:line="480" w:lineRule="auto"/>
              <w:jc w:val="center"/>
              <w:rPr>
                <w:rFonts w:ascii="Arial" w:hAnsi="Arial" w:cs="Arial"/>
              </w:rPr>
            </w:pPr>
            <w:r w:rsidRPr="007E7998">
              <w:rPr>
                <w:rFonts w:ascii="Arial" w:hAnsi="Arial" w:cs="Arial"/>
              </w:rPr>
              <w:t>21 (31.8)</w:t>
            </w:r>
          </w:p>
        </w:tc>
        <w:tc>
          <w:tcPr>
            <w:tcW w:w="1763" w:type="dxa"/>
          </w:tcPr>
          <w:p w:rsidR="00BC78BB" w:rsidRPr="007E7998" w:rsidRDefault="00BC78BB" w:rsidP="003C0495">
            <w:pPr>
              <w:spacing w:line="480" w:lineRule="auto"/>
              <w:jc w:val="center"/>
              <w:rPr>
                <w:rFonts w:ascii="Arial" w:hAnsi="Arial" w:cs="Arial"/>
              </w:rPr>
            </w:pPr>
          </w:p>
        </w:tc>
      </w:tr>
      <w:tr w:rsidR="00BC78BB" w:rsidRPr="007E7998" w:rsidTr="005C76BE">
        <w:tc>
          <w:tcPr>
            <w:tcW w:w="3369" w:type="dxa"/>
          </w:tcPr>
          <w:p w:rsidR="00BC78BB" w:rsidRPr="007E7998" w:rsidRDefault="004560E9" w:rsidP="003C0495">
            <w:pPr>
              <w:spacing w:line="480" w:lineRule="auto"/>
              <w:jc w:val="center"/>
              <w:rPr>
                <w:rFonts w:ascii="Arial" w:hAnsi="Arial" w:cs="Arial"/>
              </w:rPr>
            </w:pPr>
            <w:r w:rsidRPr="007E7998">
              <w:rPr>
                <w:rFonts w:ascii="Arial" w:hAnsi="Arial" w:cs="Arial"/>
              </w:rPr>
              <w:t>Other</w:t>
            </w:r>
          </w:p>
        </w:tc>
        <w:tc>
          <w:tcPr>
            <w:tcW w:w="2126" w:type="dxa"/>
          </w:tcPr>
          <w:p w:rsidR="00BC78BB" w:rsidRPr="007E7998" w:rsidRDefault="00BC78BB" w:rsidP="003C0495">
            <w:pPr>
              <w:spacing w:line="480" w:lineRule="auto"/>
              <w:jc w:val="center"/>
              <w:rPr>
                <w:rFonts w:ascii="Arial" w:hAnsi="Arial" w:cs="Arial"/>
              </w:rPr>
            </w:pPr>
          </w:p>
        </w:tc>
        <w:tc>
          <w:tcPr>
            <w:tcW w:w="1984" w:type="dxa"/>
          </w:tcPr>
          <w:p w:rsidR="00BC78BB" w:rsidRPr="007E7998" w:rsidRDefault="002A1F94" w:rsidP="003C0495">
            <w:pPr>
              <w:spacing w:line="480" w:lineRule="auto"/>
              <w:jc w:val="center"/>
              <w:rPr>
                <w:rFonts w:ascii="Arial" w:hAnsi="Arial" w:cs="Arial"/>
              </w:rPr>
            </w:pPr>
            <w:r w:rsidRPr="007E7998">
              <w:rPr>
                <w:rFonts w:ascii="Arial" w:hAnsi="Arial" w:cs="Arial"/>
              </w:rPr>
              <w:t>13 (19.7)</w:t>
            </w:r>
          </w:p>
        </w:tc>
        <w:tc>
          <w:tcPr>
            <w:tcW w:w="1763" w:type="dxa"/>
          </w:tcPr>
          <w:p w:rsidR="00BC78BB" w:rsidRPr="007E7998" w:rsidRDefault="00BC78BB" w:rsidP="003C0495">
            <w:pPr>
              <w:spacing w:line="480" w:lineRule="auto"/>
              <w:jc w:val="center"/>
              <w:rPr>
                <w:rFonts w:ascii="Arial" w:hAnsi="Arial" w:cs="Arial"/>
              </w:rPr>
            </w:pPr>
          </w:p>
        </w:tc>
      </w:tr>
    </w:tbl>
    <w:p w:rsidR="00E730B2" w:rsidRPr="007E7998" w:rsidRDefault="00C447B8" w:rsidP="000313CD">
      <w:pPr>
        <w:spacing w:line="480" w:lineRule="auto"/>
        <w:jc w:val="both"/>
        <w:rPr>
          <w:rFonts w:ascii="Arial" w:hAnsi="Arial" w:cs="Arial"/>
        </w:rPr>
      </w:pPr>
      <w:r w:rsidRPr="007E7998">
        <w:rPr>
          <w:rFonts w:ascii="Arial" w:hAnsi="Arial" w:cs="Arial"/>
        </w:rPr>
        <w:t xml:space="preserve">Values are </w:t>
      </w:r>
      <w:r w:rsidRPr="007E7998">
        <w:rPr>
          <w:rFonts w:ascii="Arial" w:hAnsi="Arial" w:cs="Arial"/>
          <w:i/>
        </w:rPr>
        <w:t>n</w:t>
      </w:r>
      <w:r w:rsidRPr="007E7998">
        <w:rPr>
          <w:rFonts w:ascii="Arial" w:hAnsi="Arial" w:cs="Arial"/>
        </w:rPr>
        <w:t xml:space="preserve"> (%) or median (inter-quartile range)</w:t>
      </w:r>
    </w:p>
    <w:p w:rsidR="003C3D71" w:rsidRPr="007E7998" w:rsidRDefault="007C07AE" w:rsidP="000313CD">
      <w:pPr>
        <w:spacing w:line="480" w:lineRule="auto"/>
        <w:jc w:val="both"/>
        <w:rPr>
          <w:rFonts w:ascii="Arial" w:hAnsi="Arial" w:cs="Arial"/>
        </w:rPr>
      </w:pPr>
      <w:r w:rsidRPr="007E7998">
        <w:rPr>
          <w:rFonts w:ascii="Arial" w:hAnsi="Arial" w:cs="Arial"/>
        </w:rPr>
        <w:lastRenderedPageBreak/>
        <w:t>BMI</w:t>
      </w:r>
      <w:r w:rsidR="009F0622" w:rsidRPr="007E7998">
        <w:rPr>
          <w:rFonts w:ascii="Arial" w:hAnsi="Arial" w:cs="Arial"/>
        </w:rPr>
        <w:t xml:space="preserve">, body mass index; CKD, chronic kidney disease; CVA, cerebrovascular accident; LV, left ventricle; </w:t>
      </w:r>
      <w:r w:rsidR="006033E8" w:rsidRPr="007E7998">
        <w:rPr>
          <w:rFonts w:ascii="Arial" w:hAnsi="Arial" w:cs="Arial"/>
        </w:rPr>
        <w:t xml:space="preserve">NYHA, New York Heart Association; </w:t>
      </w:r>
      <w:r w:rsidR="009F0622" w:rsidRPr="007E7998">
        <w:rPr>
          <w:rFonts w:ascii="Arial" w:hAnsi="Arial" w:cs="Arial"/>
        </w:rPr>
        <w:t>RV, right ventricle; TIA, transient ischaemic attack</w:t>
      </w:r>
    </w:p>
    <w:p w:rsidR="003C3D71" w:rsidRPr="007E7998" w:rsidRDefault="003C3D71" w:rsidP="000313CD">
      <w:pPr>
        <w:spacing w:line="480" w:lineRule="auto"/>
        <w:jc w:val="both"/>
        <w:rPr>
          <w:rFonts w:ascii="Arial" w:hAnsi="Arial" w:cs="Arial"/>
          <w:b/>
        </w:rPr>
      </w:pPr>
    </w:p>
    <w:p w:rsidR="00AD5542" w:rsidRPr="007E7998" w:rsidRDefault="00AD5542"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AC0367" w:rsidRPr="007E7998" w:rsidRDefault="00AC0367"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D54102" w:rsidRPr="007E7998" w:rsidRDefault="00D54102"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3C3D71" w:rsidRPr="007E7998" w:rsidRDefault="003C3D71" w:rsidP="000313CD">
      <w:pPr>
        <w:spacing w:line="480" w:lineRule="auto"/>
        <w:jc w:val="both"/>
        <w:rPr>
          <w:rFonts w:ascii="Arial" w:hAnsi="Arial" w:cs="Arial"/>
          <w:b/>
        </w:rPr>
      </w:pPr>
    </w:p>
    <w:p w:rsidR="00EC5103" w:rsidRPr="007E7998" w:rsidRDefault="00961374" w:rsidP="000313CD">
      <w:pPr>
        <w:spacing w:line="480" w:lineRule="auto"/>
        <w:jc w:val="both"/>
        <w:rPr>
          <w:rFonts w:ascii="Arial" w:hAnsi="Arial" w:cs="Arial"/>
          <w:b/>
        </w:rPr>
      </w:pPr>
      <w:r w:rsidRPr="007E7998">
        <w:rPr>
          <w:rFonts w:ascii="Arial" w:hAnsi="Arial" w:cs="Arial"/>
          <w:b/>
        </w:rPr>
        <w:lastRenderedPageBreak/>
        <w:t xml:space="preserve">Table </w:t>
      </w:r>
      <w:r w:rsidR="00E23DA3" w:rsidRPr="007E7998">
        <w:rPr>
          <w:rFonts w:ascii="Arial" w:hAnsi="Arial" w:cs="Arial"/>
          <w:b/>
        </w:rPr>
        <w:t>2</w:t>
      </w:r>
      <w:r w:rsidRPr="007E7998">
        <w:rPr>
          <w:rFonts w:ascii="Arial" w:hAnsi="Arial" w:cs="Arial"/>
          <w:b/>
        </w:rPr>
        <w:t xml:space="preserve">: </w:t>
      </w:r>
      <w:r w:rsidR="005B5141" w:rsidRPr="007E7998">
        <w:rPr>
          <w:rFonts w:ascii="Arial" w:hAnsi="Arial" w:cs="Arial"/>
          <w:b/>
        </w:rPr>
        <w:t>Mean aortic diameter according to aortic location</w:t>
      </w:r>
    </w:p>
    <w:tbl>
      <w:tblPr>
        <w:tblStyle w:val="TableGrid"/>
        <w:tblW w:w="0" w:type="auto"/>
        <w:tblBorders>
          <w:insideV w:val="none" w:sz="0" w:space="0" w:color="auto"/>
        </w:tblBorders>
        <w:tblLook w:val="04A0" w:firstRow="1" w:lastRow="0" w:firstColumn="1" w:lastColumn="0" w:noHBand="0" w:noVBand="1"/>
      </w:tblPr>
      <w:tblGrid>
        <w:gridCol w:w="2799"/>
        <w:gridCol w:w="2229"/>
        <w:gridCol w:w="2257"/>
        <w:gridCol w:w="1957"/>
      </w:tblGrid>
      <w:tr w:rsidR="00B76CF5" w:rsidRPr="007E7998" w:rsidTr="00B76CF5">
        <w:tc>
          <w:tcPr>
            <w:tcW w:w="2799" w:type="dxa"/>
          </w:tcPr>
          <w:p w:rsidR="00B76CF5" w:rsidRPr="007E7998" w:rsidRDefault="00B76CF5" w:rsidP="00394056">
            <w:pPr>
              <w:spacing w:line="480" w:lineRule="auto"/>
              <w:jc w:val="center"/>
              <w:rPr>
                <w:rFonts w:ascii="Arial" w:hAnsi="Arial" w:cs="Arial"/>
              </w:rPr>
            </w:pPr>
          </w:p>
          <w:p w:rsidR="00B76CF5" w:rsidRPr="007E7998" w:rsidRDefault="00B76CF5" w:rsidP="00921E76">
            <w:pPr>
              <w:rPr>
                <w:rFonts w:ascii="Arial" w:hAnsi="Arial" w:cs="Arial"/>
              </w:rPr>
            </w:pPr>
          </w:p>
          <w:p w:rsidR="00B76CF5" w:rsidRPr="007E7998" w:rsidRDefault="00B76CF5" w:rsidP="00921E76">
            <w:pPr>
              <w:jc w:val="center"/>
              <w:rPr>
                <w:rFonts w:ascii="Arial" w:hAnsi="Arial" w:cs="Arial"/>
              </w:rPr>
            </w:pPr>
          </w:p>
          <w:p w:rsidR="00B76CF5" w:rsidRPr="007E7998" w:rsidRDefault="00B76CF5" w:rsidP="00921E76">
            <w:pPr>
              <w:jc w:val="center"/>
              <w:rPr>
                <w:rFonts w:ascii="Arial" w:hAnsi="Arial" w:cs="Arial"/>
              </w:rPr>
            </w:pPr>
            <w:r w:rsidRPr="007E7998">
              <w:rPr>
                <w:rFonts w:ascii="Arial" w:hAnsi="Arial" w:cs="Arial"/>
              </w:rPr>
              <w:t>Aortic Location</w:t>
            </w:r>
          </w:p>
        </w:tc>
        <w:tc>
          <w:tcPr>
            <w:tcW w:w="2229" w:type="dxa"/>
          </w:tcPr>
          <w:p w:rsidR="00B76CF5" w:rsidRPr="007E7998" w:rsidRDefault="00B76CF5" w:rsidP="00B76CF5">
            <w:pPr>
              <w:spacing w:line="480" w:lineRule="auto"/>
              <w:jc w:val="center"/>
              <w:rPr>
                <w:rFonts w:ascii="Arial" w:hAnsi="Arial" w:cs="Arial"/>
              </w:rPr>
            </w:pPr>
            <w:r w:rsidRPr="007E7998">
              <w:rPr>
                <w:rFonts w:ascii="Arial" w:hAnsi="Arial" w:cs="Arial"/>
              </w:rPr>
              <w:t>Aneurysm group</w:t>
            </w:r>
          </w:p>
          <w:p w:rsidR="00B76CF5" w:rsidRPr="007E7998" w:rsidRDefault="00B76CF5" w:rsidP="00B76CF5">
            <w:pPr>
              <w:spacing w:line="480" w:lineRule="auto"/>
              <w:jc w:val="center"/>
              <w:rPr>
                <w:rFonts w:ascii="Arial" w:hAnsi="Arial" w:cs="Arial"/>
              </w:rPr>
            </w:pPr>
            <w:r w:rsidRPr="007E7998">
              <w:rPr>
                <w:rFonts w:ascii="Arial" w:hAnsi="Arial" w:cs="Arial"/>
              </w:rPr>
              <w:t>N = 187</w:t>
            </w:r>
          </w:p>
          <w:p w:rsidR="00B76CF5" w:rsidRPr="007E7998" w:rsidRDefault="00B76CF5" w:rsidP="00B76CF5">
            <w:pPr>
              <w:spacing w:line="480" w:lineRule="auto"/>
              <w:jc w:val="center"/>
              <w:rPr>
                <w:rFonts w:ascii="Arial" w:hAnsi="Arial" w:cs="Arial"/>
              </w:rPr>
            </w:pPr>
            <w:proofErr w:type="gramStart"/>
            <w:r w:rsidRPr="007E7998">
              <w:rPr>
                <w:rFonts w:ascii="Arial" w:hAnsi="Arial" w:cs="Arial"/>
              </w:rPr>
              <w:t>n</w:t>
            </w:r>
            <w:proofErr w:type="gramEnd"/>
            <w:r w:rsidRPr="007E7998">
              <w:rPr>
                <w:rFonts w:ascii="Arial" w:hAnsi="Arial" w:cs="Arial"/>
              </w:rPr>
              <w:t xml:space="preserve"> (%)</w:t>
            </w:r>
          </w:p>
        </w:tc>
        <w:tc>
          <w:tcPr>
            <w:tcW w:w="2257" w:type="dxa"/>
          </w:tcPr>
          <w:p w:rsidR="00B76CF5" w:rsidRPr="007E7998" w:rsidRDefault="00B76CF5" w:rsidP="00B76CF5">
            <w:pPr>
              <w:spacing w:line="480" w:lineRule="auto"/>
              <w:jc w:val="center"/>
              <w:rPr>
                <w:rFonts w:ascii="Arial" w:hAnsi="Arial" w:cs="Arial"/>
              </w:rPr>
            </w:pPr>
            <w:r w:rsidRPr="007E7998">
              <w:rPr>
                <w:rFonts w:ascii="Arial" w:hAnsi="Arial" w:cs="Arial"/>
              </w:rPr>
              <w:t>Dissection group</w:t>
            </w:r>
          </w:p>
          <w:p w:rsidR="00B76CF5" w:rsidRPr="007E7998" w:rsidRDefault="00B76CF5" w:rsidP="00B76CF5">
            <w:pPr>
              <w:spacing w:line="480" w:lineRule="auto"/>
              <w:jc w:val="center"/>
              <w:rPr>
                <w:rFonts w:ascii="Arial" w:hAnsi="Arial" w:cs="Arial"/>
              </w:rPr>
            </w:pPr>
            <w:r w:rsidRPr="007E7998">
              <w:rPr>
                <w:rFonts w:ascii="Arial" w:hAnsi="Arial" w:cs="Arial"/>
              </w:rPr>
              <w:t>N = 66</w:t>
            </w:r>
          </w:p>
          <w:p w:rsidR="00B76CF5" w:rsidRPr="007E7998" w:rsidRDefault="00B76CF5" w:rsidP="00B76CF5">
            <w:pPr>
              <w:spacing w:line="480" w:lineRule="auto"/>
              <w:jc w:val="center"/>
              <w:rPr>
                <w:rFonts w:ascii="Arial" w:hAnsi="Arial" w:cs="Arial"/>
              </w:rPr>
            </w:pPr>
            <w:proofErr w:type="gramStart"/>
            <w:r w:rsidRPr="007E7998">
              <w:rPr>
                <w:rFonts w:ascii="Arial" w:hAnsi="Arial" w:cs="Arial"/>
              </w:rPr>
              <w:t>n</w:t>
            </w:r>
            <w:proofErr w:type="gramEnd"/>
            <w:r w:rsidRPr="007E7998">
              <w:rPr>
                <w:rFonts w:ascii="Arial" w:hAnsi="Arial" w:cs="Arial"/>
              </w:rPr>
              <w:t xml:space="preserve"> (%)</w:t>
            </w:r>
          </w:p>
        </w:tc>
        <w:tc>
          <w:tcPr>
            <w:tcW w:w="1957" w:type="dxa"/>
          </w:tcPr>
          <w:p w:rsidR="00B76CF5" w:rsidRPr="007E7998" w:rsidRDefault="00B76CF5" w:rsidP="00B76CF5">
            <w:pPr>
              <w:spacing w:line="480" w:lineRule="auto"/>
              <w:jc w:val="center"/>
              <w:rPr>
                <w:rFonts w:ascii="Arial" w:hAnsi="Arial" w:cs="Arial"/>
              </w:rPr>
            </w:pPr>
            <w:r w:rsidRPr="007E7998">
              <w:rPr>
                <w:rFonts w:ascii="Arial" w:hAnsi="Arial" w:cs="Arial"/>
                <w:i/>
              </w:rPr>
              <w:t>p</w:t>
            </w:r>
            <w:r w:rsidRPr="007E7998">
              <w:rPr>
                <w:rFonts w:ascii="Arial" w:hAnsi="Arial" w:cs="Arial"/>
              </w:rPr>
              <w:t>-value</w:t>
            </w:r>
          </w:p>
        </w:tc>
      </w:tr>
      <w:tr w:rsidR="00B76CF5" w:rsidRPr="007E7998" w:rsidTr="00B76CF5">
        <w:tc>
          <w:tcPr>
            <w:tcW w:w="2799" w:type="dxa"/>
          </w:tcPr>
          <w:p w:rsidR="00B76CF5" w:rsidRPr="007E7998" w:rsidRDefault="00B76CF5" w:rsidP="00394056">
            <w:pPr>
              <w:spacing w:line="480" w:lineRule="auto"/>
              <w:jc w:val="center"/>
              <w:rPr>
                <w:rFonts w:ascii="Arial" w:hAnsi="Arial" w:cs="Arial"/>
              </w:rPr>
            </w:pPr>
            <w:r w:rsidRPr="007E7998">
              <w:rPr>
                <w:rFonts w:ascii="Arial" w:hAnsi="Arial" w:cs="Arial"/>
              </w:rPr>
              <w:t>Mid-sinus</w:t>
            </w:r>
          </w:p>
        </w:tc>
        <w:tc>
          <w:tcPr>
            <w:tcW w:w="2229" w:type="dxa"/>
          </w:tcPr>
          <w:p w:rsidR="00B76CF5" w:rsidRPr="007E7998" w:rsidRDefault="00B76CF5" w:rsidP="00394056">
            <w:pPr>
              <w:spacing w:line="480" w:lineRule="auto"/>
              <w:jc w:val="center"/>
              <w:rPr>
                <w:rFonts w:ascii="Arial" w:hAnsi="Arial" w:cs="Arial"/>
              </w:rPr>
            </w:pPr>
            <w:r w:rsidRPr="007E7998">
              <w:rPr>
                <w:rFonts w:ascii="Arial" w:hAnsi="Arial" w:cs="Arial"/>
              </w:rPr>
              <w:t>4.53</w:t>
            </w:r>
            <w:r w:rsidR="004F5BB5" w:rsidRPr="007E7998">
              <w:rPr>
                <w:rFonts w:ascii="Arial" w:hAnsi="Arial" w:cs="Arial"/>
              </w:rPr>
              <w:t xml:space="preserve"> ±</w:t>
            </w:r>
            <w:r w:rsidR="00527C45" w:rsidRPr="007E7998">
              <w:rPr>
                <w:rFonts w:ascii="Arial" w:hAnsi="Arial" w:cs="Arial"/>
              </w:rPr>
              <w:t xml:space="preserve"> 0.78</w:t>
            </w:r>
          </w:p>
        </w:tc>
        <w:tc>
          <w:tcPr>
            <w:tcW w:w="2257" w:type="dxa"/>
          </w:tcPr>
          <w:p w:rsidR="00B76CF5" w:rsidRPr="007E7998" w:rsidRDefault="00B76CF5" w:rsidP="00394056">
            <w:pPr>
              <w:spacing w:line="480" w:lineRule="auto"/>
              <w:jc w:val="center"/>
              <w:rPr>
                <w:rFonts w:ascii="Arial" w:hAnsi="Arial" w:cs="Arial"/>
              </w:rPr>
            </w:pPr>
            <w:r w:rsidRPr="007E7998">
              <w:rPr>
                <w:rFonts w:ascii="Arial" w:hAnsi="Arial" w:cs="Arial"/>
              </w:rPr>
              <w:t>4.42</w:t>
            </w:r>
            <w:r w:rsidR="004F5BB5" w:rsidRPr="007E7998">
              <w:rPr>
                <w:rFonts w:ascii="Arial" w:hAnsi="Arial" w:cs="Arial"/>
              </w:rPr>
              <w:t xml:space="preserve"> ±</w:t>
            </w:r>
            <w:r w:rsidR="00182107" w:rsidRPr="007E7998">
              <w:rPr>
                <w:rFonts w:ascii="Arial" w:hAnsi="Arial" w:cs="Arial"/>
              </w:rPr>
              <w:t xml:space="preserve"> 0.82</w:t>
            </w:r>
          </w:p>
        </w:tc>
        <w:tc>
          <w:tcPr>
            <w:tcW w:w="1957" w:type="dxa"/>
          </w:tcPr>
          <w:p w:rsidR="00B76CF5" w:rsidRPr="007E7998" w:rsidRDefault="00B76CF5" w:rsidP="00394056">
            <w:pPr>
              <w:spacing w:line="480" w:lineRule="auto"/>
              <w:jc w:val="center"/>
              <w:rPr>
                <w:rFonts w:ascii="Arial" w:hAnsi="Arial" w:cs="Arial"/>
              </w:rPr>
            </w:pPr>
            <w:r w:rsidRPr="007E7998">
              <w:rPr>
                <w:rFonts w:ascii="Arial" w:hAnsi="Arial" w:cs="Arial"/>
              </w:rPr>
              <w:t>0.13</w:t>
            </w:r>
          </w:p>
        </w:tc>
      </w:tr>
      <w:tr w:rsidR="00B76CF5" w:rsidRPr="007E7998" w:rsidTr="00B76CF5">
        <w:tc>
          <w:tcPr>
            <w:tcW w:w="2799" w:type="dxa"/>
          </w:tcPr>
          <w:p w:rsidR="00B76CF5" w:rsidRPr="007E7998" w:rsidRDefault="00B76CF5" w:rsidP="00394056">
            <w:pPr>
              <w:spacing w:line="480" w:lineRule="auto"/>
              <w:jc w:val="center"/>
              <w:rPr>
                <w:rFonts w:ascii="Arial" w:hAnsi="Arial" w:cs="Arial"/>
              </w:rPr>
            </w:pPr>
            <w:r w:rsidRPr="007E7998">
              <w:rPr>
                <w:rFonts w:ascii="Arial" w:hAnsi="Arial" w:cs="Arial"/>
              </w:rPr>
              <w:t>Sino-tubular junction</w:t>
            </w:r>
          </w:p>
        </w:tc>
        <w:tc>
          <w:tcPr>
            <w:tcW w:w="2229" w:type="dxa"/>
          </w:tcPr>
          <w:p w:rsidR="00B76CF5" w:rsidRPr="007E7998" w:rsidRDefault="00B76CF5" w:rsidP="00394056">
            <w:pPr>
              <w:spacing w:line="480" w:lineRule="auto"/>
              <w:jc w:val="center"/>
              <w:rPr>
                <w:rFonts w:ascii="Arial" w:hAnsi="Arial" w:cs="Arial"/>
              </w:rPr>
            </w:pPr>
            <w:r w:rsidRPr="007E7998">
              <w:rPr>
                <w:rFonts w:ascii="Arial" w:hAnsi="Arial" w:cs="Arial"/>
              </w:rPr>
              <w:t>3.87</w:t>
            </w:r>
            <w:r w:rsidR="004F5BB5" w:rsidRPr="007E7998">
              <w:rPr>
                <w:rFonts w:ascii="Arial" w:hAnsi="Arial" w:cs="Arial"/>
              </w:rPr>
              <w:t xml:space="preserve"> ±</w:t>
            </w:r>
            <w:r w:rsidR="00495631" w:rsidRPr="007E7998">
              <w:rPr>
                <w:rFonts w:ascii="Arial" w:hAnsi="Arial" w:cs="Arial"/>
              </w:rPr>
              <w:t xml:space="preserve"> 0.79</w:t>
            </w:r>
          </w:p>
        </w:tc>
        <w:tc>
          <w:tcPr>
            <w:tcW w:w="2257" w:type="dxa"/>
          </w:tcPr>
          <w:p w:rsidR="00B76CF5" w:rsidRPr="007E7998" w:rsidRDefault="00B76CF5" w:rsidP="00394056">
            <w:pPr>
              <w:spacing w:line="480" w:lineRule="auto"/>
              <w:jc w:val="center"/>
              <w:rPr>
                <w:rFonts w:ascii="Arial" w:hAnsi="Arial" w:cs="Arial"/>
              </w:rPr>
            </w:pPr>
            <w:r w:rsidRPr="007E7998">
              <w:rPr>
                <w:rFonts w:ascii="Arial" w:hAnsi="Arial" w:cs="Arial"/>
              </w:rPr>
              <w:t>4.05</w:t>
            </w:r>
            <w:r w:rsidR="004F5BB5" w:rsidRPr="007E7998">
              <w:rPr>
                <w:rFonts w:ascii="Arial" w:hAnsi="Arial" w:cs="Arial"/>
              </w:rPr>
              <w:t xml:space="preserve"> ±</w:t>
            </w:r>
            <w:r w:rsidR="00495631" w:rsidRPr="007E7998">
              <w:rPr>
                <w:rFonts w:ascii="Arial" w:hAnsi="Arial" w:cs="Arial"/>
              </w:rPr>
              <w:t xml:space="preserve"> 1.18</w:t>
            </w:r>
          </w:p>
        </w:tc>
        <w:tc>
          <w:tcPr>
            <w:tcW w:w="1957" w:type="dxa"/>
          </w:tcPr>
          <w:p w:rsidR="00B76CF5" w:rsidRPr="007E7998" w:rsidRDefault="00B76CF5" w:rsidP="00394056">
            <w:pPr>
              <w:spacing w:line="480" w:lineRule="auto"/>
              <w:jc w:val="center"/>
              <w:rPr>
                <w:rFonts w:ascii="Arial" w:hAnsi="Arial" w:cs="Arial"/>
              </w:rPr>
            </w:pPr>
            <w:r w:rsidRPr="007E7998">
              <w:rPr>
                <w:rFonts w:ascii="Arial" w:hAnsi="Arial" w:cs="Arial"/>
              </w:rPr>
              <w:t>0.70</w:t>
            </w:r>
          </w:p>
        </w:tc>
      </w:tr>
      <w:tr w:rsidR="00B76CF5" w:rsidRPr="007E7998" w:rsidTr="00B76CF5">
        <w:tc>
          <w:tcPr>
            <w:tcW w:w="2799" w:type="dxa"/>
          </w:tcPr>
          <w:p w:rsidR="00B76CF5" w:rsidRPr="007E7998" w:rsidRDefault="00B76CF5" w:rsidP="00394056">
            <w:pPr>
              <w:spacing w:line="480" w:lineRule="auto"/>
              <w:jc w:val="center"/>
              <w:rPr>
                <w:rFonts w:ascii="Arial" w:hAnsi="Arial" w:cs="Arial"/>
              </w:rPr>
            </w:pPr>
            <w:r w:rsidRPr="007E7998">
              <w:rPr>
                <w:rFonts w:ascii="Arial" w:hAnsi="Arial" w:cs="Arial"/>
              </w:rPr>
              <w:t>Mid-ascending</w:t>
            </w:r>
          </w:p>
        </w:tc>
        <w:tc>
          <w:tcPr>
            <w:tcW w:w="2229" w:type="dxa"/>
          </w:tcPr>
          <w:p w:rsidR="00B76CF5" w:rsidRPr="007E7998" w:rsidRDefault="00B76CF5" w:rsidP="00394056">
            <w:pPr>
              <w:spacing w:line="480" w:lineRule="auto"/>
              <w:jc w:val="center"/>
              <w:rPr>
                <w:rFonts w:ascii="Arial" w:hAnsi="Arial" w:cs="Arial"/>
              </w:rPr>
            </w:pPr>
            <w:r w:rsidRPr="007E7998">
              <w:rPr>
                <w:rFonts w:ascii="Arial" w:hAnsi="Arial" w:cs="Arial"/>
              </w:rPr>
              <w:t>4.97</w:t>
            </w:r>
            <w:r w:rsidR="004F5BB5" w:rsidRPr="007E7998">
              <w:rPr>
                <w:rFonts w:ascii="Arial" w:hAnsi="Arial" w:cs="Arial"/>
              </w:rPr>
              <w:t xml:space="preserve"> ±</w:t>
            </w:r>
            <w:r w:rsidR="00EA7AE4" w:rsidRPr="007E7998">
              <w:rPr>
                <w:rFonts w:ascii="Arial" w:hAnsi="Arial" w:cs="Arial"/>
              </w:rPr>
              <w:t xml:space="preserve"> 1.12</w:t>
            </w:r>
          </w:p>
        </w:tc>
        <w:tc>
          <w:tcPr>
            <w:tcW w:w="2257" w:type="dxa"/>
          </w:tcPr>
          <w:p w:rsidR="00B76CF5" w:rsidRPr="007E7998" w:rsidRDefault="00B76CF5" w:rsidP="00394056">
            <w:pPr>
              <w:spacing w:line="480" w:lineRule="auto"/>
              <w:jc w:val="center"/>
              <w:rPr>
                <w:rFonts w:ascii="Arial" w:hAnsi="Arial" w:cs="Arial"/>
              </w:rPr>
            </w:pPr>
            <w:r w:rsidRPr="007E7998">
              <w:rPr>
                <w:rFonts w:ascii="Arial" w:hAnsi="Arial" w:cs="Arial"/>
              </w:rPr>
              <w:t>5.20</w:t>
            </w:r>
            <w:r w:rsidR="004F5BB5" w:rsidRPr="007E7998">
              <w:rPr>
                <w:rFonts w:ascii="Arial" w:hAnsi="Arial" w:cs="Arial"/>
              </w:rPr>
              <w:t xml:space="preserve"> ±</w:t>
            </w:r>
            <w:r w:rsidR="00EA7AE4" w:rsidRPr="007E7998">
              <w:rPr>
                <w:rFonts w:ascii="Arial" w:hAnsi="Arial" w:cs="Arial"/>
              </w:rPr>
              <w:t xml:space="preserve"> 1.26</w:t>
            </w:r>
          </w:p>
        </w:tc>
        <w:tc>
          <w:tcPr>
            <w:tcW w:w="1957" w:type="dxa"/>
          </w:tcPr>
          <w:p w:rsidR="00B76CF5" w:rsidRPr="007E7998" w:rsidRDefault="00B76CF5" w:rsidP="00394056">
            <w:pPr>
              <w:spacing w:line="480" w:lineRule="auto"/>
              <w:jc w:val="center"/>
              <w:rPr>
                <w:rFonts w:ascii="Arial" w:hAnsi="Arial" w:cs="Arial"/>
              </w:rPr>
            </w:pPr>
            <w:r w:rsidRPr="007E7998">
              <w:rPr>
                <w:rFonts w:ascii="Arial" w:hAnsi="Arial" w:cs="Arial"/>
              </w:rPr>
              <w:t>0.31</w:t>
            </w:r>
          </w:p>
        </w:tc>
      </w:tr>
    </w:tbl>
    <w:p w:rsidR="00EC5103" w:rsidRPr="007E7998" w:rsidRDefault="00BB3482" w:rsidP="001563A3">
      <w:pPr>
        <w:spacing w:line="480" w:lineRule="auto"/>
        <w:jc w:val="both"/>
        <w:rPr>
          <w:rFonts w:ascii="Arial" w:hAnsi="Arial" w:cs="Arial"/>
        </w:rPr>
      </w:pPr>
      <w:r w:rsidRPr="007E7998">
        <w:rPr>
          <w:rFonts w:ascii="Arial" w:hAnsi="Arial" w:cs="Arial"/>
        </w:rPr>
        <w:t>Values are mean ± standard deviation</w:t>
      </w:r>
    </w:p>
    <w:p w:rsidR="00FD4F15" w:rsidRPr="007E7998" w:rsidRDefault="00FD4F15" w:rsidP="001563A3">
      <w:pPr>
        <w:spacing w:line="480" w:lineRule="auto"/>
        <w:jc w:val="both"/>
        <w:rPr>
          <w:rFonts w:ascii="Arial" w:hAnsi="Arial" w:cs="Arial"/>
        </w:rPr>
      </w:pPr>
    </w:p>
    <w:p w:rsidR="00FD4F15" w:rsidRPr="007E7998" w:rsidRDefault="00FD4F15" w:rsidP="001563A3">
      <w:pPr>
        <w:spacing w:line="480" w:lineRule="auto"/>
        <w:jc w:val="both"/>
        <w:rPr>
          <w:rFonts w:ascii="Arial" w:hAnsi="Arial" w:cs="Arial"/>
        </w:rPr>
      </w:pPr>
    </w:p>
    <w:p w:rsidR="00FD4F15" w:rsidRPr="007E7998" w:rsidRDefault="00FD4F15" w:rsidP="001563A3">
      <w:pPr>
        <w:spacing w:line="480" w:lineRule="auto"/>
        <w:jc w:val="both"/>
        <w:rPr>
          <w:rFonts w:ascii="Arial" w:hAnsi="Arial" w:cs="Arial"/>
        </w:rPr>
      </w:pPr>
    </w:p>
    <w:p w:rsidR="00FD4F15" w:rsidRPr="007E7998" w:rsidRDefault="00FD4F15" w:rsidP="001563A3">
      <w:pPr>
        <w:spacing w:line="480" w:lineRule="auto"/>
        <w:jc w:val="both"/>
        <w:rPr>
          <w:rFonts w:ascii="Arial" w:hAnsi="Arial" w:cs="Arial"/>
        </w:rPr>
      </w:pPr>
    </w:p>
    <w:p w:rsidR="00FD4F15" w:rsidRPr="007E7998" w:rsidRDefault="00FD4F15" w:rsidP="001563A3">
      <w:pPr>
        <w:spacing w:line="480" w:lineRule="auto"/>
        <w:jc w:val="both"/>
        <w:rPr>
          <w:rFonts w:ascii="Arial" w:hAnsi="Arial" w:cs="Arial"/>
        </w:rPr>
      </w:pPr>
    </w:p>
    <w:p w:rsidR="00FD4F15" w:rsidRPr="007E7998" w:rsidRDefault="00FD4F15" w:rsidP="001563A3">
      <w:pPr>
        <w:spacing w:line="480" w:lineRule="auto"/>
        <w:jc w:val="both"/>
        <w:rPr>
          <w:rFonts w:ascii="Arial" w:hAnsi="Arial" w:cs="Arial"/>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5C2DF0" w:rsidP="00BC5A2F">
      <w:pPr>
        <w:spacing w:line="480" w:lineRule="auto"/>
        <w:jc w:val="both"/>
        <w:rPr>
          <w:rFonts w:ascii="Arial" w:hAnsi="Arial" w:cs="Arial"/>
          <w:b/>
        </w:rPr>
      </w:pPr>
      <w:r w:rsidRPr="007E7998">
        <w:rPr>
          <w:rFonts w:ascii="Arial" w:hAnsi="Arial" w:cs="Arial"/>
          <w:b/>
        </w:rPr>
        <w:t xml:space="preserve"> </w:t>
      </w: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D22B5B" w:rsidRPr="007E7998" w:rsidRDefault="00D22B5B" w:rsidP="00BC5A2F">
      <w:pPr>
        <w:spacing w:line="480" w:lineRule="auto"/>
        <w:jc w:val="both"/>
        <w:rPr>
          <w:rFonts w:ascii="Arial" w:hAnsi="Arial" w:cs="Arial"/>
          <w:b/>
        </w:rPr>
      </w:pPr>
    </w:p>
    <w:p w:rsidR="00D22B5B" w:rsidRPr="007E7998" w:rsidRDefault="00D22B5B"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6B0801" w:rsidRPr="007E7998" w:rsidRDefault="006B0801" w:rsidP="00BC5A2F">
      <w:pPr>
        <w:spacing w:line="480" w:lineRule="auto"/>
        <w:jc w:val="both"/>
        <w:rPr>
          <w:rFonts w:ascii="Arial" w:hAnsi="Arial" w:cs="Arial"/>
          <w:b/>
        </w:rPr>
      </w:pPr>
      <w:r w:rsidRPr="007E7998">
        <w:rPr>
          <w:rFonts w:ascii="Arial" w:hAnsi="Arial" w:cs="Arial"/>
          <w:b/>
        </w:rPr>
        <w:lastRenderedPageBreak/>
        <w:t xml:space="preserve">Table </w:t>
      </w:r>
      <w:r w:rsidR="00991842" w:rsidRPr="007E7998">
        <w:rPr>
          <w:rFonts w:ascii="Arial" w:hAnsi="Arial" w:cs="Arial"/>
          <w:b/>
        </w:rPr>
        <w:t>3</w:t>
      </w:r>
      <w:r w:rsidRPr="007E7998">
        <w:rPr>
          <w:rFonts w:ascii="Arial" w:hAnsi="Arial" w:cs="Arial"/>
          <w:b/>
        </w:rPr>
        <w:t>: Me</w:t>
      </w:r>
      <w:r w:rsidR="00BF154C" w:rsidRPr="007E7998">
        <w:rPr>
          <w:rFonts w:ascii="Arial" w:hAnsi="Arial" w:cs="Arial"/>
          <w:b/>
        </w:rPr>
        <w:t>dian</w:t>
      </w:r>
      <w:r w:rsidRPr="007E7998">
        <w:rPr>
          <w:rFonts w:ascii="Arial" w:hAnsi="Arial" w:cs="Arial"/>
          <w:b/>
        </w:rPr>
        <w:t xml:space="preserve"> in</w:t>
      </w:r>
      <w:r w:rsidR="0004519D" w:rsidRPr="007E7998">
        <w:rPr>
          <w:rFonts w:ascii="Arial" w:hAnsi="Arial" w:cs="Arial"/>
          <w:b/>
        </w:rPr>
        <w:t xml:space="preserve">dexed aortic </w:t>
      </w:r>
      <w:r w:rsidR="006A5121" w:rsidRPr="007E7998">
        <w:rPr>
          <w:rFonts w:ascii="Arial" w:hAnsi="Arial" w:cs="Arial"/>
          <w:b/>
        </w:rPr>
        <w:t>area</w:t>
      </w:r>
      <w:r w:rsidR="0004519D" w:rsidRPr="007E7998">
        <w:rPr>
          <w:rFonts w:ascii="Arial" w:hAnsi="Arial" w:cs="Arial"/>
          <w:b/>
        </w:rPr>
        <w:t xml:space="preserve">s </w:t>
      </w:r>
      <w:r w:rsidR="006B1FD9" w:rsidRPr="007E7998">
        <w:rPr>
          <w:rFonts w:ascii="Arial" w:hAnsi="Arial" w:cs="Arial"/>
          <w:b/>
        </w:rPr>
        <w:t>(cm</w:t>
      </w:r>
      <w:r w:rsidR="006B1FD9" w:rsidRPr="007E7998">
        <w:rPr>
          <w:rFonts w:ascii="Arial" w:hAnsi="Arial" w:cs="Arial"/>
          <w:b/>
          <w:vertAlign w:val="superscript"/>
        </w:rPr>
        <w:t>2</w:t>
      </w:r>
      <w:r w:rsidR="006B1FD9" w:rsidRPr="007E7998">
        <w:rPr>
          <w:rFonts w:ascii="Arial" w:hAnsi="Arial" w:cs="Arial"/>
          <w:b/>
        </w:rPr>
        <w:t xml:space="preserve">/m) </w:t>
      </w:r>
      <w:r w:rsidR="0004519D" w:rsidRPr="007E7998">
        <w:rPr>
          <w:rFonts w:ascii="Arial" w:hAnsi="Arial" w:cs="Arial"/>
          <w:b/>
        </w:rPr>
        <w:t>according to aortic location</w:t>
      </w:r>
    </w:p>
    <w:tbl>
      <w:tblPr>
        <w:tblStyle w:val="TableGrid"/>
        <w:tblW w:w="0" w:type="auto"/>
        <w:tblBorders>
          <w:insideV w:val="none" w:sz="0" w:space="0" w:color="auto"/>
        </w:tblBorders>
        <w:tblLook w:val="04A0" w:firstRow="1" w:lastRow="0" w:firstColumn="1" w:lastColumn="0" w:noHBand="0" w:noVBand="1"/>
      </w:tblPr>
      <w:tblGrid>
        <w:gridCol w:w="3227"/>
        <w:gridCol w:w="1984"/>
        <w:gridCol w:w="2835"/>
        <w:gridCol w:w="1196"/>
      </w:tblGrid>
      <w:tr w:rsidR="00C469FB" w:rsidRPr="007E7998" w:rsidTr="00383711">
        <w:tc>
          <w:tcPr>
            <w:tcW w:w="3227" w:type="dxa"/>
          </w:tcPr>
          <w:p w:rsidR="00D27015" w:rsidRPr="007E7998" w:rsidRDefault="00D27015" w:rsidP="00394056">
            <w:pPr>
              <w:spacing w:line="480" w:lineRule="auto"/>
              <w:jc w:val="center"/>
              <w:rPr>
                <w:rFonts w:ascii="Arial" w:eastAsia="Times New Roman" w:hAnsi="Arial" w:cs="Arial"/>
                <w:bCs/>
              </w:rPr>
            </w:pPr>
          </w:p>
          <w:p w:rsidR="00C469FB" w:rsidRPr="007E7998" w:rsidRDefault="00A54697" w:rsidP="00394056">
            <w:pPr>
              <w:spacing w:line="480" w:lineRule="auto"/>
              <w:jc w:val="center"/>
              <w:rPr>
                <w:rFonts w:ascii="Arial" w:hAnsi="Arial" w:cs="Arial"/>
                <w:u w:val="single"/>
              </w:rPr>
            </w:pPr>
            <w:r w:rsidRPr="007E7998">
              <w:rPr>
                <w:rFonts w:ascii="Arial" w:eastAsia="Times New Roman" w:hAnsi="Arial" w:cs="Arial"/>
                <w:bCs/>
              </w:rPr>
              <w:t>Aortic Location</w:t>
            </w:r>
          </w:p>
        </w:tc>
        <w:tc>
          <w:tcPr>
            <w:tcW w:w="1984" w:type="dxa"/>
          </w:tcPr>
          <w:p w:rsidR="00C469FB" w:rsidRPr="007E7998" w:rsidRDefault="00C469FB" w:rsidP="00394056">
            <w:pPr>
              <w:spacing w:line="480" w:lineRule="auto"/>
              <w:jc w:val="center"/>
              <w:rPr>
                <w:rFonts w:ascii="Arial" w:hAnsi="Arial" w:cs="Arial"/>
              </w:rPr>
            </w:pPr>
            <w:r w:rsidRPr="007E7998">
              <w:rPr>
                <w:rFonts w:ascii="Arial" w:hAnsi="Arial" w:cs="Arial"/>
              </w:rPr>
              <w:t>Aneurysm group</w:t>
            </w:r>
          </w:p>
          <w:p w:rsidR="00F5528B" w:rsidRPr="007E7998" w:rsidRDefault="00527417" w:rsidP="00F30010">
            <w:pPr>
              <w:spacing w:line="480" w:lineRule="auto"/>
              <w:jc w:val="center"/>
              <w:rPr>
                <w:rFonts w:ascii="Arial" w:hAnsi="Arial" w:cs="Arial"/>
              </w:rPr>
            </w:pPr>
            <w:r w:rsidRPr="007E7998">
              <w:rPr>
                <w:rFonts w:ascii="Arial" w:hAnsi="Arial" w:cs="Arial"/>
              </w:rPr>
              <w:t>N</w:t>
            </w:r>
            <w:r w:rsidR="00F5528B" w:rsidRPr="007E7998">
              <w:rPr>
                <w:rFonts w:ascii="Arial" w:hAnsi="Arial" w:cs="Arial"/>
              </w:rPr>
              <w:t xml:space="preserve"> = </w:t>
            </w:r>
            <w:r w:rsidR="00905FB1" w:rsidRPr="007E7998">
              <w:rPr>
                <w:rFonts w:ascii="Arial" w:hAnsi="Arial" w:cs="Arial"/>
              </w:rPr>
              <w:t>187</w:t>
            </w:r>
          </w:p>
        </w:tc>
        <w:tc>
          <w:tcPr>
            <w:tcW w:w="2835" w:type="dxa"/>
          </w:tcPr>
          <w:p w:rsidR="00C469FB" w:rsidRPr="007E7998" w:rsidRDefault="00C469FB" w:rsidP="00394056">
            <w:pPr>
              <w:spacing w:line="480" w:lineRule="auto"/>
              <w:jc w:val="center"/>
              <w:rPr>
                <w:rFonts w:ascii="Arial" w:hAnsi="Arial" w:cs="Arial"/>
              </w:rPr>
            </w:pPr>
            <w:r w:rsidRPr="007E7998">
              <w:rPr>
                <w:rFonts w:ascii="Arial" w:hAnsi="Arial" w:cs="Arial"/>
              </w:rPr>
              <w:t>Dissection group</w:t>
            </w:r>
          </w:p>
          <w:p w:rsidR="00F5528B" w:rsidRPr="007E7998" w:rsidRDefault="005B5E82" w:rsidP="00F30010">
            <w:pPr>
              <w:spacing w:line="480" w:lineRule="auto"/>
              <w:jc w:val="center"/>
              <w:rPr>
                <w:rFonts w:ascii="Arial" w:hAnsi="Arial" w:cs="Arial"/>
              </w:rPr>
            </w:pPr>
            <w:r w:rsidRPr="007E7998">
              <w:rPr>
                <w:rFonts w:ascii="Arial" w:hAnsi="Arial" w:cs="Arial"/>
              </w:rPr>
              <w:t xml:space="preserve">N </w:t>
            </w:r>
            <w:r w:rsidR="00F5528B" w:rsidRPr="007E7998">
              <w:rPr>
                <w:rFonts w:ascii="Arial" w:hAnsi="Arial" w:cs="Arial"/>
              </w:rPr>
              <w:t xml:space="preserve">= </w:t>
            </w:r>
            <w:r w:rsidR="00905FB1" w:rsidRPr="007E7998">
              <w:rPr>
                <w:rFonts w:ascii="Arial" w:hAnsi="Arial" w:cs="Arial"/>
              </w:rPr>
              <w:t>66</w:t>
            </w:r>
          </w:p>
        </w:tc>
        <w:tc>
          <w:tcPr>
            <w:tcW w:w="1196" w:type="dxa"/>
          </w:tcPr>
          <w:p w:rsidR="00C469FB" w:rsidRPr="007E7998" w:rsidRDefault="00C469FB" w:rsidP="00394056">
            <w:pPr>
              <w:spacing w:line="480" w:lineRule="auto"/>
              <w:jc w:val="center"/>
              <w:rPr>
                <w:rFonts w:ascii="Arial" w:hAnsi="Arial" w:cs="Arial"/>
              </w:rPr>
            </w:pPr>
            <w:r w:rsidRPr="007E7998">
              <w:rPr>
                <w:rFonts w:ascii="Arial" w:hAnsi="Arial" w:cs="Arial"/>
                <w:i/>
              </w:rPr>
              <w:t>p</w:t>
            </w:r>
            <w:r w:rsidR="001D52D0" w:rsidRPr="007E7998">
              <w:rPr>
                <w:rFonts w:ascii="Arial" w:hAnsi="Arial" w:cs="Arial"/>
              </w:rPr>
              <w:t>-value</w:t>
            </w:r>
          </w:p>
        </w:tc>
      </w:tr>
      <w:tr w:rsidR="00C469FB" w:rsidRPr="007E7998" w:rsidTr="00921E76">
        <w:trPr>
          <w:trHeight w:val="415"/>
        </w:trPr>
        <w:tc>
          <w:tcPr>
            <w:tcW w:w="3227" w:type="dxa"/>
          </w:tcPr>
          <w:p w:rsidR="00C469FB" w:rsidRPr="007E7998" w:rsidRDefault="009964F9" w:rsidP="00733169">
            <w:pPr>
              <w:spacing w:line="480" w:lineRule="auto"/>
              <w:jc w:val="center"/>
              <w:rPr>
                <w:rFonts w:ascii="Arial" w:hAnsi="Arial" w:cs="Arial"/>
              </w:rPr>
            </w:pPr>
            <w:r w:rsidRPr="007E7998">
              <w:rPr>
                <w:rFonts w:ascii="Arial" w:hAnsi="Arial" w:cs="Arial"/>
              </w:rPr>
              <w:t>Mid-sinus</w:t>
            </w:r>
            <w:r w:rsidR="006F2989" w:rsidRPr="007E7998">
              <w:rPr>
                <w:rFonts w:ascii="Arial" w:hAnsi="Arial" w:cs="Arial"/>
              </w:rPr>
              <w:t xml:space="preserve"> </w:t>
            </w:r>
          </w:p>
        </w:tc>
        <w:tc>
          <w:tcPr>
            <w:tcW w:w="1984" w:type="dxa"/>
          </w:tcPr>
          <w:p w:rsidR="00C469FB" w:rsidRPr="007E7998" w:rsidRDefault="0072364E" w:rsidP="00226A6A">
            <w:pPr>
              <w:spacing w:line="480" w:lineRule="auto"/>
              <w:jc w:val="center"/>
              <w:rPr>
                <w:rFonts w:ascii="Arial" w:hAnsi="Arial" w:cs="Arial"/>
              </w:rPr>
            </w:pPr>
            <w:r w:rsidRPr="007E7998">
              <w:rPr>
                <w:rFonts w:ascii="Arial" w:hAnsi="Arial" w:cs="Arial"/>
              </w:rPr>
              <w:t>9.37</w:t>
            </w:r>
            <w:r w:rsidR="001E6754" w:rsidRPr="007E7998">
              <w:rPr>
                <w:rFonts w:ascii="Arial" w:hAnsi="Arial" w:cs="Arial"/>
              </w:rPr>
              <w:t xml:space="preserve"> (</w:t>
            </w:r>
            <w:r w:rsidR="00226A6A" w:rsidRPr="007E7998">
              <w:rPr>
                <w:rFonts w:ascii="Arial" w:hAnsi="Arial" w:cs="Arial"/>
              </w:rPr>
              <w:t>2.67-21.</w:t>
            </w:r>
            <w:r w:rsidR="00420619" w:rsidRPr="007E7998">
              <w:rPr>
                <w:rFonts w:ascii="Arial" w:hAnsi="Arial" w:cs="Arial"/>
              </w:rPr>
              <w:t>2</w:t>
            </w:r>
            <w:r w:rsidR="00226A6A" w:rsidRPr="007E7998">
              <w:rPr>
                <w:rFonts w:ascii="Arial" w:hAnsi="Arial" w:cs="Arial"/>
              </w:rPr>
              <w:t>)</w:t>
            </w:r>
          </w:p>
        </w:tc>
        <w:tc>
          <w:tcPr>
            <w:tcW w:w="2835" w:type="dxa"/>
          </w:tcPr>
          <w:p w:rsidR="00C469FB" w:rsidRPr="007E7998" w:rsidRDefault="0072364E" w:rsidP="00F62A85">
            <w:pPr>
              <w:spacing w:line="480" w:lineRule="auto"/>
              <w:jc w:val="center"/>
              <w:rPr>
                <w:rFonts w:ascii="Arial" w:hAnsi="Arial" w:cs="Arial"/>
              </w:rPr>
            </w:pPr>
            <w:r w:rsidRPr="007E7998">
              <w:rPr>
                <w:rFonts w:ascii="Arial" w:hAnsi="Arial" w:cs="Arial"/>
              </w:rPr>
              <w:t>8.01</w:t>
            </w:r>
            <w:r w:rsidR="00AF59D3" w:rsidRPr="007E7998">
              <w:rPr>
                <w:rFonts w:ascii="Arial" w:hAnsi="Arial" w:cs="Arial"/>
              </w:rPr>
              <w:t xml:space="preserve"> (</w:t>
            </w:r>
            <w:r w:rsidR="00906B8B" w:rsidRPr="007E7998">
              <w:rPr>
                <w:rFonts w:ascii="Arial" w:hAnsi="Arial" w:cs="Arial"/>
              </w:rPr>
              <w:t>4.04-2</w:t>
            </w:r>
            <w:r w:rsidR="00F62A85" w:rsidRPr="007E7998">
              <w:rPr>
                <w:rFonts w:ascii="Arial" w:hAnsi="Arial" w:cs="Arial"/>
              </w:rPr>
              <w:t>4.7</w:t>
            </w:r>
            <w:r w:rsidR="00AF59D3" w:rsidRPr="007E7998">
              <w:rPr>
                <w:rFonts w:ascii="Arial" w:hAnsi="Arial" w:cs="Arial"/>
              </w:rPr>
              <w:t>)</w:t>
            </w:r>
          </w:p>
        </w:tc>
        <w:tc>
          <w:tcPr>
            <w:tcW w:w="1196" w:type="dxa"/>
          </w:tcPr>
          <w:p w:rsidR="00C469FB" w:rsidRPr="007E7998" w:rsidRDefault="00A92218" w:rsidP="0072364E">
            <w:pPr>
              <w:spacing w:line="480" w:lineRule="auto"/>
              <w:jc w:val="center"/>
              <w:rPr>
                <w:rFonts w:ascii="Arial" w:hAnsi="Arial" w:cs="Arial"/>
              </w:rPr>
            </w:pPr>
            <w:r w:rsidRPr="007E7998">
              <w:rPr>
                <w:rFonts w:ascii="Arial" w:hAnsi="Arial" w:cs="Arial"/>
              </w:rPr>
              <w:t>0.</w:t>
            </w:r>
            <w:r w:rsidR="0072364E" w:rsidRPr="007E7998">
              <w:rPr>
                <w:rFonts w:ascii="Arial" w:hAnsi="Arial" w:cs="Arial"/>
              </w:rPr>
              <w:t>09</w:t>
            </w:r>
          </w:p>
        </w:tc>
      </w:tr>
      <w:tr w:rsidR="00C469FB" w:rsidRPr="007E7998" w:rsidTr="00383711">
        <w:tc>
          <w:tcPr>
            <w:tcW w:w="3227" w:type="dxa"/>
          </w:tcPr>
          <w:p w:rsidR="00C469FB" w:rsidRPr="007E7998" w:rsidRDefault="009964F9" w:rsidP="00733169">
            <w:pPr>
              <w:spacing w:line="480" w:lineRule="auto"/>
              <w:jc w:val="center"/>
              <w:rPr>
                <w:rFonts w:ascii="Arial" w:hAnsi="Arial" w:cs="Arial"/>
              </w:rPr>
            </w:pPr>
            <w:r w:rsidRPr="007E7998">
              <w:rPr>
                <w:rFonts w:ascii="Arial" w:hAnsi="Arial" w:cs="Arial"/>
              </w:rPr>
              <w:t>Sino-tubular junction</w:t>
            </w:r>
            <w:r w:rsidR="008D29F7" w:rsidRPr="007E7998">
              <w:rPr>
                <w:rFonts w:ascii="Arial" w:hAnsi="Arial" w:cs="Arial"/>
              </w:rPr>
              <w:t xml:space="preserve"> </w:t>
            </w:r>
          </w:p>
        </w:tc>
        <w:tc>
          <w:tcPr>
            <w:tcW w:w="1984" w:type="dxa"/>
          </w:tcPr>
          <w:p w:rsidR="00C469FB" w:rsidRPr="007E7998" w:rsidRDefault="0072364E" w:rsidP="008D0301">
            <w:pPr>
              <w:spacing w:line="480" w:lineRule="auto"/>
              <w:jc w:val="center"/>
              <w:rPr>
                <w:rFonts w:ascii="Arial" w:hAnsi="Arial" w:cs="Arial"/>
              </w:rPr>
            </w:pPr>
            <w:r w:rsidRPr="007E7998">
              <w:rPr>
                <w:rFonts w:ascii="Arial" w:hAnsi="Arial" w:cs="Arial"/>
              </w:rPr>
              <w:t>6.49</w:t>
            </w:r>
            <w:r w:rsidR="0099589B" w:rsidRPr="007E7998">
              <w:rPr>
                <w:rFonts w:ascii="Arial" w:hAnsi="Arial" w:cs="Arial"/>
              </w:rPr>
              <w:t xml:space="preserve"> (</w:t>
            </w:r>
            <w:r w:rsidR="008D0301" w:rsidRPr="007E7998">
              <w:rPr>
                <w:rFonts w:ascii="Arial" w:hAnsi="Arial" w:cs="Arial"/>
              </w:rPr>
              <w:t>2.03-20.6</w:t>
            </w:r>
            <w:r w:rsidR="0099589B" w:rsidRPr="007E7998">
              <w:rPr>
                <w:rFonts w:ascii="Arial" w:hAnsi="Arial" w:cs="Arial"/>
              </w:rPr>
              <w:t>)</w:t>
            </w:r>
          </w:p>
        </w:tc>
        <w:tc>
          <w:tcPr>
            <w:tcW w:w="2835" w:type="dxa"/>
          </w:tcPr>
          <w:p w:rsidR="00C469FB" w:rsidRPr="007E7998" w:rsidRDefault="0072364E" w:rsidP="004D50A5">
            <w:pPr>
              <w:spacing w:line="480" w:lineRule="auto"/>
              <w:jc w:val="center"/>
              <w:rPr>
                <w:rFonts w:ascii="Arial" w:hAnsi="Arial" w:cs="Arial"/>
              </w:rPr>
            </w:pPr>
            <w:r w:rsidRPr="007E7998">
              <w:rPr>
                <w:rFonts w:ascii="Arial" w:hAnsi="Arial" w:cs="Arial"/>
              </w:rPr>
              <w:t>6.69</w:t>
            </w:r>
            <w:r w:rsidR="00141A87" w:rsidRPr="007E7998">
              <w:rPr>
                <w:rFonts w:ascii="Arial" w:hAnsi="Arial" w:cs="Arial"/>
              </w:rPr>
              <w:t xml:space="preserve"> (</w:t>
            </w:r>
            <w:r w:rsidR="004D50A5" w:rsidRPr="007E7998">
              <w:rPr>
                <w:rFonts w:ascii="Arial" w:hAnsi="Arial" w:cs="Arial"/>
              </w:rPr>
              <w:t>2.77-35.6</w:t>
            </w:r>
            <w:r w:rsidR="00141A87" w:rsidRPr="007E7998">
              <w:rPr>
                <w:rFonts w:ascii="Arial" w:hAnsi="Arial" w:cs="Arial"/>
              </w:rPr>
              <w:t>)</w:t>
            </w:r>
          </w:p>
        </w:tc>
        <w:tc>
          <w:tcPr>
            <w:tcW w:w="1196" w:type="dxa"/>
          </w:tcPr>
          <w:p w:rsidR="00C469FB" w:rsidRPr="007E7998" w:rsidRDefault="0072364E" w:rsidP="00E57837">
            <w:pPr>
              <w:spacing w:line="480" w:lineRule="auto"/>
              <w:jc w:val="center"/>
              <w:rPr>
                <w:rFonts w:ascii="Arial" w:hAnsi="Arial" w:cs="Arial"/>
              </w:rPr>
            </w:pPr>
            <w:r w:rsidRPr="007E7998">
              <w:rPr>
                <w:rFonts w:ascii="Arial" w:hAnsi="Arial" w:cs="Arial"/>
              </w:rPr>
              <w:t>0.68</w:t>
            </w:r>
          </w:p>
        </w:tc>
      </w:tr>
      <w:tr w:rsidR="00C469FB" w:rsidRPr="007E7998" w:rsidTr="00383711">
        <w:tc>
          <w:tcPr>
            <w:tcW w:w="3227" w:type="dxa"/>
          </w:tcPr>
          <w:p w:rsidR="00C469FB" w:rsidRPr="007E7998" w:rsidRDefault="009964F9" w:rsidP="00733169">
            <w:pPr>
              <w:spacing w:line="480" w:lineRule="auto"/>
              <w:jc w:val="center"/>
              <w:rPr>
                <w:rFonts w:ascii="Arial" w:hAnsi="Arial" w:cs="Arial"/>
              </w:rPr>
            </w:pPr>
            <w:r w:rsidRPr="007E7998">
              <w:rPr>
                <w:rFonts w:ascii="Arial" w:hAnsi="Arial" w:cs="Arial"/>
              </w:rPr>
              <w:t>Mid-ascending</w:t>
            </w:r>
          </w:p>
        </w:tc>
        <w:tc>
          <w:tcPr>
            <w:tcW w:w="1984" w:type="dxa"/>
          </w:tcPr>
          <w:p w:rsidR="00C469FB" w:rsidRPr="007E7998" w:rsidRDefault="00343901" w:rsidP="00685402">
            <w:pPr>
              <w:spacing w:line="480" w:lineRule="auto"/>
              <w:jc w:val="center"/>
              <w:rPr>
                <w:rFonts w:ascii="Arial" w:hAnsi="Arial" w:cs="Arial"/>
              </w:rPr>
            </w:pPr>
            <w:r w:rsidRPr="007E7998">
              <w:rPr>
                <w:rFonts w:ascii="Arial" w:hAnsi="Arial" w:cs="Arial"/>
              </w:rPr>
              <w:t>10.6</w:t>
            </w:r>
            <w:r w:rsidR="008F6AE5" w:rsidRPr="007E7998">
              <w:rPr>
                <w:rFonts w:ascii="Arial" w:hAnsi="Arial" w:cs="Arial"/>
              </w:rPr>
              <w:t xml:space="preserve"> (</w:t>
            </w:r>
            <w:r w:rsidR="00685402" w:rsidRPr="007E7998">
              <w:rPr>
                <w:rFonts w:ascii="Arial" w:hAnsi="Arial" w:cs="Arial"/>
              </w:rPr>
              <w:t>3.07-41.9</w:t>
            </w:r>
            <w:r w:rsidR="008F6AE5" w:rsidRPr="007E7998">
              <w:rPr>
                <w:rFonts w:ascii="Arial" w:hAnsi="Arial" w:cs="Arial"/>
              </w:rPr>
              <w:t>)</w:t>
            </w:r>
          </w:p>
        </w:tc>
        <w:tc>
          <w:tcPr>
            <w:tcW w:w="2835" w:type="dxa"/>
          </w:tcPr>
          <w:p w:rsidR="00C469FB" w:rsidRPr="007E7998" w:rsidRDefault="00343901" w:rsidP="00AD7476">
            <w:pPr>
              <w:spacing w:line="480" w:lineRule="auto"/>
              <w:jc w:val="center"/>
              <w:rPr>
                <w:rFonts w:ascii="Arial" w:hAnsi="Arial" w:cs="Arial"/>
              </w:rPr>
            </w:pPr>
            <w:r w:rsidRPr="007E7998">
              <w:rPr>
                <w:rFonts w:ascii="Arial" w:hAnsi="Arial" w:cs="Arial"/>
              </w:rPr>
              <w:t>11.2</w:t>
            </w:r>
            <w:r w:rsidR="002B1D08" w:rsidRPr="007E7998">
              <w:rPr>
                <w:rFonts w:ascii="Arial" w:hAnsi="Arial" w:cs="Arial"/>
              </w:rPr>
              <w:t xml:space="preserve"> (</w:t>
            </w:r>
            <w:r w:rsidR="00AD7476" w:rsidRPr="007E7998">
              <w:rPr>
                <w:rFonts w:ascii="Arial" w:hAnsi="Arial" w:cs="Arial"/>
              </w:rPr>
              <w:t>3.37-36.5</w:t>
            </w:r>
            <w:r w:rsidR="002B1D08" w:rsidRPr="007E7998">
              <w:rPr>
                <w:rFonts w:ascii="Arial" w:hAnsi="Arial" w:cs="Arial"/>
              </w:rPr>
              <w:t>)</w:t>
            </w:r>
          </w:p>
        </w:tc>
        <w:tc>
          <w:tcPr>
            <w:tcW w:w="1196" w:type="dxa"/>
          </w:tcPr>
          <w:p w:rsidR="00C469FB" w:rsidRPr="007E7998" w:rsidRDefault="00343901" w:rsidP="00394056">
            <w:pPr>
              <w:spacing w:line="480" w:lineRule="auto"/>
              <w:jc w:val="center"/>
              <w:rPr>
                <w:rFonts w:ascii="Arial" w:hAnsi="Arial" w:cs="Arial"/>
              </w:rPr>
            </w:pPr>
            <w:r w:rsidRPr="007E7998">
              <w:rPr>
                <w:rFonts w:ascii="Arial" w:hAnsi="Arial" w:cs="Arial"/>
              </w:rPr>
              <w:t>0.32</w:t>
            </w:r>
          </w:p>
        </w:tc>
      </w:tr>
    </w:tbl>
    <w:p w:rsidR="00030306" w:rsidRPr="007E7998" w:rsidRDefault="00030306" w:rsidP="00030306">
      <w:pPr>
        <w:spacing w:line="480" w:lineRule="auto"/>
        <w:jc w:val="both"/>
        <w:rPr>
          <w:rFonts w:ascii="Arial" w:hAnsi="Arial" w:cs="Arial"/>
        </w:rPr>
      </w:pPr>
      <w:r w:rsidRPr="007E7998">
        <w:rPr>
          <w:rFonts w:ascii="Arial" w:hAnsi="Arial" w:cs="Arial"/>
        </w:rPr>
        <w:t xml:space="preserve">Values are </w:t>
      </w:r>
      <w:proofErr w:type="gramStart"/>
      <w:r w:rsidRPr="007E7998">
        <w:rPr>
          <w:rFonts w:ascii="Arial" w:hAnsi="Arial" w:cs="Arial"/>
        </w:rPr>
        <w:t>median</w:t>
      </w:r>
      <w:proofErr w:type="gramEnd"/>
      <w:r w:rsidRPr="007E7998">
        <w:rPr>
          <w:rFonts w:ascii="Arial" w:hAnsi="Arial" w:cs="Arial"/>
        </w:rPr>
        <w:t xml:space="preserve"> (range)</w:t>
      </w:r>
    </w:p>
    <w:p w:rsidR="003D3C36" w:rsidRPr="007E7998" w:rsidRDefault="003D3C36" w:rsidP="00030306">
      <w:pPr>
        <w:spacing w:line="480" w:lineRule="auto"/>
        <w:jc w:val="both"/>
        <w:rPr>
          <w:rFonts w:ascii="Arial" w:hAnsi="Arial" w:cs="Arial"/>
          <w:b/>
          <w:u w:val="single"/>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706ABD" w:rsidRPr="007E7998" w:rsidRDefault="00706ABD"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3C3D71" w:rsidRPr="007E7998" w:rsidRDefault="003C3D71" w:rsidP="00BC5A2F">
      <w:pPr>
        <w:spacing w:line="480" w:lineRule="auto"/>
        <w:jc w:val="both"/>
        <w:rPr>
          <w:rFonts w:ascii="Arial" w:hAnsi="Arial" w:cs="Arial"/>
          <w:b/>
        </w:rPr>
      </w:pPr>
    </w:p>
    <w:p w:rsidR="00E779B5" w:rsidRPr="007E7998" w:rsidRDefault="00E779B5" w:rsidP="00E779B5">
      <w:pPr>
        <w:spacing w:line="480" w:lineRule="auto"/>
        <w:jc w:val="both"/>
        <w:rPr>
          <w:rFonts w:ascii="Arial" w:hAnsi="Arial" w:cs="Arial"/>
          <w:b/>
        </w:rPr>
      </w:pPr>
      <w:r w:rsidRPr="007E7998">
        <w:rPr>
          <w:rFonts w:ascii="Arial" w:hAnsi="Arial" w:cs="Arial"/>
          <w:b/>
        </w:rPr>
        <w:lastRenderedPageBreak/>
        <w:t>Table 4: Patients with indexed aortic area &gt;10 cm</w:t>
      </w:r>
      <w:r w:rsidRPr="007E7998">
        <w:rPr>
          <w:rFonts w:ascii="Arial" w:hAnsi="Arial" w:cs="Arial"/>
          <w:b/>
          <w:vertAlign w:val="superscript"/>
        </w:rPr>
        <w:t>2</w:t>
      </w:r>
      <w:r w:rsidRPr="007E7998">
        <w:rPr>
          <w:rFonts w:ascii="Arial" w:hAnsi="Arial" w:cs="Arial"/>
          <w:b/>
        </w:rPr>
        <w:t>/m</w:t>
      </w:r>
      <w:r w:rsidRPr="007E7998">
        <w:rPr>
          <w:rFonts w:ascii="Arial" w:hAnsi="Arial" w:cs="Arial"/>
          <w:b/>
          <w:vertAlign w:val="superscript"/>
        </w:rPr>
        <w:t>a</w:t>
      </w:r>
    </w:p>
    <w:tbl>
      <w:tblPr>
        <w:tblStyle w:val="TableGrid"/>
        <w:tblW w:w="7196" w:type="dxa"/>
        <w:tblBorders>
          <w:insideV w:val="none" w:sz="0" w:space="0" w:color="auto"/>
        </w:tblBorders>
        <w:tblLook w:val="04A0" w:firstRow="1" w:lastRow="0" w:firstColumn="1" w:lastColumn="0" w:noHBand="0" w:noVBand="1"/>
      </w:tblPr>
      <w:tblGrid>
        <w:gridCol w:w="2802"/>
        <w:gridCol w:w="2268"/>
        <w:gridCol w:w="2126"/>
      </w:tblGrid>
      <w:tr w:rsidR="00E779B5" w:rsidRPr="007E7998" w:rsidTr="0081562C">
        <w:trPr>
          <w:trHeight w:val="300"/>
        </w:trPr>
        <w:tc>
          <w:tcPr>
            <w:tcW w:w="2802" w:type="dxa"/>
            <w:noWrap/>
            <w:hideMark/>
          </w:tcPr>
          <w:p w:rsidR="00E779B5" w:rsidRPr="007E7998" w:rsidRDefault="00E779B5" w:rsidP="0081562C">
            <w:pPr>
              <w:spacing w:line="480" w:lineRule="auto"/>
              <w:jc w:val="center"/>
              <w:rPr>
                <w:rFonts w:ascii="Arial" w:eastAsia="Times New Roman" w:hAnsi="Arial" w:cs="Arial"/>
                <w:bCs/>
              </w:rPr>
            </w:pPr>
            <w:r w:rsidRPr="007E7998">
              <w:rPr>
                <w:rFonts w:ascii="Arial" w:eastAsia="Times New Roman" w:hAnsi="Arial" w:cs="Arial"/>
                <w:bCs/>
              </w:rPr>
              <w:t>Aortic Location</w:t>
            </w:r>
          </w:p>
        </w:tc>
        <w:tc>
          <w:tcPr>
            <w:tcW w:w="2268" w:type="dxa"/>
            <w:noWrap/>
            <w:hideMark/>
          </w:tcPr>
          <w:p w:rsidR="00E779B5" w:rsidRPr="007E7998" w:rsidRDefault="00E779B5" w:rsidP="0081562C">
            <w:pPr>
              <w:spacing w:line="480" w:lineRule="auto"/>
              <w:jc w:val="center"/>
              <w:rPr>
                <w:rFonts w:ascii="Arial" w:eastAsia="Times New Roman" w:hAnsi="Arial" w:cs="Arial"/>
                <w:bCs/>
              </w:rPr>
            </w:pPr>
            <w:r w:rsidRPr="007E7998">
              <w:rPr>
                <w:rFonts w:ascii="Arial" w:eastAsia="Times New Roman" w:hAnsi="Arial" w:cs="Arial"/>
                <w:bCs/>
              </w:rPr>
              <w:t>Aneurysm group</w:t>
            </w:r>
          </w:p>
          <w:p w:rsidR="00E779B5" w:rsidRPr="007E7998" w:rsidRDefault="00E779B5" w:rsidP="0081562C">
            <w:pPr>
              <w:spacing w:line="480" w:lineRule="auto"/>
              <w:jc w:val="center"/>
              <w:rPr>
                <w:rFonts w:ascii="Arial" w:eastAsia="Times New Roman" w:hAnsi="Arial" w:cs="Arial"/>
                <w:bCs/>
              </w:rPr>
            </w:pPr>
            <w:r w:rsidRPr="007E7998">
              <w:rPr>
                <w:rFonts w:ascii="Arial" w:eastAsia="Times New Roman" w:hAnsi="Arial" w:cs="Arial"/>
                <w:bCs/>
              </w:rPr>
              <w:t>N = 187</w:t>
            </w:r>
          </w:p>
          <w:p w:rsidR="00E779B5" w:rsidRPr="007E7998" w:rsidRDefault="00E779B5" w:rsidP="0081562C">
            <w:pPr>
              <w:spacing w:line="480" w:lineRule="auto"/>
              <w:jc w:val="center"/>
              <w:rPr>
                <w:rFonts w:ascii="Arial" w:eastAsia="Times New Roman" w:hAnsi="Arial" w:cs="Arial"/>
                <w:bCs/>
              </w:rPr>
            </w:pPr>
            <w:proofErr w:type="gramStart"/>
            <w:r w:rsidRPr="007E7998">
              <w:rPr>
                <w:rFonts w:ascii="Arial" w:hAnsi="Arial" w:cs="Arial"/>
              </w:rPr>
              <w:t>n</w:t>
            </w:r>
            <w:proofErr w:type="gramEnd"/>
            <w:r w:rsidRPr="007E7998">
              <w:rPr>
                <w:rFonts w:ascii="Arial" w:hAnsi="Arial" w:cs="Arial"/>
              </w:rPr>
              <w:t xml:space="preserve"> (%)</w:t>
            </w:r>
          </w:p>
        </w:tc>
        <w:tc>
          <w:tcPr>
            <w:tcW w:w="2126" w:type="dxa"/>
            <w:noWrap/>
            <w:hideMark/>
          </w:tcPr>
          <w:p w:rsidR="00E779B5" w:rsidRPr="007E7998" w:rsidRDefault="00E779B5" w:rsidP="0081562C">
            <w:pPr>
              <w:spacing w:line="480" w:lineRule="auto"/>
              <w:jc w:val="center"/>
              <w:rPr>
                <w:rFonts w:ascii="Arial" w:eastAsia="Times New Roman" w:hAnsi="Arial" w:cs="Arial"/>
                <w:bCs/>
              </w:rPr>
            </w:pPr>
            <w:r w:rsidRPr="007E7998">
              <w:rPr>
                <w:rFonts w:ascii="Arial" w:eastAsia="Times New Roman" w:hAnsi="Arial" w:cs="Arial"/>
                <w:bCs/>
              </w:rPr>
              <w:t>Dissection group</w:t>
            </w:r>
          </w:p>
          <w:p w:rsidR="00E779B5" w:rsidRPr="007E7998" w:rsidRDefault="00E779B5" w:rsidP="0081562C">
            <w:pPr>
              <w:spacing w:line="480" w:lineRule="auto"/>
              <w:jc w:val="center"/>
              <w:rPr>
                <w:rFonts w:ascii="Arial" w:eastAsia="Times New Roman" w:hAnsi="Arial" w:cs="Arial"/>
                <w:bCs/>
              </w:rPr>
            </w:pPr>
            <w:r w:rsidRPr="007E7998">
              <w:rPr>
                <w:rFonts w:ascii="Arial" w:eastAsia="Times New Roman" w:hAnsi="Arial" w:cs="Arial"/>
                <w:bCs/>
              </w:rPr>
              <w:t>N = 66</w:t>
            </w:r>
          </w:p>
          <w:p w:rsidR="00E779B5" w:rsidRPr="007E7998" w:rsidRDefault="00E779B5" w:rsidP="0081562C">
            <w:pPr>
              <w:spacing w:line="480" w:lineRule="auto"/>
              <w:jc w:val="center"/>
              <w:rPr>
                <w:rFonts w:ascii="Arial" w:eastAsia="Times New Roman" w:hAnsi="Arial" w:cs="Arial"/>
                <w:bCs/>
              </w:rPr>
            </w:pPr>
            <w:proofErr w:type="gramStart"/>
            <w:r w:rsidRPr="007E7998">
              <w:rPr>
                <w:rFonts w:ascii="Arial" w:hAnsi="Arial" w:cs="Arial"/>
              </w:rPr>
              <w:t>n</w:t>
            </w:r>
            <w:proofErr w:type="gramEnd"/>
            <w:r w:rsidRPr="007E7998">
              <w:rPr>
                <w:rFonts w:ascii="Arial" w:hAnsi="Arial" w:cs="Arial"/>
              </w:rPr>
              <w:t xml:space="preserve"> (%)</w:t>
            </w:r>
          </w:p>
        </w:tc>
      </w:tr>
      <w:tr w:rsidR="00E779B5" w:rsidRPr="007E7998" w:rsidTr="0081562C">
        <w:trPr>
          <w:trHeight w:val="300"/>
        </w:trPr>
        <w:tc>
          <w:tcPr>
            <w:tcW w:w="2802" w:type="dxa"/>
            <w:noWrap/>
            <w:hideMark/>
          </w:tcPr>
          <w:p w:rsidR="00E779B5" w:rsidRPr="007E7998" w:rsidRDefault="00E779B5" w:rsidP="0081562C">
            <w:pPr>
              <w:spacing w:line="480" w:lineRule="auto"/>
              <w:jc w:val="center"/>
              <w:rPr>
                <w:rFonts w:ascii="Arial" w:hAnsi="Arial" w:cs="Arial"/>
              </w:rPr>
            </w:pPr>
            <w:r w:rsidRPr="007E7998">
              <w:rPr>
                <w:rFonts w:ascii="Arial" w:hAnsi="Arial" w:cs="Arial"/>
              </w:rPr>
              <w:t>Mid-sinus</w:t>
            </w:r>
          </w:p>
        </w:tc>
        <w:tc>
          <w:tcPr>
            <w:tcW w:w="2268" w:type="dxa"/>
            <w:noWrap/>
            <w:hideMark/>
          </w:tcPr>
          <w:p w:rsidR="00E779B5" w:rsidRPr="007E7998" w:rsidRDefault="00E779B5" w:rsidP="0081562C">
            <w:pPr>
              <w:spacing w:line="480" w:lineRule="auto"/>
              <w:jc w:val="center"/>
              <w:rPr>
                <w:rFonts w:ascii="Arial" w:eastAsia="Times New Roman" w:hAnsi="Arial" w:cs="Arial"/>
              </w:rPr>
            </w:pPr>
            <w:r w:rsidRPr="007E7998">
              <w:rPr>
                <w:rFonts w:ascii="Arial" w:eastAsia="Times New Roman" w:hAnsi="Arial" w:cs="Arial"/>
              </w:rPr>
              <w:t>74 (39.6)</w:t>
            </w:r>
          </w:p>
        </w:tc>
        <w:tc>
          <w:tcPr>
            <w:tcW w:w="2126" w:type="dxa"/>
            <w:noWrap/>
            <w:hideMark/>
          </w:tcPr>
          <w:p w:rsidR="00E779B5" w:rsidRPr="007E7998" w:rsidRDefault="00E779B5" w:rsidP="0081562C">
            <w:pPr>
              <w:spacing w:line="480" w:lineRule="auto"/>
              <w:jc w:val="center"/>
              <w:rPr>
                <w:rFonts w:ascii="Arial" w:eastAsia="Times New Roman" w:hAnsi="Arial" w:cs="Arial"/>
              </w:rPr>
            </w:pPr>
            <w:r w:rsidRPr="007E7998">
              <w:rPr>
                <w:rFonts w:ascii="Arial" w:eastAsia="Times New Roman" w:hAnsi="Arial" w:cs="Arial"/>
              </w:rPr>
              <w:t>17 (25.8)</w:t>
            </w:r>
          </w:p>
        </w:tc>
      </w:tr>
      <w:tr w:rsidR="00E779B5" w:rsidRPr="007E7998" w:rsidTr="0081562C">
        <w:trPr>
          <w:trHeight w:val="300"/>
        </w:trPr>
        <w:tc>
          <w:tcPr>
            <w:tcW w:w="2802" w:type="dxa"/>
            <w:noWrap/>
            <w:hideMark/>
          </w:tcPr>
          <w:p w:rsidR="00E779B5" w:rsidRPr="007E7998" w:rsidRDefault="00E779B5" w:rsidP="0081562C">
            <w:pPr>
              <w:spacing w:line="480" w:lineRule="auto"/>
              <w:jc w:val="center"/>
              <w:rPr>
                <w:rFonts w:ascii="Arial" w:hAnsi="Arial" w:cs="Arial"/>
              </w:rPr>
            </w:pPr>
            <w:r w:rsidRPr="007E7998">
              <w:rPr>
                <w:rFonts w:ascii="Arial" w:hAnsi="Arial" w:cs="Arial"/>
              </w:rPr>
              <w:t>Sino-tubular junction</w:t>
            </w:r>
          </w:p>
        </w:tc>
        <w:tc>
          <w:tcPr>
            <w:tcW w:w="2268" w:type="dxa"/>
            <w:noWrap/>
            <w:hideMark/>
          </w:tcPr>
          <w:p w:rsidR="00E779B5" w:rsidRPr="007E7998" w:rsidRDefault="00E779B5" w:rsidP="0081562C">
            <w:pPr>
              <w:spacing w:line="480" w:lineRule="auto"/>
              <w:jc w:val="center"/>
              <w:rPr>
                <w:rFonts w:ascii="Arial" w:eastAsia="Times New Roman" w:hAnsi="Arial" w:cs="Arial"/>
              </w:rPr>
            </w:pPr>
            <w:r w:rsidRPr="007E7998">
              <w:rPr>
                <w:rFonts w:ascii="Arial" w:eastAsia="Times New Roman" w:hAnsi="Arial" w:cs="Arial"/>
              </w:rPr>
              <w:t>20 (10.7)</w:t>
            </w:r>
          </w:p>
        </w:tc>
        <w:tc>
          <w:tcPr>
            <w:tcW w:w="2126" w:type="dxa"/>
            <w:noWrap/>
            <w:hideMark/>
          </w:tcPr>
          <w:p w:rsidR="00E779B5" w:rsidRPr="007E7998" w:rsidRDefault="00E779B5" w:rsidP="0081562C">
            <w:pPr>
              <w:spacing w:line="480" w:lineRule="auto"/>
              <w:jc w:val="center"/>
              <w:rPr>
                <w:rFonts w:ascii="Arial" w:eastAsia="Times New Roman" w:hAnsi="Arial" w:cs="Arial"/>
              </w:rPr>
            </w:pPr>
            <w:r w:rsidRPr="007E7998">
              <w:rPr>
                <w:rFonts w:ascii="Arial" w:eastAsia="Times New Roman" w:hAnsi="Arial" w:cs="Arial"/>
              </w:rPr>
              <w:t>13 (19.7)</w:t>
            </w:r>
          </w:p>
        </w:tc>
      </w:tr>
      <w:tr w:rsidR="00E779B5" w:rsidRPr="007E7998" w:rsidTr="0081562C">
        <w:trPr>
          <w:trHeight w:val="300"/>
        </w:trPr>
        <w:tc>
          <w:tcPr>
            <w:tcW w:w="2802" w:type="dxa"/>
            <w:noWrap/>
            <w:hideMark/>
          </w:tcPr>
          <w:p w:rsidR="00E779B5" w:rsidRPr="007E7998" w:rsidRDefault="00E779B5" w:rsidP="0081562C">
            <w:pPr>
              <w:spacing w:line="480" w:lineRule="auto"/>
              <w:jc w:val="center"/>
              <w:rPr>
                <w:rFonts w:ascii="Arial" w:hAnsi="Arial" w:cs="Arial"/>
              </w:rPr>
            </w:pPr>
            <w:r w:rsidRPr="007E7998">
              <w:rPr>
                <w:rFonts w:ascii="Arial" w:hAnsi="Arial" w:cs="Arial"/>
              </w:rPr>
              <w:t>Mid-ascending</w:t>
            </w:r>
          </w:p>
        </w:tc>
        <w:tc>
          <w:tcPr>
            <w:tcW w:w="2268" w:type="dxa"/>
            <w:noWrap/>
            <w:hideMark/>
          </w:tcPr>
          <w:p w:rsidR="00E779B5" w:rsidRPr="007E7998" w:rsidRDefault="00E779B5" w:rsidP="0081562C">
            <w:pPr>
              <w:spacing w:line="480" w:lineRule="auto"/>
              <w:jc w:val="center"/>
              <w:rPr>
                <w:rFonts w:ascii="Arial" w:eastAsia="Times New Roman" w:hAnsi="Arial" w:cs="Arial"/>
              </w:rPr>
            </w:pPr>
            <w:r w:rsidRPr="007E7998">
              <w:rPr>
                <w:rFonts w:ascii="Arial" w:eastAsia="Times New Roman" w:hAnsi="Arial" w:cs="Arial"/>
              </w:rPr>
              <w:t>106 (56.7)</w:t>
            </w:r>
          </w:p>
        </w:tc>
        <w:tc>
          <w:tcPr>
            <w:tcW w:w="2126" w:type="dxa"/>
            <w:noWrap/>
            <w:hideMark/>
          </w:tcPr>
          <w:p w:rsidR="00E779B5" w:rsidRPr="007E7998" w:rsidRDefault="00E779B5" w:rsidP="0081562C">
            <w:pPr>
              <w:spacing w:line="480" w:lineRule="auto"/>
              <w:jc w:val="center"/>
              <w:rPr>
                <w:rFonts w:ascii="Arial" w:eastAsia="Times New Roman" w:hAnsi="Arial" w:cs="Arial"/>
              </w:rPr>
            </w:pPr>
            <w:r w:rsidRPr="007E7998">
              <w:rPr>
                <w:rFonts w:ascii="Arial" w:eastAsia="Times New Roman" w:hAnsi="Arial" w:cs="Arial"/>
              </w:rPr>
              <w:t>40 (60.6)</w:t>
            </w:r>
          </w:p>
        </w:tc>
      </w:tr>
    </w:tbl>
    <w:p w:rsidR="00E779B5" w:rsidRPr="007E7998" w:rsidRDefault="00E779B5" w:rsidP="00E779B5">
      <w:pPr>
        <w:spacing w:line="240" w:lineRule="auto"/>
        <w:rPr>
          <w:rFonts w:ascii="Arial" w:hAnsi="Arial" w:cs="Arial"/>
        </w:rPr>
      </w:pPr>
    </w:p>
    <w:p w:rsidR="00E779B5" w:rsidRPr="007E7998" w:rsidRDefault="00E779B5" w:rsidP="00E779B5">
      <w:pPr>
        <w:rPr>
          <w:rFonts w:ascii="Arial" w:hAnsi="Arial" w:cs="Arial"/>
        </w:rPr>
      </w:pPr>
      <w:proofErr w:type="spellStart"/>
      <w:proofErr w:type="gramStart"/>
      <w:r w:rsidRPr="007E7998">
        <w:rPr>
          <w:rFonts w:ascii="Arial" w:hAnsi="Arial" w:cs="Arial"/>
          <w:vertAlign w:val="superscript"/>
        </w:rPr>
        <w:t>a</w:t>
      </w:r>
      <w:r w:rsidRPr="007E7998">
        <w:rPr>
          <w:rFonts w:ascii="Arial" w:hAnsi="Arial" w:cs="Arial"/>
        </w:rPr>
        <w:t>Indexed</w:t>
      </w:r>
      <w:proofErr w:type="spellEnd"/>
      <w:proofErr w:type="gramEnd"/>
      <w:r w:rsidRPr="007E7998">
        <w:rPr>
          <w:rFonts w:ascii="Arial" w:hAnsi="Arial" w:cs="Arial"/>
        </w:rPr>
        <w:t xml:space="preserve"> aortic area &gt;10 cm</w:t>
      </w:r>
      <w:r w:rsidRPr="007E7998">
        <w:rPr>
          <w:rFonts w:ascii="Arial" w:hAnsi="Arial" w:cs="Arial"/>
          <w:vertAlign w:val="superscript"/>
        </w:rPr>
        <w:t>2</w:t>
      </w:r>
      <w:r w:rsidRPr="007E7998">
        <w:rPr>
          <w:rFonts w:ascii="Arial" w:hAnsi="Arial" w:cs="Arial"/>
        </w:rPr>
        <w:t>/m can occur at ≥1 aortic location in the same patient.</w:t>
      </w:r>
    </w:p>
    <w:p w:rsidR="00E779B5" w:rsidRPr="007E7998" w:rsidRDefault="00E779B5" w:rsidP="001B099E">
      <w:pPr>
        <w:rPr>
          <w:rFonts w:ascii="Arial" w:hAnsi="Arial" w:cs="Arial"/>
          <w:b/>
        </w:rPr>
      </w:pPr>
    </w:p>
    <w:p w:rsidR="00E779B5" w:rsidRPr="007E7998" w:rsidRDefault="00E779B5" w:rsidP="001B099E">
      <w:pPr>
        <w:rPr>
          <w:rFonts w:ascii="Arial" w:hAnsi="Arial" w:cs="Arial"/>
          <w:b/>
        </w:rPr>
      </w:pPr>
    </w:p>
    <w:p w:rsidR="00E779B5" w:rsidRPr="007E7998" w:rsidRDefault="00E779B5" w:rsidP="001B099E">
      <w:pPr>
        <w:rPr>
          <w:rFonts w:ascii="Arial" w:hAnsi="Arial" w:cs="Arial"/>
          <w:b/>
        </w:rPr>
      </w:pPr>
    </w:p>
    <w:p w:rsidR="00E779B5" w:rsidRPr="007E7998" w:rsidRDefault="00E779B5" w:rsidP="001B099E">
      <w:pPr>
        <w:rPr>
          <w:rFonts w:ascii="Arial" w:hAnsi="Arial" w:cs="Arial"/>
          <w:b/>
        </w:rPr>
      </w:pPr>
    </w:p>
    <w:p w:rsidR="00E779B5" w:rsidRPr="007E7998" w:rsidRDefault="00E779B5" w:rsidP="001B099E">
      <w:pPr>
        <w:rPr>
          <w:rFonts w:ascii="Arial" w:hAnsi="Arial" w:cs="Arial"/>
          <w:b/>
        </w:rPr>
      </w:pPr>
    </w:p>
    <w:p w:rsidR="00706ABD" w:rsidRPr="007E7998" w:rsidRDefault="00706ABD" w:rsidP="001B099E">
      <w:pPr>
        <w:rPr>
          <w:rFonts w:ascii="Arial" w:hAnsi="Arial" w:cs="Arial"/>
          <w:b/>
        </w:rPr>
      </w:pPr>
    </w:p>
    <w:p w:rsidR="00706ABD" w:rsidRPr="007E7998" w:rsidRDefault="00706ABD" w:rsidP="001B099E">
      <w:pPr>
        <w:rPr>
          <w:rFonts w:ascii="Arial" w:hAnsi="Arial" w:cs="Arial"/>
          <w:b/>
        </w:rPr>
      </w:pPr>
    </w:p>
    <w:p w:rsidR="00706ABD" w:rsidRPr="007E7998" w:rsidRDefault="00706ABD" w:rsidP="001B099E">
      <w:pPr>
        <w:rPr>
          <w:rFonts w:ascii="Arial" w:hAnsi="Arial" w:cs="Arial"/>
          <w:b/>
        </w:rPr>
      </w:pPr>
    </w:p>
    <w:p w:rsidR="00706ABD" w:rsidRPr="007E7998" w:rsidRDefault="00706ABD" w:rsidP="001B099E">
      <w:pPr>
        <w:rPr>
          <w:rFonts w:ascii="Arial" w:hAnsi="Arial" w:cs="Arial"/>
          <w:b/>
        </w:rPr>
      </w:pPr>
    </w:p>
    <w:p w:rsidR="00E779B5" w:rsidRPr="007E7998" w:rsidRDefault="00E779B5" w:rsidP="001B099E">
      <w:pPr>
        <w:rPr>
          <w:rFonts w:ascii="Arial" w:hAnsi="Arial" w:cs="Arial"/>
          <w:b/>
        </w:rPr>
      </w:pPr>
    </w:p>
    <w:p w:rsidR="001E3EBA" w:rsidRPr="007E7998" w:rsidRDefault="001E3EBA" w:rsidP="001B099E">
      <w:pPr>
        <w:rPr>
          <w:rFonts w:ascii="Arial" w:hAnsi="Arial" w:cs="Arial"/>
          <w:b/>
          <w:bCs/>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F4F00" w:rsidRPr="007E7998" w:rsidRDefault="003F4F00" w:rsidP="00435699">
      <w:pPr>
        <w:spacing w:line="480" w:lineRule="auto"/>
        <w:jc w:val="both"/>
        <w:rPr>
          <w:rFonts w:ascii="Arial" w:hAnsi="Arial" w:cs="Arial"/>
          <w:b/>
        </w:rPr>
      </w:pPr>
      <w:r w:rsidRPr="007E7998">
        <w:rPr>
          <w:rFonts w:ascii="Arial" w:hAnsi="Arial" w:cs="Arial"/>
          <w:b/>
        </w:rPr>
        <w:lastRenderedPageBreak/>
        <w:t xml:space="preserve">Table </w:t>
      </w:r>
      <w:r w:rsidR="00D04C4A" w:rsidRPr="007E7998">
        <w:rPr>
          <w:rFonts w:ascii="Arial" w:hAnsi="Arial" w:cs="Arial"/>
          <w:b/>
        </w:rPr>
        <w:t>5</w:t>
      </w:r>
      <w:r w:rsidRPr="007E7998">
        <w:rPr>
          <w:rFonts w:ascii="Arial" w:hAnsi="Arial" w:cs="Arial"/>
          <w:b/>
        </w:rPr>
        <w:t xml:space="preserve">: Proportion of </w:t>
      </w:r>
      <w:r w:rsidR="00656333" w:rsidRPr="007E7998">
        <w:rPr>
          <w:rFonts w:ascii="Arial" w:hAnsi="Arial" w:cs="Arial"/>
          <w:b/>
        </w:rPr>
        <w:t xml:space="preserve">aneurysm </w:t>
      </w:r>
      <w:r w:rsidRPr="007E7998">
        <w:rPr>
          <w:rFonts w:ascii="Arial" w:hAnsi="Arial" w:cs="Arial"/>
          <w:b/>
        </w:rPr>
        <w:t>pa</w:t>
      </w:r>
      <w:r w:rsidR="00502A98" w:rsidRPr="007E7998">
        <w:rPr>
          <w:rFonts w:ascii="Arial" w:hAnsi="Arial" w:cs="Arial"/>
          <w:b/>
        </w:rPr>
        <w:t>tients with indexed aortic area</w:t>
      </w:r>
      <w:r w:rsidRPr="007E7998">
        <w:rPr>
          <w:rFonts w:ascii="Arial" w:hAnsi="Arial" w:cs="Arial"/>
          <w:b/>
        </w:rPr>
        <w:t xml:space="preserve"> &gt;10 cm</w:t>
      </w:r>
      <w:r w:rsidRPr="007E7998">
        <w:rPr>
          <w:rFonts w:ascii="Arial" w:hAnsi="Arial" w:cs="Arial"/>
          <w:b/>
          <w:vertAlign w:val="superscript"/>
        </w:rPr>
        <w:t>2</w:t>
      </w:r>
      <w:r w:rsidRPr="007E7998">
        <w:rPr>
          <w:rFonts w:ascii="Arial" w:hAnsi="Arial" w:cs="Arial"/>
          <w:b/>
        </w:rPr>
        <w:t>/m according to aortic diameter</w:t>
      </w:r>
      <w:r w:rsidR="00C8283E" w:rsidRPr="007E7998">
        <w:rPr>
          <w:rFonts w:ascii="Arial" w:hAnsi="Arial" w:cs="Arial"/>
          <w:b/>
        </w:rPr>
        <w:t>s</w:t>
      </w:r>
    </w:p>
    <w:tbl>
      <w:tblPr>
        <w:tblStyle w:val="TableGrid"/>
        <w:tblpPr w:leftFromText="180" w:rightFromText="180" w:vertAnchor="text" w:horzAnchor="margin" w:tblpXSpec="center" w:tblpY="230"/>
        <w:tblW w:w="0" w:type="auto"/>
        <w:tblBorders>
          <w:insideV w:val="none" w:sz="0" w:space="0" w:color="auto"/>
        </w:tblBorders>
        <w:tblLook w:val="04A0" w:firstRow="1" w:lastRow="0" w:firstColumn="1" w:lastColumn="0" w:noHBand="0" w:noVBand="1"/>
      </w:tblPr>
      <w:tblGrid>
        <w:gridCol w:w="2727"/>
        <w:gridCol w:w="4219"/>
      </w:tblGrid>
      <w:tr w:rsidR="00F73FAC" w:rsidRPr="007E7998" w:rsidTr="00F73FAC">
        <w:tc>
          <w:tcPr>
            <w:tcW w:w="2727" w:type="dxa"/>
          </w:tcPr>
          <w:p w:rsidR="00F73FAC" w:rsidRPr="007E7998" w:rsidRDefault="00F73FAC" w:rsidP="00F73FAC">
            <w:pPr>
              <w:spacing w:line="480" w:lineRule="auto"/>
              <w:jc w:val="center"/>
              <w:rPr>
                <w:rFonts w:ascii="Arial" w:hAnsi="Arial" w:cs="Arial"/>
              </w:rPr>
            </w:pPr>
            <w:r w:rsidRPr="007E7998">
              <w:rPr>
                <w:rFonts w:ascii="Arial" w:hAnsi="Arial" w:cs="Arial"/>
              </w:rPr>
              <w:t>Aortic diameter (cm)</w:t>
            </w:r>
          </w:p>
        </w:tc>
        <w:tc>
          <w:tcPr>
            <w:tcW w:w="4219" w:type="dxa"/>
          </w:tcPr>
          <w:p w:rsidR="00F73FAC" w:rsidRPr="007E7998" w:rsidRDefault="00F73FAC" w:rsidP="00F73FAC">
            <w:pPr>
              <w:spacing w:line="480" w:lineRule="auto"/>
              <w:jc w:val="center"/>
              <w:rPr>
                <w:rFonts w:ascii="Arial" w:hAnsi="Arial" w:cs="Arial"/>
              </w:rPr>
            </w:pPr>
            <w:r w:rsidRPr="007E7998">
              <w:rPr>
                <w:rFonts w:ascii="Arial" w:hAnsi="Arial" w:cs="Arial"/>
              </w:rPr>
              <w:t>Indexed aortic areas &gt;10 cm</w:t>
            </w:r>
            <w:r w:rsidRPr="007E7998">
              <w:rPr>
                <w:rFonts w:ascii="Arial" w:hAnsi="Arial" w:cs="Arial"/>
                <w:vertAlign w:val="superscript"/>
              </w:rPr>
              <w:t>2</w:t>
            </w:r>
            <w:r w:rsidRPr="007E7998">
              <w:rPr>
                <w:rFonts w:ascii="Arial" w:hAnsi="Arial" w:cs="Arial"/>
              </w:rPr>
              <w:t>/m</w:t>
            </w:r>
          </w:p>
          <w:p w:rsidR="00F73FAC" w:rsidRPr="007E7998" w:rsidRDefault="00F73FAC" w:rsidP="00F73FAC">
            <w:pPr>
              <w:spacing w:line="480" w:lineRule="auto"/>
              <w:jc w:val="center"/>
              <w:rPr>
                <w:rFonts w:ascii="Arial" w:hAnsi="Arial" w:cs="Arial"/>
              </w:rPr>
            </w:pPr>
            <w:proofErr w:type="gramStart"/>
            <w:r w:rsidRPr="007E7998">
              <w:rPr>
                <w:rFonts w:ascii="Arial" w:hAnsi="Arial" w:cs="Arial"/>
              </w:rPr>
              <w:t>n</w:t>
            </w:r>
            <w:proofErr w:type="gramEnd"/>
            <w:r w:rsidRPr="007E7998">
              <w:rPr>
                <w:rFonts w:ascii="Arial" w:hAnsi="Arial" w:cs="Arial"/>
              </w:rPr>
              <w:t xml:space="preserve"> (%)</w:t>
            </w:r>
          </w:p>
        </w:tc>
      </w:tr>
      <w:tr w:rsidR="00F73FAC" w:rsidRPr="007E7998" w:rsidTr="00F73FAC">
        <w:tc>
          <w:tcPr>
            <w:tcW w:w="2727" w:type="dxa"/>
          </w:tcPr>
          <w:p w:rsidR="00F73FAC" w:rsidRPr="007E7998" w:rsidRDefault="00F73FAC" w:rsidP="00F73FAC">
            <w:pPr>
              <w:spacing w:line="480" w:lineRule="auto"/>
              <w:jc w:val="center"/>
              <w:rPr>
                <w:rFonts w:ascii="Arial" w:hAnsi="Arial" w:cs="Arial"/>
              </w:rPr>
            </w:pPr>
            <w:r w:rsidRPr="007E7998">
              <w:rPr>
                <w:rFonts w:ascii="Arial" w:hAnsi="Arial" w:cs="Arial"/>
              </w:rPr>
              <w:t>&lt;4.0</w:t>
            </w:r>
          </w:p>
        </w:tc>
        <w:tc>
          <w:tcPr>
            <w:tcW w:w="4219" w:type="dxa"/>
          </w:tcPr>
          <w:p w:rsidR="00F73FAC" w:rsidRPr="007E7998" w:rsidRDefault="00F73FAC" w:rsidP="00F73FAC">
            <w:pPr>
              <w:spacing w:line="480" w:lineRule="auto"/>
              <w:jc w:val="center"/>
              <w:rPr>
                <w:rFonts w:ascii="Arial" w:hAnsi="Arial" w:cs="Arial"/>
              </w:rPr>
            </w:pPr>
            <w:r w:rsidRPr="007E7998">
              <w:rPr>
                <w:rFonts w:ascii="Arial" w:hAnsi="Arial" w:cs="Arial"/>
              </w:rPr>
              <w:t>0/212 (0.0)</w:t>
            </w:r>
          </w:p>
        </w:tc>
      </w:tr>
      <w:tr w:rsidR="00F73FAC" w:rsidRPr="007E7998" w:rsidTr="00F73FAC">
        <w:tc>
          <w:tcPr>
            <w:tcW w:w="2727" w:type="dxa"/>
          </w:tcPr>
          <w:p w:rsidR="00F73FAC" w:rsidRPr="007E7998" w:rsidRDefault="00F73FAC" w:rsidP="00F73FAC">
            <w:pPr>
              <w:spacing w:line="480" w:lineRule="auto"/>
              <w:jc w:val="center"/>
              <w:rPr>
                <w:rFonts w:ascii="Arial" w:hAnsi="Arial" w:cs="Arial"/>
              </w:rPr>
            </w:pPr>
            <w:r w:rsidRPr="007E7998">
              <w:rPr>
                <w:rFonts w:ascii="Arial" w:hAnsi="Arial" w:cs="Arial"/>
              </w:rPr>
              <w:t>4.0 - 4.5</w:t>
            </w:r>
          </w:p>
        </w:tc>
        <w:tc>
          <w:tcPr>
            <w:tcW w:w="4219" w:type="dxa"/>
          </w:tcPr>
          <w:p w:rsidR="00F73FAC" w:rsidRPr="007E7998" w:rsidRDefault="00F73FAC" w:rsidP="00F73FAC">
            <w:pPr>
              <w:spacing w:line="480" w:lineRule="auto"/>
              <w:jc w:val="center"/>
              <w:rPr>
                <w:rFonts w:ascii="Arial" w:hAnsi="Arial" w:cs="Arial"/>
              </w:rPr>
            </w:pPr>
            <w:r w:rsidRPr="007E7998">
              <w:rPr>
                <w:rFonts w:ascii="Arial" w:hAnsi="Arial" w:cs="Arial"/>
              </w:rPr>
              <w:t>1/108 (0.9)</w:t>
            </w:r>
          </w:p>
        </w:tc>
      </w:tr>
      <w:tr w:rsidR="00F73FAC" w:rsidRPr="007E7998" w:rsidTr="00F73FAC">
        <w:tc>
          <w:tcPr>
            <w:tcW w:w="2727" w:type="dxa"/>
          </w:tcPr>
          <w:p w:rsidR="00F73FAC" w:rsidRPr="007E7998" w:rsidRDefault="00F73FAC" w:rsidP="00F73FAC">
            <w:pPr>
              <w:spacing w:line="480" w:lineRule="auto"/>
              <w:jc w:val="center"/>
              <w:rPr>
                <w:rFonts w:ascii="Arial" w:hAnsi="Arial" w:cs="Arial"/>
              </w:rPr>
            </w:pPr>
            <w:r w:rsidRPr="007E7998">
              <w:rPr>
                <w:rFonts w:ascii="Arial" w:hAnsi="Arial" w:cs="Arial"/>
              </w:rPr>
              <w:t>4.5 - 5.0</w:t>
            </w:r>
          </w:p>
        </w:tc>
        <w:tc>
          <w:tcPr>
            <w:tcW w:w="4219" w:type="dxa"/>
          </w:tcPr>
          <w:p w:rsidR="00F73FAC" w:rsidRPr="007E7998" w:rsidRDefault="00F73FAC" w:rsidP="00025569">
            <w:pPr>
              <w:spacing w:line="480" w:lineRule="auto"/>
              <w:jc w:val="center"/>
              <w:rPr>
                <w:rFonts w:ascii="Arial" w:hAnsi="Arial" w:cs="Arial"/>
              </w:rPr>
            </w:pPr>
            <w:r w:rsidRPr="007E7998">
              <w:rPr>
                <w:rFonts w:ascii="Arial" w:hAnsi="Arial" w:cs="Arial"/>
              </w:rPr>
              <w:t>5</w:t>
            </w:r>
            <w:r w:rsidR="008A295C" w:rsidRPr="007E7998">
              <w:rPr>
                <w:rFonts w:ascii="Arial" w:hAnsi="Arial" w:cs="Arial"/>
              </w:rPr>
              <w:t>7</w:t>
            </w:r>
            <w:r w:rsidRPr="007E7998">
              <w:rPr>
                <w:rFonts w:ascii="Arial" w:hAnsi="Arial" w:cs="Arial"/>
              </w:rPr>
              <w:t>/11</w:t>
            </w:r>
            <w:r w:rsidR="008A295C" w:rsidRPr="007E7998">
              <w:rPr>
                <w:rFonts w:ascii="Arial" w:hAnsi="Arial" w:cs="Arial"/>
              </w:rPr>
              <w:t>6</w:t>
            </w:r>
            <w:r w:rsidRPr="007E7998">
              <w:rPr>
                <w:rFonts w:ascii="Arial" w:hAnsi="Arial" w:cs="Arial"/>
              </w:rPr>
              <w:t xml:space="preserve"> (49.</w:t>
            </w:r>
            <w:r w:rsidR="00025569" w:rsidRPr="007E7998">
              <w:rPr>
                <w:rFonts w:ascii="Arial" w:hAnsi="Arial" w:cs="Arial"/>
              </w:rPr>
              <w:t>1</w:t>
            </w:r>
            <w:r w:rsidRPr="007E7998">
              <w:rPr>
                <w:rFonts w:ascii="Arial" w:hAnsi="Arial" w:cs="Arial"/>
              </w:rPr>
              <w:t>)</w:t>
            </w:r>
          </w:p>
        </w:tc>
      </w:tr>
      <w:tr w:rsidR="00F73FAC" w:rsidRPr="007E7998" w:rsidTr="00F73FAC">
        <w:tc>
          <w:tcPr>
            <w:tcW w:w="2727" w:type="dxa"/>
          </w:tcPr>
          <w:p w:rsidR="00F73FAC" w:rsidRPr="007E7998" w:rsidRDefault="00F73FAC" w:rsidP="00F73FAC">
            <w:pPr>
              <w:spacing w:line="480" w:lineRule="auto"/>
              <w:jc w:val="center"/>
              <w:rPr>
                <w:rFonts w:ascii="Arial" w:hAnsi="Arial" w:cs="Arial"/>
              </w:rPr>
            </w:pPr>
            <w:r w:rsidRPr="007E7998">
              <w:rPr>
                <w:rFonts w:ascii="Arial" w:hAnsi="Arial" w:cs="Arial"/>
              </w:rPr>
              <w:t>5.0 - 5.5</w:t>
            </w:r>
          </w:p>
        </w:tc>
        <w:tc>
          <w:tcPr>
            <w:tcW w:w="4219" w:type="dxa"/>
          </w:tcPr>
          <w:p w:rsidR="00F73FAC" w:rsidRPr="007E7998" w:rsidRDefault="005C1151" w:rsidP="00B53041">
            <w:pPr>
              <w:spacing w:line="480" w:lineRule="auto"/>
              <w:jc w:val="center"/>
              <w:rPr>
                <w:rFonts w:ascii="Arial" w:hAnsi="Arial" w:cs="Arial"/>
              </w:rPr>
            </w:pPr>
            <w:r w:rsidRPr="007E7998">
              <w:rPr>
                <w:rFonts w:ascii="Arial" w:hAnsi="Arial" w:cs="Arial"/>
              </w:rPr>
              <w:t>6</w:t>
            </w:r>
            <w:r w:rsidR="00D47210" w:rsidRPr="007E7998">
              <w:rPr>
                <w:rFonts w:ascii="Arial" w:hAnsi="Arial" w:cs="Arial"/>
              </w:rPr>
              <w:t>7</w:t>
            </w:r>
            <w:r w:rsidR="00B53041" w:rsidRPr="007E7998">
              <w:rPr>
                <w:rFonts w:ascii="Arial" w:hAnsi="Arial" w:cs="Arial"/>
              </w:rPr>
              <w:t>/6</w:t>
            </w:r>
            <w:r w:rsidR="00D47210" w:rsidRPr="007E7998">
              <w:rPr>
                <w:rFonts w:ascii="Arial" w:hAnsi="Arial" w:cs="Arial"/>
              </w:rPr>
              <w:t>8</w:t>
            </w:r>
            <w:r w:rsidR="004005B6" w:rsidRPr="007E7998">
              <w:rPr>
                <w:rFonts w:ascii="Arial" w:hAnsi="Arial" w:cs="Arial"/>
              </w:rPr>
              <w:t xml:space="preserve"> (98.5</w:t>
            </w:r>
            <w:r w:rsidR="00F73FAC" w:rsidRPr="007E7998">
              <w:rPr>
                <w:rFonts w:ascii="Arial" w:hAnsi="Arial" w:cs="Arial"/>
              </w:rPr>
              <w:t>)</w:t>
            </w:r>
          </w:p>
        </w:tc>
      </w:tr>
      <w:tr w:rsidR="00F73FAC" w:rsidRPr="007E7998" w:rsidTr="00F73FAC">
        <w:tc>
          <w:tcPr>
            <w:tcW w:w="2727" w:type="dxa"/>
          </w:tcPr>
          <w:p w:rsidR="00F73FAC" w:rsidRPr="007E7998" w:rsidRDefault="00F73FAC" w:rsidP="00F73FAC">
            <w:pPr>
              <w:spacing w:line="480" w:lineRule="auto"/>
              <w:jc w:val="center"/>
              <w:rPr>
                <w:rFonts w:ascii="Arial" w:hAnsi="Arial" w:cs="Arial"/>
              </w:rPr>
            </w:pPr>
            <w:r w:rsidRPr="007E7998">
              <w:rPr>
                <w:rFonts w:ascii="Arial" w:hAnsi="Arial" w:cs="Arial"/>
              </w:rPr>
              <w:t>&gt;5.5</w:t>
            </w:r>
          </w:p>
        </w:tc>
        <w:tc>
          <w:tcPr>
            <w:tcW w:w="4219" w:type="dxa"/>
          </w:tcPr>
          <w:p w:rsidR="00F73FAC" w:rsidRPr="007E7998" w:rsidRDefault="00F73FAC" w:rsidP="004B5A29">
            <w:pPr>
              <w:spacing w:line="480" w:lineRule="auto"/>
              <w:jc w:val="center"/>
              <w:rPr>
                <w:rFonts w:ascii="Arial" w:hAnsi="Arial" w:cs="Arial"/>
              </w:rPr>
            </w:pPr>
            <w:r w:rsidRPr="007E7998">
              <w:rPr>
                <w:rFonts w:ascii="Arial" w:hAnsi="Arial" w:cs="Arial"/>
              </w:rPr>
              <w:t>7</w:t>
            </w:r>
            <w:r w:rsidR="00D47210" w:rsidRPr="007E7998">
              <w:rPr>
                <w:rFonts w:ascii="Arial" w:hAnsi="Arial" w:cs="Arial"/>
              </w:rPr>
              <w:t>2</w:t>
            </w:r>
            <w:r w:rsidRPr="007E7998">
              <w:rPr>
                <w:rFonts w:ascii="Arial" w:hAnsi="Arial" w:cs="Arial"/>
              </w:rPr>
              <w:t>/7</w:t>
            </w:r>
            <w:r w:rsidR="00D47210" w:rsidRPr="007E7998">
              <w:rPr>
                <w:rFonts w:ascii="Arial" w:hAnsi="Arial" w:cs="Arial"/>
              </w:rPr>
              <w:t>2</w:t>
            </w:r>
            <w:r w:rsidRPr="007E7998">
              <w:rPr>
                <w:rFonts w:ascii="Arial" w:hAnsi="Arial" w:cs="Arial"/>
              </w:rPr>
              <w:t xml:space="preserve"> (100)</w:t>
            </w:r>
          </w:p>
        </w:tc>
      </w:tr>
    </w:tbl>
    <w:p w:rsidR="00507032" w:rsidRPr="007E7998" w:rsidRDefault="00507032" w:rsidP="001B099E">
      <w:pPr>
        <w:rPr>
          <w:rFonts w:ascii="Arial" w:hAnsi="Arial" w:cs="Arial"/>
          <w:b/>
          <w:bCs/>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C8283E" w:rsidRPr="007E7998" w:rsidRDefault="00C8283E" w:rsidP="003F4F00">
      <w:pPr>
        <w:spacing w:line="240" w:lineRule="auto"/>
        <w:jc w:val="both"/>
        <w:rPr>
          <w:rFonts w:ascii="Arial" w:hAnsi="Arial" w:cs="Arial"/>
          <w:b/>
        </w:rPr>
      </w:pPr>
    </w:p>
    <w:p w:rsidR="00C8283E" w:rsidRPr="007E7998" w:rsidRDefault="00C8283E" w:rsidP="003F4F00">
      <w:pPr>
        <w:spacing w:line="240" w:lineRule="auto"/>
        <w:jc w:val="both"/>
        <w:rPr>
          <w:rFonts w:ascii="Arial" w:hAnsi="Arial" w:cs="Arial"/>
          <w:b/>
        </w:rPr>
      </w:pPr>
    </w:p>
    <w:p w:rsidR="00C8283E" w:rsidRPr="007E7998" w:rsidRDefault="00C8283E" w:rsidP="003F4F00">
      <w:pPr>
        <w:spacing w:line="240" w:lineRule="auto"/>
        <w:jc w:val="both"/>
        <w:rPr>
          <w:rFonts w:ascii="Arial" w:hAnsi="Arial" w:cs="Arial"/>
          <w:b/>
        </w:rPr>
      </w:pPr>
    </w:p>
    <w:p w:rsidR="00C8283E" w:rsidRPr="007E7998" w:rsidRDefault="00C8283E" w:rsidP="003F4F00">
      <w:pPr>
        <w:spacing w:line="240" w:lineRule="auto"/>
        <w:jc w:val="both"/>
        <w:rPr>
          <w:rFonts w:ascii="Arial" w:hAnsi="Arial" w:cs="Arial"/>
          <w:b/>
        </w:rPr>
      </w:pPr>
    </w:p>
    <w:p w:rsidR="00C8283E" w:rsidRPr="007E7998" w:rsidRDefault="00C8283E" w:rsidP="003F4F00">
      <w:pPr>
        <w:spacing w:line="240" w:lineRule="auto"/>
        <w:jc w:val="both"/>
        <w:rPr>
          <w:rFonts w:ascii="Arial" w:hAnsi="Arial" w:cs="Arial"/>
          <w:b/>
        </w:rPr>
      </w:pPr>
    </w:p>
    <w:p w:rsidR="00C8283E" w:rsidRPr="007E7998" w:rsidRDefault="00C8283E" w:rsidP="003F4F00">
      <w:pPr>
        <w:spacing w:line="240" w:lineRule="auto"/>
        <w:jc w:val="both"/>
        <w:rPr>
          <w:rFonts w:ascii="Arial" w:hAnsi="Arial" w:cs="Arial"/>
          <w:b/>
        </w:rPr>
      </w:pPr>
    </w:p>
    <w:p w:rsidR="003C3D71" w:rsidRPr="007E7998" w:rsidRDefault="003C3D71" w:rsidP="003F4F00">
      <w:pPr>
        <w:spacing w:line="240" w:lineRule="auto"/>
        <w:jc w:val="both"/>
        <w:rPr>
          <w:rFonts w:ascii="Arial" w:hAnsi="Arial" w:cs="Arial"/>
          <w:b/>
        </w:rPr>
      </w:pPr>
    </w:p>
    <w:p w:rsidR="003F4F00" w:rsidRPr="007E7998" w:rsidRDefault="00D04C4A" w:rsidP="009E5C43">
      <w:pPr>
        <w:spacing w:line="480" w:lineRule="auto"/>
        <w:jc w:val="both"/>
        <w:rPr>
          <w:rFonts w:ascii="Arial" w:hAnsi="Arial" w:cs="Arial"/>
          <w:b/>
        </w:rPr>
      </w:pPr>
      <w:r w:rsidRPr="007E7998">
        <w:rPr>
          <w:rFonts w:ascii="Arial" w:hAnsi="Arial" w:cs="Arial"/>
          <w:b/>
        </w:rPr>
        <w:lastRenderedPageBreak/>
        <w:t>Table 6</w:t>
      </w:r>
      <w:r w:rsidR="003F4F00" w:rsidRPr="007E7998">
        <w:rPr>
          <w:rFonts w:ascii="Arial" w:hAnsi="Arial" w:cs="Arial"/>
          <w:b/>
        </w:rPr>
        <w:t xml:space="preserve">: </w:t>
      </w:r>
      <w:r w:rsidR="006279E0" w:rsidRPr="007E7998">
        <w:rPr>
          <w:rFonts w:ascii="Arial" w:hAnsi="Arial" w:cs="Arial"/>
          <w:b/>
        </w:rPr>
        <w:t>Relationship between m</w:t>
      </w:r>
      <w:r w:rsidR="003F4F00" w:rsidRPr="007E7998">
        <w:rPr>
          <w:rFonts w:ascii="Arial" w:hAnsi="Arial" w:cs="Arial"/>
          <w:b/>
        </w:rPr>
        <w:t xml:space="preserve">ean aortic diameters </w:t>
      </w:r>
      <w:r w:rsidR="006279E0" w:rsidRPr="007E7998">
        <w:rPr>
          <w:rFonts w:ascii="Arial" w:hAnsi="Arial" w:cs="Arial"/>
          <w:b/>
        </w:rPr>
        <w:t xml:space="preserve">and </w:t>
      </w:r>
      <w:r w:rsidR="003F4F00" w:rsidRPr="007E7998">
        <w:rPr>
          <w:rFonts w:ascii="Arial" w:hAnsi="Arial" w:cs="Arial"/>
          <w:b/>
        </w:rPr>
        <w:t xml:space="preserve">indexed aortic </w:t>
      </w:r>
      <w:r w:rsidR="000E0BBE" w:rsidRPr="007E7998">
        <w:rPr>
          <w:rFonts w:ascii="Arial" w:hAnsi="Arial" w:cs="Arial"/>
          <w:b/>
        </w:rPr>
        <w:t xml:space="preserve">area </w:t>
      </w:r>
      <w:r w:rsidR="003F4F00" w:rsidRPr="007E7998">
        <w:rPr>
          <w:rFonts w:ascii="Arial" w:hAnsi="Arial" w:cs="Arial"/>
          <w:b/>
        </w:rPr>
        <w:t>ranges in aneurysms</w:t>
      </w:r>
    </w:p>
    <w:tbl>
      <w:tblPr>
        <w:tblStyle w:val="TableGrid"/>
        <w:tblpPr w:leftFromText="180" w:rightFromText="180" w:vertAnchor="text" w:horzAnchor="margin" w:tblpX="-352" w:tblpY="257"/>
        <w:tblW w:w="10525" w:type="dxa"/>
        <w:tblBorders>
          <w:insideV w:val="none" w:sz="0" w:space="0" w:color="auto"/>
        </w:tblBorders>
        <w:tblLook w:val="04A0" w:firstRow="1" w:lastRow="0" w:firstColumn="1" w:lastColumn="0" w:noHBand="0" w:noVBand="1"/>
      </w:tblPr>
      <w:tblGrid>
        <w:gridCol w:w="2411"/>
        <w:gridCol w:w="3327"/>
        <w:gridCol w:w="2410"/>
        <w:gridCol w:w="2377"/>
      </w:tblGrid>
      <w:tr w:rsidR="00692FA4" w:rsidRPr="007E7998" w:rsidTr="006700EC">
        <w:trPr>
          <w:trHeight w:val="700"/>
        </w:trPr>
        <w:tc>
          <w:tcPr>
            <w:tcW w:w="2411" w:type="dxa"/>
            <w:hideMark/>
          </w:tcPr>
          <w:p w:rsidR="00692FA4" w:rsidRPr="007E7998" w:rsidRDefault="00692FA4" w:rsidP="009B0E9A">
            <w:pPr>
              <w:spacing w:after="200"/>
              <w:jc w:val="center"/>
              <w:rPr>
                <w:rFonts w:ascii="Arial" w:hAnsi="Arial" w:cs="Arial"/>
              </w:rPr>
            </w:pPr>
          </w:p>
        </w:tc>
        <w:tc>
          <w:tcPr>
            <w:tcW w:w="8114" w:type="dxa"/>
            <w:gridSpan w:val="3"/>
            <w:hideMark/>
          </w:tcPr>
          <w:p w:rsidR="00692FA4" w:rsidRPr="007E7998" w:rsidRDefault="00692FA4" w:rsidP="009B0E9A">
            <w:pPr>
              <w:spacing w:after="200"/>
              <w:jc w:val="center"/>
              <w:rPr>
                <w:rFonts w:ascii="Arial" w:hAnsi="Arial" w:cs="Arial"/>
              </w:rPr>
            </w:pPr>
            <w:r w:rsidRPr="007E7998">
              <w:rPr>
                <w:rFonts w:ascii="Arial" w:hAnsi="Arial" w:cs="Arial"/>
                <w:bCs/>
              </w:rPr>
              <w:t>Mean aortic diameter (cm) according to aortic location</w:t>
            </w:r>
          </w:p>
          <w:p w:rsidR="00692FA4" w:rsidRPr="007E7998" w:rsidRDefault="00692FA4" w:rsidP="00D808C0">
            <w:pPr>
              <w:spacing w:after="200"/>
              <w:jc w:val="center"/>
              <w:rPr>
                <w:rFonts w:ascii="Arial" w:hAnsi="Arial" w:cs="Arial"/>
              </w:rPr>
            </w:pPr>
            <w:r w:rsidRPr="007E7998">
              <w:rPr>
                <w:rFonts w:ascii="Arial" w:hAnsi="Arial" w:cs="Arial"/>
                <w:bCs/>
              </w:rPr>
              <w:t xml:space="preserve">(n, % of </w:t>
            </w:r>
            <w:r w:rsidR="00B207C2" w:rsidRPr="007E7998">
              <w:rPr>
                <w:rFonts w:ascii="Arial" w:hAnsi="Arial" w:cs="Arial"/>
                <w:bCs/>
              </w:rPr>
              <w:t>all</w:t>
            </w:r>
            <w:r w:rsidRPr="007E7998">
              <w:rPr>
                <w:rFonts w:ascii="Arial" w:hAnsi="Arial" w:cs="Arial"/>
                <w:bCs/>
              </w:rPr>
              <w:t xml:space="preserve"> patients with indexed aortic </w:t>
            </w:r>
            <w:r w:rsidR="00D808C0" w:rsidRPr="007E7998">
              <w:rPr>
                <w:rFonts w:ascii="Arial" w:hAnsi="Arial" w:cs="Arial"/>
                <w:bCs/>
              </w:rPr>
              <w:t>area</w:t>
            </w:r>
            <w:r w:rsidRPr="007E7998">
              <w:rPr>
                <w:rFonts w:ascii="Arial" w:hAnsi="Arial" w:cs="Arial"/>
                <w:bCs/>
              </w:rPr>
              <w:t xml:space="preserve"> &gt;10cm</w:t>
            </w:r>
            <w:r w:rsidRPr="007E7998">
              <w:rPr>
                <w:rFonts w:ascii="Arial" w:hAnsi="Arial" w:cs="Arial"/>
                <w:bCs/>
                <w:vertAlign w:val="superscript"/>
              </w:rPr>
              <w:t>2</w:t>
            </w:r>
            <w:r w:rsidRPr="007E7998">
              <w:rPr>
                <w:rFonts w:ascii="Arial" w:hAnsi="Arial" w:cs="Arial"/>
                <w:bCs/>
              </w:rPr>
              <w:t>/m</w:t>
            </w:r>
            <w:r w:rsidR="00FC3161" w:rsidRPr="007E7998">
              <w:rPr>
                <w:rFonts w:ascii="Arial" w:hAnsi="Arial" w:cs="Arial"/>
                <w:bCs/>
              </w:rPr>
              <w:t xml:space="preserve"> per aortic location</w:t>
            </w:r>
            <w:r w:rsidRPr="007E7998">
              <w:rPr>
                <w:rFonts w:ascii="Arial" w:hAnsi="Arial" w:cs="Arial"/>
                <w:bCs/>
              </w:rPr>
              <w:t>)</w:t>
            </w:r>
          </w:p>
        </w:tc>
      </w:tr>
      <w:tr w:rsidR="00692FA4" w:rsidRPr="007E7998" w:rsidTr="006700EC">
        <w:trPr>
          <w:trHeight w:val="511"/>
        </w:trPr>
        <w:tc>
          <w:tcPr>
            <w:tcW w:w="2411" w:type="dxa"/>
            <w:hideMark/>
          </w:tcPr>
          <w:p w:rsidR="00692FA4" w:rsidRPr="007E7998" w:rsidRDefault="00692FA4" w:rsidP="00DA69A7">
            <w:pPr>
              <w:spacing w:after="200"/>
              <w:jc w:val="center"/>
              <w:rPr>
                <w:rFonts w:ascii="Arial" w:hAnsi="Arial" w:cs="Arial"/>
              </w:rPr>
            </w:pPr>
            <w:r w:rsidRPr="007E7998">
              <w:rPr>
                <w:rFonts w:ascii="Arial" w:hAnsi="Arial" w:cs="Arial"/>
              </w:rPr>
              <w:t xml:space="preserve">Indexed aortic </w:t>
            </w:r>
            <w:r w:rsidR="00DA69A7" w:rsidRPr="007E7998">
              <w:rPr>
                <w:rFonts w:ascii="Arial" w:hAnsi="Arial" w:cs="Arial"/>
              </w:rPr>
              <w:t>area</w:t>
            </w:r>
            <w:r w:rsidRPr="007E7998">
              <w:rPr>
                <w:rFonts w:ascii="Arial" w:hAnsi="Arial" w:cs="Arial"/>
              </w:rPr>
              <w:t xml:space="preserve"> (cm</w:t>
            </w:r>
            <w:r w:rsidRPr="007E7998">
              <w:rPr>
                <w:rFonts w:ascii="Arial" w:hAnsi="Arial" w:cs="Arial"/>
                <w:vertAlign w:val="superscript"/>
              </w:rPr>
              <w:t>2</w:t>
            </w:r>
            <w:r w:rsidRPr="007E7998">
              <w:rPr>
                <w:rFonts w:ascii="Arial" w:hAnsi="Arial" w:cs="Arial"/>
              </w:rPr>
              <w:t>/m)</w:t>
            </w:r>
          </w:p>
        </w:tc>
        <w:tc>
          <w:tcPr>
            <w:tcW w:w="3327" w:type="dxa"/>
            <w:hideMark/>
          </w:tcPr>
          <w:p w:rsidR="00692FA4" w:rsidRPr="007E7998" w:rsidRDefault="00332479" w:rsidP="009B0E9A">
            <w:pPr>
              <w:spacing w:after="200"/>
              <w:jc w:val="center"/>
              <w:rPr>
                <w:rFonts w:ascii="Arial" w:hAnsi="Arial" w:cs="Arial"/>
              </w:rPr>
            </w:pPr>
            <w:r w:rsidRPr="007E7998">
              <w:rPr>
                <w:rFonts w:ascii="Arial" w:hAnsi="Arial" w:cs="Arial"/>
              </w:rPr>
              <w:t>Mid-sinus</w:t>
            </w:r>
          </w:p>
          <w:p w:rsidR="00332479" w:rsidRPr="007E7998" w:rsidRDefault="00332479" w:rsidP="009B0E9A">
            <w:pPr>
              <w:spacing w:after="200"/>
              <w:jc w:val="center"/>
              <w:rPr>
                <w:rFonts w:ascii="Arial" w:hAnsi="Arial" w:cs="Arial"/>
              </w:rPr>
            </w:pPr>
            <w:r w:rsidRPr="007E7998">
              <w:rPr>
                <w:rFonts w:ascii="Arial" w:hAnsi="Arial" w:cs="Arial"/>
              </w:rPr>
              <w:t xml:space="preserve">N </w:t>
            </w:r>
            <w:r w:rsidR="00F960F4" w:rsidRPr="007E7998">
              <w:rPr>
                <w:rFonts w:ascii="Arial" w:hAnsi="Arial" w:cs="Arial"/>
              </w:rPr>
              <w:t>= 7</w:t>
            </w:r>
            <w:r w:rsidR="00BE499C" w:rsidRPr="007E7998">
              <w:rPr>
                <w:rFonts w:ascii="Arial" w:hAnsi="Arial" w:cs="Arial"/>
              </w:rPr>
              <w:t>4</w:t>
            </w:r>
          </w:p>
        </w:tc>
        <w:tc>
          <w:tcPr>
            <w:tcW w:w="2410" w:type="dxa"/>
            <w:hideMark/>
          </w:tcPr>
          <w:p w:rsidR="00692FA4" w:rsidRPr="007E7998" w:rsidRDefault="00A32DE8" w:rsidP="009B0E9A">
            <w:pPr>
              <w:spacing w:after="200"/>
              <w:jc w:val="center"/>
              <w:rPr>
                <w:rFonts w:ascii="Arial" w:hAnsi="Arial" w:cs="Arial"/>
              </w:rPr>
            </w:pPr>
            <w:r w:rsidRPr="007E7998">
              <w:rPr>
                <w:rFonts w:ascii="Arial" w:hAnsi="Arial" w:cs="Arial"/>
              </w:rPr>
              <w:t>Sino-tubular junction</w:t>
            </w:r>
          </w:p>
          <w:p w:rsidR="0071350A" w:rsidRPr="007E7998" w:rsidRDefault="0071350A" w:rsidP="00BE499C">
            <w:pPr>
              <w:spacing w:after="200"/>
              <w:jc w:val="center"/>
              <w:rPr>
                <w:rFonts w:ascii="Arial" w:hAnsi="Arial" w:cs="Arial"/>
              </w:rPr>
            </w:pPr>
            <w:r w:rsidRPr="007E7998">
              <w:rPr>
                <w:rFonts w:ascii="Arial" w:hAnsi="Arial" w:cs="Arial"/>
              </w:rPr>
              <w:t xml:space="preserve">N </w:t>
            </w:r>
            <w:r w:rsidR="00F960F4" w:rsidRPr="007E7998">
              <w:rPr>
                <w:rFonts w:ascii="Arial" w:hAnsi="Arial" w:cs="Arial"/>
              </w:rPr>
              <w:t>= 2</w:t>
            </w:r>
            <w:r w:rsidR="00BE499C" w:rsidRPr="007E7998">
              <w:rPr>
                <w:rFonts w:ascii="Arial" w:hAnsi="Arial" w:cs="Arial"/>
              </w:rPr>
              <w:t>0</w:t>
            </w:r>
          </w:p>
        </w:tc>
        <w:tc>
          <w:tcPr>
            <w:tcW w:w="2377" w:type="dxa"/>
            <w:hideMark/>
          </w:tcPr>
          <w:p w:rsidR="00692FA4" w:rsidRPr="007E7998" w:rsidRDefault="00692FA4" w:rsidP="0068666B">
            <w:pPr>
              <w:spacing w:after="200"/>
              <w:jc w:val="center"/>
              <w:rPr>
                <w:rFonts w:ascii="Arial" w:hAnsi="Arial" w:cs="Arial"/>
              </w:rPr>
            </w:pPr>
            <w:r w:rsidRPr="007E7998">
              <w:rPr>
                <w:rFonts w:ascii="Arial" w:hAnsi="Arial" w:cs="Arial"/>
              </w:rPr>
              <w:t>Mid-ascending</w:t>
            </w:r>
            <w:r w:rsidR="006E4CD7" w:rsidRPr="007E7998">
              <w:rPr>
                <w:rFonts w:ascii="Arial" w:hAnsi="Arial" w:cs="Arial"/>
              </w:rPr>
              <w:t xml:space="preserve"> </w:t>
            </w:r>
          </w:p>
          <w:p w:rsidR="0071350A" w:rsidRPr="007E7998" w:rsidRDefault="0071350A" w:rsidP="00BE499C">
            <w:pPr>
              <w:spacing w:after="200"/>
              <w:jc w:val="center"/>
              <w:rPr>
                <w:rFonts w:ascii="Arial" w:hAnsi="Arial" w:cs="Arial"/>
              </w:rPr>
            </w:pPr>
            <w:r w:rsidRPr="007E7998">
              <w:rPr>
                <w:rFonts w:ascii="Arial" w:hAnsi="Arial" w:cs="Arial"/>
              </w:rPr>
              <w:t>N =1</w:t>
            </w:r>
            <w:r w:rsidR="00BE499C" w:rsidRPr="007E7998">
              <w:rPr>
                <w:rFonts w:ascii="Arial" w:hAnsi="Arial" w:cs="Arial"/>
              </w:rPr>
              <w:t>06</w:t>
            </w:r>
          </w:p>
        </w:tc>
      </w:tr>
      <w:tr w:rsidR="00692FA4" w:rsidRPr="007E7998" w:rsidTr="006700EC">
        <w:trPr>
          <w:trHeight w:val="335"/>
        </w:trPr>
        <w:tc>
          <w:tcPr>
            <w:tcW w:w="2411" w:type="dxa"/>
            <w:hideMark/>
          </w:tcPr>
          <w:p w:rsidR="00692FA4" w:rsidRPr="007E7998" w:rsidRDefault="00692FA4" w:rsidP="009B0E9A">
            <w:pPr>
              <w:spacing w:after="200"/>
              <w:jc w:val="center"/>
              <w:rPr>
                <w:rFonts w:ascii="Arial" w:hAnsi="Arial" w:cs="Arial"/>
              </w:rPr>
            </w:pPr>
            <w:r w:rsidRPr="007E7998">
              <w:rPr>
                <w:rFonts w:ascii="Arial" w:hAnsi="Arial" w:cs="Arial"/>
              </w:rPr>
              <w:t>10-12</w:t>
            </w:r>
          </w:p>
        </w:tc>
        <w:tc>
          <w:tcPr>
            <w:tcW w:w="3327" w:type="dxa"/>
            <w:hideMark/>
          </w:tcPr>
          <w:p w:rsidR="00692FA4" w:rsidRPr="007E7998" w:rsidRDefault="00544AFF" w:rsidP="00A50FBA">
            <w:pPr>
              <w:spacing w:after="200"/>
              <w:jc w:val="center"/>
              <w:rPr>
                <w:rFonts w:ascii="Arial" w:hAnsi="Arial" w:cs="Arial"/>
              </w:rPr>
            </w:pPr>
            <w:r w:rsidRPr="007E7998">
              <w:rPr>
                <w:rFonts w:ascii="Arial" w:hAnsi="Arial" w:cs="Arial"/>
              </w:rPr>
              <w:t>4.98 (45</w:t>
            </w:r>
            <w:r w:rsidR="00692FA4" w:rsidRPr="007E7998">
              <w:rPr>
                <w:rFonts w:ascii="Arial" w:hAnsi="Arial" w:cs="Arial"/>
              </w:rPr>
              <w:t>, 60.0)</w:t>
            </w:r>
          </w:p>
        </w:tc>
        <w:tc>
          <w:tcPr>
            <w:tcW w:w="2410" w:type="dxa"/>
            <w:hideMark/>
          </w:tcPr>
          <w:p w:rsidR="00692FA4" w:rsidRPr="007E7998" w:rsidRDefault="00544AFF" w:rsidP="00A50FBA">
            <w:pPr>
              <w:spacing w:after="200"/>
              <w:jc w:val="center"/>
              <w:rPr>
                <w:rFonts w:ascii="Arial" w:hAnsi="Arial" w:cs="Arial"/>
              </w:rPr>
            </w:pPr>
            <w:r w:rsidRPr="007E7998">
              <w:rPr>
                <w:rFonts w:ascii="Arial" w:hAnsi="Arial" w:cs="Arial"/>
              </w:rPr>
              <w:t>5.04 (9</w:t>
            </w:r>
            <w:r w:rsidR="00692FA4" w:rsidRPr="007E7998">
              <w:rPr>
                <w:rFonts w:ascii="Arial" w:hAnsi="Arial" w:cs="Arial"/>
              </w:rPr>
              <w:t>, 42.9)</w:t>
            </w:r>
          </w:p>
        </w:tc>
        <w:tc>
          <w:tcPr>
            <w:tcW w:w="2377" w:type="dxa"/>
            <w:hideMark/>
          </w:tcPr>
          <w:p w:rsidR="00692FA4" w:rsidRPr="007E7998" w:rsidRDefault="00D360FC" w:rsidP="008C053A">
            <w:pPr>
              <w:spacing w:after="200"/>
              <w:jc w:val="center"/>
              <w:rPr>
                <w:rFonts w:ascii="Arial" w:hAnsi="Arial" w:cs="Arial"/>
              </w:rPr>
            </w:pPr>
            <w:r w:rsidRPr="007E7998">
              <w:rPr>
                <w:rFonts w:ascii="Arial" w:hAnsi="Arial" w:cs="Arial"/>
              </w:rPr>
              <w:t>4.9</w:t>
            </w:r>
            <w:r w:rsidR="008C053A" w:rsidRPr="007E7998">
              <w:rPr>
                <w:rFonts w:ascii="Arial" w:hAnsi="Arial" w:cs="Arial"/>
              </w:rPr>
              <w:t>2</w:t>
            </w:r>
            <w:r w:rsidRPr="007E7998">
              <w:rPr>
                <w:rFonts w:ascii="Arial" w:hAnsi="Arial" w:cs="Arial"/>
              </w:rPr>
              <w:t xml:space="preserve"> (46</w:t>
            </w:r>
            <w:r w:rsidR="00692FA4" w:rsidRPr="007E7998">
              <w:rPr>
                <w:rFonts w:ascii="Arial" w:hAnsi="Arial" w:cs="Arial"/>
              </w:rPr>
              <w:t>, 4</w:t>
            </w:r>
            <w:r w:rsidRPr="007E7998">
              <w:rPr>
                <w:rFonts w:ascii="Arial" w:hAnsi="Arial" w:cs="Arial"/>
              </w:rPr>
              <w:t>3.4</w:t>
            </w:r>
            <w:r w:rsidR="00692FA4" w:rsidRPr="007E7998">
              <w:rPr>
                <w:rFonts w:ascii="Arial" w:hAnsi="Arial" w:cs="Arial"/>
              </w:rPr>
              <w:t>)</w:t>
            </w:r>
          </w:p>
        </w:tc>
      </w:tr>
      <w:tr w:rsidR="00692FA4" w:rsidRPr="007E7998" w:rsidTr="006700EC">
        <w:trPr>
          <w:trHeight w:val="335"/>
        </w:trPr>
        <w:tc>
          <w:tcPr>
            <w:tcW w:w="2411" w:type="dxa"/>
            <w:hideMark/>
          </w:tcPr>
          <w:p w:rsidR="00692FA4" w:rsidRPr="007E7998" w:rsidRDefault="00692FA4" w:rsidP="009B0E9A">
            <w:pPr>
              <w:spacing w:after="200"/>
              <w:jc w:val="center"/>
              <w:rPr>
                <w:rFonts w:ascii="Arial" w:hAnsi="Arial" w:cs="Arial"/>
              </w:rPr>
            </w:pPr>
            <w:r w:rsidRPr="007E7998">
              <w:rPr>
                <w:rFonts w:ascii="Arial" w:hAnsi="Arial" w:cs="Arial"/>
              </w:rPr>
              <w:t>12-14</w:t>
            </w:r>
          </w:p>
        </w:tc>
        <w:tc>
          <w:tcPr>
            <w:tcW w:w="3327" w:type="dxa"/>
            <w:hideMark/>
          </w:tcPr>
          <w:p w:rsidR="00692FA4" w:rsidRPr="007E7998" w:rsidRDefault="00FF621D" w:rsidP="00FF621D">
            <w:pPr>
              <w:spacing w:after="200"/>
              <w:jc w:val="center"/>
              <w:rPr>
                <w:rFonts w:ascii="Arial" w:hAnsi="Arial" w:cs="Arial"/>
              </w:rPr>
            </w:pPr>
            <w:r w:rsidRPr="007E7998">
              <w:rPr>
                <w:rFonts w:ascii="Arial" w:hAnsi="Arial" w:cs="Arial"/>
              </w:rPr>
              <w:t>5.46 (18</w:t>
            </w:r>
            <w:r w:rsidR="00692FA4" w:rsidRPr="007E7998">
              <w:rPr>
                <w:rFonts w:ascii="Arial" w:hAnsi="Arial" w:cs="Arial"/>
              </w:rPr>
              <w:t xml:space="preserve">, </w:t>
            </w:r>
            <w:r w:rsidRPr="007E7998">
              <w:rPr>
                <w:rFonts w:ascii="Arial" w:hAnsi="Arial" w:cs="Arial"/>
              </w:rPr>
              <w:t>24.3</w:t>
            </w:r>
            <w:r w:rsidR="00692FA4" w:rsidRPr="007E7998">
              <w:rPr>
                <w:rFonts w:ascii="Arial" w:hAnsi="Arial" w:cs="Arial"/>
              </w:rPr>
              <w:t>)</w:t>
            </w:r>
          </w:p>
        </w:tc>
        <w:tc>
          <w:tcPr>
            <w:tcW w:w="2410" w:type="dxa"/>
            <w:hideMark/>
          </w:tcPr>
          <w:p w:rsidR="00692FA4" w:rsidRPr="007E7998" w:rsidRDefault="00E422C3" w:rsidP="00A34270">
            <w:pPr>
              <w:spacing w:after="200"/>
              <w:jc w:val="center"/>
              <w:rPr>
                <w:rFonts w:ascii="Arial" w:hAnsi="Arial" w:cs="Arial"/>
              </w:rPr>
            </w:pPr>
            <w:r w:rsidRPr="007E7998">
              <w:rPr>
                <w:rFonts w:ascii="Arial" w:hAnsi="Arial" w:cs="Arial"/>
              </w:rPr>
              <w:t>5.3</w:t>
            </w:r>
            <w:r w:rsidR="00A34270" w:rsidRPr="007E7998">
              <w:rPr>
                <w:rFonts w:ascii="Arial" w:hAnsi="Arial" w:cs="Arial"/>
              </w:rPr>
              <w:t>5</w:t>
            </w:r>
            <w:r w:rsidRPr="007E7998">
              <w:rPr>
                <w:rFonts w:ascii="Arial" w:hAnsi="Arial" w:cs="Arial"/>
              </w:rPr>
              <w:t xml:space="preserve"> (4</w:t>
            </w:r>
            <w:r w:rsidR="00692FA4" w:rsidRPr="007E7998">
              <w:rPr>
                <w:rFonts w:ascii="Arial" w:hAnsi="Arial" w:cs="Arial"/>
              </w:rPr>
              <w:t>, 2</w:t>
            </w:r>
            <w:r w:rsidRPr="007E7998">
              <w:rPr>
                <w:rFonts w:ascii="Arial" w:hAnsi="Arial" w:cs="Arial"/>
              </w:rPr>
              <w:t>0</w:t>
            </w:r>
            <w:r w:rsidR="00692FA4" w:rsidRPr="007E7998">
              <w:rPr>
                <w:rFonts w:ascii="Arial" w:hAnsi="Arial" w:cs="Arial"/>
              </w:rPr>
              <w:t>.</w:t>
            </w:r>
            <w:r w:rsidRPr="007E7998">
              <w:rPr>
                <w:rFonts w:ascii="Arial" w:hAnsi="Arial" w:cs="Arial"/>
              </w:rPr>
              <w:t>0</w:t>
            </w:r>
            <w:r w:rsidR="00692FA4" w:rsidRPr="007E7998">
              <w:rPr>
                <w:rFonts w:ascii="Arial" w:hAnsi="Arial" w:cs="Arial"/>
              </w:rPr>
              <w:t>)</w:t>
            </w:r>
          </w:p>
        </w:tc>
        <w:tc>
          <w:tcPr>
            <w:tcW w:w="2377" w:type="dxa"/>
            <w:hideMark/>
          </w:tcPr>
          <w:p w:rsidR="00692FA4" w:rsidRPr="007E7998" w:rsidRDefault="00544AFF" w:rsidP="00A50FBA">
            <w:pPr>
              <w:spacing w:after="200"/>
              <w:jc w:val="center"/>
              <w:rPr>
                <w:rFonts w:ascii="Arial" w:hAnsi="Arial" w:cs="Arial"/>
              </w:rPr>
            </w:pPr>
            <w:r w:rsidRPr="007E7998">
              <w:rPr>
                <w:rFonts w:ascii="Arial" w:hAnsi="Arial" w:cs="Arial"/>
              </w:rPr>
              <w:t>5.37 (17</w:t>
            </w:r>
            <w:r w:rsidR="00692FA4" w:rsidRPr="007E7998">
              <w:rPr>
                <w:rFonts w:ascii="Arial" w:hAnsi="Arial" w:cs="Arial"/>
              </w:rPr>
              <w:t>, 15.4)</w:t>
            </w:r>
          </w:p>
        </w:tc>
      </w:tr>
      <w:tr w:rsidR="00692FA4" w:rsidRPr="007E7998" w:rsidTr="006700EC">
        <w:trPr>
          <w:trHeight w:val="335"/>
        </w:trPr>
        <w:tc>
          <w:tcPr>
            <w:tcW w:w="2411" w:type="dxa"/>
            <w:hideMark/>
          </w:tcPr>
          <w:p w:rsidR="00692FA4" w:rsidRPr="007E7998" w:rsidRDefault="00692FA4" w:rsidP="009B0E9A">
            <w:pPr>
              <w:spacing w:after="200"/>
              <w:jc w:val="center"/>
              <w:rPr>
                <w:rFonts w:ascii="Arial" w:hAnsi="Arial" w:cs="Arial"/>
              </w:rPr>
            </w:pPr>
            <w:r w:rsidRPr="007E7998">
              <w:rPr>
                <w:rFonts w:ascii="Arial" w:hAnsi="Arial" w:cs="Arial"/>
              </w:rPr>
              <w:t>&gt;14</w:t>
            </w:r>
          </w:p>
        </w:tc>
        <w:tc>
          <w:tcPr>
            <w:tcW w:w="3327" w:type="dxa"/>
            <w:hideMark/>
          </w:tcPr>
          <w:p w:rsidR="00692FA4" w:rsidRPr="007E7998" w:rsidRDefault="00544AFF" w:rsidP="00A50FBA">
            <w:pPr>
              <w:spacing w:after="200"/>
              <w:jc w:val="center"/>
              <w:rPr>
                <w:rFonts w:ascii="Arial" w:hAnsi="Arial" w:cs="Arial"/>
              </w:rPr>
            </w:pPr>
            <w:r w:rsidRPr="007E7998">
              <w:rPr>
                <w:rFonts w:ascii="Arial" w:hAnsi="Arial" w:cs="Arial"/>
              </w:rPr>
              <w:t>6.25 (11</w:t>
            </w:r>
            <w:r w:rsidR="00692FA4" w:rsidRPr="007E7998">
              <w:rPr>
                <w:rFonts w:ascii="Arial" w:hAnsi="Arial" w:cs="Arial"/>
              </w:rPr>
              <w:t>, 14.7)</w:t>
            </w:r>
          </w:p>
        </w:tc>
        <w:tc>
          <w:tcPr>
            <w:tcW w:w="2410" w:type="dxa"/>
            <w:hideMark/>
          </w:tcPr>
          <w:p w:rsidR="00692FA4" w:rsidRPr="007E7998" w:rsidRDefault="00544AFF" w:rsidP="00A50FBA">
            <w:pPr>
              <w:spacing w:after="200"/>
              <w:jc w:val="center"/>
              <w:rPr>
                <w:rFonts w:ascii="Arial" w:hAnsi="Arial" w:cs="Arial"/>
              </w:rPr>
            </w:pPr>
            <w:r w:rsidRPr="007E7998">
              <w:rPr>
                <w:rFonts w:ascii="Arial" w:hAnsi="Arial" w:cs="Arial"/>
              </w:rPr>
              <w:t>6.19 (7</w:t>
            </w:r>
            <w:r w:rsidR="00692FA4" w:rsidRPr="007E7998">
              <w:rPr>
                <w:rFonts w:ascii="Arial" w:hAnsi="Arial" w:cs="Arial"/>
              </w:rPr>
              <w:t>, 33.3)</w:t>
            </w:r>
          </w:p>
        </w:tc>
        <w:tc>
          <w:tcPr>
            <w:tcW w:w="2377" w:type="dxa"/>
            <w:hideMark/>
          </w:tcPr>
          <w:p w:rsidR="00692FA4" w:rsidRPr="007E7998" w:rsidRDefault="00544AFF" w:rsidP="00B732B5">
            <w:pPr>
              <w:spacing w:after="200"/>
              <w:jc w:val="center"/>
              <w:rPr>
                <w:rFonts w:ascii="Arial" w:hAnsi="Arial" w:cs="Arial"/>
              </w:rPr>
            </w:pPr>
            <w:r w:rsidRPr="007E7998">
              <w:rPr>
                <w:rFonts w:ascii="Arial" w:hAnsi="Arial" w:cs="Arial"/>
              </w:rPr>
              <w:t>6.5</w:t>
            </w:r>
            <w:r w:rsidR="00670406" w:rsidRPr="007E7998">
              <w:rPr>
                <w:rFonts w:ascii="Arial" w:hAnsi="Arial" w:cs="Arial"/>
              </w:rPr>
              <w:t>4</w:t>
            </w:r>
            <w:r w:rsidRPr="007E7998">
              <w:rPr>
                <w:rFonts w:ascii="Arial" w:hAnsi="Arial" w:cs="Arial"/>
              </w:rPr>
              <w:t xml:space="preserve"> (4</w:t>
            </w:r>
            <w:r w:rsidR="00670406" w:rsidRPr="007E7998">
              <w:rPr>
                <w:rFonts w:ascii="Arial" w:hAnsi="Arial" w:cs="Arial"/>
              </w:rPr>
              <w:t>3</w:t>
            </w:r>
            <w:r w:rsidR="00692FA4" w:rsidRPr="007E7998">
              <w:rPr>
                <w:rFonts w:ascii="Arial" w:hAnsi="Arial" w:cs="Arial"/>
              </w:rPr>
              <w:t>, 4</w:t>
            </w:r>
            <w:r w:rsidR="00B732B5" w:rsidRPr="007E7998">
              <w:rPr>
                <w:rFonts w:ascii="Arial" w:hAnsi="Arial" w:cs="Arial"/>
              </w:rPr>
              <w:t>0.6</w:t>
            </w:r>
            <w:r w:rsidR="00692FA4" w:rsidRPr="007E7998">
              <w:rPr>
                <w:rFonts w:ascii="Arial" w:hAnsi="Arial" w:cs="Arial"/>
              </w:rPr>
              <w:t>)</w:t>
            </w:r>
          </w:p>
        </w:tc>
      </w:tr>
    </w:tbl>
    <w:p w:rsidR="003F4F00" w:rsidRPr="007E7998" w:rsidRDefault="003F4F00"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692FA4">
      <w:pPr>
        <w:rPr>
          <w:rFonts w:ascii="Arial" w:hAnsi="Arial" w:cs="Arial"/>
          <w:b/>
          <w:bCs/>
        </w:rPr>
      </w:pPr>
    </w:p>
    <w:p w:rsidR="00EB3914" w:rsidRPr="007E7998" w:rsidRDefault="00EB3914" w:rsidP="00EB3914">
      <w:pPr>
        <w:spacing w:line="480" w:lineRule="auto"/>
        <w:jc w:val="both"/>
        <w:rPr>
          <w:rFonts w:ascii="Arial" w:hAnsi="Arial" w:cs="Arial"/>
          <w:b/>
        </w:rPr>
      </w:pPr>
      <w:r w:rsidRPr="007E7998">
        <w:rPr>
          <w:rFonts w:ascii="Arial" w:hAnsi="Arial" w:cs="Arial"/>
          <w:b/>
        </w:rPr>
        <w:lastRenderedPageBreak/>
        <w:t>References</w:t>
      </w:r>
    </w:p>
    <w:p w:rsidR="004F7385" w:rsidRPr="007E7998" w:rsidRDefault="004F7385" w:rsidP="004F7385">
      <w:pPr>
        <w:pStyle w:val="ListParagraph"/>
        <w:numPr>
          <w:ilvl w:val="0"/>
          <w:numId w:val="19"/>
        </w:numPr>
        <w:shd w:val="clear" w:color="auto" w:fill="FFFFFF"/>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t>Masri</w:t>
      </w:r>
      <w:proofErr w:type="spellEnd"/>
      <w:r w:rsidRPr="007E7998">
        <w:rPr>
          <w:rFonts w:ascii="Arial" w:hAnsi="Arial" w:cs="Arial"/>
        </w:rPr>
        <w:t xml:space="preserve"> A, </w:t>
      </w:r>
      <w:proofErr w:type="spellStart"/>
      <w:r w:rsidRPr="007E7998">
        <w:rPr>
          <w:rFonts w:ascii="Arial" w:hAnsi="Arial" w:cs="Arial"/>
        </w:rPr>
        <w:t>Kalahasti</w:t>
      </w:r>
      <w:proofErr w:type="spellEnd"/>
      <w:r w:rsidRPr="007E7998">
        <w:rPr>
          <w:rFonts w:ascii="Arial" w:hAnsi="Arial" w:cs="Arial"/>
        </w:rPr>
        <w:t xml:space="preserve"> V, </w:t>
      </w:r>
      <w:proofErr w:type="spellStart"/>
      <w:r w:rsidRPr="007E7998">
        <w:rPr>
          <w:rFonts w:ascii="Arial" w:hAnsi="Arial" w:cs="Arial"/>
        </w:rPr>
        <w:t>Svensson</w:t>
      </w:r>
      <w:proofErr w:type="spellEnd"/>
      <w:r w:rsidRPr="007E7998">
        <w:rPr>
          <w:rFonts w:ascii="Arial" w:hAnsi="Arial" w:cs="Arial"/>
        </w:rPr>
        <w:t xml:space="preserve"> LG, </w:t>
      </w:r>
      <w:proofErr w:type="spellStart"/>
      <w:r w:rsidRPr="007E7998">
        <w:rPr>
          <w:rFonts w:ascii="Arial" w:hAnsi="Arial" w:cs="Arial"/>
        </w:rPr>
        <w:t>Roselli</w:t>
      </w:r>
      <w:proofErr w:type="spellEnd"/>
      <w:r w:rsidRPr="007E7998">
        <w:rPr>
          <w:rFonts w:ascii="Arial" w:hAnsi="Arial" w:cs="Arial"/>
        </w:rPr>
        <w:t xml:space="preserve"> EE, Johnston D, Hammer D, </w:t>
      </w:r>
      <w:r w:rsidRPr="007E7998">
        <w:rPr>
          <w:rFonts w:ascii="Arial" w:hAnsi="Arial" w:cs="Arial"/>
          <w:i/>
        </w:rPr>
        <w:t>et al</w:t>
      </w:r>
      <w:r w:rsidRPr="007E7998">
        <w:rPr>
          <w:rFonts w:ascii="Arial" w:hAnsi="Arial" w:cs="Arial"/>
        </w:rPr>
        <w:t xml:space="preserve">. </w:t>
      </w:r>
      <w:hyperlink r:id="rId12" w:history="1">
        <w:r w:rsidRPr="007E7998">
          <w:rPr>
            <w:rStyle w:val="Hyperlink"/>
            <w:rFonts w:ascii="Arial" w:hAnsi="Arial" w:cs="Arial"/>
            <w:color w:val="auto"/>
            <w:u w:val="none"/>
          </w:rPr>
          <w:t xml:space="preserve">Aortic Cross-Sectional Area/Height Ratio and Outcomes in Patients With a </w:t>
        </w:r>
        <w:proofErr w:type="spellStart"/>
        <w:r w:rsidRPr="007E7998">
          <w:rPr>
            <w:rStyle w:val="Hyperlink"/>
            <w:rFonts w:ascii="Arial" w:hAnsi="Arial" w:cs="Arial"/>
            <w:color w:val="auto"/>
            <w:u w:val="none"/>
          </w:rPr>
          <w:t>Trileaflet</w:t>
        </w:r>
        <w:proofErr w:type="spellEnd"/>
        <w:r w:rsidRPr="007E7998">
          <w:rPr>
            <w:rStyle w:val="Hyperlink"/>
            <w:rFonts w:ascii="Arial" w:hAnsi="Arial" w:cs="Arial"/>
            <w:color w:val="auto"/>
            <w:u w:val="none"/>
          </w:rPr>
          <w:t xml:space="preserve"> Aortic Valve and a Dilated Aorta.</w:t>
        </w:r>
      </w:hyperlink>
      <w:r w:rsidRPr="007E7998">
        <w:rPr>
          <w:rFonts w:ascii="Arial" w:hAnsi="Arial" w:cs="Arial"/>
        </w:rPr>
        <w:t xml:space="preserve"> </w:t>
      </w:r>
      <w:r w:rsidRPr="007E7998">
        <w:rPr>
          <w:rStyle w:val="jrnl"/>
          <w:rFonts w:ascii="Arial" w:hAnsi="Arial" w:cs="Arial"/>
        </w:rPr>
        <w:t>Circulation</w:t>
      </w:r>
      <w:r w:rsidRPr="007E7998">
        <w:rPr>
          <w:rFonts w:ascii="Arial" w:hAnsi="Arial" w:cs="Arial"/>
        </w:rPr>
        <w:t>. 2016</w:t>
      </w:r>
      <w:proofErr w:type="gramStart"/>
      <w:r w:rsidRPr="007E7998">
        <w:rPr>
          <w:rFonts w:ascii="Arial" w:hAnsi="Arial" w:cs="Arial"/>
        </w:rPr>
        <w:t>;134</w:t>
      </w:r>
      <w:proofErr w:type="gramEnd"/>
      <w:r w:rsidRPr="007E7998">
        <w:rPr>
          <w:rFonts w:ascii="Arial" w:hAnsi="Arial" w:cs="Arial"/>
        </w:rPr>
        <w:t>(22):1724–1737. </w:t>
      </w:r>
      <w:r w:rsidR="008675EA" w:rsidRPr="007E7998">
        <w:rPr>
          <w:rFonts w:ascii="Arial" w:hAnsi="Arial" w:cs="Arial"/>
        </w:rPr>
        <w:t xml:space="preserve"> </w:t>
      </w:r>
    </w:p>
    <w:p w:rsidR="00B92202" w:rsidRPr="007E7998" w:rsidRDefault="00B92202" w:rsidP="00B92202">
      <w:pPr>
        <w:pStyle w:val="ListParagraph"/>
        <w:numPr>
          <w:ilvl w:val="0"/>
          <w:numId w:val="19"/>
        </w:numPr>
        <w:shd w:val="clear" w:color="auto" w:fill="FFFFFF"/>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t>Svensson</w:t>
      </w:r>
      <w:proofErr w:type="spellEnd"/>
      <w:r w:rsidRPr="007E7998">
        <w:rPr>
          <w:rFonts w:ascii="Arial" w:hAnsi="Arial" w:cs="Arial"/>
        </w:rPr>
        <w:t xml:space="preserve"> LG, Kim KH, Lytle BW, Cosgrove DM. </w:t>
      </w:r>
      <w:hyperlink r:id="rId13" w:history="1">
        <w:r w:rsidRPr="007E7998">
          <w:rPr>
            <w:rStyle w:val="Hyperlink"/>
            <w:rFonts w:ascii="Arial" w:hAnsi="Arial" w:cs="Arial"/>
            <w:color w:val="auto"/>
            <w:u w:val="none"/>
          </w:rPr>
          <w:t>Relationship of aortic cross-sectional area to height ratio and the risk of aortic dissection in patients with bicuspid aortic valves.</w:t>
        </w:r>
      </w:hyperlink>
      <w:r w:rsidRPr="007E7998">
        <w:rPr>
          <w:rFonts w:ascii="Arial" w:hAnsi="Arial" w:cs="Arial"/>
        </w:rPr>
        <w:t xml:space="preserve"> </w:t>
      </w:r>
      <w:r w:rsidRPr="007E7998">
        <w:rPr>
          <w:rStyle w:val="jrnl"/>
          <w:rFonts w:ascii="Arial" w:hAnsi="Arial" w:cs="Arial"/>
        </w:rPr>
        <w:t xml:space="preserve">J </w:t>
      </w:r>
      <w:proofErr w:type="spellStart"/>
      <w:r w:rsidRPr="007E7998">
        <w:rPr>
          <w:rStyle w:val="jrnl"/>
          <w:rFonts w:ascii="Arial" w:hAnsi="Arial" w:cs="Arial"/>
        </w:rPr>
        <w:t>Thorac</w:t>
      </w:r>
      <w:proofErr w:type="spellEnd"/>
      <w:r w:rsidRPr="007E7998">
        <w:rPr>
          <w:rStyle w:val="jrnl"/>
          <w:rFonts w:ascii="Arial" w:hAnsi="Arial" w:cs="Arial"/>
        </w:rPr>
        <w:t xml:space="preserve"> </w:t>
      </w:r>
      <w:proofErr w:type="spellStart"/>
      <w:r w:rsidRPr="007E7998">
        <w:rPr>
          <w:rStyle w:val="jrnl"/>
          <w:rFonts w:ascii="Arial" w:hAnsi="Arial" w:cs="Arial"/>
        </w:rPr>
        <w:t>Cardiovasc</w:t>
      </w:r>
      <w:proofErr w:type="spellEnd"/>
      <w:r w:rsidRPr="007E7998">
        <w:rPr>
          <w:rStyle w:val="jrnl"/>
          <w:rFonts w:ascii="Arial" w:hAnsi="Arial" w:cs="Arial"/>
        </w:rPr>
        <w:t xml:space="preserve"> Surg</w:t>
      </w:r>
      <w:r w:rsidRPr="007E7998">
        <w:rPr>
          <w:rFonts w:ascii="Arial" w:hAnsi="Arial" w:cs="Arial"/>
        </w:rPr>
        <w:t>. 2003</w:t>
      </w:r>
      <w:proofErr w:type="gramStart"/>
      <w:r w:rsidRPr="007E7998">
        <w:rPr>
          <w:rFonts w:ascii="Arial" w:hAnsi="Arial" w:cs="Arial"/>
        </w:rPr>
        <w:t>;126</w:t>
      </w:r>
      <w:proofErr w:type="gramEnd"/>
      <w:r w:rsidRPr="007E7998">
        <w:rPr>
          <w:rFonts w:ascii="Arial" w:hAnsi="Arial" w:cs="Arial"/>
        </w:rPr>
        <w:t>(3):892–3.</w:t>
      </w:r>
    </w:p>
    <w:p w:rsidR="00B92202" w:rsidRPr="007E7998" w:rsidRDefault="00B92202" w:rsidP="00B92202">
      <w:pPr>
        <w:pStyle w:val="ListParagraph"/>
        <w:numPr>
          <w:ilvl w:val="0"/>
          <w:numId w:val="19"/>
        </w:numPr>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t>Hiratzka</w:t>
      </w:r>
      <w:proofErr w:type="spellEnd"/>
      <w:r w:rsidRPr="007E7998">
        <w:rPr>
          <w:rFonts w:ascii="Arial" w:hAnsi="Arial" w:cs="Arial"/>
        </w:rPr>
        <w:t xml:space="preserve"> LF, </w:t>
      </w:r>
      <w:proofErr w:type="spellStart"/>
      <w:r w:rsidRPr="007E7998">
        <w:rPr>
          <w:rFonts w:ascii="Arial" w:hAnsi="Arial" w:cs="Arial"/>
        </w:rPr>
        <w:t>Bakris</w:t>
      </w:r>
      <w:proofErr w:type="spellEnd"/>
      <w:r w:rsidRPr="007E7998">
        <w:rPr>
          <w:rFonts w:ascii="Arial" w:hAnsi="Arial" w:cs="Arial"/>
        </w:rPr>
        <w:t xml:space="preserve"> GL, Beckman JA, </w:t>
      </w:r>
      <w:proofErr w:type="spellStart"/>
      <w:r w:rsidRPr="007E7998">
        <w:rPr>
          <w:rFonts w:ascii="Arial" w:hAnsi="Arial" w:cs="Arial"/>
        </w:rPr>
        <w:t>Bersin</w:t>
      </w:r>
      <w:proofErr w:type="spellEnd"/>
      <w:r w:rsidRPr="007E7998">
        <w:rPr>
          <w:rFonts w:ascii="Arial" w:hAnsi="Arial" w:cs="Arial"/>
        </w:rPr>
        <w:t xml:space="preserve"> RM, Carr VF, Casey DE, Jr., </w:t>
      </w:r>
      <w:r w:rsidRPr="007E7998">
        <w:rPr>
          <w:rFonts w:ascii="Arial" w:hAnsi="Arial" w:cs="Arial"/>
          <w:i/>
        </w:rPr>
        <w:t>et al</w:t>
      </w:r>
      <w:r w:rsidRPr="007E7998">
        <w:rPr>
          <w:rFonts w:ascii="Arial" w:hAnsi="Arial" w:cs="Arial"/>
        </w:rPr>
        <w:t xml:space="preserve">. </w:t>
      </w:r>
      <w:hyperlink r:id="rId14" w:history="1">
        <w:r w:rsidRPr="007E7998">
          <w:rPr>
            <w:rStyle w:val="Hyperlink"/>
            <w:rFonts w:ascii="Arial" w:hAnsi="Arial" w:cs="Arial"/>
            <w:color w:val="auto"/>
            <w:u w:val="none"/>
            <w:shd w:val="clear" w:color="auto" w:fill="FFFFFF"/>
          </w:rPr>
          <w:t xml:space="preserve">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Radiology, American Stroke Association, Society of Cardiovascular </w:t>
        </w:r>
        <w:proofErr w:type="spellStart"/>
        <w:r w:rsidRPr="007E7998">
          <w:rPr>
            <w:rStyle w:val="Hyperlink"/>
            <w:rFonts w:ascii="Arial" w:hAnsi="Arial" w:cs="Arial"/>
            <w:color w:val="auto"/>
            <w:u w:val="none"/>
            <w:shd w:val="clear" w:color="auto" w:fill="FFFFFF"/>
          </w:rPr>
          <w:t>Anesthesiologists</w:t>
        </w:r>
        <w:proofErr w:type="spellEnd"/>
        <w:r w:rsidRPr="007E7998">
          <w:rPr>
            <w:rStyle w:val="Hyperlink"/>
            <w:rFonts w:ascii="Arial" w:hAnsi="Arial" w:cs="Arial"/>
            <w:color w:val="auto"/>
            <w:u w:val="none"/>
            <w:shd w:val="clear" w:color="auto" w:fill="FFFFFF"/>
          </w:rPr>
          <w:t>, Society for Cardiovascular Angiography and Interventions, Society of Interventional Radiology, Society of Thoracic Surgeons, and Society for Vascular Medicine.</w:t>
        </w:r>
      </w:hyperlink>
      <w:r w:rsidRPr="007E7998">
        <w:rPr>
          <w:rFonts w:ascii="Arial" w:hAnsi="Arial" w:cs="Arial"/>
        </w:rPr>
        <w:t xml:space="preserve"> </w:t>
      </w:r>
      <w:r w:rsidRPr="007E7998">
        <w:rPr>
          <w:rFonts w:ascii="Arial" w:hAnsi="Arial" w:cs="Arial"/>
          <w:iCs/>
        </w:rPr>
        <w:t>Circulation</w:t>
      </w:r>
      <w:r w:rsidRPr="007E7998">
        <w:rPr>
          <w:rFonts w:ascii="Arial" w:hAnsi="Arial" w:cs="Arial"/>
        </w:rPr>
        <w:t>. 2010</w:t>
      </w:r>
      <w:proofErr w:type="gramStart"/>
      <w:r w:rsidRPr="007E7998">
        <w:rPr>
          <w:rFonts w:ascii="Arial" w:hAnsi="Arial" w:cs="Arial"/>
        </w:rPr>
        <w:t>;121:e266</w:t>
      </w:r>
      <w:proofErr w:type="gramEnd"/>
      <w:r w:rsidRPr="007E7998">
        <w:rPr>
          <w:rFonts w:ascii="Arial" w:hAnsi="Arial" w:cs="Arial"/>
        </w:rPr>
        <w:t>–369.</w:t>
      </w:r>
    </w:p>
    <w:p w:rsidR="00B92202" w:rsidRPr="007E7998" w:rsidRDefault="00B92202" w:rsidP="00B92202">
      <w:pPr>
        <w:pStyle w:val="ListParagraph"/>
        <w:numPr>
          <w:ilvl w:val="0"/>
          <w:numId w:val="19"/>
        </w:numPr>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t>Pape</w:t>
      </w:r>
      <w:proofErr w:type="spellEnd"/>
      <w:r w:rsidRPr="007E7998">
        <w:rPr>
          <w:rFonts w:ascii="Arial" w:hAnsi="Arial" w:cs="Arial"/>
        </w:rPr>
        <w:t xml:space="preserve"> LA, Tsai TT, </w:t>
      </w:r>
      <w:proofErr w:type="spellStart"/>
      <w:r w:rsidRPr="007E7998">
        <w:rPr>
          <w:rFonts w:ascii="Arial" w:hAnsi="Arial" w:cs="Arial"/>
        </w:rPr>
        <w:t>Isselbacher</w:t>
      </w:r>
      <w:proofErr w:type="spellEnd"/>
      <w:r w:rsidRPr="007E7998">
        <w:rPr>
          <w:rFonts w:ascii="Arial" w:hAnsi="Arial" w:cs="Arial"/>
        </w:rPr>
        <w:t xml:space="preserve"> EM, Oh JK, O'Gara P T, Evangelista A, </w:t>
      </w:r>
      <w:r w:rsidRPr="007E7998">
        <w:rPr>
          <w:rFonts w:ascii="Arial" w:hAnsi="Arial" w:cs="Arial"/>
          <w:i/>
        </w:rPr>
        <w:t>et al</w:t>
      </w:r>
      <w:r w:rsidRPr="007E7998">
        <w:rPr>
          <w:rFonts w:ascii="Arial" w:hAnsi="Arial" w:cs="Arial"/>
        </w:rPr>
        <w:t xml:space="preserve">. Aortic diameter &gt;or = 5.5 cm is not a good predictor of type A aortic dissection: observations from the International Registry of Acute Aortic Dissection (IRAD). </w:t>
      </w:r>
      <w:r w:rsidRPr="007E7998">
        <w:rPr>
          <w:rFonts w:ascii="Arial" w:hAnsi="Arial" w:cs="Arial"/>
          <w:iCs/>
        </w:rPr>
        <w:t>Circulation</w:t>
      </w:r>
      <w:r w:rsidRPr="007E7998">
        <w:rPr>
          <w:rFonts w:ascii="Arial" w:hAnsi="Arial" w:cs="Arial"/>
        </w:rPr>
        <w:t>. 2007</w:t>
      </w:r>
      <w:proofErr w:type="gramStart"/>
      <w:r w:rsidRPr="007E7998">
        <w:rPr>
          <w:rFonts w:ascii="Arial" w:hAnsi="Arial" w:cs="Arial"/>
        </w:rPr>
        <w:t>;116:1120</w:t>
      </w:r>
      <w:proofErr w:type="gramEnd"/>
      <w:r w:rsidRPr="007E7998">
        <w:rPr>
          <w:rFonts w:ascii="Arial" w:hAnsi="Arial" w:cs="Arial"/>
        </w:rPr>
        <w:t xml:space="preserve"> – 1127.</w:t>
      </w:r>
    </w:p>
    <w:p w:rsidR="00B92202" w:rsidRPr="007E7998" w:rsidRDefault="00B92202" w:rsidP="00B92202">
      <w:pPr>
        <w:pStyle w:val="ListParagraph"/>
        <w:numPr>
          <w:ilvl w:val="0"/>
          <w:numId w:val="19"/>
        </w:numPr>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t>Svensson</w:t>
      </w:r>
      <w:proofErr w:type="spellEnd"/>
      <w:r w:rsidRPr="007E7998">
        <w:rPr>
          <w:rFonts w:ascii="Arial" w:hAnsi="Arial" w:cs="Arial"/>
        </w:rPr>
        <w:t xml:space="preserve"> LG, </w:t>
      </w:r>
      <w:proofErr w:type="spellStart"/>
      <w:r w:rsidRPr="007E7998">
        <w:rPr>
          <w:rFonts w:ascii="Arial" w:hAnsi="Arial" w:cs="Arial"/>
        </w:rPr>
        <w:t>Khitin</w:t>
      </w:r>
      <w:proofErr w:type="spellEnd"/>
      <w:r w:rsidRPr="007E7998">
        <w:rPr>
          <w:rFonts w:ascii="Arial" w:hAnsi="Arial" w:cs="Arial"/>
        </w:rPr>
        <w:t xml:space="preserve"> L. Aortic cross-sectional area/height ratio timing of aortic surgery in asymptomatic patients with Marfan syndrome. J </w:t>
      </w:r>
      <w:proofErr w:type="spellStart"/>
      <w:r w:rsidRPr="007E7998">
        <w:rPr>
          <w:rFonts w:ascii="Arial" w:hAnsi="Arial" w:cs="Arial"/>
        </w:rPr>
        <w:t>Thorac</w:t>
      </w:r>
      <w:proofErr w:type="spellEnd"/>
      <w:r w:rsidRPr="007E7998">
        <w:rPr>
          <w:rFonts w:ascii="Arial" w:hAnsi="Arial" w:cs="Arial"/>
        </w:rPr>
        <w:t xml:space="preserve"> </w:t>
      </w:r>
      <w:proofErr w:type="spellStart"/>
      <w:r w:rsidRPr="007E7998">
        <w:rPr>
          <w:rFonts w:ascii="Arial" w:hAnsi="Arial" w:cs="Arial"/>
        </w:rPr>
        <w:t>Cardiovasc</w:t>
      </w:r>
      <w:proofErr w:type="spellEnd"/>
      <w:r w:rsidRPr="007E7998">
        <w:rPr>
          <w:rFonts w:ascii="Arial" w:hAnsi="Arial" w:cs="Arial"/>
        </w:rPr>
        <w:t xml:space="preserve"> Surg. 2002</w:t>
      </w:r>
      <w:proofErr w:type="gramStart"/>
      <w:r w:rsidRPr="007E7998">
        <w:rPr>
          <w:rFonts w:ascii="Arial" w:hAnsi="Arial" w:cs="Arial"/>
        </w:rPr>
        <w:t>;123:360</w:t>
      </w:r>
      <w:proofErr w:type="gramEnd"/>
      <w:r w:rsidRPr="007E7998">
        <w:rPr>
          <w:rFonts w:ascii="Arial" w:hAnsi="Arial" w:cs="Arial"/>
        </w:rPr>
        <w:t>–1.</w:t>
      </w:r>
    </w:p>
    <w:p w:rsidR="00B92202" w:rsidRPr="007E7998" w:rsidRDefault="00B92202" w:rsidP="00B92202">
      <w:pPr>
        <w:pStyle w:val="ListParagraph"/>
        <w:numPr>
          <w:ilvl w:val="0"/>
          <w:numId w:val="19"/>
        </w:numPr>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t>Gott</w:t>
      </w:r>
      <w:proofErr w:type="spellEnd"/>
      <w:r w:rsidRPr="007E7998">
        <w:rPr>
          <w:rFonts w:ascii="Arial" w:hAnsi="Arial" w:cs="Arial"/>
        </w:rPr>
        <w:t xml:space="preserve"> VL, Greene PS, </w:t>
      </w:r>
      <w:proofErr w:type="spellStart"/>
      <w:r w:rsidRPr="007E7998">
        <w:rPr>
          <w:rFonts w:ascii="Arial" w:hAnsi="Arial" w:cs="Arial"/>
        </w:rPr>
        <w:t>Alejo</w:t>
      </w:r>
      <w:proofErr w:type="spellEnd"/>
      <w:r w:rsidRPr="007E7998">
        <w:rPr>
          <w:rFonts w:ascii="Arial" w:hAnsi="Arial" w:cs="Arial"/>
        </w:rPr>
        <w:t xml:space="preserve"> DE, Cameron DE, </w:t>
      </w:r>
      <w:proofErr w:type="spellStart"/>
      <w:r w:rsidRPr="007E7998">
        <w:rPr>
          <w:rFonts w:ascii="Arial" w:hAnsi="Arial" w:cs="Arial"/>
        </w:rPr>
        <w:t>Naftel</w:t>
      </w:r>
      <w:proofErr w:type="spellEnd"/>
      <w:r w:rsidRPr="007E7998">
        <w:rPr>
          <w:rFonts w:ascii="Arial" w:hAnsi="Arial" w:cs="Arial"/>
        </w:rPr>
        <w:t xml:space="preserve"> DC, Miller DC, </w:t>
      </w:r>
      <w:r w:rsidRPr="007E7998">
        <w:rPr>
          <w:rFonts w:ascii="Arial" w:hAnsi="Arial" w:cs="Arial"/>
          <w:i/>
        </w:rPr>
        <w:t>et al</w:t>
      </w:r>
      <w:r w:rsidRPr="007E7998">
        <w:rPr>
          <w:rFonts w:ascii="Arial" w:hAnsi="Arial" w:cs="Arial"/>
        </w:rPr>
        <w:t xml:space="preserve">. Replacement of the aortic root in patients with Marfan’s syndrome. </w:t>
      </w:r>
      <w:r w:rsidRPr="007E7998">
        <w:rPr>
          <w:rFonts w:ascii="Arial" w:hAnsi="Arial" w:cs="Arial"/>
          <w:iCs/>
        </w:rPr>
        <w:t xml:space="preserve">N </w:t>
      </w:r>
      <w:proofErr w:type="spellStart"/>
      <w:r w:rsidRPr="007E7998">
        <w:rPr>
          <w:rFonts w:ascii="Arial" w:hAnsi="Arial" w:cs="Arial"/>
          <w:iCs/>
        </w:rPr>
        <w:t>Engl</w:t>
      </w:r>
      <w:proofErr w:type="spellEnd"/>
      <w:r w:rsidRPr="007E7998">
        <w:rPr>
          <w:rFonts w:ascii="Arial" w:hAnsi="Arial" w:cs="Arial"/>
          <w:iCs/>
        </w:rPr>
        <w:t xml:space="preserve"> J Med</w:t>
      </w:r>
      <w:r w:rsidRPr="007E7998">
        <w:rPr>
          <w:rFonts w:ascii="Arial" w:hAnsi="Arial" w:cs="Arial"/>
        </w:rPr>
        <w:t>. 1999</w:t>
      </w:r>
      <w:proofErr w:type="gramStart"/>
      <w:r w:rsidRPr="007E7998">
        <w:rPr>
          <w:rFonts w:ascii="Arial" w:hAnsi="Arial" w:cs="Arial"/>
        </w:rPr>
        <w:t>;340:1307</w:t>
      </w:r>
      <w:proofErr w:type="gramEnd"/>
      <w:r w:rsidRPr="007E7998">
        <w:rPr>
          <w:rFonts w:ascii="Arial" w:hAnsi="Arial" w:cs="Arial"/>
        </w:rPr>
        <w:t>–13.</w:t>
      </w:r>
    </w:p>
    <w:p w:rsidR="00B92202" w:rsidRPr="007E7998" w:rsidRDefault="00B92202" w:rsidP="00B92202">
      <w:pPr>
        <w:pStyle w:val="ListParagraph"/>
        <w:numPr>
          <w:ilvl w:val="0"/>
          <w:numId w:val="19"/>
        </w:numPr>
        <w:shd w:val="clear" w:color="auto" w:fill="FFFFFF"/>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lastRenderedPageBreak/>
        <w:t>Isselbacher</w:t>
      </w:r>
      <w:proofErr w:type="spellEnd"/>
      <w:r w:rsidRPr="007E7998">
        <w:rPr>
          <w:rFonts w:ascii="Arial" w:hAnsi="Arial" w:cs="Arial"/>
        </w:rPr>
        <w:t xml:space="preserve"> EM, Lino Cardenas CL, Lindsay ME. Hereditary Influence in Thoracic Aortic Aneurysm and Dissection. Circulation. 2003</w:t>
      </w:r>
      <w:proofErr w:type="gramStart"/>
      <w:r w:rsidRPr="007E7998">
        <w:rPr>
          <w:rFonts w:ascii="Arial" w:hAnsi="Arial" w:cs="Arial"/>
        </w:rPr>
        <w:t>;133</w:t>
      </w:r>
      <w:proofErr w:type="gramEnd"/>
      <w:r w:rsidRPr="007E7998">
        <w:rPr>
          <w:rFonts w:ascii="Arial" w:hAnsi="Arial" w:cs="Arial"/>
        </w:rPr>
        <w:t>(24):2516-28.</w:t>
      </w:r>
    </w:p>
    <w:p w:rsidR="00B92202" w:rsidRPr="007E7998" w:rsidRDefault="00B92202" w:rsidP="00B92202">
      <w:pPr>
        <w:pStyle w:val="ListParagraph"/>
        <w:numPr>
          <w:ilvl w:val="0"/>
          <w:numId w:val="19"/>
        </w:numPr>
        <w:spacing w:line="480" w:lineRule="auto"/>
        <w:ind w:left="567" w:hanging="567"/>
        <w:jc w:val="both"/>
        <w:rPr>
          <w:rFonts w:ascii="Arial" w:hAnsi="Arial" w:cs="Arial"/>
          <w:bCs/>
        </w:rPr>
      </w:pPr>
      <w:proofErr w:type="spellStart"/>
      <w:r w:rsidRPr="007E7998">
        <w:rPr>
          <w:rFonts w:ascii="Arial" w:hAnsi="Arial" w:cs="Arial"/>
          <w:bCs/>
        </w:rPr>
        <w:t>Rylski</w:t>
      </w:r>
      <w:proofErr w:type="spellEnd"/>
      <w:r w:rsidRPr="007E7998">
        <w:rPr>
          <w:rFonts w:ascii="Arial" w:hAnsi="Arial" w:cs="Arial"/>
          <w:bCs/>
        </w:rPr>
        <w:t xml:space="preserve"> B, Hoffman I, </w:t>
      </w:r>
      <w:proofErr w:type="spellStart"/>
      <w:r w:rsidRPr="007E7998">
        <w:rPr>
          <w:rFonts w:ascii="Arial" w:hAnsi="Arial" w:cs="Arial"/>
          <w:bCs/>
        </w:rPr>
        <w:t>Beyersdorf</w:t>
      </w:r>
      <w:proofErr w:type="spellEnd"/>
      <w:r w:rsidRPr="007E7998">
        <w:rPr>
          <w:rFonts w:ascii="Arial" w:hAnsi="Arial" w:cs="Arial"/>
          <w:bCs/>
        </w:rPr>
        <w:t xml:space="preserve"> F, </w:t>
      </w:r>
      <w:proofErr w:type="spellStart"/>
      <w:r w:rsidRPr="007E7998">
        <w:rPr>
          <w:rFonts w:ascii="Arial" w:hAnsi="Arial" w:cs="Arial"/>
          <w:bCs/>
        </w:rPr>
        <w:t>Suedkamp</w:t>
      </w:r>
      <w:proofErr w:type="spellEnd"/>
      <w:r w:rsidRPr="007E7998">
        <w:rPr>
          <w:rFonts w:ascii="Arial" w:hAnsi="Arial" w:cs="Arial"/>
          <w:bCs/>
        </w:rPr>
        <w:t xml:space="preserve"> M, </w:t>
      </w:r>
      <w:proofErr w:type="spellStart"/>
      <w:r w:rsidRPr="007E7998">
        <w:rPr>
          <w:rFonts w:ascii="Arial" w:hAnsi="Arial" w:cs="Arial"/>
          <w:bCs/>
        </w:rPr>
        <w:t>Siepe</w:t>
      </w:r>
      <w:proofErr w:type="spellEnd"/>
      <w:r w:rsidRPr="007E7998">
        <w:rPr>
          <w:rFonts w:ascii="Arial" w:hAnsi="Arial" w:cs="Arial"/>
          <w:bCs/>
        </w:rPr>
        <w:t xml:space="preserve"> M, </w:t>
      </w:r>
      <w:proofErr w:type="spellStart"/>
      <w:proofErr w:type="gramStart"/>
      <w:r w:rsidRPr="007E7998">
        <w:rPr>
          <w:rFonts w:ascii="Arial" w:hAnsi="Arial" w:cs="Arial"/>
          <w:bCs/>
        </w:rPr>
        <w:t>Nitsch</w:t>
      </w:r>
      <w:proofErr w:type="spellEnd"/>
      <w:proofErr w:type="gramEnd"/>
      <w:r w:rsidRPr="007E7998">
        <w:rPr>
          <w:rFonts w:ascii="Arial" w:hAnsi="Arial" w:cs="Arial"/>
          <w:bCs/>
        </w:rPr>
        <w:t xml:space="preserve"> B, </w:t>
      </w:r>
      <w:r w:rsidRPr="007E7998">
        <w:rPr>
          <w:rFonts w:ascii="Arial" w:hAnsi="Arial" w:cs="Arial"/>
          <w:bCs/>
          <w:i/>
        </w:rPr>
        <w:t>et al</w:t>
      </w:r>
      <w:r w:rsidRPr="007E7998">
        <w:rPr>
          <w:rFonts w:ascii="Arial" w:hAnsi="Arial" w:cs="Arial"/>
          <w:bCs/>
        </w:rPr>
        <w:t xml:space="preserve">. Acute aortic dissection type A: age-related management and outcomes reported in the German Registry for Acute Aortic Dissection Type A (GERAADA) of over 2000 patients. </w:t>
      </w:r>
      <w:r w:rsidRPr="007E7998">
        <w:rPr>
          <w:rFonts w:ascii="Arial" w:hAnsi="Arial" w:cs="Arial"/>
          <w:bCs/>
          <w:i/>
        </w:rPr>
        <w:t xml:space="preserve">Ann </w:t>
      </w:r>
      <w:proofErr w:type="spellStart"/>
      <w:r w:rsidRPr="007E7998">
        <w:rPr>
          <w:rFonts w:ascii="Arial" w:hAnsi="Arial" w:cs="Arial"/>
          <w:bCs/>
          <w:i/>
        </w:rPr>
        <w:t>Surg</w:t>
      </w:r>
      <w:proofErr w:type="spellEnd"/>
      <w:r w:rsidRPr="007E7998">
        <w:rPr>
          <w:rFonts w:ascii="Arial" w:hAnsi="Arial" w:cs="Arial"/>
          <w:bCs/>
        </w:rPr>
        <w:t xml:space="preserve"> 2014</w:t>
      </w:r>
      <w:proofErr w:type="gramStart"/>
      <w:r w:rsidRPr="007E7998">
        <w:rPr>
          <w:rFonts w:ascii="Arial" w:hAnsi="Arial" w:cs="Arial"/>
          <w:bCs/>
        </w:rPr>
        <w:t>;259:598</w:t>
      </w:r>
      <w:proofErr w:type="gramEnd"/>
      <w:r w:rsidRPr="007E7998">
        <w:rPr>
          <w:rFonts w:ascii="Arial" w:hAnsi="Arial" w:cs="Arial"/>
        </w:rPr>
        <w:t>–</w:t>
      </w:r>
      <w:r w:rsidRPr="007E7998">
        <w:rPr>
          <w:rFonts w:ascii="Arial" w:hAnsi="Arial" w:cs="Arial"/>
          <w:bCs/>
        </w:rPr>
        <w:t xml:space="preserve">604. </w:t>
      </w:r>
    </w:p>
    <w:p w:rsidR="00B92202" w:rsidRPr="007E7998" w:rsidRDefault="00B92202" w:rsidP="00B92202">
      <w:pPr>
        <w:pStyle w:val="ListParagraph"/>
        <w:numPr>
          <w:ilvl w:val="0"/>
          <w:numId w:val="19"/>
        </w:numPr>
        <w:spacing w:line="480" w:lineRule="auto"/>
        <w:ind w:left="567" w:hanging="567"/>
        <w:jc w:val="both"/>
        <w:rPr>
          <w:rFonts w:ascii="Arial" w:hAnsi="Arial" w:cs="Arial"/>
          <w:bCs/>
        </w:rPr>
      </w:pPr>
      <w:r w:rsidRPr="007E7998">
        <w:rPr>
          <w:rFonts w:ascii="Arial" w:hAnsi="Arial" w:cs="Arial"/>
        </w:rPr>
        <w:t xml:space="preserve">Bilkhu R, Youssefi P, Soppa G, Sharma R, Child A, Edsell M, </w:t>
      </w:r>
      <w:r w:rsidRPr="007E7998">
        <w:rPr>
          <w:rFonts w:ascii="Arial" w:hAnsi="Arial" w:cs="Arial"/>
          <w:i/>
        </w:rPr>
        <w:t>et al</w:t>
      </w:r>
      <w:r w:rsidRPr="007E7998">
        <w:rPr>
          <w:rFonts w:ascii="Arial" w:hAnsi="Arial" w:cs="Arial"/>
        </w:rPr>
        <w:t xml:space="preserve">. </w:t>
      </w:r>
      <w:hyperlink r:id="rId15" w:history="1">
        <w:r w:rsidRPr="007E7998">
          <w:rPr>
            <w:rStyle w:val="Hyperlink"/>
            <w:rFonts w:ascii="Arial" w:hAnsi="Arial" w:cs="Arial"/>
            <w:color w:val="auto"/>
            <w:u w:val="none"/>
          </w:rPr>
          <w:t>Aortic Root Surgery: Does High Surgical Volume and a Consistent Perioperative Approach Improve Outcome?</w:t>
        </w:r>
      </w:hyperlink>
      <w:r w:rsidRPr="007E7998">
        <w:rPr>
          <w:rFonts w:ascii="Arial" w:hAnsi="Arial" w:cs="Arial"/>
        </w:rPr>
        <w:t xml:space="preserve"> </w:t>
      </w:r>
      <w:proofErr w:type="spellStart"/>
      <w:r w:rsidRPr="007E7998">
        <w:rPr>
          <w:rStyle w:val="jrnl"/>
          <w:rFonts w:ascii="Arial" w:hAnsi="Arial" w:cs="Arial"/>
        </w:rPr>
        <w:t>Semin</w:t>
      </w:r>
      <w:proofErr w:type="spellEnd"/>
      <w:r w:rsidRPr="007E7998">
        <w:rPr>
          <w:rStyle w:val="jrnl"/>
          <w:rFonts w:ascii="Arial" w:hAnsi="Arial" w:cs="Arial"/>
        </w:rPr>
        <w:t xml:space="preserve"> </w:t>
      </w:r>
      <w:proofErr w:type="spellStart"/>
      <w:r w:rsidRPr="007E7998">
        <w:rPr>
          <w:rStyle w:val="jrnl"/>
          <w:rFonts w:ascii="Arial" w:hAnsi="Arial" w:cs="Arial"/>
        </w:rPr>
        <w:t>Thorac</w:t>
      </w:r>
      <w:proofErr w:type="spellEnd"/>
      <w:r w:rsidRPr="007E7998">
        <w:rPr>
          <w:rStyle w:val="jrnl"/>
          <w:rFonts w:ascii="Arial" w:hAnsi="Arial" w:cs="Arial"/>
        </w:rPr>
        <w:t xml:space="preserve"> </w:t>
      </w:r>
      <w:proofErr w:type="spellStart"/>
      <w:r w:rsidRPr="007E7998">
        <w:rPr>
          <w:rStyle w:val="jrnl"/>
          <w:rFonts w:ascii="Arial" w:hAnsi="Arial" w:cs="Arial"/>
        </w:rPr>
        <w:t>Cardiovasc</w:t>
      </w:r>
      <w:proofErr w:type="spellEnd"/>
      <w:r w:rsidRPr="007E7998">
        <w:rPr>
          <w:rStyle w:val="jrnl"/>
          <w:rFonts w:ascii="Arial" w:hAnsi="Arial" w:cs="Arial"/>
        </w:rPr>
        <w:t xml:space="preserve"> Surg</w:t>
      </w:r>
      <w:r w:rsidRPr="007E7998">
        <w:rPr>
          <w:rFonts w:ascii="Arial" w:hAnsi="Arial" w:cs="Arial"/>
        </w:rPr>
        <w:t>. 2016;28(2):302–309</w:t>
      </w:r>
    </w:p>
    <w:p w:rsidR="00B92202" w:rsidRPr="007E7998" w:rsidRDefault="00B92202" w:rsidP="00B92202">
      <w:pPr>
        <w:pStyle w:val="ListParagraph"/>
        <w:numPr>
          <w:ilvl w:val="0"/>
          <w:numId w:val="19"/>
        </w:numPr>
        <w:shd w:val="clear" w:color="auto" w:fill="FFFFFF"/>
        <w:autoSpaceDE w:val="0"/>
        <w:autoSpaceDN w:val="0"/>
        <w:adjustRightInd w:val="0"/>
        <w:spacing w:after="0" w:line="480" w:lineRule="auto"/>
        <w:ind w:left="567" w:hanging="567"/>
        <w:jc w:val="both"/>
        <w:rPr>
          <w:rFonts w:ascii="Arial" w:hAnsi="Arial" w:cs="Arial"/>
        </w:rPr>
      </w:pPr>
      <w:proofErr w:type="spellStart"/>
      <w:r w:rsidRPr="007E7998">
        <w:rPr>
          <w:rFonts w:ascii="Arial" w:hAnsi="Arial" w:cs="Arial"/>
        </w:rPr>
        <w:t>Svensson</w:t>
      </w:r>
      <w:proofErr w:type="spellEnd"/>
      <w:r w:rsidRPr="007E7998">
        <w:rPr>
          <w:rFonts w:ascii="Arial" w:hAnsi="Arial" w:cs="Arial"/>
        </w:rPr>
        <w:t xml:space="preserve"> LG, </w:t>
      </w:r>
      <w:proofErr w:type="spellStart"/>
      <w:r w:rsidRPr="007E7998">
        <w:rPr>
          <w:rFonts w:ascii="Arial" w:hAnsi="Arial" w:cs="Arial"/>
        </w:rPr>
        <w:t>Pillai</w:t>
      </w:r>
      <w:proofErr w:type="spellEnd"/>
      <w:r w:rsidRPr="007E7998">
        <w:rPr>
          <w:rFonts w:ascii="Arial" w:hAnsi="Arial" w:cs="Arial"/>
        </w:rPr>
        <w:t xml:space="preserve"> ST, </w:t>
      </w:r>
      <w:proofErr w:type="spellStart"/>
      <w:r w:rsidRPr="007E7998">
        <w:rPr>
          <w:rFonts w:ascii="Arial" w:hAnsi="Arial" w:cs="Arial"/>
        </w:rPr>
        <w:t>Rajeswaran</w:t>
      </w:r>
      <w:proofErr w:type="spellEnd"/>
      <w:r w:rsidRPr="007E7998">
        <w:rPr>
          <w:rFonts w:ascii="Arial" w:hAnsi="Arial" w:cs="Arial"/>
        </w:rPr>
        <w:t xml:space="preserve"> J, Desai MY, Griffin B, Grimm R, </w:t>
      </w:r>
      <w:r w:rsidRPr="007E7998">
        <w:rPr>
          <w:rFonts w:ascii="Arial" w:hAnsi="Arial" w:cs="Arial"/>
          <w:i/>
        </w:rPr>
        <w:t>et al</w:t>
      </w:r>
      <w:r w:rsidRPr="007E7998">
        <w:rPr>
          <w:rFonts w:ascii="Arial" w:hAnsi="Arial" w:cs="Arial"/>
        </w:rPr>
        <w:t xml:space="preserve">. Long-term survival, valve durability, and reoperation for 4 aortic root procedures combined with ascending aorta replacement. </w:t>
      </w:r>
      <w:r w:rsidRPr="007E7998">
        <w:rPr>
          <w:rFonts w:ascii="Arial" w:hAnsi="Arial" w:cs="Arial"/>
          <w:iCs/>
        </w:rPr>
        <w:t xml:space="preserve">J </w:t>
      </w:r>
      <w:proofErr w:type="spellStart"/>
      <w:r w:rsidRPr="007E7998">
        <w:rPr>
          <w:rFonts w:ascii="Arial" w:hAnsi="Arial" w:cs="Arial"/>
          <w:iCs/>
        </w:rPr>
        <w:t>Thorac</w:t>
      </w:r>
      <w:proofErr w:type="spellEnd"/>
      <w:r w:rsidRPr="007E7998">
        <w:rPr>
          <w:rFonts w:ascii="Arial" w:hAnsi="Arial" w:cs="Arial"/>
          <w:iCs/>
        </w:rPr>
        <w:t xml:space="preserve"> </w:t>
      </w:r>
      <w:proofErr w:type="spellStart"/>
      <w:r w:rsidRPr="007E7998">
        <w:rPr>
          <w:rFonts w:ascii="Arial" w:hAnsi="Arial" w:cs="Arial"/>
          <w:iCs/>
        </w:rPr>
        <w:t>Cardiovasc</w:t>
      </w:r>
      <w:proofErr w:type="spellEnd"/>
      <w:r w:rsidRPr="007E7998">
        <w:rPr>
          <w:rFonts w:ascii="Arial" w:hAnsi="Arial" w:cs="Arial"/>
          <w:iCs/>
        </w:rPr>
        <w:t xml:space="preserve"> Surg</w:t>
      </w:r>
      <w:r w:rsidRPr="007E7998">
        <w:rPr>
          <w:rFonts w:ascii="Arial" w:hAnsi="Arial" w:cs="Arial"/>
        </w:rPr>
        <w:t xml:space="preserve">. 2016;151:764–774 </w:t>
      </w:r>
    </w:p>
    <w:p w:rsidR="00B92202" w:rsidRPr="007E7998" w:rsidRDefault="00B92202" w:rsidP="00B92202">
      <w:pPr>
        <w:pStyle w:val="ListParagraph"/>
        <w:numPr>
          <w:ilvl w:val="0"/>
          <w:numId w:val="19"/>
        </w:numPr>
        <w:shd w:val="clear" w:color="auto" w:fill="FFFFFF"/>
        <w:autoSpaceDE w:val="0"/>
        <w:autoSpaceDN w:val="0"/>
        <w:adjustRightInd w:val="0"/>
        <w:spacing w:after="0" w:line="480" w:lineRule="auto"/>
        <w:ind w:left="567" w:hanging="567"/>
        <w:jc w:val="both"/>
        <w:rPr>
          <w:rFonts w:ascii="Arial" w:hAnsi="Arial" w:cs="Arial"/>
        </w:rPr>
      </w:pPr>
      <w:r w:rsidRPr="007E7998">
        <w:rPr>
          <w:rFonts w:ascii="Arial" w:hAnsi="Arial" w:cs="Arial"/>
        </w:rPr>
        <w:t xml:space="preserve">Caceres M, Ma Y, Rankin JS, </w:t>
      </w:r>
      <w:proofErr w:type="spellStart"/>
      <w:r w:rsidRPr="007E7998">
        <w:rPr>
          <w:rFonts w:ascii="Arial" w:hAnsi="Arial" w:cs="Arial"/>
        </w:rPr>
        <w:t>Saha-Chaudhuri</w:t>
      </w:r>
      <w:proofErr w:type="spellEnd"/>
      <w:r w:rsidRPr="007E7998">
        <w:rPr>
          <w:rFonts w:ascii="Arial" w:hAnsi="Arial" w:cs="Arial"/>
        </w:rPr>
        <w:t xml:space="preserve"> P, </w:t>
      </w:r>
      <w:proofErr w:type="spellStart"/>
      <w:r w:rsidRPr="007E7998">
        <w:rPr>
          <w:rFonts w:ascii="Arial" w:hAnsi="Arial" w:cs="Arial"/>
        </w:rPr>
        <w:t>Englum</w:t>
      </w:r>
      <w:proofErr w:type="spellEnd"/>
      <w:r w:rsidRPr="007E7998">
        <w:rPr>
          <w:rFonts w:ascii="Arial" w:hAnsi="Arial" w:cs="Arial"/>
        </w:rPr>
        <w:t xml:space="preserve"> BR, </w:t>
      </w:r>
      <w:proofErr w:type="spellStart"/>
      <w:r w:rsidRPr="007E7998">
        <w:rPr>
          <w:rFonts w:ascii="Arial" w:hAnsi="Arial" w:cs="Arial"/>
        </w:rPr>
        <w:t>Gammie</w:t>
      </w:r>
      <w:proofErr w:type="spellEnd"/>
      <w:r w:rsidRPr="007E7998">
        <w:rPr>
          <w:rFonts w:ascii="Arial" w:hAnsi="Arial" w:cs="Arial"/>
        </w:rPr>
        <w:t xml:space="preserve"> JS, </w:t>
      </w:r>
      <w:r w:rsidRPr="007E7998">
        <w:rPr>
          <w:rFonts w:ascii="Arial" w:hAnsi="Arial" w:cs="Arial"/>
          <w:i/>
        </w:rPr>
        <w:t>et al</w:t>
      </w:r>
      <w:r w:rsidRPr="007E7998">
        <w:rPr>
          <w:rFonts w:ascii="Arial" w:hAnsi="Arial" w:cs="Arial"/>
        </w:rPr>
        <w:t xml:space="preserve">. Mortality characteristics of aortic root surgery in North America. </w:t>
      </w:r>
      <w:proofErr w:type="spellStart"/>
      <w:r w:rsidRPr="007E7998">
        <w:rPr>
          <w:rFonts w:ascii="Arial" w:hAnsi="Arial" w:cs="Arial"/>
          <w:iCs/>
        </w:rPr>
        <w:t>Eur</w:t>
      </w:r>
      <w:proofErr w:type="spellEnd"/>
      <w:r w:rsidRPr="007E7998">
        <w:rPr>
          <w:rFonts w:ascii="Arial" w:hAnsi="Arial" w:cs="Arial"/>
          <w:iCs/>
        </w:rPr>
        <w:t xml:space="preserve"> J </w:t>
      </w:r>
      <w:proofErr w:type="spellStart"/>
      <w:r w:rsidRPr="007E7998">
        <w:rPr>
          <w:rFonts w:ascii="Arial" w:hAnsi="Arial" w:cs="Arial"/>
          <w:iCs/>
        </w:rPr>
        <w:t>Cardiothorac</w:t>
      </w:r>
      <w:proofErr w:type="spellEnd"/>
      <w:r w:rsidRPr="007E7998">
        <w:rPr>
          <w:rFonts w:ascii="Arial" w:hAnsi="Arial" w:cs="Arial"/>
          <w:iCs/>
        </w:rPr>
        <w:t xml:space="preserve"> Surg</w:t>
      </w:r>
      <w:r w:rsidRPr="007E7998">
        <w:rPr>
          <w:rFonts w:ascii="Arial" w:hAnsi="Arial" w:cs="Arial"/>
        </w:rPr>
        <w:t>. 2014</w:t>
      </w:r>
      <w:proofErr w:type="gramStart"/>
      <w:r w:rsidRPr="007E7998">
        <w:rPr>
          <w:rFonts w:ascii="Arial" w:hAnsi="Arial" w:cs="Arial"/>
        </w:rPr>
        <w:t>;46:887</w:t>
      </w:r>
      <w:proofErr w:type="gramEnd"/>
      <w:r w:rsidRPr="007E7998">
        <w:rPr>
          <w:rFonts w:ascii="Arial" w:hAnsi="Arial" w:cs="Arial"/>
        </w:rPr>
        <w:t>–893.</w:t>
      </w:r>
    </w:p>
    <w:p w:rsidR="00B92202" w:rsidRPr="007E7998" w:rsidRDefault="00B92202" w:rsidP="00B92202">
      <w:pPr>
        <w:pStyle w:val="ListParagraph"/>
        <w:numPr>
          <w:ilvl w:val="0"/>
          <w:numId w:val="19"/>
        </w:numPr>
        <w:shd w:val="clear" w:color="auto" w:fill="FFFFFF"/>
        <w:autoSpaceDE w:val="0"/>
        <w:autoSpaceDN w:val="0"/>
        <w:adjustRightInd w:val="0"/>
        <w:spacing w:after="0" w:line="480" w:lineRule="auto"/>
        <w:ind w:left="567" w:hanging="567"/>
        <w:jc w:val="both"/>
        <w:rPr>
          <w:rFonts w:ascii="Arial" w:hAnsi="Arial" w:cs="Arial"/>
          <w:b/>
          <w:bCs/>
        </w:rPr>
      </w:pPr>
      <w:proofErr w:type="spellStart"/>
      <w:r w:rsidRPr="007E7998">
        <w:rPr>
          <w:rFonts w:ascii="Arial" w:hAnsi="Arial" w:cs="Arial"/>
        </w:rPr>
        <w:t>Masri</w:t>
      </w:r>
      <w:proofErr w:type="spellEnd"/>
      <w:r w:rsidRPr="007E7998">
        <w:rPr>
          <w:rFonts w:ascii="Arial" w:hAnsi="Arial" w:cs="Arial"/>
        </w:rPr>
        <w:t xml:space="preserve"> A, </w:t>
      </w:r>
      <w:proofErr w:type="spellStart"/>
      <w:r w:rsidRPr="007E7998">
        <w:rPr>
          <w:rFonts w:ascii="Arial" w:hAnsi="Arial" w:cs="Arial"/>
        </w:rPr>
        <w:t>Kalahasti</w:t>
      </w:r>
      <w:proofErr w:type="spellEnd"/>
      <w:r w:rsidRPr="007E7998">
        <w:rPr>
          <w:rFonts w:ascii="Arial" w:hAnsi="Arial" w:cs="Arial"/>
        </w:rPr>
        <w:t xml:space="preserve"> V, </w:t>
      </w:r>
      <w:proofErr w:type="spellStart"/>
      <w:r w:rsidRPr="007E7998">
        <w:rPr>
          <w:rFonts w:ascii="Arial" w:hAnsi="Arial" w:cs="Arial"/>
        </w:rPr>
        <w:t>Alkharabsheh</w:t>
      </w:r>
      <w:proofErr w:type="spellEnd"/>
      <w:r w:rsidRPr="007E7998">
        <w:rPr>
          <w:rFonts w:ascii="Arial" w:hAnsi="Arial" w:cs="Arial"/>
        </w:rPr>
        <w:t xml:space="preserve"> S, </w:t>
      </w:r>
      <w:proofErr w:type="spellStart"/>
      <w:r w:rsidRPr="007E7998">
        <w:rPr>
          <w:rFonts w:ascii="Arial" w:hAnsi="Arial" w:cs="Arial"/>
        </w:rPr>
        <w:t>Svensson</w:t>
      </w:r>
      <w:proofErr w:type="spellEnd"/>
      <w:r w:rsidRPr="007E7998">
        <w:rPr>
          <w:rFonts w:ascii="Arial" w:hAnsi="Arial" w:cs="Arial"/>
        </w:rPr>
        <w:t xml:space="preserve"> LG, </w:t>
      </w:r>
      <w:proofErr w:type="spellStart"/>
      <w:r w:rsidRPr="007E7998">
        <w:rPr>
          <w:rFonts w:ascii="Arial" w:hAnsi="Arial" w:cs="Arial"/>
        </w:rPr>
        <w:t>Sabik</w:t>
      </w:r>
      <w:proofErr w:type="spellEnd"/>
      <w:r w:rsidRPr="007E7998">
        <w:rPr>
          <w:rFonts w:ascii="Arial" w:hAnsi="Arial" w:cs="Arial"/>
        </w:rPr>
        <w:t xml:space="preserve"> JF, </w:t>
      </w:r>
      <w:proofErr w:type="spellStart"/>
      <w:r w:rsidRPr="007E7998">
        <w:rPr>
          <w:rFonts w:ascii="Arial" w:hAnsi="Arial" w:cs="Arial"/>
        </w:rPr>
        <w:t>Roselli</w:t>
      </w:r>
      <w:proofErr w:type="spellEnd"/>
      <w:r w:rsidRPr="007E7998">
        <w:rPr>
          <w:rFonts w:ascii="Arial" w:hAnsi="Arial" w:cs="Arial"/>
        </w:rPr>
        <w:t xml:space="preserve"> EE, </w:t>
      </w:r>
      <w:r w:rsidRPr="007E7998">
        <w:rPr>
          <w:rFonts w:ascii="Arial" w:hAnsi="Arial" w:cs="Arial"/>
          <w:i/>
        </w:rPr>
        <w:t>et al</w:t>
      </w:r>
      <w:r w:rsidRPr="007E7998">
        <w:rPr>
          <w:rFonts w:ascii="Arial" w:hAnsi="Arial" w:cs="Arial"/>
        </w:rPr>
        <w:t xml:space="preserve">. Characteristics and long-term outcomes of contemporary patients with bicuspid aortic valves. </w:t>
      </w:r>
      <w:r w:rsidRPr="007E7998">
        <w:rPr>
          <w:rFonts w:ascii="Arial" w:hAnsi="Arial" w:cs="Arial"/>
          <w:iCs/>
        </w:rPr>
        <w:t xml:space="preserve">J </w:t>
      </w:r>
      <w:proofErr w:type="spellStart"/>
      <w:r w:rsidRPr="007E7998">
        <w:rPr>
          <w:rFonts w:ascii="Arial" w:hAnsi="Arial" w:cs="Arial"/>
          <w:iCs/>
        </w:rPr>
        <w:t>Thorac</w:t>
      </w:r>
      <w:proofErr w:type="spellEnd"/>
      <w:r w:rsidRPr="007E7998">
        <w:rPr>
          <w:rFonts w:ascii="Arial" w:hAnsi="Arial" w:cs="Arial"/>
          <w:iCs/>
        </w:rPr>
        <w:t xml:space="preserve"> </w:t>
      </w:r>
      <w:proofErr w:type="spellStart"/>
      <w:r w:rsidRPr="007E7998">
        <w:rPr>
          <w:rFonts w:ascii="Arial" w:hAnsi="Arial" w:cs="Arial"/>
          <w:iCs/>
        </w:rPr>
        <w:t>Cardiovasc</w:t>
      </w:r>
      <w:proofErr w:type="spellEnd"/>
      <w:r w:rsidRPr="007E7998">
        <w:rPr>
          <w:rFonts w:ascii="Arial" w:hAnsi="Arial" w:cs="Arial"/>
          <w:iCs/>
        </w:rPr>
        <w:t xml:space="preserve"> Surg</w:t>
      </w:r>
      <w:r w:rsidRPr="007E7998">
        <w:rPr>
          <w:rFonts w:ascii="Arial" w:hAnsi="Arial" w:cs="Arial"/>
        </w:rPr>
        <w:t>. 2016</w:t>
      </w:r>
      <w:proofErr w:type="gramStart"/>
      <w:r w:rsidRPr="007E7998">
        <w:rPr>
          <w:rFonts w:ascii="Arial" w:hAnsi="Arial" w:cs="Arial"/>
        </w:rPr>
        <w:t>;151:1650</w:t>
      </w:r>
      <w:proofErr w:type="gramEnd"/>
      <w:r w:rsidRPr="007E7998">
        <w:rPr>
          <w:rFonts w:ascii="Arial" w:hAnsi="Arial" w:cs="Arial"/>
        </w:rPr>
        <w:t xml:space="preserve">–1659. </w:t>
      </w:r>
    </w:p>
    <w:p w:rsidR="00E626CC" w:rsidRPr="007E7998" w:rsidRDefault="00E626CC" w:rsidP="00B92202">
      <w:pPr>
        <w:ind w:left="567" w:hanging="567"/>
        <w:rPr>
          <w:rFonts w:ascii="Arial" w:hAnsi="Arial" w:cs="Arial"/>
          <w:b/>
          <w:bCs/>
        </w:rPr>
      </w:pPr>
    </w:p>
    <w:p w:rsidR="00E626CC" w:rsidRPr="007E7998" w:rsidRDefault="00E626CC" w:rsidP="00B92202">
      <w:pPr>
        <w:ind w:left="567" w:hanging="567"/>
        <w:rPr>
          <w:rFonts w:ascii="Arial" w:hAnsi="Arial" w:cs="Arial"/>
          <w:b/>
          <w:bCs/>
        </w:rPr>
      </w:pPr>
    </w:p>
    <w:p w:rsidR="00665284" w:rsidRPr="007E7998" w:rsidRDefault="00665284" w:rsidP="00B92202">
      <w:pPr>
        <w:ind w:left="567" w:hanging="567"/>
        <w:rPr>
          <w:rFonts w:ascii="Arial" w:hAnsi="Arial" w:cs="Arial"/>
          <w:b/>
          <w:bCs/>
        </w:rPr>
      </w:pPr>
    </w:p>
    <w:sectPr w:rsidR="00665284" w:rsidRPr="007E7998" w:rsidSect="00D145A0">
      <w:footerReference w:type="default" r:id="rId16"/>
      <w:foot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49" w:rsidRDefault="00806C49" w:rsidP="00BA7BAC">
      <w:pPr>
        <w:spacing w:after="0" w:line="240" w:lineRule="auto"/>
      </w:pPr>
      <w:r>
        <w:separator/>
      </w:r>
    </w:p>
  </w:endnote>
  <w:endnote w:type="continuationSeparator" w:id="0">
    <w:p w:rsidR="00806C49" w:rsidRDefault="00806C49" w:rsidP="00BA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224664382"/>
      <w:docPartObj>
        <w:docPartGallery w:val="Page Numbers (Bottom of Page)"/>
        <w:docPartUnique/>
      </w:docPartObj>
    </w:sdtPr>
    <w:sdtEndPr/>
    <w:sdtContent>
      <w:p w:rsidR="001B3927" w:rsidRPr="00BB324D" w:rsidRDefault="00806C49">
        <w:pPr>
          <w:pStyle w:val="Footer"/>
          <w:jc w:val="center"/>
          <w:rPr>
            <w:sz w:val="24"/>
          </w:rPr>
        </w:pPr>
        <w:r>
          <w:fldChar w:fldCharType="begin"/>
        </w:r>
        <w:r>
          <w:instrText xml:space="preserve"> PAGE   \* MERGEFORMAT </w:instrText>
        </w:r>
        <w:r>
          <w:fldChar w:fldCharType="separate"/>
        </w:r>
        <w:r w:rsidR="00712D34">
          <w:rPr>
            <w:noProof/>
          </w:rPr>
          <w:t>24</w:t>
        </w:r>
        <w:r>
          <w:rPr>
            <w:noProof/>
          </w:rPr>
          <w:fldChar w:fldCharType="end"/>
        </w:r>
      </w:p>
    </w:sdtContent>
  </w:sdt>
  <w:p w:rsidR="001B3927" w:rsidRDefault="001B3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572"/>
      <w:docPartObj>
        <w:docPartGallery w:val="Page Numbers (Bottom of Page)"/>
        <w:docPartUnique/>
      </w:docPartObj>
    </w:sdtPr>
    <w:sdtEndPr/>
    <w:sdtContent>
      <w:p w:rsidR="001B3927" w:rsidRDefault="00806C49">
        <w:pPr>
          <w:pStyle w:val="Footer"/>
          <w:jc w:val="center"/>
        </w:pPr>
      </w:p>
    </w:sdtContent>
  </w:sdt>
  <w:p w:rsidR="001B3927" w:rsidRDefault="001B3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49" w:rsidRDefault="00806C49" w:rsidP="00BA7BAC">
      <w:pPr>
        <w:spacing w:after="0" w:line="240" w:lineRule="auto"/>
      </w:pPr>
      <w:r>
        <w:separator/>
      </w:r>
    </w:p>
  </w:footnote>
  <w:footnote w:type="continuationSeparator" w:id="0">
    <w:p w:rsidR="00806C49" w:rsidRDefault="00806C49" w:rsidP="00BA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1CF89E"/>
    <w:lvl w:ilvl="0">
      <w:start w:val="1"/>
      <w:numFmt w:val="decimal"/>
      <w:lvlText w:val="%1."/>
      <w:lvlJc w:val="left"/>
      <w:pPr>
        <w:tabs>
          <w:tab w:val="num" w:pos="1800"/>
        </w:tabs>
        <w:ind w:left="1800" w:hanging="360"/>
      </w:pPr>
    </w:lvl>
  </w:abstractNum>
  <w:abstractNum w:abstractNumId="1">
    <w:nsid w:val="FFFFFF7D"/>
    <w:multiLevelType w:val="singleLevel"/>
    <w:tmpl w:val="BFBE700C"/>
    <w:lvl w:ilvl="0">
      <w:start w:val="1"/>
      <w:numFmt w:val="decimal"/>
      <w:lvlText w:val="%1."/>
      <w:lvlJc w:val="left"/>
      <w:pPr>
        <w:tabs>
          <w:tab w:val="num" w:pos="1440"/>
        </w:tabs>
        <w:ind w:left="1440" w:hanging="360"/>
      </w:pPr>
    </w:lvl>
  </w:abstractNum>
  <w:abstractNum w:abstractNumId="2">
    <w:nsid w:val="FFFFFF7E"/>
    <w:multiLevelType w:val="singleLevel"/>
    <w:tmpl w:val="240E9CFA"/>
    <w:lvl w:ilvl="0">
      <w:start w:val="1"/>
      <w:numFmt w:val="decimal"/>
      <w:lvlText w:val="%1."/>
      <w:lvlJc w:val="left"/>
      <w:pPr>
        <w:tabs>
          <w:tab w:val="num" w:pos="1080"/>
        </w:tabs>
        <w:ind w:left="1080" w:hanging="360"/>
      </w:pPr>
    </w:lvl>
  </w:abstractNum>
  <w:abstractNum w:abstractNumId="3">
    <w:nsid w:val="FFFFFF7F"/>
    <w:multiLevelType w:val="singleLevel"/>
    <w:tmpl w:val="D6DC3952"/>
    <w:lvl w:ilvl="0">
      <w:start w:val="1"/>
      <w:numFmt w:val="decimal"/>
      <w:lvlText w:val="%1."/>
      <w:lvlJc w:val="left"/>
      <w:pPr>
        <w:tabs>
          <w:tab w:val="num" w:pos="720"/>
        </w:tabs>
        <w:ind w:left="720" w:hanging="360"/>
      </w:pPr>
    </w:lvl>
  </w:abstractNum>
  <w:abstractNum w:abstractNumId="4">
    <w:nsid w:val="FFFFFF80"/>
    <w:multiLevelType w:val="singleLevel"/>
    <w:tmpl w:val="285806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2AE5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E66A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9606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32DEB6"/>
    <w:lvl w:ilvl="0">
      <w:start w:val="1"/>
      <w:numFmt w:val="decimal"/>
      <w:lvlText w:val="%1."/>
      <w:lvlJc w:val="left"/>
      <w:pPr>
        <w:tabs>
          <w:tab w:val="num" w:pos="360"/>
        </w:tabs>
        <w:ind w:left="360" w:hanging="360"/>
      </w:pPr>
    </w:lvl>
  </w:abstractNum>
  <w:abstractNum w:abstractNumId="9">
    <w:nsid w:val="FFFFFF89"/>
    <w:multiLevelType w:val="singleLevel"/>
    <w:tmpl w:val="40ECFC76"/>
    <w:lvl w:ilvl="0">
      <w:start w:val="1"/>
      <w:numFmt w:val="bullet"/>
      <w:lvlText w:val=""/>
      <w:lvlJc w:val="left"/>
      <w:pPr>
        <w:tabs>
          <w:tab w:val="num" w:pos="360"/>
        </w:tabs>
        <w:ind w:left="360" w:hanging="360"/>
      </w:pPr>
      <w:rPr>
        <w:rFonts w:ascii="Symbol" w:hAnsi="Symbol" w:hint="default"/>
      </w:rPr>
    </w:lvl>
  </w:abstractNum>
  <w:abstractNum w:abstractNumId="10">
    <w:nsid w:val="0496282B"/>
    <w:multiLevelType w:val="hybridMultilevel"/>
    <w:tmpl w:val="7D5255DC"/>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09B3367D"/>
    <w:multiLevelType w:val="hybridMultilevel"/>
    <w:tmpl w:val="0EC6F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FD64F5"/>
    <w:multiLevelType w:val="hybridMultilevel"/>
    <w:tmpl w:val="8DC4F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BB2866"/>
    <w:multiLevelType w:val="hybridMultilevel"/>
    <w:tmpl w:val="1B2E2434"/>
    <w:lvl w:ilvl="0" w:tplc="08090013">
      <w:start w:val="1"/>
      <w:numFmt w:val="upp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0D22893"/>
    <w:multiLevelType w:val="hybridMultilevel"/>
    <w:tmpl w:val="78468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9D1EAE"/>
    <w:multiLevelType w:val="hybridMultilevel"/>
    <w:tmpl w:val="AAA63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6D737A"/>
    <w:multiLevelType w:val="hybridMultilevel"/>
    <w:tmpl w:val="CB32E06E"/>
    <w:lvl w:ilvl="0" w:tplc="744299DA">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3DD057B"/>
    <w:multiLevelType w:val="hybridMultilevel"/>
    <w:tmpl w:val="E9E49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901C0D"/>
    <w:multiLevelType w:val="hybridMultilevel"/>
    <w:tmpl w:val="9A4CE5CE"/>
    <w:lvl w:ilvl="0" w:tplc="C64262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13"/>
  </w:num>
  <w:num w:numId="5">
    <w:abstractNumId w:val="10"/>
  </w:num>
  <w:num w:numId="6">
    <w:abstractNumId w:val="11"/>
  </w:num>
  <w:num w:numId="7">
    <w:abstractNumId w:val="14"/>
  </w:num>
  <w:num w:numId="8">
    <w:abstractNumId w:val="18"/>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28"/>
    <w:rsid w:val="00000A19"/>
    <w:rsid w:val="00000E5A"/>
    <w:rsid w:val="0000250D"/>
    <w:rsid w:val="000026FE"/>
    <w:rsid w:val="00002F01"/>
    <w:rsid w:val="000030B1"/>
    <w:rsid w:val="00003976"/>
    <w:rsid w:val="00003994"/>
    <w:rsid w:val="000039D0"/>
    <w:rsid w:val="000046B3"/>
    <w:rsid w:val="00006FE1"/>
    <w:rsid w:val="00007875"/>
    <w:rsid w:val="000078D6"/>
    <w:rsid w:val="00007A72"/>
    <w:rsid w:val="00011AE7"/>
    <w:rsid w:val="00011DD3"/>
    <w:rsid w:val="00012292"/>
    <w:rsid w:val="00012F3F"/>
    <w:rsid w:val="000131C0"/>
    <w:rsid w:val="0001370D"/>
    <w:rsid w:val="00014170"/>
    <w:rsid w:val="000152D8"/>
    <w:rsid w:val="00016280"/>
    <w:rsid w:val="00016F7F"/>
    <w:rsid w:val="00016FE8"/>
    <w:rsid w:val="00017662"/>
    <w:rsid w:val="00017988"/>
    <w:rsid w:val="00017B29"/>
    <w:rsid w:val="00020EC9"/>
    <w:rsid w:val="000227E8"/>
    <w:rsid w:val="00023153"/>
    <w:rsid w:val="000234B5"/>
    <w:rsid w:val="00023555"/>
    <w:rsid w:val="000235C4"/>
    <w:rsid w:val="00023EB5"/>
    <w:rsid w:val="000240E7"/>
    <w:rsid w:val="00025010"/>
    <w:rsid w:val="00025218"/>
    <w:rsid w:val="00025454"/>
    <w:rsid w:val="00025569"/>
    <w:rsid w:val="00030306"/>
    <w:rsid w:val="0003044E"/>
    <w:rsid w:val="00030E01"/>
    <w:rsid w:val="000313CD"/>
    <w:rsid w:val="000313F1"/>
    <w:rsid w:val="00032223"/>
    <w:rsid w:val="000326D8"/>
    <w:rsid w:val="000327DF"/>
    <w:rsid w:val="000328E8"/>
    <w:rsid w:val="00034004"/>
    <w:rsid w:val="00034C86"/>
    <w:rsid w:val="0003538D"/>
    <w:rsid w:val="00040E18"/>
    <w:rsid w:val="0004146D"/>
    <w:rsid w:val="0004278E"/>
    <w:rsid w:val="00042945"/>
    <w:rsid w:val="00042A8D"/>
    <w:rsid w:val="00042B7A"/>
    <w:rsid w:val="00043CDE"/>
    <w:rsid w:val="000442A0"/>
    <w:rsid w:val="000445C5"/>
    <w:rsid w:val="000449E9"/>
    <w:rsid w:val="0004519D"/>
    <w:rsid w:val="00045394"/>
    <w:rsid w:val="00045A0C"/>
    <w:rsid w:val="00046A12"/>
    <w:rsid w:val="000475FB"/>
    <w:rsid w:val="00047CB5"/>
    <w:rsid w:val="00050D66"/>
    <w:rsid w:val="00051921"/>
    <w:rsid w:val="000531FF"/>
    <w:rsid w:val="00053EA4"/>
    <w:rsid w:val="00054F52"/>
    <w:rsid w:val="00055732"/>
    <w:rsid w:val="00056608"/>
    <w:rsid w:val="00056D8E"/>
    <w:rsid w:val="00057649"/>
    <w:rsid w:val="000576B9"/>
    <w:rsid w:val="00057C3C"/>
    <w:rsid w:val="000610EC"/>
    <w:rsid w:val="00061EBB"/>
    <w:rsid w:val="00061EF6"/>
    <w:rsid w:val="00062D30"/>
    <w:rsid w:val="00062FC2"/>
    <w:rsid w:val="00064B07"/>
    <w:rsid w:val="0006606B"/>
    <w:rsid w:val="00066075"/>
    <w:rsid w:val="00067015"/>
    <w:rsid w:val="00067B09"/>
    <w:rsid w:val="000704DC"/>
    <w:rsid w:val="0007196D"/>
    <w:rsid w:val="000720AD"/>
    <w:rsid w:val="000721C5"/>
    <w:rsid w:val="00072637"/>
    <w:rsid w:val="00073299"/>
    <w:rsid w:val="00073685"/>
    <w:rsid w:val="000736FA"/>
    <w:rsid w:val="00073D2C"/>
    <w:rsid w:val="00074137"/>
    <w:rsid w:val="00076035"/>
    <w:rsid w:val="00077283"/>
    <w:rsid w:val="000773DA"/>
    <w:rsid w:val="000775C3"/>
    <w:rsid w:val="000811CC"/>
    <w:rsid w:val="00081494"/>
    <w:rsid w:val="0008156D"/>
    <w:rsid w:val="00082F89"/>
    <w:rsid w:val="00083212"/>
    <w:rsid w:val="00083294"/>
    <w:rsid w:val="00083812"/>
    <w:rsid w:val="00083900"/>
    <w:rsid w:val="00084308"/>
    <w:rsid w:val="00084330"/>
    <w:rsid w:val="0008489F"/>
    <w:rsid w:val="00084AF7"/>
    <w:rsid w:val="00085D5D"/>
    <w:rsid w:val="00086055"/>
    <w:rsid w:val="00086F11"/>
    <w:rsid w:val="000871C2"/>
    <w:rsid w:val="00087EA1"/>
    <w:rsid w:val="0009053B"/>
    <w:rsid w:val="000905B8"/>
    <w:rsid w:val="00090B8F"/>
    <w:rsid w:val="000914C7"/>
    <w:rsid w:val="00091B6D"/>
    <w:rsid w:val="00091E4D"/>
    <w:rsid w:val="0009274A"/>
    <w:rsid w:val="00092E0D"/>
    <w:rsid w:val="00093FFA"/>
    <w:rsid w:val="00094BAF"/>
    <w:rsid w:val="00095372"/>
    <w:rsid w:val="00095A51"/>
    <w:rsid w:val="00095D8B"/>
    <w:rsid w:val="00097C4E"/>
    <w:rsid w:val="00097C76"/>
    <w:rsid w:val="000A46B8"/>
    <w:rsid w:val="000A4878"/>
    <w:rsid w:val="000A4947"/>
    <w:rsid w:val="000A51D5"/>
    <w:rsid w:val="000A666C"/>
    <w:rsid w:val="000A6789"/>
    <w:rsid w:val="000A6AA3"/>
    <w:rsid w:val="000A6DF2"/>
    <w:rsid w:val="000A7A19"/>
    <w:rsid w:val="000B0361"/>
    <w:rsid w:val="000B0782"/>
    <w:rsid w:val="000B0CFF"/>
    <w:rsid w:val="000B0DF8"/>
    <w:rsid w:val="000B0E6E"/>
    <w:rsid w:val="000B136E"/>
    <w:rsid w:val="000B19B9"/>
    <w:rsid w:val="000B1C31"/>
    <w:rsid w:val="000B2001"/>
    <w:rsid w:val="000B3E42"/>
    <w:rsid w:val="000B473D"/>
    <w:rsid w:val="000B48F3"/>
    <w:rsid w:val="000B501A"/>
    <w:rsid w:val="000B5528"/>
    <w:rsid w:val="000B566F"/>
    <w:rsid w:val="000B57DE"/>
    <w:rsid w:val="000B5C82"/>
    <w:rsid w:val="000B5F2E"/>
    <w:rsid w:val="000B64FD"/>
    <w:rsid w:val="000B6605"/>
    <w:rsid w:val="000B68FB"/>
    <w:rsid w:val="000B6B0B"/>
    <w:rsid w:val="000C0005"/>
    <w:rsid w:val="000C095A"/>
    <w:rsid w:val="000C0CDB"/>
    <w:rsid w:val="000C2CD8"/>
    <w:rsid w:val="000C41E4"/>
    <w:rsid w:val="000C4746"/>
    <w:rsid w:val="000C550B"/>
    <w:rsid w:val="000C6571"/>
    <w:rsid w:val="000D0014"/>
    <w:rsid w:val="000D002C"/>
    <w:rsid w:val="000D0CE8"/>
    <w:rsid w:val="000D25EF"/>
    <w:rsid w:val="000D2762"/>
    <w:rsid w:val="000D2E82"/>
    <w:rsid w:val="000D403E"/>
    <w:rsid w:val="000D4529"/>
    <w:rsid w:val="000D4EAC"/>
    <w:rsid w:val="000D639C"/>
    <w:rsid w:val="000D6505"/>
    <w:rsid w:val="000D763C"/>
    <w:rsid w:val="000E003E"/>
    <w:rsid w:val="000E021E"/>
    <w:rsid w:val="000E0BBE"/>
    <w:rsid w:val="000E1611"/>
    <w:rsid w:val="000E1EF8"/>
    <w:rsid w:val="000E1F88"/>
    <w:rsid w:val="000E2217"/>
    <w:rsid w:val="000E3B28"/>
    <w:rsid w:val="000E5703"/>
    <w:rsid w:val="000E669C"/>
    <w:rsid w:val="000E6713"/>
    <w:rsid w:val="000E6B35"/>
    <w:rsid w:val="000E6E1A"/>
    <w:rsid w:val="000E7C30"/>
    <w:rsid w:val="000F15C6"/>
    <w:rsid w:val="000F165F"/>
    <w:rsid w:val="000F2D15"/>
    <w:rsid w:val="000F39C4"/>
    <w:rsid w:val="000F3DFE"/>
    <w:rsid w:val="000F3E79"/>
    <w:rsid w:val="000F4787"/>
    <w:rsid w:val="000F4D3A"/>
    <w:rsid w:val="000F59AB"/>
    <w:rsid w:val="000F5AA7"/>
    <w:rsid w:val="000F5DFC"/>
    <w:rsid w:val="000F6873"/>
    <w:rsid w:val="000F7673"/>
    <w:rsid w:val="000F78A6"/>
    <w:rsid w:val="000F7D2E"/>
    <w:rsid w:val="000F7EF6"/>
    <w:rsid w:val="00100123"/>
    <w:rsid w:val="00100138"/>
    <w:rsid w:val="00101C81"/>
    <w:rsid w:val="00102FEB"/>
    <w:rsid w:val="0010397C"/>
    <w:rsid w:val="00104193"/>
    <w:rsid w:val="00104DF7"/>
    <w:rsid w:val="00104F15"/>
    <w:rsid w:val="00107211"/>
    <w:rsid w:val="001078B2"/>
    <w:rsid w:val="001102FC"/>
    <w:rsid w:val="00110C41"/>
    <w:rsid w:val="00110C8A"/>
    <w:rsid w:val="00110EE1"/>
    <w:rsid w:val="00111450"/>
    <w:rsid w:val="001120D7"/>
    <w:rsid w:val="001127A5"/>
    <w:rsid w:val="00113369"/>
    <w:rsid w:val="00113B82"/>
    <w:rsid w:val="00114190"/>
    <w:rsid w:val="00114B83"/>
    <w:rsid w:val="00115259"/>
    <w:rsid w:val="00115E09"/>
    <w:rsid w:val="00116ECB"/>
    <w:rsid w:val="0011779B"/>
    <w:rsid w:val="00117AE6"/>
    <w:rsid w:val="00120245"/>
    <w:rsid w:val="0012026F"/>
    <w:rsid w:val="00120585"/>
    <w:rsid w:val="001238EE"/>
    <w:rsid w:val="00123FD9"/>
    <w:rsid w:val="00124628"/>
    <w:rsid w:val="00124CFE"/>
    <w:rsid w:val="0012592C"/>
    <w:rsid w:val="001270DC"/>
    <w:rsid w:val="001276A3"/>
    <w:rsid w:val="001302F2"/>
    <w:rsid w:val="00131F77"/>
    <w:rsid w:val="001331C0"/>
    <w:rsid w:val="001350D0"/>
    <w:rsid w:val="00135814"/>
    <w:rsid w:val="00135CCB"/>
    <w:rsid w:val="00135E70"/>
    <w:rsid w:val="0013628F"/>
    <w:rsid w:val="00137450"/>
    <w:rsid w:val="0013783C"/>
    <w:rsid w:val="00137DD7"/>
    <w:rsid w:val="00140150"/>
    <w:rsid w:val="00140789"/>
    <w:rsid w:val="001408F6"/>
    <w:rsid w:val="00140CDB"/>
    <w:rsid w:val="00140FD6"/>
    <w:rsid w:val="00141A87"/>
    <w:rsid w:val="00142B20"/>
    <w:rsid w:val="00142C1C"/>
    <w:rsid w:val="00143387"/>
    <w:rsid w:val="0014470B"/>
    <w:rsid w:val="00144C2D"/>
    <w:rsid w:val="00145251"/>
    <w:rsid w:val="00145255"/>
    <w:rsid w:val="00145A68"/>
    <w:rsid w:val="001461FF"/>
    <w:rsid w:val="00146CF5"/>
    <w:rsid w:val="001470B5"/>
    <w:rsid w:val="001474B0"/>
    <w:rsid w:val="0015094C"/>
    <w:rsid w:val="00151B0F"/>
    <w:rsid w:val="00152011"/>
    <w:rsid w:val="0015284F"/>
    <w:rsid w:val="00153600"/>
    <w:rsid w:val="00154776"/>
    <w:rsid w:val="00154CAC"/>
    <w:rsid w:val="00155381"/>
    <w:rsid w:val="001563A3"/>
    <w:rsid w:val="001563CA"/>
    <w:rsid w:val="001568E5"/>
    <w:rsid w:val="001574D1"/>
    <w:rsid w:val="0015750E"/>
    <w:rsid w:val="001577DC"/>
    <w:rsid w:val="00160016"/>
    <w:rsid w:val="00160304"/>
    <w:rsid w:val="00160C6C"/>
    <w:rsid w:val="00161F1B"/>
    <w:rsid w:val="001634A9"/>
    <w:rsid w:val="001641A9"/>
    <w:rsid w:val="0016423D"/>
    <w:rsid w:val="00164A8D"/>
    <w:rsid w:val="001669BA"/>
    <w:rsid w:val="00167A83"/>
    <w:rsid w:val="001703F7"/>
    <w:rsid w:val="00170520"/>
    <w:rsid w:val="00170AB0"/>
    <w:rsid w:val="00171D54"/>
    <w:rsid w:val="001736DD"/>
    <w:rsid w:val="00174FB2"/>
    <w:rsid w:val="00175C61"/>
    <w:rsid w:val="00175D75"/>
    <w:rsid w:val="00177808"/>
    <w:rsid w:val="00177E97"/>
    <w:rsid w:val="0018048A"/>
    <w:rsid w:val="00180F18"/>
    <w:rsid w:val="001813CD"/>
    <w:rsid w:val="00182107"/>
    <w:rsid w:val="00182BBA"/>
    <w:rsid w:val="00183060"/>
    <w:rsid w:val="0018321E"/>
    <w:rsid w:val="00183337"/>
    <w:rsid w:val="00185DF7"/>
    <w:rsid w:val="00185E3A"/>
    <w:rsid w:val="00186557"/>
    <w:rsid w:val="001915E1"/>
    <w:rsid w:val="00191799"/>
    <w:rsid w:val="00191842"/>
    <w:rsid w:val="0019244E"/>
    <w:rsid w:val="00192542"/>
    <w:rsid w:val="001927D1"/>
    <w:rsid w:val="0019293C"/>
    <w:rsid w:val="00192C8C"/>
    <w:rsid w:val="00193A10"/>
    <w:rsid w:val="00193D8D"/>
    <w:rsid w:val="00195A55"/>
    <w:rsid w:val="001962F9"/>
    <w:rsid w:val="00196491"/>
    <w:rsid w:val="0019690F"/>
    <w:rsid w:val="0019751D"/>
    <w:rsid w:val="001A0BB7"/>
    <w:rsid w:val="001A0FC3"/>
    <w:rsid w:val="001A0FF8"/>
    <w:rsid w:val="001A13A1"/>
    <w:rsid w:val="001A1C60"/>
    <w:rsid w:val="001A28CA"/>
    <w:rsid w:val="001A2C71"/>
    <w:rsid w:val="001A3233"/>
    <w:rsid w:val="001A3913"/>
    <w:rsid w:val="001A3A66"/>
    <w:rsid w:val="001A427C"/>
    <w:rsid w:val="001A509A"/>
    <w:rsid w:val="001A5BF0"/>
    <w:rsid w:val="001A5E6A"/>
    <w:rsid w:val="001A6208"/>
    <w:rsid w:val="001B0348"/>
    <w:rsid w:val="001B0436"/>
    <w:rsid w:val="001B099E"/>
    <w:rsid w:val="001B0C7D"/>
    <w:rsid w:val="001B11CA"/>
    <w:rsid w:val="001B183E"/>
    <w:rsid w:val="001B1BA5"/>
    <w:rsid w:val="001B1CE7"/>
    <w:rsid w:val="001B34E5"/>
    <w:rsid w:val="001B3927"/>
    <w:rsid w:val="001B4450"/>
    <w:rsid w:val="001B55C6"/>
    <w:rsid w:val="001B6B96"/>
    <w:rsid w:val="001C167D"/>
    <w:rsid w:val="001C23CA"/>
    <w:rsid w:val="001C2BFF"/>
    <w:rsid w:val="001C397A"/>
    <w:rsid w:val="001C4C94"/>
    <w:rsid w:val="001C6C35"/>
    <w:rsid w:val="001C6FDE"/>
    <w:rsid w:val="001C7691"/>
    <w:rsid w:val="001C7C19"/>
    <w:rsid w:val="001D0102"/>
    <w:rsid w:val="001D08E5"/>
    <w:rsid w:val="001D098C"/>
    <w:rsid w:val="001D1A6A"/>
    <w:rsid w:val="001D1FCF"/>
    <w:rsid w:val="001D2419"/>
    <w:rsid w:val="001D26F6"/>
    <w:rsid w:val="001D2FF9"/>
    <w:rsid w:val="001D46FD"/>
    <w:rsid w:val="001D505B"/>
    <w:rsid w:val="001D5267"/>
    <w:rsid w:val="001D52D0"/>
    <w:rsid w:val="001D5A96"/>
    <w:rsid w:val="001D603B"/>
    <w:rsid w:val="001D61C7"/>
    <w:rsid w:val="001D7C1D"/>
    <w:rsid w:val="001D7D0B"/>
    <w:rsid w:val="001D7F12"/>
    <w:rsid w:val="001E00B4"/>
    <w:rsid w:val="001E01BA"/>
    <w:rsid w:val="001E068E"/>
    <w:rsid w:val="001E0945"/>
    <w:rsid w:val="001E0BC8"/>
    <w:rsid w:val="001E123D"/>
    <w:rsid w:val="001E2183"/>
    <w:rsid w:val="001E2880"/>
    <w:rsid w:val="001E294B"/>
    <w:rsid w:val="001E2C4D"/>
    <w:rsid w:val="001E36A1"/>
    <w:rsid w:val="001E36D0"/>
    <w:rsid w:val="001E3EBA"/>
    <w:rsid w:val="001E40FE"/>
    <w:rsid w:val="001E4CF3"/>
    <w:rsid w:val="001E4EDE"/>
    <w:rsid w:val="001E4F5E"/>
    <w:rsid w:val="001E6754"/>
    <w:rsid w:val="001E6793"/>
    <w:rsid w:val="001E6DF0"/>
    <w:rsid w:val="001E6EE8"/>
    <w:rsid w:val="001F0314"/>
    <w:rsid w:val="001F0CF4"/>
    <w:rsid w:val="001F1B02"/>
    <w:rsid w:val="001F1CCA"/>
    <w:rsid w:val="001F316E"/>
    <w:rsid w:val="001F38A1"/>
    <w:rsid w:val="001F6065"/>
    <w:rsid w:val="001F7053"/>
    <w:rsid w:val="001F7A20"/>
    <w:rsid w:val="001F7B8E"/>
    <w:rsid w:val="001F7DEF"/>
    <w:rsid w:val="0020060F"/>
    <w:rsid w:val="002009F7"/>
    <w:rsid w:val="00200F3C"/>
    <w:rsid w:val="0020168C"/>
    <w:rsid w:val="002026C4"/>
    <w:rsid w:val="00202C77"/>
    <w:rsid w:val="002032D8"/>
    <w:rsid w:val="00203516"/>
    <w:rsid w:val="00205231"/>
    <w:rsid w:val="002052E9"/>
    <w:rsid w:val="00205711"/>
    <w:rsid w:val="00206E91"/>
    <w:rsid w:val="00206EAC"/>
    <w:rsid w:val="0021153D"/>
    <w:rsid w:val="00211FC6"/>
    <w:rsid w:val="00212695"/>
    <w:rsid w:val="00212BAC"/>
    <w:rsid w:val="00215093"/>
    <w:rsid w:val="00215406"/>
    <w:rsid w:val="002154F7"/>
    <w:rsid w:val="00215DED"/>
    <w:rsid w:val="002160FC"/>
    <w:rsid w:val="002166DF"/>
    <w:rsid w:val="0022046E"/>
    <w:rsid w:val="00220711"/>
    <w:rsid w:val="00220991"/>
    <w:rsid w:val="00220CFF"/>
    <w:rsid w:val="002231FC"/>
    <w:rsid w:val="00223966"/>
    <w:rsid w:val="0022460A"/>
    <w:rsid w:val="0022542A"/>
    <w:rsid w:val="00225611"/>
    <w:rsid w:val="00225C6D"/>
    <w:rsid w:val="0022615B"/>
    <w:rsid w:val="00226A6A"/>
    <w:rsid w:val="0022715B"/>
    <w:rsid w:val="002278B2"/>
    <w:rsid w:val="00227A8E"/>
    <w:rsid w:val="00227C47"/>
    <w:rsid w:val="002301AE"/>
    <w:rsid w:val="002304FF"/>
    <w:rsid w:val="0023073F"/>
    <w:rsid w:val="00230C9F"/>
    <w:rsid w:val="00231F8E"/>
    <w:rsid w:val="00231FA0"/>
    <w:rsid w:val="002327CB"/>
    <w:rsid w:val="00232954"/>
    <w:rsid w:val="002338AD"/>
    <w:rsid w:val="00233EEF"/>
    <w:rsid w:val="002343EF"/>
    <w:rsid w:val="0023526C"/>
    <w:rsid w:val="002355BE"/>
    <w:rsid w:val="002363AA"/>
    <w:rsid w:val="00236BA7"/>
    <w:rsid w:val="00236BDC"/>
    <w:rsid w:val="002379D7"/>
    <w:rsid w:val="00237C65"/>
    <w:rsid w:val="00237EA6"/>
    <w:rsid w:val="002403BA"/>
    <w:rsid w:val="00240A76"/>
    <w:rsid w:val="002429DC"/>
    <w:rsid w:val="00242F52"/>
    <w:rsid w:val="002439CE"/>
    <w:rsid w:val="002463B2"/>
    <w:rsid w:val="00246CA2"/>
    <w:rsid w:val="002470E5"/>
    <w:rsid w:val="00247913"/>
    <w:rsid w:val="00247FEE"/>
    <w:rsid w:val="002500D5"/>
    <w:rsid w:val="002504D6"/>
    <w:rsid w:val="00250C8A"/>
    <w:rsid w:val="00251134"/>
    <w:rsid w:val="00252ED9"/>
    <w:rsid w:val="00253201"/>
    <w:rsid w:val="00253286"/>
    <w:rsid w:val="00253D83"/>
    <w:rsid w:val="00253D92"/>
    <w:rsid w:val="00255966"/>
    <w:rsid w:val="00255F02"/>
    <w:rsid w:val="00257C80"/>
    <w:rsid w:val="002605AE"/>
    <w:rsid w:val="00260C4B"/>
    <w:rsid w:val="00260D4E"/>
    <w:rsid w:val="00264D66"/>
    <w:rsid w:val="00264D9B"/>
    <w:rsid w:val="002650B2"/>
    <w:rsid w:val="00265299"/>
    <w:rsid w:val="00266CD8"/>
    <w:rsid w:val="00267426"/>
    <w:rsid w:val="0026744F"/>
    <w:rsid w:val="002679D5"/>
    <w:rsid w:val="002701C3"/>
    <w:rsid w:val="0027049D"/>
    <w:rsid w:val="00271218"/>
    <w:rsid w:val="00271961"/>
    <w:rsid w:val="002724A1"/>
    <w:rsid w:val="0027391B"/>
    <w:rsid w:val="00274673"/>
    <w:rsid w:val="00275910"/>
    <w:rsid w:val="0027635B"/>
    <w:rsid w:val="00276AE9"/>
    <w:rsid w:val="0027748F"/>
    <w:rsid w:val="002806B3"/>
    <w:rsid w:val="0028075D"/>
    <w:rsid w:val="00280F25"/>
    <w:rsid w:val="00281B62"/>
    <w:rsid w:val="002826DA"/>
    <w:rsid w:val="002827CC"/>
    <w:rsid w:val="00282F7F"/>
    <w:rsid w:val="00283576"/>
    <w:rsid w:val="00283A9D"/>
    <w:rsid w:val="002842DC"/>
    <w:rsid w:val="0028512E"/>
    <w:rsid w:val="002879F5"/>
    <w:rsid w:val="002902F4"/>
    <w:rsid w:val="002903D4"/>
    <w:rsid w:val="00290D31"/>
    <w:rsid w:val="00290F37"/>
    <w:rsid w:val="00290F91"/>
    <w:rsid w:val="002912BB"/>
    <w:rsid w:val="00292168"/>
    <w:rsid w:val="00292258"/>
    <w:rsid w:val="00292412"/>
    <w:rsid w:val="002929C2"/>
    <w:rsid w:val="00292D9B"/>
    <w:rsid w:val="00292E24"/>
    <w:rsid w:val="0029318F"/>
    <w:rsid w:val="00295F3B"/>
    <w:rsid w:val="00296228"/>
    <w:rsid w:val="00296509"/>
    <w:rsid w:val="0029725C"/>
    <w:rsid w:val="00297A3D"/>
    <w:rsid w:val="00297CAC"/>
    <w:rsid w:val="002A0297"/>
    <w:rsid w:val="002A09E0"/>
    <w:rsid w:val="002A0DA2"/>
    <w:rsid w:val="002A1730"/>
    <w:rsid w:val="002A1F94"/>
    <w:rsid w:val="002A2064"/>
    <w:rsid w:val="002A24AE"/>
    <w:rsid w:val="002A2D45"/>
    <w:rsid w:val="002A3895"/>
    <w:rsid w:val="002A3ACB"/>
    <w:rsid w:val="002A3BA1"/>
    <w:rsid w:val="002A4219"/>
    <w:rsid w:val="002A4E0F"/>
    <w:rsid w:val="002A5D28"/>
    <w:rsid w:val="002A623A"/>
    <w:rsid w:val="002A62FE"/>
    <w:rsid w:val="002A69EA"/>
    <w:rsid w:val="002A6E23"/>
    <w:rsid w:val="002A70BD"/>
    <w:rsid w:val="002A7524"/>
    <w:rsid w:val="002B0D38"/>
    <w:rsid w:val="002B118C"/>
    <w:rsid w:val="002B1557"/>
    <w:rsid w:val="002B1B87"/>
    <w:rsid w:val="002B1D08"/>
    <w:rsid w:val="002B2346"/>
    <w:rsid w:val="002B23A1"/>
    <w:rsid w:val="002B2EC7"/>
    <w:rsid w:val="002B463C"/>
    <w:rsid w:val="002B46F5"/>
    <w:rsid w:val="002B4874"/>
    <w:rsid w:val="002B4D02"/>
    <w:rsid w:val="002B5446"/>
    <w:rsid w:val="002B555B"/>
    <w:rsid w:val="002B5A30"/>
    <w:rsid w:val="002B5B1B"/>
    <w:rsid w:val="002B5C6D"/>
    <w:rsid w:val="002B5F67"/>
    <w:rsid w:val="002B6591"/>
    <w:rsid w:val="002B691F"/>
    <w:rsid w:val="002B7570"/>
    <w:rsid w:val="002B7EAA"/>
    <w:rsid w:val="002B7ECC"/>
    <w:rsid w:val="002C0C6F"/>
    <w:rsid w:val="002C0DB0"/>
    <w:rsid w:val="002C381E"/>
    <w:rsid w:val="002C3B45"/>
    <w:rsid w:val="002C3F04"/>
    <w:rsid w:val="002C680C"/>
    <w:rsid w:val="002C6849"/>
    <w:rsid w:val="002C70FD"/>
    <w:rsid w:val="002C73D4"/>
    <w:rsid w:val="002C74C5"/>
    <w:rsid w:val="002D04D1"/>
    <w:rsid w:val="002D06BE"/>
    <w:rsid w:val="002D0AEB"/>
    <w:rsid w:val="002D1042"/>
    <w:rsid w:val="002D117C"/>
    <w:rsid w:val="002D1868"/>
    <w:rsid w:val="002D1BE8"/>
    <w:rsid w:val="002D2154"/>
    <w:rsid w:val="002D23E0"/>
    <w:rsid w:val="002D2815"/>
    <w:rsid w:val="002D2B95"/>
    <w:rsid w:val="002D5383"/>
    <w:rsid w:val="002D5C1D"/>
    <w:rsid w:val="002D5FFA"/>
    <w:rsid w:val="002D7E33"/>
    <w:rsid w:val="002D7EF4"/>
    <w:rsid w:val="002E0FC6"/>
    <w:rsid w:val="002E177F"/>
    <w:rsid w:val="002E1922"/>
    <w:rsid w:val="002E2270"/>
    <w:rsid w:val="002E2B70"/>
    <w:rsid w:val="002E464B"/>
    <w:rsid w:val="002E47ED"/>
    <w:rsid w:val="002E52BA"/>
    <w:rsid w:val="002E5C0F"/>
    <w:rsid w:val="002E69A7"/>
    <w:rsid w:val="002E71FD"/>
    <w:rsid w:val="002E7BA9"/>
    <w:rsid w:val="002F0129"/>
    <w:rsid w:val="002F037C"/>
    <w:rsid w:val="002F079E"/>
    <w:rsid w:val="002F0C84"/>
    <w:rsid w:val="002F139C"/>
    <w:rsid w:val="002F2049"/>
    <w:rsid w:val="002F2177"/>
    <w:rsid w:val="002F257D"/>
    <w:rsid w:val="002F26E9"/>
    <w:rsid w:val="002F319D"/>
    <w:rsid w:val="002F3439"/>
    <w:rsid w:val="002F3966"/>
    <w:rsid w:val="002F3B67"/>
    <w:rsid w:val="002F5055"/>
    <w:rsid w:val="002F54E3"/>
    <w:rsid w:val="002F62B6"/>
    <w:rsid w:val="002F7115"/>
    <w:rsid w:val="0030178C"/>
    <w:rsid w:val="00302015"/>
    <w:rsid w:val="00302267"/>
    <w:rsid w:val="003029F7"/>
    <w:rsid w:val="00303956"/>
    <w:rsid w:val="00303EDF"/>
    <w:rsid w:val="00304117"/>
    <w:rsid w:val="00304D7A"/>
    <w:rsid w:val="00305622"/>
    <w:rsid w:val="0030624D"/>
    <w:rsid w:val="003102FD"/>
    <w:rsid w:val="003105BF"/>
    <w:rsid w:val="00310872"/>
    <w:rsid w:val="00310DE4"/>
    <w:rsid w:val="003126D0"/>
    <w:rsid w:val="00313029"/>
    <w:rsid w:val="00313EC1"/>
    <w:rsid w:val="00314B10"/>
    <w:rsid w:val="00315208"/>
    <w:rsid w:val="00315BD4"/>
    <w:rsid w:val="00317252"/>
    <w:rsid w:val="003175B8"/>
    <w:rsid w:val="003178D5"/>
    <w:rsid w:val="00317D68"/>
    <w:rsid w:val="003213C3"/>
    <w:rsid w:val="00322594"/>
    <w:rsid w:val="00322766"/>
    <w:rsid w:val="00323E1A"/>
    <w:rsid w:val="0032533A"/>
    <w:rsid w:val="003253CC"/>
    <w:rsid w:val="003256AB"/>
    <w:rsid w:val="003257F0"/>
    <w:rsid w:val="00325F5B"/>
    <w:rsid w:val="0033024A"/>
    <w:rsid w:val="003306DF"/>
    <w:rsid w:val="0033093D"/>
    <w:rsid w:val="00331AA1"/>
    <w:rsid w:val="00331D3F"/>
    <w:rsid w:val="00331DA8"/>
    <w:rsid w:val="00332479"/>
    <w:rsid w:val="003337E5"/>
    <w:rsid w:val="00335362"/>
    <w:rsid w:val="003364BE"/>
    <w:rsid w:val="0033795D"/>
    <w:rsid w:val="00337B80"/>
    <w:rsid w:val="00337BAE"/>
    <w:rsid w:val="00340072"/>
    <w:rsid w:val="00340307"/>
    <w:rsid w:val="00341029"/>
    <w:rsid w:val="00341341"/>
    <w:rsid w:val="00341DAD"/>
    <w:rsid w:val="00342BDD"/>
    <w:rsid w:val="00343169"/>
    <w:rsid w:val="00343901"/>
    <w:rsid w:val="0034417A"/>
    <w:rsid w:val="00344837"/>
    <w:rsid w:val="0034555B"/>
    <w:rsid w:val="00346074"/>
    <w:rsid w:val="0034657F"/>
    <w:rsid w:val="00347288"/>
    <w:rsid w:val="003473AC"/>
    <w:rsid w:val="00347517"/>
    <w:rsid w:val="00347A7C"/>
    <w:rsid w:val="00350D63"/>
    <w:rsid w:val="003512A8"/>
    <w:rsid w:val="00351D3B"/>
    <w:rsid w:val="00351D4F"/>
    <w:rsid w:val="00351FFC"/>
    <w:rsid w:val="00353AB7"/>
    <w:rsid w:val="00354346"/>
    <w:rsid w:val="00354E7F"/>
    <w:rsid w:val="003552B0"/>
    <w:rsid w:val="003553E2"/>
    <w:rsid w:val="00355CA0"/>
    <w:rsid w:val="00355FD0"/>
    <w:rsid w:val="0035625B"/>
    <w:rsid w:val="00356435"/>
    <w:rsid w:val="00356C6F"/>
    <w:rsid w:val="00360C8A"/>
    <w:rsid w:val="00361648"/>
    <w:rsid w:val="00361DC5"/>
    <w:rsid w:val="00361F74"/>
    <w:rsid w:val="0036271E"/>
    <w:rsid w:val="00363041"/>
    <w:rsid w:val="003630A3"/>
    <w:rsid w:val="00365875"/>
    <w:rsid w:val="0036673B"/>
    <w:rsid w:val="003671D0"/>
    <w:rsid w:val="003672D3"/>
    <w:rsid w:val="00367371"/>
    <w:rsid w:val="00370261"/>
    <w:rsid w:val="00370391"/>
    <w:rsid w:val="00370CEF"/>
    <w:rsid w:val="00371232"/>
    <w:rsid w:val="00371452"/>
    <w:rsid w:val="00371758"/>
    <w:rsid w:val="00371E9C"/>
    <w:rsid w:val="00371FF5"/>
    <w:rsid w:val="0037225A"/>
    <w:rsid w:val="003727BA"/>
    <w:rsid w:val="00372AD9"/>
    <w:rsid w:val="00373FDE"/>
    <w:rsid w:val="00374DAA"/>
    <w:rsid w:val="003750EB"/>
    <w:rsid w:val="0037525F"/>
    <w:rsid w:val="003753E4"/>
    <w:rsid w:val="0037542E"/>
    <w:rsid w:val="0037736C"/>
    <w:rsid w:val="00377EE4"/>
    <w:rsid w:val="003803F9"/>
    <w:rsid w:val="00380475"/>
    <w:rsid w:val="00380FB4"/>
    <w:rsid w:val="00381683"/>
    <w:rsid w:val="003818E3"/>
    <w:rsid w:val="00381919"/>
    <w:rsid w:val="00382FD2"/>
    <w:rsid w:val="003832ED"/>
    <w:rsid w:val="00383711"/>
    <w:rsid w:val="00384A76"/>
    <w:rsid w:val="00384F9E"/>
    <w:rsid w:val="00385622"/>
    <w:rsid w:val="00386244"/>
    <w:rsid w:val="003864DA"/>
    <w:rsid w:val="003878D4"/>
    <w:rsid w:val="003879A8"/>
    <w:rsid w:val="003911BB"/>
    <w:rsid w:val="003922D7"/>
    <w:rsid w:val="00392523"/>
    <w:rsid w:val="00392989"/>
    <w:rsid w:val="00392D96"/>
    <w:rsid w:val="00394056"/>
    <w:rsid w:val="003946F3"/>
    <w:rsid w:val="003952FA"/>
    <w:rsid w:val="0039535B"/>
    <w:rsid w:val="00395665"/>
    <w:rsid w:val="003959F6"/>
    <w:rsid w:val="00395C67"/>
    <w:rsid w:val="00396AD3"/>
    <w:rsid w:val="003A0BA8"/>
    <w:rsid w:val="003A0BBB"/>
    <w:rsid w:val="003A1960"/>
    <w:rsid w:val="003A1AF2"/>
    <w:rsid w:val="003A1D59"/>
    <w:rsid w:val="003A1E77"/>
    <w:rsid w:val="003A2481"/>
    <w:rsid w:val="003A26D7"/>
    <w:rsid w:val="003A2C08"/>
    <w:rsid w:val="003A3279"/>
    <w:rsid w:val="003A3692"/>
    <w:rsid w:val="003A3B92"/>
    <w:rsid w:val="003A4DF9"/>
    <w:rsid w:val="003A50C2"/>
    <w:rsid w:val="003A55A5"/>
    <w:rsid w:val="003A6478"/>
    <w:rsid w:val="003A7771"/>
    <w:rsid w:val="003A7B7B"/>
    <w:rsid w:val="003A7BF5"/>
    <w:rsid w:val="003B04E3"/>
    <w:rsid w:val="003B0912"/>
    <w:rsid w:val="003B0B05"/>
    <w:rsid w:val="003B12F8"/>
    <w:rsid w:val="003B2540"/>
    <w:rsid w:val="003B3D85"/>
    <w:rsid w:val="003B606E"/>
    <w:rsid w:val="003B6F88"/>
    <w:rsid w:val="003B728C"/>
    <w:rsid w:val="003B76EB"/>
    <w:rsid w:val="003B777F"/>
    <w:rsid w:val="003B7906"/>
    <w:rsid w:val="003C0495"/>
    <w:rsid w:val="003C069B"/>
    <w:rsid w:val="003C0E68"/>
    <w:rsid w:val="003C17BD"/>
    <w:rsid w:val="003C2825"/>
    <w:rsid w:val="003C2A4A"/>
    <w:rsid w:val="003C3929"/>
    <w:rsid w:val="003C3D71"/>
    <w:rsid w:val="003C4216"/>
    <w:rsid w:val="003C4C0D"/>
    <w:rsid w:val="003C58E7"/>
    <w:rsid w:val="003C5A8C"/>
    <w:rsid w:val="003C79A1"/>
    <w:rsid w:val="003C7EA1"/>
    <w:rsid w:val="003D12B7"/>
    <w:rsid w:val="003D1A1C"/>
    <w:rsid w:val="003D2119"/>
    <w:rsid w:val="003D2532"/>
    <w:rsid w:val="003D275F"/>
    <w:rsid w:val="003D2EA3"/>
    <w:rsid w:val="003D3857"/>
    <w:rsid w:val="003D3C36"/>
    <w:rsid w:val="003D3D27"/>
    <w:rsid w:val="003D432A"/>
    <w:rsid w:val="003D4BDE"/>
    <w:rsid w:val="003D5E8D"/>
    <w:rsid w:val="003D6568"/>
    <w:rsid w:val="003D6CCB"/>
    <w:rsid w:val="003D7928"/>
    <w:rsid w:val="003D7C9B"/>
    <w:rsid w:val="003E0877"/>
    <w:rsid w:val="003E137E"/>
    <w:rsid w:val="003E290B"/>
    <w:rsid w:val="003E2DAD"/>
    <w:rsid w:val="003E3BA6"/>
    <w:rsid w:val="003E460C"/>
    <w:rsid w:val="003E53F5"/>
    <w:rsid w:val="003E6209"/>
    <w:rsid w:val="003E777D"/>
    <w:rsid w:val="003E7E72"/>
    <w:rsid w:val="003F0ADA"/>
    <w:rsid w:val="003F1295"/>
    <w:rsid w:val="003F1D64"/>
    <w:rsid w:val="003F29E5"/>
    <w:rsid w:val="003F2CAC"/>
    <w:rsid w:val="003F2CB8"/>
    <w:rsid w:val="003F3B1E"/>
    <w:rsid w:val="003F4F00"/>
    <w:rsid w:val="003F5C35"/>
    <w:rsid w:val="003F7698"/>
    <w:rsid w:val="0040004B"/>
    <w:rsid w:val="00400244"/>
    <w:rsid w:val="004005B6"/>
    <w:rsid w:val="00400D28"/>
    <w:rsid w:val="00400DCB"/>
    <w:rsid w:val="00401491"/>
    <w:rsid w:val="00401D48"/>
    <w:rsid w:val="00402F2B"/>
    <w:rsid w:val="004043AE"/>
    <w:rsid w:val="00405FE2"/>
    <w:rsid w:val="0040638B"/>
    <w:rsid w:val="004074B2"/>
    <w:rsid w:val="00407859"/>
    <w:rsid w:val="00407B90"/>
    <w:rsid w:val="004109FA"/>
    <w:rsid w:val="0041171E"/>
    <w:rsid w:val="00411E44"/>
    <w:rsid w:val="00412425"/>
    <w:rsid w:val="0041242B"/>
    <w:rsid w:val="00412FE3"/>
    <w:rsid w:val="0041300B"/>
    <w:rsid w:val="00413839"/>
    <w:rsid w:val="00413E7C"/>
    <w:rsid w:val="00414012"/>
    <w:rsid w:val="0041488C"/>
    <w:rsid w:val="00414975"/>
    <w:rsid w:val="0041581B"/>
    <w:rsid w:val="00415A6D"/>
    <w:rsid w:val="00415E09"/>
    <w:rsid w:val="00416722"/>
    <w:rsid w:val="00416AAE"/>
    <w:rsid w:val="00416C72"/>
    <w:rsid w:val="00420619"/>
    <w:rsid w:val="004208E2"/>
    <w:rsid w:val="00420CEB"/>
    <w:rsid w:val="00421545"/>
    <w:rsid w:val="00421863"/>
    <w:rsid w:val="0042229F"/>
    <w:rsid w:val="004226E7"/>
    <w:rsid w:val="004229BB"/>
    <w:rsid w:val="004229DB"/>
    <w:rsid w:val="00422F2B"/>
    <w:rsid w:val="00423781"/>
    <w:rsid w:val="00424BBD"/>
    <w:rsid w:val="00425383"/>
    <w:rsid w:val="0042550E"/>
    <w:rsid w:val="004305FE"/>
    <w:rsid w:val="004306C1"/>
    <w:rsid w:val="00432071"/>
    <w:rsid w:val="004328D8"/>
    <w:rsid w:val="00434015"/>
    <w:rsid w:val="004354AE"/>
    <w:rsid w:val="00435699"/>
    <w:rsid w:val="004364C7"/>
    <w:rsid w:val="00436DBA"/>
    <w:rsid w:val="00437141"/>
    <w:rsid w:val="00437225"/>
    <w:rsid w:val="00437255"/>
    <w:rsid w:val="00437D21"/>
    <w:rsid w:val="004405E8"/>
    <w:rsid w:val="00440D85"/>
    <w:rsid w:val="004416B4"/>
    <w:rsid w:val="00442401"/>
    <w:rsid w:val="00442B10"/>
    <w:rsid w:val="00442C6D"/>
    <w:rsid w:val="004434DE"/>
    <w:rsid w:val="00444154"/>
    <w:rsid w:val="0044439B"/>
    <w:rsid w:val="004452AD"/>
    <w:rsid w:val="004456F8"/>
    <w:rsid w:val="004459EC"/>
    <w:rsid w:val="00445C81"/>
    <w:rsid w:val="00445DFB"/>
    <w:rsid w:val="00446069"/>
    <w:rsid w:val="00446405"/>
    <w:rsid w:val="00447664"/>
    <w:rsid w:val="00451858"/>
    <w:rsid w:val="00451F5E"/>
    <w:rsid w:val="004528F5"/>
    <w:rsid w:val="00452CAB"/>
    <w:rsid w:val="00453587"/>
    <w:rsid w:val="004541EE"/>
    <w:rsid w:val="00454CD6"/>
    <w:rsid w:val="004560E9"/>
    <w:rsid w:val="00456316"/>
    <w:rsid w:val="0045755D"/>
    <w:rsid w:val="00457A5B"/>
    <w:rsid w:val="00460120"/>
    <w:rsid w:val="00460422"/>
    <w:rsid w:val="004626F2"/>
    <w:rsid w:val="00463694"/>
    <w:rsid w:val="0046405D"/>
    <w:rsid w:val="00466E5B"/>
    <w:rsid w:val="0047143A"/>
    <w:rsid w:val="0047154A"/>
    <w:rsid w:val="0047165E"/>
    <w:rsid w:val="00471E73"/>
    <w:rsid w:val="004733AE"/>
    <w:rsid w:val="0047562F"/>
    <w:rsid w:val="00475B89"/>
    <w:rsid w:val="00475C00"/>
    <w:rsid w:val="00475C0C"/>
    <w:rsid w:val="00476672"/>
    <w:rsid w:val="004769E6"/>
    <w:rsid w:val="00477A6B"/>
    <w:rsid w:val="00481877"/>
    <w:rsid w:val="00481909"/>
    <w:rsid w:val="00481DB7"/>
    <w:rsid w:val="00481ED7"/>
    <w:rsid w:val="0048281F"/>
    <w:rsid w:val="00482D70"/>
    <w:rsid w:val="004839F3"/>
    <w:rsid w:val="00483C47"/>
    <w:rsid w:val="004844F1"/>
    <w:rsid w:val="004844F7"/>
    <w:rsid w:val="0048470B"/>
    <w:rsid w:val="00484B18"/>
    <w:rsid w:val="00485951"/>
    <w:rsid w:val="004866C9"/>
    <w:rsid w:val="004866D2"/>
    <w:rsid w:val="00491400"/>
    <w:rsid w:val="00491D17"/>
    <w:rsid w:val="00493296"/>
    <w:rsid w:val="00495631"/>
    <w:rsid w:val="0049649E"/>
    <w:rsid w:val="00497ECA"/>
    <w:rsid w:val="004A01B6"/>
    <w:rsid w:val="004A05B8"/>
    <w:rsid w:val="004A088A"/>
    <w:rsid w:val="004A0EEA"/>
    <w:rsid w:val="004A0F9A"/>
    <w:rsid w:val="004A1175"/>
    <w:rsid w:val="004A1416"/>
    <w:rsid w:val="004A236F"/>
    <w:rsid w:val="004A25C9"/>
    <w:rsid w:val="004A27DC"/>
    <w:rsid w:val="004A3215"/>
    <w:rsid w:val="004A4541"/>
    <w:rsid w:val="004A4870"/>
    <w:rsid w:val="004A48E6"/>
    <w:rsid w:val="004A503B"/>
    <w:rsid w:val="004A54C7"/>
    <w:rsid w:val="004A5D52"/>
    <w:rsid w:val="004A5D9B"/>
    <w:rsid w:val="004B010A"/>
    <w:rsid w:val="004B25C1"/>
    <w:rsid w:val="004B2ECB"/>
    <w:rsid w:val="004B5447"/>
    <w:rsid w:val="004B5A29"/>
    <w:rsid w:val="004B6F52"/>
    <w:rsid w:val="004B7371"/>
    <w:rsid w:val="004B7B67"/>
    <w:rsid w:val="004C2172"/>
    <w:rsid w:val="004C2614"/>
    <w:rsid w:val="004C58E9"/>
    <w:rsid w:val="004C6F12"/>
    <w:rsid w:val="004C70FD"/>
    <w:rsid w:val="004C750E"/>
    <w:rsid w:val="004C7A92"/>
    <w:rsid w:val="004C7E5A"/>
    <w:rsid w:val="004D2286"/>
    <w:rsid w:val="004D2C98"/>
    <w:rsid w:val="004D322A"/>
    <w:rsid w:val="004D366E"/>
    <w:rsid w:val="004D50A5"/>
    <w:rsid w:val="004D5FD3"/>
    <w:rsid w:val="004D613E"/>
    <w:rsid w:val="004D7DE4"/>
    <w:rsid w:val="004E039E"/>
    <w:rsid w:val="004E12C7"/>
    <w:rsid w:val="004E18FD"/>
    <w:rsid w:val="004E2FF2"/>
    <w:rsid w:val="004E4376"/>
    <w:rsid w:val="004E4DA0"/>
    <w:rsid w:val="004E4E8F"/>
    <w:rsid w:val="004E6C49"/>
    <w:rsid w:val="004E773C"/>
    <w:rsid w:val="004E7B2F"/>
    <w:rsid w:val="004E7ED5"/>
    <w:rsid w:val="004F0550"/>
    <w:rsid w:val="004F0B30"/>
    <w:rsid w:val="004F0B7B"/>
    <w:rsid w:val="004F1C0C"/>
    <w:rsid w:val="004F2067"/>
    <w:rsid w:val="004F3D0E"/>
    <w:rsid w:val="004F42EA"/>
    <w:rsid w:val="004F52FE"/>
    <w:rsid w:val="004F5BB5"/>
    <w:rsid w:val="004F629E"/>
    <w:rsid w:val="004F730F"/>
    <w:rsid w:val="004F7385"/>
    <w:rsid w:val="004F7681"/>
    <w:rsid w:val="004F7AE9"/>
    <w:rsid w:val="0050138F"/>
    <w:rsid w:val="00501E3E"/>
    <w:rsid w:val="00502282"/>
    <w:rsid w:val="005026BF"/>
    <w:rsid w:val="00502A98"/>
    <w:rsid w:val="00502C86"/>
    <w:rsid w:val="00502DE4"/>
    <w:rsid w:val="00503223"/>
    <w:rsid w:val="005037C5"/>
    <w:rsid w:val="00503A70"/>
    <w:rsid w:val="005045F6"/>
    <w:rsid w:val="005046D6"/>
    <w:rsid w:val="005049B1"/>
    <w:rsid w:val="005055F8"/>
    <w:rsid w:val="00505F99"/>
    <w:rsid w:val="00507032"/>
    <w:rsid w:val="0050780A"/>
    <w:rsid w:val="00507D59"/>
    <w:rsid w:val="00507F79"/>
    <w:rsid w:val="00510AAA"/>
    <w:rsid w:val="00510D9D"/>
    <w:rsid w:val="0051128E"/>
    <w:rsid w:val="00512AB1"/>
    <w:rsid w:val="00513F84"/>
    <w:rsid w:val="00514C56"/>
    <w:rsid w:val="00515410"/>
    <w:rsid w:val="00515999"/>
    <w:rsid w:val="00515FA4"/>
    <w:rsid w:val="00516B8A"/>
    <w:rsid w:val="00517E16"/>
    <w:rsid w:val="0052082F"/>
    <w:rsid w:val="005208D6"/>
    <w:rsid w:val="00520B36"/>
    <w:rsid w:val="0052207E"/>
    <w:rsid w:val="00522474"/>
    <w:rsid w:val="00522B0C"/>
    <w:rsid w:val="005231F1"/>
    <w:rsid w:val="005241D9"/>
    <w:rsid w:val="00524907"/>
    <w:rsid w:val="00525495"/>
    <w:rsid w:val="00526139"/>
    <w:rsid w:val="00526798"/>
    <w:rsid w:val="00527323"/>
    <w:rsid w:val="00527417"/>
    <w:rsid w:val="00527C45"/>
    <w:rsid w:val="0053019A"/>
    <w:rsid w:val="005312C0"/>
    <w:rsid w:val="005313B0"/>
    <w:rsid w:val="00532155"/>
    <w:rsid w:val="00532392"/>
    <w:rsid w:val="00536AB4"/>
    <w:rsid w:val="00536D89"/>
    <w:rsid w:val="00542E37"/>
    <w:rsid w:val="00543BBA"/>
    <w:rsid w:val="00544060"/>
    <w:rsid w:val="00544AFF"/>
    <w:rsid w:val="00545399"/>
    <w:rsid w:val="005456E6"/>
    <w:rsid w:val="00545C7C"/>
    <w:rsid w:val="00545CA2"/>
    <w:rsid w:val="00545EAC"/>
    <w:rsid w:val="00547BC9"/>
    <w:rsid w:val="00547FCF"/>
    <w:rsid w:val="005505A1"/>
    <w:rsid w:val="00550934"/>
    <w:rsid w:val="005516DB"/>
    <w:rsid w:val="00551BB7"/>
    <w:rsid w:val="00553CE5"/>
    <w:rsid w:val="00554E03"/>
    <w:rsid w:val="00555851"/>
    <w:rsid w:val="00556701"/>
    <w:rsid w:val="00556C7F"/>
    <w:rsid w:val="00557056"/>
    <w:rsid w:val="00560AC3"/>
    <w:rsid w:val="005616A4"/>
    <w:rsid w:val="00561DEF"/>
    <w:rsid w:val="00562564"/>
    <w:rsid w:val="00562DEB"/>
    <w:rsid w:val="00562E9E"/>
    <w:rsid w:val="00562FB5"/>
    <w:rsid w:val="0056307C"/>
    <w:rsid w:val="00564F30"/>
    <w:rsid w:val="005655AB"/>
    <w:rsid w:val="00565CDE"/>
    <w:rsid w:val="00566647"/>
    <w:rsid w:val="00567391"/>
    <w:rsid w:val="00567401"/>
    <w:rsid w:val="00567527"/>
    <w:rsid w:val="005679C4"/>
    <w:rsid w:val="00571F95"/>
    <w:rsid w:val="005733F3"/>
    <w:rsid w:val="00573F22"/>
    <w:rsid w:val="0057438E"/>
    <w:rsid w:val="0057484E"/>
    <w:rsid w:val="00575480"/>
    <w:rsid w:val="00575924"/>
    <w:rsid w:val="00575D78"/>
    <w:rsid w:val="00576602"/>
    <w:rsid w:val="00576957"/>
    <w:rsid w:val="0057715B"/>
    <w:rsid w:val="0057734A"/>
    <w:rsid w:val="00577602"/>
    <w:rsid w:val="005777A5"/>
    <w:rsid w:val="0057783C"/>
    <w:rsid w:val="00580280"/>
    <w:rsid w:val="00582500"/>
    <w:rsid w:val="00582507"/>
    <w:rsid w:val="00583C01"/>
    <w:rsid w:val="005842A3"/>
    <w:rsid w:val="0058439F"/>
    <w:rsid w:val="00585464"/>
    <w:rsid w:val="0058682F"/>
    <w:rsid w:val="00587524"/>
    <w:rsid w:val="005905ED"/>
    <w:rsid w:val="00590655"/>
    <w:rsid w:val="00591B36"/>
    <w:rsid w:val="0059230F"/>
    <w:rsid w:val="005935A8"/>
    <w:rsid w:val="005945A1"/>
    <w:rsid w:val="00594DCF"/>
    <w:rsid w:val="00594FB4"/>
    <w:rsid w:val="00595DC8"/>
    <w:rsid w:val="00597B83"/>
    <w:rsid w:val="00597F0D"/>
    <w:rsid w:val="005A09C2"/>
    <w:rsid w:val="005A4851"/>
    <w:rsid w:val="005A53A3"/>
    <w:rsid w:val="005A6DEE"/>
    <w:rsid w:val="005A7346"/>
    <w:rsid w:val="005B0C00"/>
    <w:rsid w:val="005B235D"/>
    <w:rsid w:val="005B26B1"/>
    <w:rsid w:val="005B2944"/>
    <w:rsid w:val="005B2C08"/>
    <w:rsid w:val="005B2C2B"/>
    <w:rsid w:val="005B37CD"/>
    <w:rsid w:val="005B3A1C"/>
    <w:rsid w:val="005B4615"/>
    <w:rsid w:val="005B4CC9"/>
    <w:rsid w:val="005B50DA"/>
    <w:rsid w:val="005B5141"/>
    <w:rsid w:val="005B56F4"/>
    <w:rsid w:val="005B599F"/>
    <w:rsid w:val="005B5E82"/>
    <w:rsid w:val="005B5F02"/>
    <w:rsid w:val="005B6906"/>
    <w:rsid w:val="005B6A68"/>
    <w:rsid w:val="005B74B5"/>
    <w:rsid w:val="005C06A7"/>
    <w:rsid w:val="005C0C07"/>
    <w:rsid w:val="005C10B6"/>
    <w:rsid w:val="005C1151"/>
    <w:rsid w:val="005C1799"/>
    <w:rsid w:val="005C2B31"/>
    <w:rsid w:val="005C2DF0"/>
    <w:rsid w:val="005C3961"/>
    <w:rsid w:val="005C425C"/>
    <w:rsid w:val="005C4BFC"/>
    <w:rsid w:val="005C4D3E"/>
    <w:rsid w:val="005C52BC"/>
    <w:rsid w:val="005C5671"/>
    <w:rsid w:val="005C5A5B"/>
    <w:rsid w:val="005C5B40"/>
    <w:rsid w:val="005C70F5"/>
    <w:rsid w:val="005C76BE"/>
    <w:rsid w:val="005C786D"/>
    <w:rsid w:val="005D07E9"/>
    <w:rsid w:val="005D0B97"/>
    <w:rsid w:val="005D2405"/>
    <w:rsid w:val="005D2721"/>
    <w:rsid w:val="005D2BB7"/>
    <w:rsid w:val="005D3095"/>
    <w:rsid w:val="005D385A"/>
    <w:rsid w:val="005D3BE8"/>
    <w:rsid w:val="005D473E"/>
    <w:rsid w:val="005D57B9"/>
    <w:rsid w:val="005D5AD7"/>
    <w:rsid w:val="005D5FAF"/>
    <w:rsid w:val="005D6C61"/>
    <w:rsid w:val="005D7015"/>
    <w:rsid w:val="005D7569"/>
    <w:rsid w:val="005D7ACC"/>
    <w:rsid w:val="005D7BE4"/>
    <w:rsid w:val="005E189F"/>
    <w:rsid w:val="005E1C4E"/>
    <w:rsid w:val="005E1C7D"/>
    <w:rsid w:val="005E2205"/>
    <w:rsid w:val="005E2FA0"/>
    <w:rsid w:val="005E3901"/>
    <w:rsid w:val="005E3968"/>
    <w:rsid w:val="005E568F"/>
    <w:rsid w:val="005E58FF"/>
    <w:rsid w:val="005E6A5D"/>
    <w:rsid w:val="005F08FC"/>
    <w:rsid w:val="005F09B4"/>
    <w:rsid w:val="005F0E09"/>
    <w:rsid w:val="005F1178"/>
    <w:rsid w:val="005F1316"/>
    <w:rsid w:val="005F265C"/>
    <w:rsid w:val="005F275A"/>
    <w:rsid w:val="005F30AD"/>
    <w:rsid w:val="005F3392"/>
    <w:rsid w:val="005F3D6C"/>
    <w:rsid w:val="005F47F6"/>
    <w:rsid w:val="005F5761"/>
    <w:rsid w:val="005F5892"/>
    <w:rsid w:val="005F647B"/>
    <w:rsid w:val="005F6648"/>
    <w:rsid w:val="005F67FF"/>
    <w:rsid w:val="005F73DA"/>
    <w:rsid w:val="0060003A"/>
    <w:rsid w:val="00600052"/>
    <w:rsid w:val="00600505"/>
    <w:rsid w:val="00600529"/>
    <w:rsid w:val="00600670"/>
    <w:rsid w:val="006008E8"/>
    <w:rsid w:val="006008FD"/>
    <w:rsid w:val="00600C8A"/>
    <w:rsid w:val="0060112A"/>
    <w:rsid w:val="00601D41"/>
    <w:rsid w:val="00602693"/>
    <w:rsid w:val="006028CC"/>
    <w:rsid w:val="00602BC3"/>
    <w:rsid w:val="00602EC7"/>
    <w:rsid w:val="006033E8"/>
    <w:rsid w:val="006042BD"/>
    <w:rsid w:val="006046CB"/>
    <w:rsid w:val="00605351"/>
    <w:rsid w:val="00607AB1"/>
    <w:rsid w:val="00607F5C"/>
    <w:rsid w:val="006102EC"/>
    <w:rsid w:val="00610699"/>
    <w:rsid w:val="00610E30"/>
    <w:rsid w:val="0061194A"/>
    <w:rsid w:val="00612225"/>
    <w:rsid w:val="006127BB"/>
    <w:rsid w:val="00613F22"/>
    <w:rsid w:val="006145A4"/>
    <w:rsid w:val="006148B2"/>
    <w:rsid w:val="00614BDB"/>
    <w:rsid w:val="006162BA"/>
    <w:rsid w:val="00620077"/>
    <w:rsid w:val="006216C8"/>
    <w:rsid w:val="006218F0"/>
    <w:rsid w:val="00622F84"/>
    <w:rsid w:val="00624E88"/>
    <w:rsid w:val="00625226"/>
    <w:rsid w:val="006252BE"/>
    <w:rsid w:val="00625E08"/>
    <w:rsid w:val="00625E3C"/>
    <w:rsid w:val="00626567"/>
    <w:rsid w:val="006279E0"/>
    <w:rsid w:val="00630329"/>
    <w:rsid w:val="00630654"/>
    <w:rsid w:val="00630A6A"/>
    <w:rsid w:val="00630F73"/>
    <w:rsid w:val="00631886"/>
    <w:rsid w:val="0063228C"/>
    <w:rsid w:val="00633149"/>
    <w:rsid w:val="00633814"/>
    <w:rsid w:val="00633ABB"/>
    <w:rsid w:val="0063455E"/>
    <w:rsid w:val="00634970"/>
    <w:rsid w:val="00634ECC"/>
    <w:rsid w:val="0063515B"/>
    <w:rsid w:val="00635723"/>
    <w:rsid w:val="0063606A"/>
    <w:rsid w:val="00636203"/>
    <w:rsid w:val="006364E6"/>
    <w:rsid w:val="00636F8D"/>
    <w:rsid w:val="00637CB0"/>
    <w:rsid w:val="00640837"/>
    <w:rsid w:val="00640B8B"/>
    <w:rsid w:val="00641038"/>
    <w:rsid w:val="00641B47"/>
    <w:rsid w:val="00641D02"/>
    <w:rsid w:val="006423CD"/>
    <w:rsid w:val="00642700"/>
    <w:rsid w:val="006433A4"/>
    <w:rsid w:val="00643584"/>
    <w:rsid w:val="00643A3F"/>
    <w:rsid w:val="00644ED2"/>
    <w:rsid w:val="00644FE1"/>
    <w:rsid w:val="006454E5"/>
    <w:rsid w:val="006458FE"/>
    <w:rsid w:val="0064594C"/>
    <w:rsid w:val="00645C9A"/>
    <w:rsid w:val="00645F60"/>
    <w:rsid w:val="00646205"/>
    <w:rsid w:val="00646C9C"/>
    <w:rsid w:val="00647D51"/>
    <w:rsid w:val="00647F58"/>
    <w:rsid w:val="00650205"/>
    <w:rsid w:val="0065071E"/>
    <w:rsid w:val="00650906"/>
    <w:rsid w:val="00651D04"/>
    <w:rsid w:val="006526FF"/>
    <w:rsid w:val="00652D54"/>
    <w:rsid w:val="006532B9"/>
    <w:rsid w:val="00654029"/>
    <w:rsid w:val="00654858"/>
    <w:rsid w:val="0065502B"/>
    <w:rsid w:val="006551EC"/>
    <w:rsid w:val="00656333"/>
    <w:rsid w:val="006567CF"/>
    <w:rsid w:val="00657466"/>
    <w:rsid w:val="006579A7"/>
    <w:rsid w:val="00657E15"/>
    <w:rsid w:val="00660280"/>
    <w:rsid w:val="006603DE"/>
    <w:rsid w:val="00660400"/>
    <w:rsid w:val="006616EC"/>
    <w:rsid w:val="00662C5B"/>
    <w:rsid w:val="00662CF9"/>
    <w:rsid w:val="00663C2E"/>
    <w:rsid w:val="00664ABD"/>
    <w:rsid w:val="00665284"/>
    <w:rsid w:val="0066586D"/>
    <w:rsid w:val="00665D01"/>
    <w:rsid w:val="00665DB0"/>
    <w:rsid w:val="006664A2"/>
    <w:rsid w:val="00666C37"/>
    <w:rsid w:val="006700EC"/>
    <w:rsid w:val="00670406"/>
    <w:rsid w:val="00671DA4"/>
    <w:rsid w:val="00672182"/>
    <w:rsid w:val="006726F6"/>
    <w:rsid w:val="0067446E"/>
    <w:rsid w:val="00674EBD"/>
    <w:rsid w:val="00675772"/>
    <w:rsid w:val="00675895"/>
    <w:rsid w:val="0067685E"/>
    <w:rsid w:val="00677FEA"/>
    <w:rsid w:val="006806D2"/>
    <w:rsid w:val="00680727"/>
    <w:rsid w:val="00680FFD"/>
    <w:rsid w:val="00681034"/>
    <w:rsid w:val="006822AF"/>
    <w:rsid w:val="0068329E"/>
    <w:rsid w:val="00685402"/>
    <w:rsid w:val="0068666B"/>
    <w:rsid w:val="006871D7"/>
    <w:rsid w:val="00687587"/>
    <w:rsid w:val="0068782A"/>
    <w:rsid w:val="006910E2"/>
    <w:rsid w:val="00691CE0"/>
    <w:rsid w:val="00692640"/>
    <w:rsid w:val="00692FA4"/>
    <w:rsid w:val="0069491F"/>
    <w:rsid w:val="00694A9E"/>
    <w:rsid w:val="00694F03"/>
    <w:rsid w:val="0069610C"/>
    <w:rsid w:val="00697A98"/>
    <w:rsid w:val="00697F11"/>
    <w:rsid w:val="006A0001"/>
    <w:rsid w:val="006A0681"/>
    <w:rsid w:val="006A06DD"/>
    <w:rsid w:val="006A1154"/>
    <w:rsid w:val="006A2451"/>
    <w:rsid w:val="006A2631"/>
    <w:rsid w:val="006A2805"/>
    <w:rsid w:val="006A2F2D"/>
    <w:rsid w:val="006A3C8D"/>
    <w:rsid w:val="006A4821"/>
    <w:rsid w:val="006A5121"/>
    <w:rsid w:val="006A6E7B"/>
    <w:rsid w:val="006A7111"/>
    <w:rsid w:val="006A768B"/>
    <w:rsid w:val="006A7981"/>
    <w:rsid w:val="006A7ECC"/>
    <w:rsid w:val="006A7FC7"/>
    <w:rsid w:val="006B0801"/>
    <w:rsid w:val="006B08D4"/>
    <w:rsid w:val="006B1A02"/>
    <w:rsid w:val="006B1E5D"/>
    <w:rsid w:val="006B1FD9"/>
    <w:rsid w:val="006B351E"/>
    <w:rsid w:val="006B3629"/>
    <w:rsid w:val="006B39CB"/>
    <w:rsid w:val="006B3B60"/>
    <w:rsid w:val="006B40B7"/>
    <w:rsid w:val="006B4169"/>
    <w:rsid w:val="006B5CD7"/>
    <w:rsid w:val="006B734A"/>
    <w:rsid w:val="006B771F"/>
    <w:rsid w:val="006C00F9"/>
    <w:rsid w:val="006C0ACB"/>
    <w:rsid w:val="006C0C48"/>
    <w:rsid w:val="006C0E17"/>
    <w:rsid w:val="006C21F7"/>
    <w:rsid w:val="006C322A"/>
    <w:rsid w:val="006C32D0"/>
    <w:rsid w:val="006C3DA3"/>
    <w:rsid w:val="006C42F4"/>
    <w:rsid w:val="006C4751"/>
    <w:rsid w:val="006C4E74"/>
    <w:rsid w:val="006C4F6C"/>
    <w:rsid w:val="006C5090"/>
    <w:rsid w:val="006C576D"/>
    <w:rsid w:val="006C5C0A"/>
    <w:rsid w:val="006C6492"/>
    <w:rsid w:val="006C70EB"/>
    <w:rsid w:val="006C766C"/>
    <w:rsid w:val="006C77B3"/>
    <w:rsid w:val="006C7A77"/>
    <w:rsid w:val="006D042F"/>
    <w:rsid w:val="006D09E8"/>
    <w:rsid w:val="006D0C91"/>
    <w:rsid w:val="006D10C3"/>
    <w:rsid w:val="006D1FA7"/>
    <w:rsid w:val="006D2642"/>
    <w:rsid w:val="006D45E1"/>
    <w:rsid w:val="006D4E4B"/>
    <w:rsid w:val="006D5E8A"/>
    <w:rsid w:val="006D5F29"/>
    <w:rsid w:val="006D67A0"/>
    <w:rsid w:val="006D685F"/>
    <w:rsid w:val="006D72F8"/>
    <w:rsid w:val="006D7501"/>
    <w:rsid w:val="006D7523"/>
    <w:rsid w:val="006E0B64"/>
    <w:rsid w:val="006E1470"/>
    <w:rsid w:val="006E22B6"/>
    <w:rsid w:val="006E2EC5"/>
    <w:rsid w:val="006E2F63"/>
    <w:rsid w:val="006E2F91"/>
    <w:rsid w:val="006E32B0"/>
    <w:rsid w:val="006E4B23"/>
    <w:rsid w:val="006E4CD7"/>
    <w:rsid w:val="006E4F7F"/>
    <w:rsid w:val="006E518F"/>
    <w:rsid w:val="006E5928"/>
    <w:rsid w:val="006E6CB8"/>
    <w:rsid w:val="006E724F"/>
    <w:rsid w:val="006E72CE"/>
    <w:rsid w:val="006E767C"/>
    <w:rsid w:val="006E7BD7"/>
    <w:rsid w:val="006E7F38"/>
    <w:rsid w:val="006F0040"/>
    <w:rsid w:val="006F0BD6"/>
    <w:rsid w:val="006F2046"/>
    <w:rsid w:val="006F2989"/>
    <w:rsid w:val="006F3C1A"/>
    <w:rsid w:val="006F4E0C"/>
    <w:rsid w:val="006F5B4D"/>
    <w:rsid w:val="006F6159"/>
    <w:rsid w:val="006F727F"/>
    <w:rsid w:val="006F7C24"/>
    <w:rsid w:val="006F7D1A"/>
    <w:rsid w:val="006F7EA0"/>
    <w:rsid w:val="006F7F5F"/>
    <w:rsid w:val="00700742"/>
    <w:rsid w:val="00701083"/>
    <w:rsid w:val="00701A49"/>
    <w:rsid w:val="00701B89"/>
    <w:rsid w:val="0070258C"/>
    <w:rsid w:val="00705189"/>
    <w:rsid w:val="00705F64"/>
    <w:rsid w:val="00706108"/>
    <w:rsid w:val="00706174"/>
    <w:rsid w:val="007068DF"/>
    <w:rsid w:val="00706ABD"/>
    <w:rsid w:val="00706D44"/>
    <w:rsid w:val="00706DBF"/>
    <w:rsid w:val="00707643"/>
    <w:rsid w:val="007076C4"/>
    <w:rsid w:val="00707940"/>
    <w:rsid w:val="00707B05"/>
    <w:rsid w:val="00707B57"/>
    <w:rsid w:val="00711591"/>
    <w:rsid w:val="00711E79"/>
    <w:rsid w:val="007126DB"/>
    <w:rsid w:val="00712D34"/>
    <w:rsid w:val="0071350A"/>
    <w:rsid w:val="00714368"/>
    <w:rsid w:val="007148BC"/>
    <w:rsid w:val="00714D38"/>
    <w:rsid w:val="0071581A"/>
    <w:rsid w:val="007158C2"/>
    <w:rsid w:val="007162F0"/>
    <w:rsid w:val="007168C9"/>
    <w:rsid w:val="00717936"/>
    <w:rsid w:val="00717BE5"/>
    <w:rsid w:val="007217C6"/>
    <w:rsid w:val="00721FC2"/>
    <w:rsid w:val="00721FD5"/>
    <w:rsid w:val="00722C4F"/>
    <w:rsid w:val="007230DF"/>
    <w:rsid w:val="007235D3"/>
    <w:rsid w:val="0072364E"/>
    <w:rsid w:val="00723868"/>
    <w:rsid w:val="00723CE8"/>
    <w:rsid w:val="00724CA9"/>
    <w:rsid w:val="007252EE"/>
    <w:rsid w:val="00725B44"/>
    <w:rsid w:val="00725EB3"/>
    <w:rsid w:val="00726418"/>
    <w:rsid w:val="007268E7"/>
    <w:rsid w:val="00730599"/>
    <w:rsid w:val="00730DBD"/>
    <w:rsid w:val="007316C4"/>
    <w:rsid w:val="00731CD1"/>
    <w:rsid w:val="0073298D"/>
    <w:rsid w:val="00732B1B"/>
    <w:rsid w:val="00733169"/>
    <w:rsid w:val="00735058"/>
    <w:rsid w:val="007352BE"/>
    <w:rsid w:val="00737BB9"/>
    <w:rsid w:val="00737F36"/>
    <w:rsid w:val="00740A27"/>
    <w:rsid w:val="00740D9A"/>
    <w:rsid w:val="00741FD4"/>
    <w:rsid w:val="00742982"/>
    <w:rsid w:val="00742B72"/>
    <w:rsid w:val="00742BD4"/>
    <w:rsid w:val="00742DC4"/>
    <w:rsid w:val="00742EC8"/>
    <w:rsid w:val="00743420"/>
    <w:rsid w:val="00743D15"/>
    <w:rsid w:val="00744759"/>
    <w:rsid w:val="00744973"/>
    <w:rsid w:val="00745429"/>
    <w:rsid w:val="007456AA"/>
    <w:rsid w:val="00745BEA"/>
    <w:rsid w:val="00746BD7"/>
    <w:rsid w:val="00746C92"/>
    <w:rsid w:val="00750681"/>
    <w:rsid w:val="00750B1B"/>
    <w:rsid w:val="00751058"/>
    <w:rsid w:val="00751BB0"/>
    <w:rsid w:val="00751CE5"/>
    <w:rsid w:val="0075201E"/>
    <w:rsid w:val="0075238E"/>
    <w:rsid w:val="00753189"/>
    <w:rsid w:val="00753478"/>
    <w:rsid w:val="00753C83"/>
    <w:rsid w:val="0076058E"/>
    <w:rsid w:val="007607F4"/>
    <w:rsid w:val="00760BB2"/>
    <w:rsid w:val="00760C48"/>
    <w:rsid w:val="00760F63"/>
    <w:rsid w:val="00761368"/>
    <w:rsid w:val="0076162F"/>
    <w:rsid w:val="00761B1A"/>
    <w:rsid w:val="007627A7"/>
    <w:rsid w:val="007640F9"/>
    <w:rsid w:val="0076426B"/>
    <w:rsid w:val="0076443D"/>
    <w:rsid w:val="007646B9"/>
    <w:rsid w:val="00765B01"/>
    <w:rsid w:val="00766A74"/>
    <w:rsid w:val="0076729F"/>
    <w:rsid w:val="007718D8"/>
    <w:rsid w:val="0077234A"/>
    <w:rsid w:val="00772998"/>
    <w:rsid w:val="0077307F"/>
    <w:rsid w:val="00776C33"/>
    <w:rsid w:val="00776F9B"/>
    <w:rsid w:val="00777B07"/>
    <w:rsid w:val="00780BDF"/>
    <w:rsid w:val="00781CB5"/>
    <w:rsid w:val="00781EFD"/>
    <w:rsid w:val="0078216B"/>
    <w:rsid w:val="00782441"/>
    <w:rsid w:val="00782509"/>
    <w:rsid w:val="00782FBE"/>
    <w:rsid w:val="00783255"/>
    <w:rsid w:val="007836B2"/>
    <w:rsid w:val="00783E96"/>
    <w:rsid w:val="0078445F"/>
    <w:rsid w:val="00784A72"/>
    <w:rsid w:val="00784F45"/>
    <w:rsid w:val="0078710E"/>
    <w:rsid w:val="00787379"/>
    <w:rsid w:val="007906C8"/>
    <w:rsid w:val="0079077B"/>
    <w:rsid w:val="0079091E"/>
    <w:rsid w:val="007909E6"/>
    <w:rsid w:val="00791695"/>
    <w:rsid w:val="0079255F"/>
    <w:rsid w:val="00792BEB"/>
    <w:rsid w:val="00793372"/>
    <w:rsid w:val="007940A9"/>
    <w:rsid w:val="007954C5"/>
    <w:rsid w:val="007955F7"/>
    <w:rsid w:val="00797142"/>
    <w:rsid w:val="007A211B"/>
    <w:rsid w:val="007A409D"/>
    <w:rsid w:val="007A4438"/>
    <w:rsid w:val="007A4E7F"/>
    <w:rsid w:val="007A4FF6"/>
    <w:rsid w:val="007A5F79"/>
    <w:rsid w:val="007A6C55"/>
    <w:rsid w:val="007A773A"/>
    <w:rsid w:val="007A77BC"/>
    <w:rsid w:val="007A796C"/>
    <w:rsid w:val="007A7DD0"/>
    <w:rsid w:val="007B0570"/>
    <w:rsid w:val="007B0608"/>
    <w:rsid w:val="007B0DAB"/>
    <w:rsid w:val="007B18EB"/>
    <w:rsid w:val="007B1F27"/>
    <w:rsid w:val="007B32C2"/>
    <w:rsid w:val="007B3F20"/>
    <w:rsid w:val="007B4947"/>
    <w:rsid w:val="007B6538"/>
    <w:rsid w:val="007B654A"/>
    <w:rsid w:val="007B6575"/>
    <w:rsid w:val="007B666B"/>
    <w:rsid w:val="007B7C5A"/>
    <w:rsid w:val="007C05D0"/>
    <w:rsid w:val="007C07AE"/>
    <w:rsid w:val="007C0899"/>
    <w:rsid w:val="007C0CF7"/>
    <w:rsid w:val="007C1E2D"/>
    <w:rsid w:val="007C3037"/>
    <w:rsid w:val="007C526A"/>
    <w:rsid w:val="007C58E4"/>
    <w:rsid w:val="007C5E1B"/>
    <w:rsid w:val="007D0CEA"/>
    <w:rsid w:val="007D0E76"/>
    <w:rsid w:val="007D2401"/>
    <w:rsid w:val="007D282E"/>
    <w:rsid w:val="007D2F77"/>
    <w:rsid w:val="007D35EB"/>
    <w:rsid w:val="007D3A90"/>
    <w:rsid w:val="007D4557"/>
    <w:rsid w:val="007D5313"/>
    <w:rsid w:val="007D6512"/>
    <w:rsid w:val="007D687C"/>
    <w:rsid w:val="007D7826"/>
    <w:rsid w:val="007D78F9"/>
    <w:rsid w:val="007E0D3C"/>
    <w:rsid w:val="007E0D3F"/>
    <w:rsid w:val="007E104A"/>
    <w:rsid w:val="007E2851"/>
    <w:rsid w:val="007E2B71"/>
    <w:rsid w:val="007E4048"/>
    <w:rsid w:val="007E5337"/>
    <w:rsid w:val="007E5536"/>
    <w:rsid w:val="007E5886"/>
    <w:rsid w:val="007E6C40"/>
    <w:rsid w:val="007E6EB8"/>
    <w:rsid w:val="007E7998"/>
    <w:rsid w:val="007F266F"/>
    <w:rsid w:val="007F282D"/>
    <w:rsid w:val="007F28C3"/>
    <w:rsid w:val="007F6BD8"/>
    <w:rsid w:val="007F7495"/>
    <w:rsid w:val="008004FD"/>
    <w:rsid w:val="00800792"/>
    <w:rsid w:val="008014A1"/>
    <w:rsid w:val="00801BF9"/>
    <w:rsid w:val="00801DBB"/>
    <w:rsid w:val="00803C46"/>
    <w:rsid w:val="00804071"/>
    <w:rsid w:val="00804A56"/>
    <w:rsid w:val="00806C49"/>
    <w:rsid w:val="00810B9F"/>
    <w:rsid w:val="008119F2"/>
    <w:rsid w:val="00814324"/>
    <w:rsid w:val="008150D7"/>
    <w:rsid w:val="0081562C"/>
    <w:rsid w:val="00816062"/>
    <w:rsid w:val="008163F1"/>
    <w:rsid w:val="008201AC"/>
    <w:rsid w:val="00821236"/>
    <w:rsid w:val="008236CF"/>
    <w:rsid w:val="00823F52"/>
    <w:rsid w:val="00824957"/>
    <w:rsid w:val="00824E6A"/>
    <w:rsid w:val="00825D1D"/>
    <w:rsid w:val="00825F9B"/>
    <w:rsid w:val="0082673D"/>
    <w:rsid w:val="008267F1"/>
    <w:rsid w:val="0083071A"/>
    <w:rsid w:val="008311FA"/>
    <w:rsid w:val="008318C8"/>
    <w:rsid w:val="00832965"/>
    <w:rsid w:val="00833936"/>
    <w:rsid w:val="0083394C"/>
    <w:rsid w:val="008344AE"/>
    <w:rsid w:val="00834A2F"/>
    <w:rsid w:val="00834B8F"/>
    <w:rsid w:val="00835674"/>
    <w:rsid w:val="00835711"/>
    <w:rsid w:val="00836A67"/>
    <w:rsid w:val="00836B25"/>
    <w:rsid w:val="00837398"/>
    <w:rsid w:val="00837835"/>
    <w:rsid w:val="00837DE8"/>
    <w:rsid w:val="008406C4"/>
    <w:rsid w:val="0084090F"/>
    <w:rsid w:val="00840D04"/>
    <w:rsid w:val="00840F82"/>
    <w:rsid w:val="00841001"/>
    <w:rsid w:val="008411E3"/>
    <w:rsid w:val="00841BBF"/>
    <w:rsid w:val="00844459"/>
    <w:rsid w:val="0084658F"/>
    <w:rsid w:val="00846935"/>
    <w:rsid w:val="00846BC2"/>
    <w:rsid w:val="00846FFE"/>
    <w:rsid w:val="00847086"/>
    <w:rsid w:val="008471D9"/>
    <w:rsid w:val="0084785E"/>
    <w:rsid w:val="008509CA"/>
    <w:rsid w:val="00851A15"/>
    <w:rsid w:val="008526D3"/>
    <w:rsid w:val="00853A5B"/>
    <w:rsid w:val="00854171"/>
    <w:rsid w:val="00854B2E"/>
    <w:rsid w:val="00855056"/>
    <w:rsid w:val="00855611"/>
    <w:rsid w:val="008577FF"/>
    <w:rsid w:val="00857C2E"/>
    <w:rsid w:val="008600C2"/>
    <w:rsid w:val="00860363"/>
    <w:rsid w:val="00861834"/>
    <w:rsid w:val="00862DE4"/>
    <w:rsid w:val="00862ED4"/>
    <w:rsid w:val="008636B4"/>
    <w:rsid w:val="00863E4F"/>
    <w:rsid w:val="00863F5F"/>
    <w:rsid w:val="00864180"/>
    <w:rsid w:val="00864AE9"/>
    <w:rsid w:val="0086597B"/>
    <w:rsid w:val="00866189"/>
    <w:rsid w:val="00866C93"/>
    <w:rsid w:val="0086705B"/>
    <w:rsid w:val="008675EA"/>
    <w:rsid w:val="00867985"/>
    <w:rsid w:val="00870C0E"/>
    <w:rsid w:val="008710BA"/>
    <w:rsid w:val="00872125"/>
    <w:rsid w:val="00872184"/>
    <w:rsid w:val="00872772"/>
    <w:rsid w:val="00873B20"/>
    <w:rsid w:val="0087411A"/>
    <w:rsid w:val="00875EB8"/>
    <w:rsid w:val="008767B7"/>
    <w:rsid w:val="00877053"/>
    <w:rsid w:val="0088032B"/>
    <w:rsid w:val="0088111F"/>
    <w:rsid w:val="0088211A"/>
    <w:rsid w:val="00882B34"/>
    <w:rsid w:val="00885A0D"/>
    <w:rsid w:val="00885EDE"/>
    <w:rsid w:val="008864BB"/>
    <w:rsid w:val="008876D8"/>
    <w:rsid w:val="00887C3E"/>
    <w:rsid w:val="00887FFC"/>
    <w:rsid w:val="008910BA"/>
    <w:rsid w:val="00891CA4"/>
    <w:rsid w:val="00892744"/>
    <w:rsid w:val="00892B11"/>
    <w:rsid w:val="0089318A"/>
    <w:rsid w:val="00893243"/>
    <w:rsid w:val="008936AE"/>
    <w:rsid w:val="00893E6A"/>
    <w:rsid w:val="0089598A"/>
    <w:rsid w:val="008959E8"/>
    <w:rsid w:val="00895C45"/>
    <w:rsid w:val="00895DE8"/>
    <w:rsid w:val="008965F3"/>
    <w:rsid w:val="00897A9A"/>
    <w:rsid w:val="00897DB9"/>
    <w:rsid w:val="008A0206"/>
    <w:rsid w:val="008A0437"/>
    <w:rsid w:val="008A04A4"/>
    <w:rsid w:val="008A0C49"/>
    <w:rsid w:val="008A13CC"/>
    <w:rsid w:val="008A160F"/>
    <w:rsid w:val="008A295C"/>
    <w:rsid w:val="008A3239"/>
    <w:rsid w:val="008A5BC5"/>
    <w:rsid w:val="008A5E64"/>
    <w:rsid w:val="008A6D1D"/>
    <w:rsid w:val="008A76FF"/>
    <w:rsid w:val="008B101E"/>
    <w:rsid w:val="008B1430"/>
    <w:rsid w:val="008B1639"/>
    <w:rsid w:val="008B1CB6"/>
    <w:rsid w:val="008B22FD"/>
    <w:rsid w:val="008B2871"/>
    <w:rsid w:val="008B2A76"/>
    <w:rsid w:val="008B342C"/>
    <w:rsid w:val="008B3F20"/>
    <w:rsid w:val="008B480B"/>
    <w:rsid w:val="008B4FF9"/>
    <w:rsid w:val="008B51D6"/>
    <w:rsid w:val="008B53E5"/>
    <w:rsid w:val="008B59E9"/>
    <w:rsid w:val="008C053A"/>
    <w:rsid w:val="008C06AB"/>
    <w:rsid w:val="008C3A52"/>
    <w:rsid w:val="008C5CB5"/>
    <w:rsid w:val="008C5FE6"/>
    <w:rsid w:val="008C73EA"/>
    <w:rsid w:val="008C7591"/>
    <w:rsid w:val="008D0301"/>
    <w:rsid w:val="008D05F4"/>
    <w:rsid w:val="008D06D7"/>
    <w:rsid w:val="008D07A6"/>
    <w:rsid w:val="008D07C8"/>
    <w:rsid w:val="008D0CC2"/>
    <w:rsid w:val="008D0DB6"/>
    <w:rsid w:val="008D163B"/>
    <w:rsid w:val="008D1BB1"/>
    <w:rsid w:val="008D1FCB"/>
    <w:rsid w:val="008D29F7"/>
    <w:rsid w:val="008D415B"/>
    <w:rsid w:val="008D44BA"/>
    <w:rsid w:val="008D51D1"/>
    <w:rsid w:val="008D5458"/>
    <w:rsid w:val="008D572B"/>
    <w:rsid w:val="008D5787"/>
    <w:rsid w:val="008D6033"/>
    <w:rsid w:val="008D6E03"/>
    <w:rsid w:val="008E0145"/>
    <w:rsid w:val="008E0181"/>
    <w:rsid w:val="008E07D8"/>
    <w:rsid w:val="008E1436"/>
    <w:rsid w:val="008E1885"/>
    <w:rsid w:val="008E1A51"/>
    <w:rsid w:val="008E1C29"/>
    <w:rsid w:val="008E2F94"/>
    <w:rsid w:val="008E37DC"/>
    <w:rsid w:val="008E3866"/>
    <w:rsid w:val="008E3C51"/>
    <w:rsid w:val="008E4FC3"/>
    <w:rsid w:val="008E51D6"/>
    <w:rsid w:val="008E5800"/>
    <w:rsid w:val="008E6371"/>
    <w:rsid w:val="008E644B"/>
    <w:rsid w:val="008E673A"/>
    <w:rsid w:val="008E6CAA"/>
    <w:rsid w:val="008E7231"/>
    <w:rsid w:val="008F12CA"/>
    <w:rsid w:val="008F1F28"/>
    <w:rsid w:val="008F448E"/>
    <w:rsid w:val="008F47AB"/>
    <w:rsid w:val="008F4853"/>
    <w:rsid w:val="008F57C8"/>
    <w:rsid w:val="008F6245"/>
    <w:rsid w:val="008F6AE5"/>
    <w:rsid w:val="008F6E05"/>
    <w:rsid w:val="009000EE"/>
    <w:rsid w:val="00900328"/>
    <w:rsid w:val="00900568"/>
    <w:rsid w:val="009012FC"/>
    <w:rsid w:val="00901438"/>
    <w:rsid w:val="0090358A"/>
    <w:rsid w:val="00903A2A"/>
    <w:rsid w:val="00904BA6"/>
    <w:rsid w:val="00904DFA"/>
    <w:rsid w:val="0090543E"/>
    <w:rsid w:val="00905FB1"/>
    <w:rsid w:val="00906B8B"/>
    <w:rsid w:val="009102D2"/>
    <w:rsid w:val="0091073F"/>
    <w:rsid w:val="009108EC"/>
    <w:rsid w:val="00910BB5"/>
    <w:rsid w:val="00910E5B"/>
    <w:rsid w:val="00911383"/>
    <w:rsid w:val="009119EC"/>
    <w:rsid w:val="00911CDF"/>
    <w:rsid w:val="00912CC2"/>
    <w:rsid w:val="009130A6"/>
    <w:rsid w:val="0091310A"/>
    <w:rsid w:val="00913F31"/>
    <w:rsid w:val="009146CE"/>
    <w:rsid w:val="00914FE0"/>
    <w:rsid w:val="00915FC1"/>
    <w:rsid w:val="009165C0"/>
    <w:rsid w:val="00917382"/>
    <w:rsid w:val="00920CDB"/>
    <w:rsid w:val="00921116"/>
    <w:rsid w:val="009214EC"/>
    <w:rsid w:val="009215BC"/>
    <w:rsid w:val="00921B70"/>
    <w:rsid w:val="00921B9A"/>
    <w:rsid w:val="00921E76"/>
    <w:rsid w:val="0092316A"/>
    <w:rsid w:val="0092325A"/>
    <w:rsid w:val="00924602"/>
    <w:rsid w:val="009262B5"/>
    <w:rsid w:val="00926B8B"/>
    <w:rsid w:val="0092715F"/>
    <w:rsid w:val="00927D16"/>
    <w:rsid w:val="00930271"/>
    <w:rsid w:val="00930B92"/>
    <w:rsid w:val="00930BB7"/>
    <w:rsid w:val="009316B0"/>
    <w:rsid w:val="00931B67"/>
    <w:rsid w:val="00931FBC"/>
    <w:rsid w:val="00932E5E"/>
    <w:rsid w:val="00933235"/>
    <w:rsid w:val="00933737"/>
    <w:rsid w:val="00933BB5"/>
    <w:rsid w:val="0093531F"/>
    <w:rsid w:val="00935778"/>
    <w:rsid w:val="00935F98"/>
    <w:rsid w:val="00936113"/>
    <w:rsid w:val="009364CB"/>
    <w:rsid w:val="00936EAA"/>
    <w:rsid w:val="00937205"/>
    <w:rsid w:val="00937493"/>
    <w:rsid w:val="00941737"/>
    <w:rsid w:val="00941954"/>
    <w:rsid w:val="00942677"/>
    <w:rsid w:val="00942C7C"/>
    <w:rsid w:val="00943A4D"/>
    <w:rsid w:val="00943AB6"/>
    <w:rsid w:val="009454C5"/>
    <w:rsid w:val="00945D2A"/>
    <w:rsid w:val="00945F84"/>
    <w:rsid w:val="00947373"/>
    <w:rsid w:val="00947511"/>
    <w:rsid w:val="00947A9D"/>
    <w:rsid w:val="00950391"/>
    <w:rsid w:val="00950B85"/>
    <w:rsid w:val="00950E3D"/>
    <w:rsid w:val="00951134"/>
    <w:rsid w:val="00951413"/>
    <w:rsid w:val="00951BDA"/>
    <w:rsid w:val="009529EB"/>
    <w:rsid w:val="0095336C"/>
    <w:rsid w:val="00953C8D"/>
    <w:rsid w:val="00954339"/>
    <w:rsid w:val="009559E8"/>
    <w:rsid w:val="00956514"/>
    <w:rsid w:val="009566CC"/>
    <w:rsid w:val="0095740B"/>
    <w:rsid w:val="00957847"/>
    <w:rsid w:val="0096041B"/>
    <w:rsid w:val="00961374"/>
    <w:rsid w:val="009617A0"/>
    <w:rsid w:val="00961B5E"/>
    <w:rsid w:val="00962583"/>
    <w:rsid w:val="009650DA"/>
    <w:rsid w:val="0096607C"/>
    <w:rsid w:val="009675FE"/>
    <w:rsid w:val="0097060F"/>
    <w:rsid w:val="00971740"/>
    <w:rsid w:val="009722F1"/>
    <w:rsid w:val="009742FE"/>
    <w:rsid w:val="009745E1"/>
    <w:rsid w:val="0097460A"/>
    <w:rsid w:val="00974A54"/>
    <w:rsid w:val="0097717C"/>
    <w:rsid w:val="00983E14"/>
    <w:rsid w:val="00984089"/>
    <w:rsid w:val="00984697"/>
    <w:rsid w:val="0098476A"/>
    <w:rsid w:val="009847B8"/>
    <w:rsid w:val="00987BC6"/>
    <w:rsid w:val="00990963"/>
    <w:rsid w:val="00991842"/>
    <w:rsid w:val="00992C19"/>
    <w:rsid w:val="0099344A"/>
    <w:rsid w:val="00993DC9"/>
    <w:rsid w:val="00993EC8"/>
    <w:rsid w:val="0099589B"/>
    <w:rsid w:val="00995DB4"/>
    <w:rsid w:val="009964F9"/>
    <w:rsid w:val="00996C22"/>
    <w:rsid w:val="00996FF5"/>
    <w:rsid w:val="009971ED"/>
    <w:rsid w:val="00997B36"/>
    <w:rsid w:val="009A144C"/>
    <w:rsid w:val="009A2199"/>
    <w:rsid w:val="009A29CE"/>
    <w:rsid w:val="009A2FCD"/>
    <w:rsid w:val="009A349B"/>
    <w:rsid w:val="009A3683"/>
    <w:rsid w:val="009A54D5"/>
    <w:rsid w:val="009A56DB"/>
    <w:rsid w:val="009A74E7"/>
    <w:rsid w:val="009A797E"/>
    <w:rsid w:val="009A7E57"/>
    <w:rsid w:val="009B0048"/>
    <w:rsid w:val="009B029D"/>
    <w:rsid w:val="009B0882"/>
    <w:rsid w:val="009B0E9A"/>
    <w:rsid w:val="009B2146"/>
    <w:rsid w:val="009B2C67"/>
    <w:rsid w:val="009B3F63"/>
    <w:rsid w:val="009B405C"/>
    <w:rsid w:val="009B4296"/>
    <w:rsid w:val="009B49C3"/>
    <w:rsid w:val="009B4C02"/>
    <w:rsid w:val="009B4E61"/>
    <w:rsid w:val="009B52B2"/>
    <w:rsid w:val="009B544C"/>
    <w:rsid w:val="009B663C"/>
    <w:rsid w:val="009B6C2B"/>
    <w:rsid w:val="009B6E18"/>
    <w:rsid w:val="009B7429"/>
    <w:rsid w:val="009C191C"/>
    <w:rsid w:val="009C2268"/>
    <w:rsid w:val="009C4D92"/>
    <w:rsid w:val="009C53ED"/>
    <w:rsid w:val="009C61D0"/>
    <w:rsid w:val="009C6809"/>
    <w:rsid w:val="009C71FF"/>
    <w:rsid w:val="009C7486"/>
    <w:rsid w:val="009D02D6"/>
    <w:rsid w:val="009D03E0"/>
    <w:rsid w:val="009D1AAE"/>
    <w:rsid w:val="009D2352"/>
    <w:rsid w:val="009D2435"/>
    <w:rsid w:val="009D39CD"/>
    <w:rsid w:val="009D3C94"/>
    <w:rsid w:val="009D479D"/>
    <w:rsid w:val="009D48AB"/>
    <w:rsid w:val="009D5A01"/>
    <w:rsid w:val="009D6309"/>
    <w:rsid w:val="009D6CD0"/>
    <w:rsid w:val="009D7392"/>
    <w:rsid w:val="009D7D76"/>
    <w:rsid w:val="009E02E5"/>
    <w:rsid w:val="009E1E34"/>
    <w:rsid w:val="009E24D3"/>
    <w:rsid w:val="009E285D"/>
    <w:rsid w:val="009E3343"/>
    <w:rsid w:val="009E3F95"/>
    <w:rsid w:val="009E418E"/>
    <w:rsid w:val="009E4C3A"/>
    <w:rsid w:val="009E506C"/>
    <w:rsid w:val="009E58C5"/>
    <w:rsid w:val="009E5ADE"/>
    <w:rsid w:val="009E5C43"/>
    <w:rsid w:val="009E631C"/>
    <w:rsid w:val="009E7365"/>
    <w:rsid w:val="009F0052"/>
    <w:rsid w:val="009F0622"/>
    <w:rsid w:val="009F1AB3"/>
    <w:rsid w:val="009F27EE"/>
    <w:rsid w:val="009F2CDE"/>
    <w:rsid w:val="009F3457"/>
    <w:rsid w:val="009F34B7"/>
    <w:rsid w:val="009F3B5F"/>
    <w:rsid w:val="009F3CD0"/>
    <w:rsid w:val="009F45BA"/>
    <w:rsid w:val="009F467D"/>
    <w:rsid w:val="009F470A"/>
    <w:rsid w:val="009F5432"/>
    <w:rsid w:val="009F5FF5"/>
    <w:rsid w:val="009F66CE"/>
    <w:rsid w:val="009F684E"/>
    <w:rsid w:val="009F6B3A"/>
    <w:rsid w:val="009F6FCF"/>
    <w:rsid w:val="009F799D"/>
    <w:rsid w:val="009F7B2E"/>
    <w:rsid w:val="00A013A9"/>
    <w:rsid w:val="00A021E5"/>
    <w:rsid w:val="00A021F1"/>
    <w:rsid w:val="00A03259"/>
    <w:rsid w:val="00A033CA"/>
    <w:rsid w:val="00A0376B"/>
    <w:rsid w:val="00A03C12"/>
    <w:rsid w:val="00A040C1"/>
    <w:rsid w:val="00A047EC"/>
    <w:rsid w:val="00A0486F"/>
    <w:rsid w:val="00A058A8"/>
    <w:rsid w:val="00A05937"/>
    <w:rsid w:val="00A071C6"/>
    <w:rsid w:val="00A07A84"/>
    <w:rsid w:val="00A07DE4"/>
    <w:rsid w:val="00A10AA4"/>
    <w:rsid w:val="00A11FFF"/>
    <w:rsid w:val="00A12E8F"/>
    <w:rsid w:val="00A13DBC"/>
    <w:rsid w:val="00A14DC3"/>
    <w:rsid w:val="00A203C0"/>
    <w:rsid w:val="00A20A4C"/>
    <w:rsid w:val="00A21B66"/>
    <w:rsid w:val="00A21F1B"/>
    <w:rsid w:val="00A22B80"/>
    <w:rsid w:val="00A2302D"/>
    <w:rsid w:val="00A2387D"/>
    <w:rsid w:val="00A255B4"/>
    <w:rsid w:val="00A258A6"/>
    <w:rsid w:val="00A2761D"/>
    <w:rsid w:val="00A2794B"/>
    <w:rsid w:val="00A30FE1"/>
    <w:rsid w:val="00A31288"/>
    <w:rsid w:val="00A31622"/>
    <w:rsid w:val="00A31CD6"/>
    <w:rsid w:val="00A32DE8"/>
    <w:rsid w:val="00A338EA"/>
    <w:rsid w:val="00A34270"/>
    <w:rsid w:val="00A3485E"/>
    <w:rsid w:val="00A352B1"/>
    <w:rsid w:val="00A3673A"/>
    <w:rsid w:val="00A36B97"/>
    <w:rsid w:val="00A36E73"/>
    <w:rsid w:val="00A37E38"/>
    <w:rsid w:val="00A415B1"/>
    <w:rsid w:val="00A41A95"/>
    <w:rsid w:val="00A43997"/>
    <w:rsid w:val="00A43A01"/>
    <w:rsid w:val="00A43A0A"/>
    <w:rsid w:val="00A44E03"/>
    <w:rsid w:val="00A45A23"/>
    <w:rsid w:val="00A45AA0"/>
    <w:rsid w:val="00A47606"/>
    <w:rsid w:val="00A47B45"/>
    <w:rsid w:val="00A47DDE"/>
    <w:rsid w:val="00A50A3A"/>
    <w:rsid w:val="00A50FBA"/>
    <w:rsid w:val="00A50FC5"/>
    <w:rsid w:val="00A51124"/>
    <w:rsid w:val="00A51CA2"/>
    <w:rsid w:val="00A5270E"/>
    <w:rsid w:val="00A52EEF"/>
    <w:rsid w:val="00A5340F"/>
    <w:rsid w:val="00A544C2"/>
    <w:rsid w:val="00A54660"/>
    <w:rsid w:val="00A54697"/>
    <w:rsid w:val="00A559FC"/>
    <w:rsid w:val="00A55D1A"/>
    <w:rsid w:val="00A56E71"/>
    <w:rsid w:val="00A57131"/>
    <w:rsid w:val="00A57A2B"/>
    <w:rsid w:val="00A61706"/>
    <w:rsid w:val="00A61D6C"/>
    <w:rsid w:val="00A626B6"/>
    <w:rsid w:val="00A6367C"/>
    <w:rsid w:val="00A6409C"/>
    <w:rsid w:val="00A642F9"/>
    <w:rsid w:val="00A64AAE"/>
    <w:rsid w:val="00A66291"/>
    <w:rsid w:val="00A675C5"/>
    <w:rsid w:val="00A6780F"/>
    <w:rsid w:val="00A67A7D"/>
    <w:rsid w:val="00A71D9A"/>
    <w:rsid w:val="00A72C57"/>
    <w:rsid w:val="00A73600"/>
    <w:rsid w:val="00A7387D"/>
    <w:rsid w:val="00A73AE1"/>
    <w:rsid w:val="00A73DDB"/>
    <w:rsid w:val="00A74822"/>
    <w:rsid w:val="00A74FA5"/>
    <w:rsid w:val="00A75568"/>
    <w:rsid w:val="00A75B0E"/>
    <w:rsid w:val="00A75C2D"/>
    <w:rsid w:val="00A75ED8"/>
    <w:rsid w:val="00A76630"/>
    <w:rsid w:val="00A76BF8"/>
    <w:rsid w:val="00A76C70"/>
    <w:rsid w:val="00A76E5E"/>
    <w:rsid w:val="00A772B7"/>
    <w:rsid w:val="00A8040C"/>
    <w:rsid w:val="00A80ED7"/>
    <w:rsid w:val="00A80F2E"/>
    <w:rsid w:val="00A82034"/>
    <w:rsid w:val="00A8260F"/>
    <w:rsid w:val="00A82A46"/>
    <w:rsid w:val="00A836AC"/>
    <w:rsid w:val="00A84107"/>
    <w:rsid w:val="00A845E6"/>
    <w:rsid w:val="00A848B0"/>
    <w:rsid w:val="00A84B47"/>
    <w:rsid w:val="00A85960"/>
    <w:rsid w:val="00A85CCE"/>
    <w:rsid w:val="00A85D32"/>
    <w:rsid w:val="00A85FF6"/>
    <w:rsid w:val="00A86891"/>
    <w:rsid w:val="00A86EA3"/>
    <w:rsid w:val="00A87347"/>
    <w:rsid w:val="00A87A69"/>
    <w:rsid w:val="00A913FB"/>
    <w:rsid w:val="00A9144C"/>
    <w:rsid w:val="00A91A86"/>
    <w:rsid w:val="00A92218"/>
    <w:rsid w:val="00A923AE"/>
    <w:rsid w:val="00A92A2E"/>
    <w:rsid w:val="00A93157"/>
    <w:rsid w:val="00A934C0"/>
    <w:rsid w:val="00A939A9"/>
    <w:rsid w:val="00A93B0A"/>
    <w:rsid w:val="00A94157"/>
    <w:rsid w:val="00A94519"/>
    <w:rsid w:val="00A9495A"/>
    <w:rsid w:val="00A94C53"/>
    <w:rsid w:val="00A9621F"/>
    <w:rsid w:val="00A96BA6"/>
    <w:rsid w:val="00AA0C8C"/>
    <w:rsid w:val="00AA1D67"/>
    <w:rsid w:val="00AA272F"/>
    <w:rsid w:val="00AA35BD"/>
    <w:rsid w:val="00AA375E"/>
    <w:rsid w:val="00AA4028"/>
    <w:rsid w:val="00AA4480"/>
    <w:rsid w:val="00AA5E92"/>
    <w:rsid w:val="00AA72C9"/>
    <w:rsid w:val="00AA73DE"/>
    <w:rsid w:val="00AA762C"/>
    <w:rsid w:val="00AB0789"/>
    <w:rsid w:val="00AB3953"/>
    <w:rsid w:val="00AB3D39"/>
    <w:rsid w:val="00AB4663"/>
    <w:rsid w:val="00AB4689"/>
    <w:rsid w:val="00AB690D"/>
    <w:rsid w:val="00AB6BBC"/>
    <w:rsid w:val="00AB6BF3"/>
    <w:rsid w:val="00AB6E45"/>
    <w:rsid w:val="00AB7948"/>
    <w:rsid w:val="00AC0367"/>
    <w:rsid w:val="00AC0B0A"/>
    <w:rsid w:val="00AC1206"/>
    <w:rsid w:val="00AC186C"/>
    <w:rsid w:val="00AC2AB5"/>
    <w:rsid w:val="00AC33C6"/>
    <w:rsid w:val="00AC4799"/>
    <w:rsid w:val="00AC53F9"/>
    <w:rsid w:val="00AC583C"/>
    <w:rsid w:val="00AC5A25"/>
    <w:rsid w:val="00AC5AC8"/>
    <w:rsid w:val="00AC6C07"/>
    <w:rsid w:val="00AC7221"/>
    <w:rsid w:val="00AC722A"/>
    <w:rsid w:val="00AC7DAE"/>
    <w:rsid w:val="00AC7E0F"/>
    <w:rsid w:val="00AD0323"/>
    <w:rsid w:val="00AD0474"/>
    <w:rsid w:val="00AD05EE"/>
    <w:rsid w:val="00AD3F09"/>
    <w:rsid w:val="00AD47C0"/>
    <w:rsid w:val="00AD5542"/>
    <w:rsid w:val="00AD578B"/>
    <w:rsid w:val="00AD6222"/>
    <w:rsid w:val="00AD7476"/>
    <w:rsid w:val="00AD75C5"/>
    <w:rsid w:val="00AE01F6"/>
    <w:rsid w:val="00AE0498"/>
    <w:rsid w:val="00AE0501"/>
    <w:rsid w:val="00AE07D1"/>
    <w:rsid w:val="00AE128F"/>
    <w:rsid w:val="00AE195E"/>
    <w:rsid w:val="00AE1E3B"/>
    <w:rsid w:val="00AE21CA"/>
    <w:rsid w:val="00AE234B"/>
    <w:rsid w:val="00AE296E"/>
    <w:rsid w:val="00AE2E07"/>
    <w:rsid w:val="00AE40B6"/>
    <w:rsid w:val="00AE42DB"/>
    <w:rsid w:val="00AE55F8"/>
    <w:rsid w:val="00AE5721"/>
    <w:rsid w:val="00AE5E39"/>
    <w:rsid w:val="00AE5F2C"/>
    <w:rsid w:val="00AE6B47"/>
    <w:rsid w:val="00AE7575"/>
    <w:rsid w:val="00AF0749"/>
    <w:rsid w:val="00AF0D01"/>
    <w:rsid w:val="00AF4A16"/>
    <w:rsid w:val="00AF4CAF"/>
    <w:rsid w:val="00AF5821"/>
    <w:rsid w:val="00AF59D3"/>
    <w:rsid w:val="00AF5A3A"/>
    <w:rsid w:val="00AF60F5"/>
    <w:rsid w:val="00AF6136"/>
    <w:rsid w:val="00AF6CB6"/>
    <w:rsid w:val="00AF6D78"/>
    <w:rsid w:val="00AF6EF5"/>
    <w:rsid w:val="00AF7C06"/>
    <w:rsid w:val="00AF7C0D"/>
    <w:rsid w:val="00B00151"/>
    <w:rsid w:val="00B002FC"/>
    <w:rsid w:val="00B0069E"/>
    <w:rsid w:val="00B02103"/>
    <w:rsid w:val="00B0270A"/>
    <w:rsid w:val="00B0299C"/>
    <w:rsid w:val="00B04676"/>
    <w:rsid w:val="00B04FDE"/>
    <w:rsid w:val="00B0605C"/>
    <w:rsid w:val="00B06092"/>
    <w:rsid w:val="00B06307"/>
    <w:rsid w:val="00B0718A"/>
    <w:rsid w:val="00B1062B"/>
    <w:rsid w:val="00B11698"/>
    <w:rsid w:val="00B12292"/>
    <w:rsid w:val="00B12840"/>
    <w:rsid w:val="00B12899"/>
    <w:rsid w:val="00B14826"/>
    <w:rsid w:val="00B14B73"/>
    <w:rsid w:val="00B175F0"/>
    <w:rsid w:val="00B207C2"/>
    <w:rsid w:val="00B2176B"/>
    <w:rsid w:val="00B21F86"/>
    <w:rsid w:val="00B230F3"/>
    <w:rsid w:val="00B231EF"/>
    <w:rsid w:val="00B23258"/>
    <w:rsid w:val="00B23C87"/>
    <w:rsid w:val="00B24244"/>
    <w:rsid w:val="00B25342"/>
    <w:rsid w:val="00B26DBE"/>
    <w:rsid w:val="00B27485"/>
    <w:rsid w:val="00B307C7"/>
    <w:rsid w:val="00B31458"/>
    <w:rsid w:val="00B31A21"/>
    <w:rsid w:val="00B3250A"/>
    <w:rsid w:val="00B3461E"/>
    <w:rsid w:val="00B347C7"/>
    <w:rsid w:val="00B354FA"/>
    <w:rsid w:val="00B35CC8"/>
    <w:rsid w:val="00B36433"/>
    <w:rsid w:val="00B36A66"/>
    <w:rsid w:val="00B37BE5"/>
    <w:rsid w:val="00B4037C"/>
    <w:rsid w:val="00B41ED1"/>
    <w:rsid w:val="00B42D01"/>
    <w:rsid w:val="00B43199"/>
    <w:rsid w:val="00B435A2"/>
    <w:rsid w:val="00B43847"/>
    <w:rsid w:val="00B43DFD"/>
    <w:rsid w:val="00B44858"/>
    <w:rsid w:val="00B44955"/>
    <w:rsid w:val="00B44BB1"/>
    <w:rsid w:val="00B44EFF"/>
    <w:rsid w:val="00B45010"/>
    <w:rsid w:val="00B45AFC"/>
    <w:rsid w:val="00B45D0A"/>
    <w:rsid w:val="00B471A2"/>
    <w:rsid w:val="00B476B3"/>
    <w:rsid w:val="00B47DDD"/>
    <w:rsid w:val="00B50A46"/>
    <w:rsid w:val="00B50CA3"/>
    <w:rsid w:val="00B510CB"/>
    <w:rsid w:val="00B51BB2"/>
    <w:rsid w:val="00B51DE9"/>
    <w:rsid w:val="00B527C5"/>
    <w:rsid w:val="00B52806"/>
    <w:rsid w:val="00B52F74"/>
    <w:rsid w:val="00B53041"/>
    <w:rsid w:val="00B54A13"/>
    <w:rsid w:val="00B54C38"/>
    <w:rsid w:val="00B54DC6"/>
    <w:rsid w:val="00B55B2B"/>
    <w:rsid w:val="00B55B33"/>
    <w:rsid w:val="00B560E5"/>
    <w:rsid w:val="00B5623F"/>
    <w:rsid w:val="00B5721B"/>
    <w:rsid w:val="00B575E4"/>
    <w:rsid w:val="00B601DA"/>
    <w:rsid w:val="00B60567"/>
    <w:rsid w:val="00B619D7"/>
    <w:rsid w:val="00B62529"/>
    <w:rsid w:val="00B630F7"/>
    <w:rsid w:val="00B632DF"/>
    <w:rsid w:val="00B63DB9"/>
    <w:rsid w:val="00B64914"/>
    <w:rsid w:val="00B64ADF"/>
    <w:rsid w:val="00B65427"/>
    <w:rsid w:val="00B65AF0"/>
    <w:rsid w:val="00B6639A"/>
    <w:rsid w:val="00B66AB3"/>
    <w:rsid w:val="00B70EE2"/>
    <w:rsid w:val="00B723E6"/>
    <w:rsid w:val="00B72BAB"/>
    <w:rsid w:val="00B72E3F"/>
    <w:rsid w:val="00B73192"/>
    <w:rsid w:val="00B732B5"/>
    <w:rsid w:val="00B75078"/>
    <w:rsid w:val="00B7507E"/>
    <w:rsid w:val="00B75E44"/>
    <w:rsid w:val="00B7648D"/>
    <w:rsid w:val="00B76BE0"/>
    <w:rsid w:val="00B76CF5"/>
    <w:rsid w:val="00B77396"/>
    <w:rsid w:val="00B80D08"/>
    <w:rsid w:val="00B81C37"/>
    <w:rsid w:val="00B8362C"/>
    <w:rsid w:val="00B83B14"/>
    <w:rsid w:val="00B846B0"/>
    <w:rsid w:val="00B85632"/>
    <w:rsid w:val="00B858AC"/>
    <w:rsid w:val="00B86D73"/>
    <w:rsid w:val="00B86DEE"/>
    <w:rsid w:val="00B870DE"/>
    <w:rsid w:val="00B872E0"/>
    <w:rsid w:val="00B916E2"/>
    <w:rsid w:val="00B92202"/>
    <w:rsid w:val="00B94015"/>
    <w:rsid w:val="00B94767"/>
    <w:rsid w:val="00B958BF"/>
    <w:rsid w:val="00B95F0E"/>
    <w:rsid w:val="00B9754B"/>
    <w:rsid w:val="00B976B5"/>
    <w:rsid w:val="00B97868"/>
    <w:rsid w:val="00B97914"/>
    <w:rsid w:val="00B97AF0"/>
    <w:rsid w:val="00BA07E4"/>
    <w:rsid w:val="00BA0E39"/>
    <w:rsid w:val="00BA108C"/>
    <w:rsid w:val="00BA1160"/>
    <w:rsid w:val="00BA11C9"/>
    <w:rsid w:val="00BA217A"/>
    <w:rsid w:val="00BA2BEA"/>
    <w:rsid w:val="00BA30B2"/>
    <w:rsid w:val="00BA3182"/>
    <w:rsid w:val="00BA39C9"/>
    <w:rsid w:val="00BA3E9C"/>
    <w:rsid w:val="00BA426C"/>
    <w:rsid w:val="00BA451A"/>
    <w:rsid w:val="00BA4951"/>
    <w:rsid w:val="00BA7423"/>
    <w:rsid w:val="00BA7BAC"/>
    <w:rsid w:val="00BB0070"/>
    <w:rsid w:val="00BB06C4"/>
    <w:rsid w:val="00BB082F"/>
    <w:rsid w:val="00BB083F"/>
    <w:rsid w:val="00BB0FB5"/>
    <w:rsid w:val="00BB1034"/>
    <w:rsid w:val="00BB324D"/>
    <w:rsid w:val="00BB3482"/>
    <w:rsid w:val="00BB34E6"/>
    <w:rsid w:val="00BB39AC"/>
    <w:rsid w:val="00BB3A29"/>
    <w:rsid w:val="00BB4089"/>
    <w:rsid w:val="00BB418A"/>
    <w:rsid w:val="00BB4616"/>
    <w:rsid w:val="00BB47FB"/>
    <w:rsid w:val="00BB48EA"/>
    <w:rsid w:val="00BB49FC"/>
    <w:rsid w:val="00BB4B31"/>
    <w:rsid w:val="00BB581B"/>
    <w:rsid w:val="00BB5EF5"/>
    <w:rsid w:val="00BB64E9"/>
    <w:rsid w:val="00BB6646"/>
    <w:rsid w:val="00BB726B"/>
    <w:rsid w:val="00BB7D44"/>
    <w:rsid w:val="00BC0F4B"/>
    <w:rsid w:val="00BC17C8"/>
    <w:rsid w:val="00BC184F"/>
    <w:rsid w:val="00BC1EF2"/>
    <w:rsid w:val="00BC2DB6"/>
    <w:rsid w:val="00BC5A2F"/>
    <w:rsid w:val="00BC6C99"/>
    <w:rsid w:val="00BC6D40"/>
    <w:rsid w:val="00BC71DE"/>
    <w:rsid w:val="00BC7403"/>
    <w:rsid w:val="00BC78BB"/>
    <w:rsid w:val="00BC7ECB"/>
    <w:rsid w:val="00BD0AAA"/>
    <w:rsid w:val="00BD0BA4"/>
    <w:rsid w:val="00BD1C3D"/>
    <w:rsid w:val="00BD23F5"/>
    <w:rsid w:val="00BD2CDE"/>
    <w:rsid w:val="00BD381F"/>
    <w:rsid w:val="00BD4281"/>
    <w:rsid w:val="00BD477D"/>
    <w:rsid w:val="00BD69F0"/>
    <w:rsid w:val="00BD6E4D"/>
    <w:rsid w:val="00BD6EA3"/>
    <w:rsid w:val="00BD70DF"/>
    <w:rsid w:val="00BE0394"/>
    <w:rsid w:val="00BE13FA"/>
    <w:rsid w:val="00BE232D"/>
    <w:rsid w:val="00BE3C55"/>
    <w:rsid w:val="00BE499C"/>
    <w:rsid w:val="00BE5F3D"/>
    <w:rsid w:val="00BE70D6"/>
    <w:rsid w:val="00BF1083"/>
    <w:rsid w:val="00BF154C"/>
    <w:rsid w:val="00BF206F"/>
    <w:rsid w:val="00BF20BF"/>
    <w:rsid w:val="00BF273C"/>
    <w:rsid w:val="00BF4B89"/>
    <w:rsid w:val="00BF57F5"/>
    <w:rsid w:val="00C00E15"/>
    <w:rsid w:val="00C025D1"/>
    <w:rsid w:val="00C027B1"/>
    <w:rsid w:val="00C0388B"/>
    <w:rsid w:val="00C0409F"/>
    <w:rsid w:val="00C0434D"/>
    <w:rsid w:val="00C060E0"/>
    <w:rsid w:val="00C07A04"/>
    <w:rsid w:val="00C07C0A"/>
    <w:rsid w:val="00C10545"/>
    <w:rsid w:val="00C10581"/>
    <w:rsid w:val="00C10C68"/>
    <w:rsid w:val="00C10FBA"/>
    <w:rsid w:val="00C11A71"/>
    <w:rsid w:val="00C12C49"/>
    <w:rsid w:val="00C14066"/>
    <w:rsid w:val="00C14634"/>
    <w:rsid w:val="00C14B22"/>
    <w:rsid w:val="00C15869"/>
    <w:rsid w:val="00C16F72"/>
    <w:rsid w:val="00C1758C"/>
    <w:rsid w:val="00C17A19"/>
    <w:rsid w:val="00C17C05"/>
    <w:rsid w:val="00C17CEC"/>
    <w:rsid w:val="00C17D35"/>
    <w:rsid w:val="00C201F6"/>
    <w:rsid w:val="00C20589"/>
    <w:rsid w:val="00C233EC"/>
    <w:rsid w:val="00C23AA2"/>
    <w:rsid w:val="00C23C58"/>
    <w:rsid w:val="00C23D64"/>
    <w:rsid w:val="00C2452E"/>
    <w:rsid w:val="00C2476C"/>
    <w:rsid w:val="00C24EE3"/>
    <w:rsid w:val="00C26573"/>
    <w:rsid w:val="00C2683C"/>
    <w:rsid w:val="00C269D3"/>
    <w:rsid w:val="00C271A5"/>
    <w:rsid w:val="00C275B8"/>
    <w:rsid w:val="00C27D1D"/>
    <w:rsid w:val="00C30E99"/>
    <w:rsid w:val="00C310C3"/>
    <w:rsid w:val="00C3157C"/>
    <w:rsid w:val="00C31E59"/>
    <w:rsid w:val="00C320F9"/>
    <w:rsid w:val="00C3220E"/>
    <w:rsid w:val="00C32BFE"/>
    <w:rsid w:val="00C32D7D"/>
    <w:rsid w:val="00C337E6"/>
    <w:rsid w:val="00C339D0"/>
    <w:rsid w:val="00C33BC1"/>
    <w:rsid w:val="00C34D76"/>
    <w:rsid w:val="00C3575B"/>
    <w:rsid w:val="00C36073"/>
    <w:rsid w:val="00C36165"/>
    <w:rsid w:val="00C4062C"/>
    <w:rsid w:val="00C40A7B"/>
    <w:rsid w:val="00C40ED1"/>
    <w:rsid w:val="00C41282"/>
    <w:rsid w:val="00C4177C"/>
    <w:rsid w:val="00C418E4"/>
    <w:rsid w:val="00C428C9"/>
    <w:rsid w:val="00C433F0"/>
    <w:rsid w:val="00C437FE"/>
    <w:rsid w:val="00C441AD"/>
    <w:rsid w:val="00C447B8"/>
    <w:rsid w:val="00C45C86"/>
    <w:rsid w:val="00C4699D"/>
    <w:rsid w:val="00C469FB"/>
    <w:rsid w:val="00C47B08"/>
    <w:rsid w:val="00C50C70"/>
    <w:rsid w:val="00C50D49"/>
    <w:rsid w:val="00C51470"/>
    <w:rsid w:val="00C53409"/>
    <w:rsid w:val="00C5355D"/>
    <w:rsid w:val="00C5422F"/>
    <w:rsid w:val="00C5446A"/>
    <w:rsid w:val="00C5455E"/>
    <w:rsid w:val="00C5540A"/>
    <w:rsid w:val="00C5542D"/>
    <w:rsid w:val="00C555CF"/>
    <w:rsid w:val="00C57EB4"/>
    <w:rsid w:val="00C57F90"/>
    <w:rsid w:val="00C57F94"/>
    <w:rsid w:val="00C6010E"/>
    <w:rsid w:val="00C60C14"/>
    <w:rsid w:val="00C61749"/>
    <w:rsid w:val="00C61FC8"/>
    <w:rsid w:val="00C630E7"/>
    <w:rsid w:val="00C632A0"/>
    <w:rsid w:val="00C65076"/>
    <w:rsid w:val="00C65E0B"/>
    <w:rsid w:val="00C70E12"/>
    <w:rsid w:val="00C714E4"/>
    <w:rsid w:val="00C72359"/>
    <w:rsid w:val="00C728F4"/>
    <w:rsid w:val="00C72AD3"/>
    <w:rsid w:val="00C738C3"/>
    <w:rsid w:val="00C7454B"/>
    <w:rsid w:val="00C7458F"/>
    <w:rsid w:val="00C752D7"/>
    <w:rsid w:val="00C755BE"/>
    <w:rsid w:val="00C75B25"/>
    <w:rsid w:val="00C80721"/>
    <w:rsid w:val="00C80B90"/>
    <w:rsid w:val="00C8283E"/>
    <w:rsid w:val="00C82FD5"/>
    <w:rsid w:val="00C84A01"/>
    <w:rsid w:val="00C84B4B"/>
    <w:rsid w:val="00C84D9B"/>
    <w:rsid w:val="00C85DE2"/>
    <w:rsid w:val="00C8716F"/>
    <w:rsid w:val="00C87768"/>
    <w:rsid w:val="00C87CCD"/>
    <w:rsid w:val="00C90333"/>
    <w:rsid w:val="00C903A7"/>
    <w:rsid w:val="00C9084A"/>
    <w:rsid w:val="00C90B14"/>
    <w:rsid w:val="00C91723"/>
    <w:rsid w:val="00C91791"/>
    <w:rsid w:val="00C92E2D"/>
    <w:rsid w:val="00C94AC1"/>
    <w:rsid w:val="00C96C7E"/>
    <w:rsid w:val="00C9712F"/>
    <w:rsid w:val="00C9722E"/>
    <w:rsid w:val="00C97E39"/>
    <w:rsid w:val="00CA086A"/>
    <w:rsid w:val="00CA0BEA"/>
    <w:rsid w:val="00CA0D70"/>
    <w:rsid w:val="00CA0E7E"/>
    <w:rsid w:val="00CA2AE4"/>
    <w:rsid w:val="00CA36D5"/>
    <w:rsid w:val="00CA36DC"/>
    <w:rsid w:val="00CA37C9"/>
    <w:rsid w:val="00CA3B17"/>
    <w:rsid w:val="00CA40E4"/>
    <w:rsid w:val="00CA43D1"/>
    <w:rsid w:val="00CA53CB"/>
    <w:rsid w:val="00CA5C19"/>
    <w:rsid w:val="00CA6379"/>
    <w:rsid w:val="00CA6A6E"/>
    <w:rsid w:val="00CA6C34"/>
    <w:rsid w:val="00CA6CBF"/>
    <w:rsid w:val="00CA735C"/>
    <w:rsid w:val="00CA7B0A"/>
    <w:rsid w:val="00CA7FFC"/>
    <w:rsid w:val="00CB096C"/>
    <w:rsid w:val="00CB13E0"/>
    <w:rsid w:val="00CB2D63"/>
    <w:rsid w:val="00CB2EBE"/>
    <w:rsid w:val="00CB3428"/>
    <w:rsid w:val="00CB34BE"/>
    <w:rsid w:val="00CB46A0"/>
    <w:rsid w:val="00CB5C1B"/>
    <w:rsid w:val="00CB7296"/>
    <w:rsid w:val="00CB7C48"/>
    <w:rsid w:val="00CC074A"/>
    <w:rsid w:val="00CC0D1F"/>
    <w:rsid w:val="00CC1FA5"/>
    <w:rsid w:val="00CC228B"/>
    <w:rsid w:val="00CC2317"/>
    <w:rsid w:val="00CC2EA4"/>
    <w:rsid w:val="00CC3FD1"/>
    <w:rsid w:val="00CC5203"/>
    <w:rsid w:val="00CC5B13"/>
    <w:rsid w:val="00CC7387"/>
    <w:rsid w:val="00CC78A2"/>
    <w:rsid w:val="00CD092D"/>
    <w:rsid w:val="00CD0F61"/>
    <w:rsid w:val="00CD2303"/>
    <w:rsid w:val="00CD4C99"/>
    <w:rsid w:val="00CD4CDB"/>
    <w:rsid w:val="00CD57F3"/>
    <w:rsid w:val="00CD5A7B"/>
    <w:rsid w:val="00CD7760"/>
    <w:rsid w:val="00CD7C52"/>
    <w:rsid w:val="00CE040E"/>
    <w:rsid w:val="00CE04E3"/>
    <w:rsid w:val="00CE0969"/>
    <w:rsid w:val="00CE0C80"/>
    <w:rsid w:val="00CE145D"/>
    <w:rsid w:val="00CE18D7"/>
    <w:rsid w:val="00CE1BFE"/>
    <w:rsid w:val="00CE1C75"/>
    <w:rsid w:val="00CE30BD"/>
    <w:rsid w:val="00CE3F42"/>
    <w:rsid w:val="00CE415A"/>
    <w:rsid w:val="00CE531F"/>
    <w:rsid w:val="00CE5516"/>
    <w:rsid w:val="00CE67EF"/>
    <w:rsid w:val="00CE6C60"/>
    <w:rsid w:val="00CF02F1"/>
    <w:rsid w:val="00CF0A1E"/>
    <w:rsid w:val="00CF1443"/>
    <w:rsid w:val="00CF1817"/>
    <w:rsid w:val="00CF1AB2"/>
    <w:rsid w:val="00CF2656"/>
    <w:rsid w:val="00CF3917"/>
    <w:rsid w:val="00CF3D69"/>
    <w:rsid w:val="00CF479C"/>
    <w:rsid w:val="00CF49B1"/>
    <w:rsid w:val="00CF5899"/>
    <w:rsid w:val="00CF5B42"/>
    <w:rsid w:val="00CF668C"/>
    <w:rsid w:val="00CF66FC"/>
    <w:rsid w:val="00CF6851"/>
    <w:rsid w:val="00CF6F91"/>
    <w:rsid w:val="00CF734F"/>
    <w:rsid w:val="00CF74F7"/>
    <w:rsid w:val="00D000EC"/>
    <w:rsid w:val="00D0184A"/>
    <w:rsid w:val="00D02B9C"/>
    <w:rsid w:val="00D02ECB"/>
    <w:rsid w:val="00D032F6"/>
    <w:rsid w:val="00D04498"/>
    <w:rsid w:val="00D04660"/>
    <w:rsid w:val="00D0494B"/>
    <w:rsid w:val="00D04B8E"/>
    <w:rsid w:val="00D04C4A"/>
    <w:rsid w:val="00D0568C"/>
    <w:rsid w:val="00D068CE"/>
    <w:rsid w:val="00D07731"/>
    <w:rsid w:val="00D07DCA"/>
    <w:rsid w:val="00D10118"/>
    <w:rsid w:val="00D10ED7"/>
    <w:rsid w:val="00D10FA4"/>
    <w:rsid w:val="00D11375"/>
    <w:rsid w:val="00D1250C"/>
    <w:rsid w:val="00D12B76"/>
    <w:rsid w:val="00D145A0"/>
    <w:rsid w:val="00D1494D"/>
    <w:rsid w:val="00D1559B"/>
    <w:rsid w:val="00D15A69"/>
    <w:rsid w:val="00D15BC4"/>
    <w:rsid w:val="00D15BFA"/>
    <w:rsid w:val="00D15EB6"/>
    <w:rsid w:val="00D165A1"/>
    <w:rsid w:val="00D16A76"/>
    <w:rsid w:val="00D16FDE"/>
    <w:rsid w:val="00D171D9"/>
    <w:rsid w:val="00D17515"/>
    <w:rsid w:val="00D17BCF"/>
    <w:rsid w:val="00D17CF5"/>
    <w:rsid w:val="00D2089A"/>
    <w:rsid w:val="00D2097C"/>
    <w:rsid w:val="00D20D6B"/>
    <w:rsid w:val="00D20E6A"/>
    <w:rsid w:val="00D22B1E"/>
    <w:rsid w:val="00D22B5B"/>
    <w:rsid w:val="00D22BB2"/>
    <w:rsid w:val="00D22FC8"/>
    <w:rsid w:val="00D23F43"/>
    <w:rsid w:val="00D242F5"/>
    <w:rsid w:val="00D2443A"/>
    <w:rsid w:val="00D24E5C"/>
    <w:rsid w:val="00D255B2"/>
    <w:rsid w:val="00D25A68"/>
    <w:rsid w:val="00D27015"/>
    <w:rsid w:val="00D27905"/>
    <w:rsid w:val="00D27AEC"/>
    <w:rsid w:val="00D325CA"/>
    <w:rsid w:val="00D32BC9"/>
    <w:rsid w:val="00D32DA2"/>
    <w:rsid w:val="00D33249"/>
    <w:rsid w:val="00D33D09"/>
    <w:rsid w:val="00D341C7"/>
    <w:rsid w:val="00D34212"/>
    <w:rsid w:val="00D34EBF"/>
    <w:rsid w:val="00D3500D"/>
    <w:rsid w:val="00D35266"/>
    <w:rsid w:val="00D360FC"/>
    <w:rsid w:val="00D36DE2"/>
    <w:rsid w:val="00D371E0"/>
    <w:rsid w:val="00D37858"/>
    <w:rsid w:val="00D412AE"/>
    <w:rsid w:val="00D42285"/>
    <w:rsid w:val="00D425C5"/>
    <w:rsid w:val="00D428C1"/>
    <w:rsid w:val="00D43202"/>
    <w:rsid w:val="00D432EE"/>
    <w:rsid w:val="00D4558C"/>
    <w:rsid w:val="00D45612"/>
    <w:rsid w:val="00D45914"/>
    <w:rsid w:val="00D45974"/>
    <w:rsid w:val="00D47210"/>
    <w:rsid w:val="00D4740B"/>
    <w:rsid w:val="00D47BC1"/>
    <w:rsid w:val="00D50011"/>
    <w:rsid w:val="00D50BC3"/>
    <w:rsid w:val="00D51D20"/>
    <w:rsid w:val="00D52159"/>
    <w:rsid w:val="00D53C84"/>
    <w:rsid w:val="00D54102"/>
    <w:rsid w:val="00D54DC2"/>
    <w:rsid w:val="00D55442"/>
    <w:rsid w:val="00D56C7C"/>
    <w:rsid w:val="00D5769C"/>
    <w:rsid w:val="00D60E60"/>
    <w:rsid w:val="00D61091"/>
    <w:rsid w:val="00D620B1"/>
    <w:rsid w:val="00D62902"/>
    <w:rsid w:val="00D641D9"/>
    <w:rsid w:val="00D64B3B"/>
    <w:rsid w:val="00D6585F"/>
    <w:rsid w:val="00D659C6"/>
    <w:rsid w:val="00D66547"/>
    <w:rsid w:val="00D667AE"/>
    <w:rsid w:val="00D66B0A"/>
    <w:rsid w:val="00D6717D"/>
    <w:rsid w:val="00D6785A"/>
    <w:rsid w:val="00D67BC0"/>
    <w:rsid w:val="00D67FD7"/>
    <w:rsid w:val="00D71C0A"/>
    <w:rsid w:val="00D720E8"/>
    <w:rsid w:val="00D72133"/>
    <w:rsid w:val="00D723A3"/>
    <w:rsid w:val="00D72C8B"/>
    <w:rsid w:val="00D7393E"/>
    <w:rsid w:val="00D73D8E"/>
    <w:rsid w:val="00D74227"/>
    <w:rsid w:val="00D7566F"/>
    <w:rsid w:val="00D76359"/>
    <w:rsid w:val="00D7659B"/>
    <w:rsid w:val="00D772F1"/>
    <w:rsid w:val="00D77D71"/>
    <w:rsid w:val="00D808C0"/>
    <w:rsid w:val="00D80A8C"/>
    <w:rsid w:val="00D814D1"/>
    <w:rsid w:val="00D81B91"/>
    <w:rsid w:val="00D82F01"/>
    <w:rsid w:val="00D83684"/>
    <w:rsid w:val="00D836B4"/>
    <w:rsid w:val="00D8510A"/>
    <w:rsid w:val="00D858D3"/>
    <w:rsid w:val="00D85F8F"/>
    <w:rsid w:val="00D86BDC"/>
    <w:rsid w:val="00D878FD"/>
    <w:rsid w:val="00D906D7"/>
    <w:rsid w:val="00D90A84"/>
    <w:rsid w:val="00D920F9"/>
    <w:rsid w:val="00D938B0"/>
    <w:rsid w:val="00D94560"/>
    <w:rsid w:val="00D95617"/>
    <w:rsid w:val="00D95B2D"/>
    <w:rsid w:val="00D968F5"/>
    <w:rsid w:val="00D96F41"/>
    <w:rsid w:val="00D97780"/>
    <w:rsid w:val="00D9778E"/>
    <w:rsid w:val="00DA04AD"/>
    <w:rsid w:val="00DA1213"/>
    <w:rsid w:val="00DA13B6"/>
    <w:rsid w:val="00DA1EDF"/>
    <w:rsid w:val="00DA2156"/>
    <w:rsid w:val="00DA2F17"/>
    <w:rsid w:val="00DA3AE6"/>
    <w:rsid w:val="00DA3EA8"/>
    <w:rsid w:val="00DA40ED"/>
    <w:rsid w:val="00DA437C"/>
    <w:rsid w:val="00DA48C1"/>
    <w:rsid w:val="00DA4B19"/>
    <w:rsid w:val="00DA4CFE"/>
    <w:rsid w:val="00DA55E5"/>
    <w:rsid w:val="00DA5FEC"/>
    <w:rsid w:val="00DA69A7"/>
    <w:rsid w:val="00DA6C47"/>
    <w:rsid w:val="00DA7017"/>
    <w:rsid w:val="00DA706F"/>
    <w:rsid w:val="00DB090E"/>
    <w:rsid w:val="00DB1D86"/>
    <w:rsid w:val="00DB20AC"/>
    <w:rsid w:val="00DB3635"/>
    <w:rsid w:val="00DB3E7E"/>
    <w:rsid w:val="00DB437D"/>
    <w:rsid w:val="00DB6205"/>
    <w:rsid w:val="00DB6AFA"/>
    <w:rsid w:val="00DB6F94"/>
    <w:rsid w:val="00DB7EFE"/>
    <w:rsid w:val="00DC0A91"/>
    <w:rsid w:val="00DC1829"/>
    <w:rsid w:val="00DC2434"/>
    <w:rsid w:val="00DC27AD"/>
    <w:rsid w:val="00DC3509"/>
    <w:rsid w:val="00DC4143"/>
    <w:rsid w:val="00DC52ED"/>
    <w:rsid w:val="00DC5E35"/>
    <w:rsid w:val="00DC7729"/>
    <w:rsid w:val="00DD0F00"/>
    <w:rsid w:val="00DD176D"/>
    <w:rsid w:val="00DD1E5F"/>
    <w:rsid w:val="00DD24BC"/>
    <w:rsid w:val="00DD269C"/>
    <w:rsid w:val="00DD28B3"/>
    <w:rsid w:val="00DD395E"/>
    <w:rsid w:val="00DD4975"/>
    <w:rsid w:val="00DD51F7"/>
    <w:rsid w:val="00DD5F99"/>
    <w:rsid w:val="00DD672B"/>
    <w:rsid w:val="00DD6D3B"/>
    <w:rsid w:val="00DE0815"/>
    <w:rsid w:val="00DE0CC6"/>
    <w:rsid w:val="00DE1B82"/>
    <w:rsid w:val="00DE1DBF"/>
    <w:rsid w:val="00DE1FE0"/>
    <w:rsid w:val="00DE2224"/>
    <w:rsid w:val="00DE37EF"/>
    <w:rsid w:val="00DE43FC"/>
    <w:rsid w:val="00DE5853"/>
    <w:rsid w:val="00DE58FA"/>
    <w:rsid w:val="00DE64A5"/>
    <w:rsid w:val="00DE6818"/>
    <w:rsid w:val="00DE6CC1"/>
    <w:rsid w:val="00DE7A34"/>
    <w:rsid w:val="00DF0825"/>
    <w:rsid w:val="00DF2909"/>
    <w:rsid w:val="00DF30A3"/>
    <w:rsid w:val="00DF39C4"/>
    <w:rsid w:val="00DF3EC4"/>
    <w:rsid w:val="00DF4D60"/>
    <w:rsid w:val="00DF50F2"/>
    <w:rsid w:val="00DF5221"/>
    <w:rsid w:val="00DF5B70"/>
    <w:rsid w:val="00DF629C"/>
    <w:rsid w:val="00DF6D8D"/>
    <w:rsid w:val="00DF7686"/>
    <w:rsid w:val="00E00EBD"/>
    <w:rsid w:val="00E0203B"/>
    <w:rsid w:val="00E0331B"/>
    <w:rsid w:val="00E04153"/>
    <w:rsid w:val="00E0442C"/>
    <w:rsid w:val="00E04A5C"/>
    <w:rsid w:val="00E05213"/>
    <w:rsid w:val="00E05CCD"/>
    <w:rsid w:val="00E07AFE"/>
    <w:rsid w:val="00E102E8"/>
    <w:rsid w:val="00E11DA0"/>
    <w:rsid w:val="00E1226A"/>
    <w:rsid w:val="00E12ABB"/>
    <w:rsid w:val="00E137F1"/>
    <w:rsid w:val="00E14B94"/>
    <w:rsid w:val="00E155A7"/>
    <w:rsid w:val="00E15EF6"/>
    <w:rsid w:val="00E16BA9"/>
    <w:rsid w:val="00E16C39"/>
    <w:rsid w:val="00E1750D"/>
    <w:rsid w:val="00E1795B"/>
    <w:rsid w:val="00E17CAA"/>
    <w:rsid w:val="00E21272"/>
    <w:rsid w:val="00E234A9"/>
    <w:rsid w:val="00E23D70"/>
    <w:rsid w:val="00E23DA3"/>
    <w:rsid w:val="00E24156"/>
    <w:rsid w:val="00E26A07"/>
    <w:rsid w:val="00E27241"/>
    <w:rsid w:val="00E276A5"/>
    <w:rsid w:val="00E279C7"/>
    <w:rsid w:val="00E30CFA"/>
    <w:rsid w:val="00E320A1"/>
    <w:rsid w:val="00E32276"/>
    <w:rsid w:val="00E32C71"/>
    <w:rsid w:val="00E337F6"/>
    <w:rsid w:val="00E35629"/>
    <w:rsid w:val="00E36A74"/>
    <w:rsid w:val="00E40959"/>
    <w:rsid w:val="00E40CAB"/>
    <w:rsid w:val="00E422C3"/>
    <w:rsid w:val="00E4259A"/>
    <w:rsid w:val="00E4379B"/>
    <w:rsid w:val="00E44C18"/>
    <w:rsid w:val="00E45843"/>
    <w:rsid w:val="00E45F05"/>
    <w:rsid w:val="00E4656B"/>
    <w:rsid w:val="00E46AAB"/>
    <w:rsid w:val="00E46C0D"/>
    <w:rsid w:val="00E47384"/>
    <w:rsid w:val="00E51200"/>
    <w:rsid w:val="00E516C3"/>
    <w:rsid w:val="00E51914"/>
    <w:rsid w:val="00E520A5"/>
    <w:rsid w:val="00E52A77"/>
    <w:rsid w:val="00E52B7C"/>
    <w:rsid w:val="00E52FE7"/>
    <w:rsid w:val="00E53A3E"/>
    <w:rsid w:val="00E543FC"/>
    <w:rsid w:val="00E54A5F"/>
    <w:rsid w:val="00E551D1"/>
    <w:rsid w:val="00E553AF"/>
    <w:rsid w:val="00E55473"/>
    <w:rsid w:val="00E55B5B"/>
    <w:rsid w:val="00E565BE"/>
    <w:rsid w:val="00E56E4B"/>
    <w:rsid w:val="00E57717"/>
    <w:rsid w:val="00E57837"/>
    <w:rsid w:val="00E579D5"/>
    <w:rsid w:val="00E60898"/>
    <w:rsid w:val="00E60D22"/>
    <w:rsid w:val="00E6114A"/>
    <w:rsid w:val="00E61F47"/>
    <w:rsid w:val="00E62033"/>
    <w:rsid w:val="00E624EB"/>
    <w:rsid w:val="00E626CC"/>
    <w:rsid w:val="00E627A0"/>
    <w:rsid w:val="00E63C9B"/>
    <w:rsid w:val="00E63CA4"/>
    <w:rsid w:val="00E63F25"/>
    <w:rsid w:val="00E6593F"/>
    <w:rsid w:val="00E65F97"/>
    <w:rsid w:val="00E70272"/>
    <w:rsid w:val="00E70374"/>
    <w:rsid w:val="00E70A7F"/>
    <w:rsid w:val="00E70DC3"/>
    <w:rsid w:val="00E711C7"/>
    <w:rsid w:val="00E716DD"/>
    <w:rsid w:val="00E71E86"/>
    <w:rsid w:val="00E7208E"/>
    <w:rsid w:val="00E72FD0"/>
    <w:rsid w:val="00E730B2"/>
    <w:rsid w:val="00E74B0F"/>
    <w:rsid w:val="00E74B11"/>
    <w:rsid w:val="00E74F2F"/>
    <w:rsid w:val="00E75881"/>
    <w:rsid w:val="00E771D7"/>
    <w:rsid w:val="00E779B5"/>
    <w:rsid w:val="00E77D68"/>
    <w:rsid w:val="00E80E52"/>
    <w:rsid w:val="00E81989"/>
    <w:rsid w:val="00E82728"/>
    <w:rsid w:val="00E83E01"/>
    <w:rsid w:val="00E8509C"/>
    <w:rsid w:val="00E85138"/>
    <w:rsid w:val="00E856FB"/>
    <w:rsid w:val="00E86500"/>
    <w:rsid w:val="00E86C5A"/>
    <w:rsid w:val="00E9083D"/>
    <w:rsid w:val="00E91FDF"/>
    <w:rsid w:val="00E92079"/>
    <w:rsid w:val="00E922AF"/>
    <w:rsid w:val="00E9261B"/>
    <w:rsid w:val="00E93E2C"/>
    <w:rsid w:val="00E94040"/>
    <w:rsid w:val="00E9407E"/>
    <w:rsid w:val="00E94B51"/>
    <w:rsid w:val="00E9563F"/>
    <w:rsid w:val="00E956D5"/>
    <w:rsid w:val="00E967CA"/>
    <w:rsid w:val="00E967E2"/>
    <w:rsid w:val="00E96D84"/>
    <w:rsid w:val="00E97457"/>
    <w:rsid w:val="00E97875"/>
    <w:rsid w:val="00E978F2"/>
    <w:rsid w:val="00E97BBF"/>
    <w:rsid w:val="00E97CA3"/>
    <w:rsid w:val="00E97EF6"/>
    <w:rsid w:val="00EA0F22"/>
    <w:rsid w:val="00EA2062"/>
    <w:rsid w:val="00EA2DB0"/>
    <w:rsid w:val="00EA40D0"/>
    <w:rsid w:val="00EA46EC"/>
    <w:rsid w:val="00EA613F"/>
    <w:rsid w:val="00EA622D"/>
    <w:rsid w:val="00EA7A82"/>
    <w:rsid w:val="00EA7AE4"/>
    <w:rsid w:val="00EA7C13"/>
    <w:rsid w:val="00EB09F6"/>
    <w:rsid w:val="00EB0D6E"/>
    <w:rsid w:val="00EB3914"/>
    <w:rsid w:val="00EB4592"/>
    <w:rsid w:val="00EB5D33"/>
    <w:rsid w:val="00EB6C23"/>
    <w:rsid w:val="00EB70B3"/>
    <w:rsid w:val="00EC1C0F"/>
    <w:rsid w:val="00EC24AC"/>
    <w:rsid w:val="00EC3DC6"/>
    <w:rsid w:val="00EC3FA6"/>
    <w:rsid w:val="00EC4221"/>
    <w:rsid w:val="00EC508D"/>
    <w:rsid w:val="00EC5103"/>
    <w:rsid w:val="00EC5349"/>
    <w:rsid w:val="00EC612D"/>
    <w:rsid w:val="00EC6E4E"/>
    <w:rsid w:val="00EC73B1"/>
    <w:rsid w:val="00ED04F2"/>
    <w:rsid w:val="00ED083A"/>
    <w:rsid w:val="00ED119E"/>
    <w:rsid w:val="00ED15DC"/>
    <w:rsid w:val="00ED1BDD"/>
    <w:rsid w:val="00ED27F4"/>
    <w:rsid w:val="00ED29EB"/>
    <w:rsid w:val="00ED532D"/>
    <w:rsid w:val="00ED53BA"/>
    <w:rsid w:val="00ED7DB7"/>
    <w:rsid w:val="00EE0341"/>
    <w:rsid w:val="00EE0374"/>
    <w:rsid w:val="00EE07F6"/>
    <w:rsid w:val="00EE0DC9"/>
    <w:rsid w:val="00EE123B"/>
    <w:rsid w:val="00EE17E4"/>
    <w:rsid w:val="00EE1AE2"/>
    <w:rsid w:val="00EE21BF"/>
    <w:rsid w:val="00EE28BB"/>
    <w:rsid w:val="00EE4D8D"/>
    <w:rsid w:val="00EE5041"/>
    <w:rsid w:val="00EE6ACE"/>
    <w:rsid w:val="00EE6B37"/>
    <w:rsid w:val="00EE7D2C"/>
    <w:rsid w:val="00EF0958"/>
    <w:rsid w:val="00EF14E1"/>
    <w:rsid w:val="00EF22FA"/>
    <w:rsid w:val="00EF3948"/>
    <w:rsid w:val="00EF4BC4"/>
    <w:rsid w:val="00EF4D3D"/>
    <w:rsid w:val="00EF5811"/>
    <w:rsid w:val="00EF5D1A"/>
    <w:rsid w:val="00EF5E85"/>
    <w:rsid w:val="00EF627A"/>
    <w:rsid w:val="00EF66ED"/>
    <w:rsid w:val="00EF6B17"/>
    <w:rsid w:val="00EF6B63"/>
    <w:rsid w:val="00EF718F"/>
    <w:rsid w:val="00EF7F99"/>
    <w:rsid w:val="00F00218"/>
    <w:rsid w:val="00F0055F"/>
    <w:rsid w:val="00F01145"/>
    <w:rsid w:val="00F019B1"/>
    <w:rsid w:val="00F01DE1"/>
    <w:rsid w:val="00F01EDA"/>
    <w:rsid w:val="00F04226"/>
    <w:rsid w:val="00F0460C"/>
    <w:rsid w:val="00F05086"/>
    <w:rsid w:val="00F05093"/>
    <w:rsid w:val="00F056E8"/>
    <w:rsid w:val="00F05CD1"/>
    <w:rsid w:val="00F069A3"/>
    <w:rsid w:val="00F07244"/>
    <w:rsid w:val="00F11B49"/>
    <w:rsid w:val="00F125BB"/>
    <w:rsid w:val="00F12E37"/>
    <w:rsid w:val="00F1414E"/>
    <w:rsid w:val="00F144BD"/>
    <w:rsid w:val="00F14742"/>
    <w:rsid w:val="00F148E0"/>
    <w:rsid w:val="00F16240"/>
    <w:rsid w:val="00F166C0"/>
    <w:rsid w:val="00F175EC"/>
    <w:rsid w:val="00F17F39"/>
    <w:rsid w:val="00F207C5"/>
    <w:rsid w:val="00F21470"/>
    <w:rsid w:val="00F24173"/>
    <w:rsid w:val="00F24F86"/>
    <w:rsid w:val="00F275AF"/>
    <w:rsid w:val="00F279E3"/>
    <w:rsid w:val="00F27AFE"/>
    <w:rsid w:val="00F30010"/>
    <w:rsid w:val="00F30073"/>
    <w:rsid w:val="00F30BFB"/>
    <w:rsid w:val="00F31171"/>
    <w:rsid w:val="00F31A9A"/>
    <w:rsid w:val="00F3315F"/>
    <w:rsid w:val="00F33F57"/>
    <w:rsid w:val="00F35B5C"/>
    <w:rsid w:val="00F362FC"/>
    <w:rsid w:val="00F36521"/>
    <w:rsid w:val="00F41575"/>
    <w:rsid w:val="00F4165E"/>
    <w:rsid w:val="00F41A39"/>
    <w:rsid w:val="00F42529"/>
    <w:rsid w:val="00F432EA"/>
    <w:rsid w:val="00F43729"/>
    <w:rsid w:val="00F4583C"/>
    <w:rsid w:val="00F478AA"/>
    <w:rsid w:val="00F5039A"/>
    <w:rsid w:val="00F5087D"/>
    <w:rsid w:val="00F50CC9"/>
    <w:rsid w:val="00F50D6E"/>
    <w:rsid w:val="00F50DF9"/>
    <w:rsid w:val="00F50F9A"/>
    <w:rsid w:val="00F50FA9"/>
    <w:rsid w:val="00F50FD7"/>
    <w:rsid w:val="00F51409"/>
    <w:rsid w:val="00F52295"/>
    <w:rsid w:val="00F524C4"/>
    <w:rsid w:val="00F52509"/>
    <w:rsid w:val="00F52952"/>
    <w:rsid w:val="00F5311D"/>
    <w:rsid w:val="00F5528B"/>
    <w:rsid w:val="00F55C9E"/>
    <w:rsid w:val="00F55F05"/>
    <w:rsid w:val="00F568EF"/>
    <w:rsid w:val="00F57532"/>
    <w:rsid w:val="00F57935"/>
    <w:rsid w:val="00F60CD0"/>
    <w:rsid w:val="00F60F26"/>
    <w:rsid w:val="00F61C22"/>
    <w:rsid w:val="00F61C51"/>
    <w:rsid w:val="00F61C79"/>
    <w:rsid w:val="00F623F2"/>
    <w:rsid w:val="00F62759"/>
    <w:rsid w:val="00F62A85"/>
    <w:rsid w:val="00F656EC"/>
    <w:rsid w:val="00F67538"/>
    <w:rsid w:val="00F67BEC"/>
    <w:rsid w:val="00F703B7"/>
    <w:rsid w:val="00F706B0"/>
    <w:rsid w:val="00F70913"/>
    <w:rsid w:val="00F722BE"/>
    <w:rsid w:val="00F72E3E"/>
    <w:rsid w:val="00F73854"/>
    <w:rsid w:val="00F73FAC"/>
    <w:rsid w:val="00F74088"/>
    <w:rsid w:val="00F741B9"/>
    <w:rsid w:val="00F743C0"/>
    <w:rsid w:val="00F75DD3"/>
    <w:rsid w:val="00F77766"/>
    <w:rsid w:val="00F8032C"/>
    <w:rsid w:val="00F8050F"/>
    <w:rsid w:val="00F8118C"/>
    <w:rsid w:val="00F819A7"/>
    <w:rsid w:val="00F81B24"/>
    <w:rsid w:val="00F828C2"/>
    <w:rsid w:val="00F82E70"/>
    <w:rsid w:val="00F84065"/>
    <w:rsid w:val="00F8523A"/>
    <w:rsid w:val="00F85FEB"/>
    <w:rsid w:val="00F87159"/>
    <w:rsid w:val="00F874FC"/>
    <w:rsid w:val="00F87BEB"/>
    <w:rsid w:val="00F9085D"/>
    <w:rsid w:val="00F914FC"/>
    <w:rsid w:val="00F91FD0"/>
    <w:rsid w:val="00F920F7"/>
    <w:rsid w:val="00F9279F"/>
    <w:rsid w:val="00F93BB5"/>
    <w:rsid w:val="00F94220"/>
    <w:rsid w:val="00F94E7A"/>
    <w:rsid w:val="00F95657"/>
    <w:rsid w:val="00F960F4"/>
    <w:rsid w:val="00F96189"/>
    <w:rsid w:val="00FA0398"/>
    <w:rsid w:val="00FA1142"/>
    <w:rsid w:val="00FA12A3"/>
    <w:rsid w:val="00FA2A97"/>
    <w:rsid w:val="00FA2B8C"/>
    <w:rsid w:val="00FA4349"/>
    <w:rsid w:val="00FA5DD0"/>
    <w:rsid w:val="00FA6725"/>
    <w:rsid w:val="00FA7E55"/>
    <w:rsid w:val="00FA7E81"/>
    <w:rsid w:val="00FB01E2"/>
    <w:rsid w:val="00FB094D"/>
    <w:rsid w:val="00FB1A49"/>
    <w:rsid w:val="00FB1B4F"/>
    <w:rsid w:val="00FB33D3"/>
    <w:rsid w:val="00FB3536"/>
    <w:rsid w:val="00FB44DF"/>
    <w:rsid w:val="00FB49A9"/>
    <w:rsid w:val="00FB49B8"/>
    <w:rsid w:val="00FB5C66"/>
    <w:rsid w:val="00FB5FFB"/>
    <w:rsid w:val="00FB6323"/>
    <w:rsid w:val="00FB7C73"/>
    <w:rsid w:val="00FB7F69"/>
    <w:rsid w:val="00FC0ED3"/>
    <w:rsid w:val="00FC1CD2"/>
    <w:rsid w:val="00FC20CE"/>
    <w:rsid w:val="00FC237B"/>
    <w:rsid w:val="00FC3161"/>
    <w:rsid w:val="00FC3319"/>
    <w:rsid w:val="00FC3A14"/>
    <w:rsid w:val="00FC3BD5"/>
    <w:rsid w:val="00FC3D07"/>
    <w:rsid w:val="00FC474B"/>
    <w:rsid w:val="00FC47D2"/>
    <w:rsid w:val="00FC4BF3"/>
    <w:rsid w:val="00FC4DAE"/>
    <w:rsid w:val="00FC58F7"/>
    <w:rsid w:val="00FC5B3E"/>
    <w:rsid w:val="00FC66D0"/>
    <w:rsid w:val="00FC795C"/>
    <w:rsid w:val="00FD0101"/>
    <w:rsid w:val="00FD0221"/>
    <w:rsid w:val="00FD02BE"/>
    <w:rsid w:val="00FD088D"/>
    <w:rsid w:val="00FD169F"/>
    <w:rsid w:val="00FD1CEC"/>
    <w:rsid w:val="00FD20EC"/>
    <w:rsid w:val="00FD2A2C"/>
    <w:rsid w:val="00FD2AB0"/>
    <w:rsid w:val="00FD45BB"/>
    <w:rsid w:val="00FD4B13"/>
    <w:rsid w:val="00FD4F15"/>
    <w:rsid w:val="00FD650F"/>
    <w:rsid w:val="00FD7CDF"/>
    <w:rsid w:val="00FD7E0C"/>
    <w:rsid w:val="00FE0FDE"/>
    <w:rsid w:val="00FE12FD"/>
    <w:rsid w:val="00FE3744"/>
    <w:rsid w:val="00FE37F8"/>
    <w:rsid w:val="00FE4982"/>
    <w:rsid w:val="00FE4FF3"/>
    <w:rsid w:val="00FE5534"/>
    <w:rsid w:val="00FE55EF"/>
    <w:rsid w:val="00FE5953"/>
    <w:rsid w:val="00FE6074"/>
    <w:rsid w:val="00FE64A0"/>
    <w:rsid w:val="00FE6695"/>
    <w:rsid w:val="00FE66BE"/>
    <w:rsid w:val="00FE6951"/>
    <w:rsid w:val="00FF11AE"/>
    <w:rsid w:val="00FF1851"/>
    <w:rsid w:val="00FF2147"/>
    <w:rsid w:val="00FF3BF3"/>
    <w:rsid w:val="00FF43F6"/>
    <w:rsid w:val="00FF489D"/>
    <w:rsid w:val="00FF56EF"/>
    <w:rsid w:val="00FF5B46"/>
    <w:rsid w:val="00FF5C88"/>
    <w:rsid w:val="00FF5E0D"/>
    <w:rsid w:val="00FF621D"/>
    <w:rsid w:val="00FF6373"/>
    <w:rsid w:val="00FF6F19"/>
    <w:rsid w:val="00FF7A0A"/>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9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1D02"/>
    <w:pPr>
      <w:ind w:left="720"/>
      <w:contextualSpacing/>
    </w:pPr>
  </w:style>
  <w:style w:type="paragraph" w:styleId="Header">
    <w:name w:val="header"/>
    <w:basedOn w:val="Normal"/>
    <w:link w:val="HeaderChar"/>
    <w:uiPriority w:val="99"/>
    <w:semiHidden/>
    <w:unhideWhenUsed/>
    <w:rsid w:val="00BA7B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BAC"/>
  </w:style>
  <w:style w:type="paragraph" w:styleId="Footer">
    <w:name w:val="footer"/>
    <w:basedOn w:val="Normal"/>
    <w:link w:val="FooterChar"/>
    <w:uiPriority w:val="99"/>
    <w:unhideWhenUsed/>
    <w:rsid w:val="00545399"/>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545399"/>
    <w:rPr>
      <w:rFonts w:ascii="Arial" w:hAnsi="Arial"/>
    </w:rPr>
  </w:style>
  <w:style w:type="table" w:styleId="TableGrid">
    <w:name w:val="Table Grid"/>
    <w:basedOn w:val="TableNormal"/>
    <w:uiPriority w:val="59"/>
    <w:rsid w:val="00EC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0F"/>
    <w:rPr>
      <w:rFonts w:ascii="Tahoma" w:hAnsi="Tahoma" w:cs="Tahoma"/>
      <w:sz w:val="16"/>
      <w:szCs w:val="16"/>
    </w:rPr>
  </w:style>
  <w:style w:type="paragraph" w:styleId="NormalWeb">
    <w:name w:val="Normal (Web)"/>
    <w:basedOn w:val="Normal"/>
    <w:uiPriority w:val="99"/>
    <w:semiHidden/>
    <w:unhideWhenUsed/>
    <w:rsid w:val="001B0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F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73DA"/>
    <w:rPr>
      <w:color w:val="0000FF"/>
      <w:u w:val="single"/>
    </w:rPr>
  </w:style>
  <w:style w:type="paragraph" w:customStyle="1" w:styleId="desc">
    <w:name w:val="desc"/>
    <w:basedOn w:val="Normal"/>
    <w:rsid w:val="005F73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F7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F73DA"/>
  </w:style>
  <w:style w:type="character" w:customStyle="1" w:styleId="Heading1Char">
    <w:name w:val="Heading 1 Char"/>
    <w:basedOn w:val="DefaultParagraphFont"/>
    <w:link w:val="Heading1"/>
    <w:uiPriority w:val="9"/>
    <w:rsid w:val="001813CD"/>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1813CD"/>
  </w:style>
  <w:style w:type="character" w:styleId="LineNumber">
    <w:name w:val="line number"/>
    <w:basedOn w:val="DefaultParagraphFont"/>
    <w:uiPriority w:val="99"/>
    <w:semiHidden/>
    <w:unhideWhenUsed/>
    <w:rsid w:val="00580280"/>
    <w:rPr>
      <w:rFonts w:ascii="Arial" w:hAnsi="Arial"/>
      <w:sz w:val="20"/>
    </w:rPr>
  </w:style>
  <w:style w:type="character" w:styleId="PlaceholderText">
    <w:name w:val="Placeholder Text"/>
    <w:basedOn w:val="DefaultParagraphFont"/>
    <w:uiPriority w:val="99"/>
    <w:semiHidden/>
    <w:rsid w:val="00562FB5"/>
    <w:rPr>
      <w:color w:val="808080"/>
    </w:rPr>
  </w:style>
  <w:style w:type="paragraph" w:customStyle="1" w:styleId="Title2">
    <w:name w:val="Title2"/>
    <w:basedOn w:val="Normal"/>
    <w:rsid w:val="00E626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9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1D02"/>
    <w:pPr>
      <w:ind w:left="720"/>
      <w:contextualSpacing/>
    </w:pPr>
  </w:style>
  <w:style w:type="paragraph" w:styleId="Header">
    <w:name w:val="header"/>
    <w:basedOn w:val="Normal"/>
    <w:link w:val="HeaderChar"/>
    <w:uiPriority w:val="99"/>
    <w:semiHidden/>
    <w:unhideWhenUsed/>
    <w:rsid w:val="00BA7B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BAC"/>
  </w:style>
  <w:style w:type="paragraph" w:styleId="Footer">
    <w:name w:val="footer"/>
    <w:basedOn w:val="Normal"/>
    <w:link w:val="FooterChar"/>
    <w:uiPriority w:val="99"/>
    <w:unhideWhenUsed/>
    <w:rsid w:val="00545399"/>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545399"/>
    <w:rPr>
      <w:rFonts w:ascii="Arial" w:hAnsi="Arial"/>
    </w:rPr>
  </w:style>
  <w:style w:type="table" w:styleId="TableGrid">
    <w:name w:val="Table Grid"/>
    <w:basedOn w:val="TableNormal"/>
    <w:uiPriority w:val="59"/>
    <w:rsid w:val="00EC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50F"/>
    <w:rPr>
      <w:rFonts w:ascii="Tahoma" w:hAnsi="Tahoma" w:cs="Tahoma"/>
      <w:sz w:val="16"/>
      <w:szCs w:val="16"/>
    </w:rPr>
  </w:style>
  <w:style w:type="paragraph" w:styleId="NormalWeb">
    <w:name w:val="Normal (Web)"/>
    <w:basedOn w:val="Normal"/>
    <w:uiPriority w:val="99"/>
    <w:semiHidden/>
    <w:unhideWhenUsed/>
    <w:rsid w:val="001B09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F73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73DA"/>
    <w:rPr>
      <w:color w:val="0000FF"/>
      <w:u w:val="single"/>
    </w:rPr>
  </w:style>
  <w:style w:type="paragraph" w:customStyle="1" w:styleId="desc">
    <w:name w:val="desc"/>
    <w:basedOn w:val="Normal"/>
    <w:rsid w:val="005F73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F7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F73DA"/>
  </w:style>
  <w:style w:type="character" w:customStyle="1" w:styleId="Heading1Char">
    <w:name w:val="Heading 1 Char"/>
    <w:basedOn w:val="DefaultParagraphFont"/>
    <w:link w:val="Heading1"/>
    <w:uiPriority w:val="9"/>
    <w:rsid w:val="001813CD"/>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1813CD"/>
  </w:style>
  <w:style w:type="character" w:styleId="LineNumber">
    <w:name w:val="line number"/>
    <w:basedOn w:val="DefaultParagraphFont"/>
    <w:uiPriority w:val="99"/>
    <w:semiHidden/>
    <w:unhideWhenUsed/>
    <w:rsid w:val="00580280"/>
    <w:rPr>
      <w:rFonts w:ascii="Arial" w:hAnsi="Arial"/>
      <w:sz w:val="20"/>
    </w:rPr>
  </w:style>
  <w:style w:type="character" w:styleId="PlaceholderText">
    <w:name w:val="Placeholder Text"/>
    <w:basedOn w:val="DefaultParagraphFont"/>
    <w:uiPriority w:val="99"/>
    <w:semiHidden/>
    <w:rsid w:val="00562FB5"/>
    <w:rPr>
      <w:color w:val="808080"/>
    </w:rPr>
  </w:style>
  <w:style w:type="paragraph" w:customStyle="1" w:styleId="Title2">
    <w:name w:val="Title2"/>
    <w:basedOn w:val="Normal"/>
    <w:rsid w:val="00E62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519">
      <w:bodyDiv w:val="1"/>
      <w:marLeft w:val="0"/>
      <w:marRight w:val="0"/>
      <w:marTop w:val="0"/>
      <w:marBottom w:val="0"/>
      <w:divBdr>
        <w:top w:val="none" w:sz="0" w:space="0" w:color="auto"/>
        <w:left w:val="none" w:sz="0" w:space="0" w:color="auto"/>
        <w:bottom w:val="none" w:sz="0" w:space="0" w:color="auto"/>
        <w:right w:val="none" w:sz="0" w:space="0" w:color="auto"/>
      </w:divBdr>
    </w:div>
    <w:div w:id="310863672">
      <w:bodyDiv w:val="1"/>
      <w:marLeft w:val="0"/>
      <w:marRight w:val="0"/>
      <w:marTop w:val="0"/>
      <w:marBottom w:val="0"/>
      <w:divBdr>
        <w:top w:val="none" w:sz="0" w:space="0" w:color="auto"/>
        <w:left w:val="none" w:sz="0" w:space="0" w:color="auto"/>
        <w:bottom w:val="none" w:sz="0" w:space="0" w:color="auto"/>
        <w:right w:val="none" w:sz="0" w:space="0" w:color="auto"/>
      </w:divBdr>
    </w:div>
    <w:div w:id="532040845">
      <w:bodyDiv w:val="1"/>
      <w:marLeft w:val="0"/>
      <w:marRight w:val="0"/>
      <w:marTop w:val="0"/>
      <w:marBottom w:val="0"/>
      <w:divBdr>
        <w:top w:val="none" w:sz="0" w:space="0" w:color="auto"/>
        <w:left w:val="none" w:sz="0" w:space="0" w:color="auto"/>
        <w:bottom w:val="none" w:sz="0" w:space="0" w:color="auto"/>
        <w:right w:val="none" w:sz="0" w:space="0" w:color="auto"/>
      </w:divBdr>
    </w:div>
    <w:div w:id="676738775">
      <w:bodyDiv w:val="1"/>
      <w:marLeft w:val="0"/>
      <w:marRight w:val="0"/>
      <w:marTop w:val="0"/>
      <w:marBottom w:val="0"/>
      <w:divBdr>
        <w:top w:val="none" w:sz="0" w:space="0" w:color="auto"/>
        <w:left w:val="none" w:sz="0" w:space="0" w:color="auto"/>
        <w:bottom w:val="none" w:sz="0" w:space="0" w:color="auto"/>
        <w:right w:val="none" w:sz="0" w:space="0" w:color="auto"/>
      </w:divBdr>
    </w:div>
    <w:div w:id="871114519">
      <w:bodyDiv w:val="1"/>
      <w:marLeft w:val="0"/>
      <w:marRight w:val="0"/>
      <w:marTop w:val="0"/>
      <w:marBottom w:val="0"/>
      <w:divBdr>
        <w:top w:val="none" w:sz="0" w:space="0" w:color="auto"/>
        <w:left w:val="none" w:sz="0" w:space="0" w:color="auto"/>
        <w:bottom w:val="none" w:sz="0" w:space="0" w:color="auto"/>
        <w:right w:val="none" w:sz="0" w:space="0" w:color="auto"/>
      </w:divBdr>
      <w:divsChild>
        <w:div w:id="485363824">
          <w:marLeft w:val="0"/>
          <w:marRight w:val="0"/>
          <w:marTop w:val="34"/>
          <w:marBottom w:val="34"/>
          <w:divBdr>
            <w:top w:val="none" w:sz="0" w:space="0" w:color="auto"/>
            <w:left w:val="none" w:sz="0" w:space="0" w:color="auto"/>
            <w:bottom w:val="none" w:sz="0" w:space="0" w:color="auto"/>
            <w:right w:val="none" w:sz="0" w:space="0" w:color="auto"/>
          </w:divBdr>
        </w:div>
      </w:divsChild>
    </w:div>
    <w:div w:id="1287852409">
      <w:bodyDiv w:val="1"/>
      <w:marLeft w:val="0"/>
      <w:marRight w:val="0"/>
      <w:marTop w:val="0"/>
      <w:marBottom w:val="0"/>
      <w:divBdr>
        <w:top w:val="none" w:sz="0" w:space="0" w:color="auto"/>
        <w:left w:val="none" w:sz="0" w:space="0" w:color="auto"/>
        <w:bottom w:val="none" w:sz="0" w:space="0" w:color="auto"/>
        <w:right w:val="none" w:sz="0" w:space="0" w:color="auto"/>
      </w:divBdr>
    </w:div>
    <w:div w:id="1441298920">
      <w:bodyDiv w:val="1"/>
      <w:marLeft w:val="0"/>
      <w:marRight w:val="0"/>
      <w:marTop w:val="0"/>
      <w:marBottom w:val="0"/>
      <w:divBdr>
        <w:top w:val="none" w:sz="0" w:space="0" w:color="auto"/>
        <w:left w:val="none" w:sz="0" w:space="0" w:color="auto"/>
        <w:bottom w:val="none" w:sz="0" w:space="0" w:color="auto"/>
        <w:right w:val="none" w:sz="0" w:space="0" w:color="auto"/>
      </w:divBdr>
      <w:divsChild>
        <w:div w:id="900290305">
          <w:marLeft w:val="0"/>
          <w:marRight w:val="0"/>
          <w:marTop w:val="34"/>
          <w:marBottom w:val="34"/>
          <w:divBdr>
            <w:top w:val="none" w:sz="0" w:space="0" w:color="auto"/>
            <w:left w:val="none" w:sz="0" w:space="0" w:color="auto"/>
            <w:bottom w:val="none" w:sz="0" w:space="0" w:color="auto"/>
            <w:right w:val="none" w:sz="0" w:space="0" w:color="auto"/>
          </w:divBdr>
        </w:div>
      </w:divsChild>
    </w:div>
    <w:div w:id="1520897420">
      <w:bodyDiv w:val="1"/>
      <w:marLeft w:val="0"/>
      <w:marRight w:val="0"/>
      <w:marTop w:val="0"/>
      <w:marBottom w:val="0"/>
      <w:divBdr>
        <w:top w:val="none" w:sz="0" w:space="0" w:color="auto"/>
        <w:left w:val="none" w:sz="0" w:space="0" w:color="auto"/>
        <w:bottom w:val="none" w:sz="0" w:space="0" w:color="auto"/>
        <w:right w:val="none" w:sz="0" w:space="0" w:color="auto"/>
      </w:divBdr>
      <w:divsChild>
        <w:div w:id="423305581">
          <w:marLeft w:val="0"/>
          <w:marRight w:val="0"/>
          <w:marTop w:val="34"/>
          <w:marBottom w:val="34"/>
          <w:divBdr>
            <w:top w:val="none" w:sz="0" w:space="0" w:color="auto"/>
            <w:left w:val="none" w:sz="0" w:space="0" w:color="auto"/>
            <w:bottom w:val="none" w:sz="0" w:space="0" w:color="auto"/>
            <w:right w:val="none" w:sz="0" w:space="0" w:color="auto"/>
          </w:divBdr>
        </w:div>
      </w:divsChild>
    </w:div>
    <w:div w:id="1525632778">
      <w:bodyDiv w:val="1"/>
      <w:marLeft w:val="0"/>
      <w:marRight w:val="0"/>
      <w:marTop w:val="0"/>
      <w:marBottom w:val="0"/>
      <w:divBdr>
        <w:top w:val="none" w:sz="0" w:space="0" w:color="auto"/>
        <w:left w:val="none" w:sz="0" w:space="0" w:color="auto"/>
        <w:bottom w:val="none" w:sz="0" w:space="0" w:color="auto"/>
        <w:right w:val="none" w:sz="0" w:space="0" w:color="auto"/>
      </w:divBdr>
    </w:div>
    <w:div w:id="1669792868">
      <w:bodyDiv w:val="1"/>
      <w:marLeft w:val="0"/>
      <w:marRight w:val="0"/>
      <w:marTop w:val="0"/>
      <w:marBottom w:val="0"/>
      <w:divBdr>
        <w:top w:val="none" w:sz="0" w:space="0" w:color="auto"/>
        <w:left w:val="none" w:sz="0" w:space="0" w:color="auto"/>
        <w:bottom w:val="none" w:sz="0" w:space="0" w:color="auto"/>
        <w:right w:val="none" w:sz="0" w:space="0" w:color="auto"/>
      </w:divBdr>
    </w:div>
    <w:div w:id="1891577531">
      <w:bodyDiv w:val="1"/>
      <w:marLeft w:val="0"/>
      <w:marRight w:val="0"/>
      <w:marTop w:val="0"/>
      <w:marBottom w:val="0"/>
      <w:divBdr>
        <w:top w:val="none" w:sz="0" w:space="0" w:color="auto"/>
        <w:left w:val="none" w:sz="0" w:space="0" w:color="auto"/>
        <w:bottom w:val="none" w:sz="0" w:space="0" w:color="auto"/>
        <w:right w:val="none" w:sz="0" w:space="0" w:color="auto"/>
      </w:divBdr>
    </w:div>
    <w:div w:id="1952128204">
      <w:bodyDiv w:val="1"/>
      <w:marLeft w:val="0"/>
      <w:marRight w:val="0"/>
      <w:marTop w:val="0"/>
      <w:marBottom w:val="0"/>
      <w:divBdr>
        <w:top w:val="none" w:sz="0" w:space="0" w:color="auto"/>
        <w:left w:val="none" w:sz="0" w:space="0" w:color="auto"/>
        <w:bottom w:val="none" w:sz="0" w:space="0" w:color="auto"/>
        <w:right w:val="none" w:sz="0" w:space="0" w:color="auto"/>
      </w:divBdr>
      <w:divsChild>
        <w:div w:id="443694044">
          <w:marLeft w:val="0"/>
          <w:marRight w:val="0"/>
          <w:marTop w:val="34"/>
          <w:marBottom w:val="34"/>
          <w:divBdr>
            <w:top w:val="none" w:sz="0" w:space="0" w:color="auto"/>
            <w:left w:val="none" w:sz="0" w:space="0" w:color="auto"/>
            <w:bottom w:val="none" w:sz="0" w:space="0" w:color="auto"/>
            <w:right w:val="none" w:sz="0" w:space="0" w:color="auto"/>
          </w:divBdr>
        </w:div>
      </w:divsChild>
    </w:div>
    <w:div w:id="1986662725">
      <w:bodyDiv w:val="1"/>
      <w:marLeft w:val="0"/>
      <w:marRight w:val="0"/>
      <w:marTop w:val="0"/>
      <w:marBottom w:val="0"/>
      <w:divBdr>
        <w:top w:val="none" w:sz="0" w:space="0" w:color="auto"/>
        <w:left w:val="none" w:sz="0" w:space="0" w:color="auto"/>
        <w:bottom w:val="none" w:sz="0" w:space="0" w:color="auto"/>
        <w:right w:val="none" w:sz="0" w:space="0" w:color="auto"/>
      </w:divBdr>
    </w:div>
    <w:div w:id="20573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45021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277700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www.ncbi.nlm.nih.gov/pubmed/28043434" TargetMode="External"/><Relationship Id="rId10" Type="http://schemas.openxmlformats.org/officeDocument/2006/relationships/image" Target="media/image1.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jan.jahangiri@stgeorges.nhs.uk" TargetMode="External"/><Relationship Id="rId14" Type="http://schemas.openxmlformats.org/officeDocument/2006/relationships/hyperlink" Target="https://www.ncbi.nlm.nih.gov/pubmed/2023378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46728691686002"/>
          <c:y val="4.4229995979091413E-2"/>
          <c:w val="0.89653271308314153"/>
          <c:h val="0.68395689079275157"/>
        </c:manualLayout>
      </c:layout>
      <c:barChart>
        <c:barDir val="col"/>
        <c:grouping val="clustered"/>
        <c:varyColors val="0"/>
        <c:ser>
          <c:idx val="0"/>
          <c:order val="0"/>
          <c:tx>
            <c:strRef>
              <c:f>Sheet1!$B$1</c:f>
              <c:strCache>
                <c:ptCount val="1"/>
                <c:pt idx="0">
                  <c:v>Mid-sinus</c:v>
                </c:pt>
              </c:strCache>
            </c:strRef>
          </c:tx>
          <c:spPr>
            <a:solidFill>
              <a:srgbClr val="3366CC"/>
            </a:solidFill>
          </c:spPr>
          <c:invertIfNegative val="0"/>
          <c:dLbls>
            <c:dLbl>
              <c:idx val="1"/>
              <c:layout>
                <c:manualLayout>
                  <c:x val="-4.0595929024688716E-17"/>
                  <c:y val="8.0418174507438673E-3"/>
                </c:manualLayout>
              </c:layout>
              <c:dLblPos val="outEnd"/>
              <c:showLegendKey val="0"/>
              <c:showVal val="1"/>
              <c:showCatName val="0"/>
              <c:showSerName val="0"/>
              <c:showPercent val="0"/>
              <c:showBubbleSize val="0"/>
            </c:dLbl>
            <c:txPr>
              <a:bodyPr/>
              <a:lstStyle/>
              <a:p>
                <a:pPr>
                  <a:defRPr sz="800">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Sheet1!$A$2:$A$6</c:f>
              <c:strCache>
                <c:ptCount val="5"/>
                <c:pt idx="0">
                  <c:v>&lt;4.0 </c:v>
                </c:pt>
                <c:pt idx="1">
                  <c:v>4.0 - 4.5 </c:v>
                </c:pt>
                <c:pt idx="2">
                  <c:v>4.5 - 5.0</c:v>
                </c:pt>
                <c:pt idx="3">
                  <c:v>5.0 - 5.5 </c:v>
                </c:pt>
                <c:pt idx="4">
                  <c:v>&gt;5.5 </c:v>
                </c:pt>
              </c:strCache>
            </c:strRef>
          </c:cat>
          <c:val>
            <c:numRef>
              <c:f>Sheet1!$B$2:$B$6</c:f>
              <c:numCache>
                <c:formatCode>General</c:formatCode>
                <c:ptCount val="5"/>
                <c:pt idx="0">
                  <c:v>6.17</c:v>
                </c:pt>
                <c:pt idx="1">
                  <c:v>8.33</c:v>
                </c:pt>
                <c:pt idx="2">
                  <c:v>10.030000000000001</c:v>
                </c:pt>
                <c:pt idx="3">
                  <c:v>11.83</c:v>
                </c:pt>
                <c:pt idx="4">
                  <c:v>15.729999999999999</c:v>
                </c:pt>
              </c:numCache>
            </c:numRef>
          </c:val>
        </c:ser>
        <c:ser>
          <c:idx val="1"/>
          <c:order val="1"/>
          <c:tx>
            <c:strRef>
              <c:f>Sheet1!$C$1</c:f>
              <c:strCache>
                <c:ptCount val="1"/>
                <c:pt idx="0">
                  <c:v>Sino-tubular junction</c:v>
                </c:pt>
              </c:strCache>
            </c:strRef>
          </c:tx>
          <c:spPr>
            <a:solidFill>
              <a:srgbClr val="009900"/>
            </a:solidFill>
          </c:spPr>
          <c:invertIfNegative val="0"/>
          <c:dLbls>
            <c:dLbl>
              <c:idx val="1"/>
              <c:layout>
                <c:manualLayout>
                  <c:x val="4.0595929024688716E-17"/>
                  <c:y val="4.0209087253719423E-3"/>
                </c:manualLayout>
              </c:layout>
              <c:dLblPos val="outEnd"/>
              <c:showLegendKey val="0"/>
              <c:showVal val="1"/>
              <c:showCatName val="0"/>
              <c:showSerName val="0"/>
              <c:showPercent val="0"/>
              <c:showBubbleSize val="0"/>
            </c:dLbl>
            <c:txPr>
              <a:bodyPr/>
              <a:lstStyle/>
              <a:p>
                <a:pPr>
                  <a:defRPr sz="800">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Sheet1!$A$2:$A$6</c:f>
              <c:strCache>
                <c:ptCount val="5"/>
                <c:pt idx="0">
                  <c:v>&lt;4.0 </c:v>
                </c:pt>
                <c:pt idx="1">
                  <c:v>4.0 - 4.5 </c:v>
                </c:pt>
                <c:pt idx="2">
                  <c:v>4.5 - 5.0</c:v>
                </c:pt>
                <c:pt idx="3">
                  <c:v>5.0 - 5.5 </c:v>
                </c:pt>
                <c:pt idx="4">
                  <c:v>&gt;5.5 </c:v>
                </c:pt>
              </c:strCache>
            </c:strRef>
          </c:cat>
          <c:val>
            <c:numRef>
              <c:f>Sheet1!$C$2:$C$6</c:f>
              <c:numCache>
                <c:formatCode>General</c:formatCode>
                <c:ptCount val="5"/>
                <c:pt idx="0">
                  <c:v>3.4499999999999997</c:v>
                </c:pt>
                <c:pt idx="1">
                  <c:v>8.19</c:v>
                </c:pt>
                <c:pt idx="2">
                  <c:v>9.61</c:v>
                </c:pt>
                <c:pt idx="3">
                  <c:v>11.98</c:v>
                </c:pt>
                <c:pt idx="4">
                  <c:v>16.25</c:v>
                </c:pt>
              </c:numCache>
            </c:numRef>
          </c:val>
        </c:ser>
        <c:ser>
          <c:idx val="2"/>
          <c:order val="2"/>
          <c:tx>
            <c:strRef>
              <c:f>Sheet1!$D$1</c:f>
              <c:strCache>
                <c:ptCount val="1"/>
                <c:pt idx="0">
                  <c:v>Mid-ascending</c:v>
                </c:pt>
              </c:strCache>
            </c:strRef>
          </c:tx>
          <c:spPr>
            <a:solidFill>
              <a:srgbClr val="FF6600"/>
            </a:solidFill>
          </c:spPr>
          <c:invertIfNegative val="0"/>
          <c:dLbls>
            <c:dLbl>
              <c:idx val="1"/>
              <c:layout>
                <c:manualLayout>
                  <c:x val="0"/>
                  <c:y val="4.0209087253719423E-3"/>
                </c:manualLayout>
              </c:layout>
              <c:dLblPos val="outEnd"/>
              <c:showLegendKey val="0"/>
              <c:showVal val="1"/>
              <c:showCatName val="0"/>
              <c:showSerName val="0"/>
              <c:showPercent val="0"/>
              <c:showBubbleSize val="0"/>
            </c:dLbl>
            <c:numFmt formatCode="#,##0.00" sourceLinked="0"/>
            <c:txPr>
              <a:bodyPr/>
              <a:lstStyle/>
              <a:p>
                <a:pPr>
                  <a:defRPr sz="800">
                    <a:latin typeface="Arial" pitchFamily="34" charset="0"/>
                    <a:cs typeface="Arial" pitchFamily="34" charset="0"/>
                  </a:defRPr>
                </a:pPr>
                <a:endParaRPr lang="en-US"/>
              </a:p>
            </c:txPr>
            <c:dLblPos val="outEnd"/>
            <c:showLegendKey val="0"/>
            <c:showVal val="1"/>
            <c:showCatName val="0"/>
            <c:showSerName val="0"/>
            <c:showPercent val="0"/>
            <c:showBubbleSize val="0"/>
            <c:showLeaderLines val="0"/>
          </c:dLbls>
          <c:cat>
            <c:strRef>
              <c:f>Sheet1!$A$2:$A$6</c:f>
              <c:strCache>
                <c:ptCount val="5"/>
                <c:pt idx="0">
                  <c:v>&lt;4.0 </c:v>
                </c:pt>
                <c:pt idx="1">
                  <c:v>4.0 - 4.5 </c:v>
                </c:pt>
                <c:pt idx="2">
                  <c:v>4.5 - 5.0</c:v>
                </c:pt>
                <c:pt idx="3">
                  <c:v>5.0 - 5.5 </c:v>
                </c:pt>
                <c:pt idx="4">
                  <c:v>&gt;5.5 </c:v>
                </c:pt>
              </c:strCache>
            </c:strRef>
          </c:cat>
          <c:val>
            <c:numRef>
              <c:f>Sheet1!$D$2:$D$6</c:f>
              <c:numCache>
                <c:formatCode>General</c:formatCode>
                <c:ptCount val="5"/>
                <c:pt idx="0">
                  <c:v>5.42</c:v>
                </c:pt>
                <c:pt idx="1">
                  <c:v>8.1</c:v>
                </c:pt>
                <c:pt idx="2">
                  <c:v>10.200000000000001</c:v>
                </c:pt>
                <c:pt idx="3">
                  <c:v>11.92</c:v>
                </c:pt>
                <c:pt idx="4">
                  <c:v>19.79</c:v>
                </c:pt>
              </c:numCache>
            </c:numRef>
          </c:val>
        </c:ser>
        <c:dLbls>
          <c:showLegendKey val="0"/>
          <c:showVal val="1"/>
          <c:showCatName val="0"/>
          <c:showSerName val="0"/>
          <c:showPercent val="0"/>
          <c:showBubbleSize val="0"/>
        </c:dLbls>
        <c:gapWidth val="150"/>
        <c:overlap val="-67"/>
        <c:axId val="114377472"/>
        <c:axId val="114379392"/>
      </c:barChart>
      <c:catAx>
        <c:axId val="114377472"/>
        <c:scaling>
          <c:orientation val="minMax"/>
        </c:scaling>
        <c:delete val="0"/>
        <c:axPos val="b"/>
        <c:title>
          <c:tx>
            <c:rich>
              <a:bodyPr/>
              <a:lstStyle/>
              <a:p>
                <a:pPr>
                  <a:defRPr/>
                </a:pPr>
                <a:r>
                  <a:rPr lang="en-GB" b="0">
                    <a:latin typeface="Arial" pitchFamily="34" charset="0"/>
                    <a:cs typeface="Arial" pitchFamily="34" charset="0"/>
                  </a:rPr>
                  <a:t>Aortic Diameter (cm)</a:t>
                </a:r>
              </a:p>
            </c:rich>
          </c:tx>
          <c:overlay val="0"/>
        </c:title>
        <c:numFmt formatCode="General" sourceLinked="1"/>
        <c:majorTickMark val="out"/>
        <c:minorTickMark val="none"/>
        <c:tickLblPos val="nextTo"/>
        <c:txPr>
          <a:bodyPr/>
          <a:lstStyle/>
          <a:p>
            <a:pPr>
              <a:defRPr>
                <a:latin typeface="Arial" pitchFamily="34" charset="0"/>
                <a:cs typeface="Arial" pitchFamily="34" charset="0"/>
              </a:defRPr>
            </a:pPr>
            <a:endParaRPr lang="en-US"/>
          </a:p>
        </c:txPr>
        <c:crossAx val="114379392"/>
        <c:crosses val="autoZero"/>
        <c:auto val="1"/>
        <c:lblAlgn val="ctr"/>
        <c:lblOffset val="100"/>
        <c:noMultiLvlLbl val="0"/>
      </c:catAx>
      <c:valAx>
        <c:axId val="114379392"/>
        <c:scaling>
          <c:orientation val="minMax"/>
          <c:max val="22"/>
          <c:min val="0"/>
        </c:scaling>
        <c:delete val="0"/>
        <c:axPos val="l"/>
        <c:title>
          <c:tx>
            <c:rich>
              <a:bodyPr rot="-5400000" vert="horz"/>
              <a:lstStyle/>
              <a:p>
                <a:pPr>
                  <a:defRPr/>
                </a:pPr>
                <a:r>
                  <a:rPr lang="en-GB" b="0">
                    <a:latin typeface="Arial" pitchFamily="34" charset="0"/>
                    <a:cs typeface="Arial" pitchFamily="34" charset="0"/>
                  </a:rPr>
                  <a:t>Mean</a:t>
                </a:r>
                <a:r>
                  <a:rPr lang="en-GB" b="0" baseline="0">
                    <a:latin typeface="Arial" pitchFamily="34" charset="0"/>
                    <a:cs typeface="Arial" pitchFamily="34" charset="0"/>
                  </a:rPr>
                  <a:t> Indexed Aortic Area (cm</a:t>
                </a:r>
                <a:r>
                  <a:rPr lang="en-GB" b="0" baseline="30000">
                    <a:latin typeface="Arial" pitchFamily="34" charset="0"/>
                    <a:cs typeface="Arial" pitchFamily="34" charset="0"/>
                  </a:rPr>
                  <a:t>2</a:t>
                </a:r>
                <a:r>
                  <a:rPr lang="en-GB" b="0" baseline="0">
                    <a:latin typeface="Arial" pitchFamily="34" charset="0"/>
                    <a:cs typeface="Arial" pitchFamily="34" charset="0"/>
                  </a:rPr>
                  <a:t>/m)</a:t>
                </a:r>
                <a:endParaRPr lang="en-GB" b="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b="0">
                <a:latin typeface="Arial" pitchFamily="34" charset="0"/>
                <a:cs typeface="Arial" pitchFamily="34" charset="0"/>
              </a:defRPr>
            </a:pPr>
            <a:endParaRPr lang="en-US"/>
          </a:p>
        </c:txPr>
        <c:crossAx val="114377472"/>
        <c:crosses val="autoZero"/>
        <c:crossBetween val="between"/>
        <c:majorUnit val="5"/>
      </c:valAx>
      <c:spPr>
        <a:ln>
          <a:noFill/>
        </a:ln>
      </c:spPr>
    </c:plotArea>
    <c:legend>
      <c:legendPos val="b"/>
      <c:overlay val="0"/>
      <c:txPr>
        <a:bodyPr/>
        <a:lstStyle/>
        <a:p>
          <a:pPr>
            <a:defRPr>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0.10331</cdr:x>
      <cdr:y>0.41697</cdr:y>
    </cdr:from>
    <cdr:to>
      <cdr:x>0.99943</cdr:x>
      <cdr:y>0.41805</cdr:y>
    </cdr:to>
    <cdr:sp macro="" textlink="">
      <cdr:nvSpPr>
        <cdr:cNvPr id="3" name="Straight Connector 2"/>
        <cdr:cNvSpPr/>
      </cdr:nvSpPr>
      <cdr:spPr>
        <a:xfrm xmlns:a="http://schemas.openxmlformats.org/drawingml/2006/main" flipV="1">
          <a:off x="592531" y="1317008"/>
          <a:ext cx="5139529" cy="3383"/>
        </a:xfrm>
        <a:prstGeom xmlns:a="http://schemas.openxmlformats.org/drawingml/2006/main" prst="line">
          <a:avLst/>
        </a:prstGeom>
        <a:ln xmlns:a="http://schemas.openxmlformats.org/drawingml/2006/main" w="12700">
          <a:solidFill>
            <a:srgbClr val="FF0000"/>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902E-D7A7-4661-A6F5-66AB6963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metesh</dc:creator>
  <cp:lastModifiedBy>Marjan Jahangiri</cp:lastModifiedBy>
  <cp:revision>2</cp:revision>
  <dcterms:created xsi:type="dcterms:W3CDTF">2018-02-18T08:20:00Z</dcterms:created>
  <dcterms:modified xsi:type="dcterms:W3CDTF">2018-02-18T08:20:00Z</dcterms:modified>
</cp:coreProperties>
</file>