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436" w:rsidRPr="00D05FFA" w:rsidRDefault="00E02436" w:rsidP="00D05FFA">
      <w:pPr>
        <w:tabs>
          <w:tab w:val="left" w:pos="426"/>
        </w:tabs>
        <w:spacing w:line="360" w:lineRule="auto"/>
        <w:jc w:val="both"/>
        <w:rPr>
          <w:rFonts w:ascii="Times New Roman" w:hAnsi="Times New Roman" w:cs="Times New Roman"/>
          <w:sz w:val="24"/>
          <w:szCs w:val="24"/>
        </w:rPr>
      </w:pPr>
      <w:r w:rsidRPr="00D05FFA">
        <w:rPr>
          <w:rFonts w:ascii="Times New Roman" w:hAnsi="Times New Roman" w:cs="Times New Roman"/>
          <w:sz w:val="24"/>
          <w:szCs w:val="24"/>
        </w:rPr>
        <w:t>Statistical methods</w:t>
      </w:r>
      <w:r w:rsidR="00E454A1" w:rsidRPr="00D05FFA">
        <w:rPr>
          <w:rFonts w:ascii="Times New Roman" w:hAnsi="Times New Roman" w:cs="Times New Roman"/>
          <w:sz w:val="24"/>
          <w:szCs w:val="24"/>
        </w:rPr>
        <w:t xml:space="preserve"> – further details</w:t>
      </w:r>
    </w:p>
    <w:p w:rsidR="009E15E6" w:rsidRPr="00D05FFA" w:rsidRDefault="009E15E6" w:rsidP="00D05FFA">
      <w:pPr>
        <w:spacing w:line="360" w:lineRule="auto"/>
        <w:rPr>
          <w:rFonts w:ascii="Times New Roman" w:hAnsi="Times New Roman" w:cs="Times New Roman"/>
          <w:b/>
          <w:i/>
          <w:sz w:val="24"/>
          <w:szCs w:val="24"/>
          <w:u w:val="single"/>
        </w:rPr>
      </w:pPr>
      <w:r w:rsidRPr="00D05FFA">
        <w:rPr>
          <w:rFonts w:ascii="Times New Roman" w:hAnsi="Times New Roman" w:cs="Times New Roman"/>
          <w:b/>
          <w:i/>
          <w:sz w:val="24"/>
          <w:szCs w:val="24"/>
          <w:u w:val="single"/>
        </w:rPr>
        <w:t xml:space="preserve">Sample size considerations </w:t>
      </w:r>
    </w:p>
    <w:p w:rsidR="00D23508" w:rsidRPr="00D05FFA" w:rsidRDefault="00D23508" w:rsidP="00D05FFA">
      <w:pPr>
        <w:spacing w:line="360" w:lineRule="auto"/>
        <w:rPr>
          <w:rFonts w:ascii="Times New Roman" w:hAnsi="Times New Roman" w:cs="Times New Roman"/>
          <w:sz w:val="24"/>
          <w:szCs w:val="24"/>
        </w:rPr>
      </w:pPr>
      <w:r w:rsidRPr="00D05FFA">
        <w:rPr>
          <w:rFonts w:ascii="Times New Roman" w:hAnsi="Times New Roman" w:cs="Times New Roman"/>
          <w:sz w:val="24"/>
          <w:szCs w:val="24"/>
        </w:rPr>
        <w:t xml:space="preserve">The initial plan was to estimate the minimum necessary number of people required for a robust multiple logistic regression for a response defined by PPC occurrence as a binary event. </w:t>
      </w:r>
    </w:p>
    <w:p w:rsidR="00D23508" w:rsidRPr="00D05FFA" w:rsidRDefault="00D23508" w:rsidP="00D05FFA">
      <w:pPr>
        <w:spacing w:line="360" w:lineRule="auto"/>
        <w:rPr>
          <w:rFonts w:ascii="Times New Roman" w:hAnsi="Times New Roman" w:cs="Times New Roman"/>
          <w:sz w:val="24"/>
          <w:szCs w:val="24"/>
        </w:rPr>
      </w:pPr>
      <w:r w:rsidRPr="00D05FFA">
        <w:rPr>
          <w:rFonts w:ascii="Times New Roman" w:hAnsi="Times New Roman" w:cs="Times New Roman"/>
          <w:sz w:val="24"/>
          <w:szCs w:val="24"/>
        </w:rPr>
        <w:t xml:space="preserve">Given the observational nature of the study, a series of confounders (demographics and clinical hypothesized to be potentially associated with the occurrence of </w:t>
      </w:r>
      <w:proofErr w:type="spellStart"/>
      <w:r w:rsidR="00E7588A">
        <w:rPr>
          <w:rFonts w:ascii="Times New Roman" w:hAnsi="Times New Roman" w:cs="Times New Roman"/>
          <w:sz w:val="24"/>
          <w:szCs w:val="24"/>
        </w:rPr>
        <w:t>post operative</w:t>
      </w:r>
      <w:proofErr w:type="spellEnd"/>
      <w:r w:rsidR="00E7588A">
        <w:rPr>
          <w:rFonts w:ascii="Times New Roman" w:hAnsi="Times New Roman" w:cs="Times New Roman"/>
          <w:sz w:val="24"/>
          <w:szCs w:val="24"/>
        </w:rPr>
        <w:t xml:space="preserve"> pulmonary complications (</w:t>
      </w:r>
      <w:r w:rsidRPr="00D05FFA">
        <w:rPr>
          <w:rFonts w:ascii="Times New Roman" w:hAnsi="Times New Roman" w:cs="Times New Roman"/>
          <w:sz w:val="24"/>
          <w:szCs w:val="24"/>
        </w:rPr>
        <w:t>PPC) need</w:t>
      </w:r>
      <w:r w:rsidR="00D05FFA" w:rsidRPr="00D05FFA">
        <w:rPr>
          <w:rFonts w:ascii="Times New Roman" w:hAnsi="Times New Roman" w:cs="Times New Roman"/>
          <w:sz w:val="24"/>
          <w:szCs w:val="24"/>
        </w:rPr>
        <w:t>ed</w:t>
      </w:r>
      <w:r w:rsidRPr="00D05FFA">
        <w:rPr>
          <w:rFonts w:ascii="Times New Roman" w:hAnsi="Times New Roman" w:cs="Times New Roman"/>
          <w:sz w:val="24"/>
          <w:szCs w:val="24"/>
        </w:rPr>
        <w:t xml:space="preserve"> to be taken into consideration. </w:t>
      </w:r>
    </w:p>
    <w:p w:rsidR="009E15E6" w:rsidRDefault="00D23508" w:rsidP="00D05FFA">
      <w:pPr>
        <w:adjustRightInd w:val="0"/>
        <w:spacing w:after="0" w:line="360" w:lineRule="auto"/>
        <w:rPr>
          <w:rFonts w:ascii="Times New Roman" w:eastAsia="Times New Roman" w:hAnsi="Times New Roman" w:cs="Times New Roman"/>
          <w:color w:val="000000"/>
          <w:sz w:val="24"/>
          <w:szCs w:val="24"/>
          <w:lang w:eastAsia="en-GB"/>
        </w:rPr>
      </w:pPr>
      <w:r w:rsidRPr="00D05FFA">
        <w:rPr>
          <w:rFonts w:ascii="Times New Roman" w:hAnsi="Times New Roman" w:cs="Times New Roman"/>
          <w:sz w:val="24"/>
          <w:szCs w:val="24"/>
        </w:rPr>
        <w:t xml:space="preserve">Assuming that around 10 explanatory variables would suffice to explain the variability in the outcome and </w:t>
      </w:r>
      <w:r w:rsidRPr="00D05FFA">
        <w:rPr>
          <w:rFonts w:ascii="Times New Roman" w:eastAsia="Times New Roman" w:hAnsi="Times New Roman" w:cs="Times New Roman"/>
          <w:color w:val="000000"/>
          <w:sz w:val="24"/>
          <w:szCs w:val="24"/>
          <w:lang w:eastAsia="en-GB"/>
        </w:rPr>
        <w:t xml:space="preserve">given the nature of this binary outcome, statistical literature suggested that </w:t>
      </w:r>
      <w:r w:rsidRPr="00D05FFA">
        <w:rPr>
          <w:rFonts w:ascii="Times New Roman" w:hAnsi="Times New Roman" w:cs="Times New Roman"/>
          <w:sz w:val="24"/>
          <w:szCs w:val="24"/>
        </w:rPr>
        <w:t xml:space="preserve">the study should collect between 10 and 16 adverse events per each potential explanatory variable for robust results, i.e. for a power of at least 80% equivalent to a type 2 error of less than 20% as proven by simulation studies (1-4). </w:t>
      </w:r>
      <w:r w:rsidRPr="00D05FFA">
        <w:rPr>
          <w:rFonts w:ascii="Times New Roman" w:eastAsia="Times New Roman" w:hAnsi="Times New Roman" w:cs="Times New Roman"/>
          <w:color w:val="000000"/>
          <w:sz w:val="24"/>
          <w:szCs w:val="24"/>
          <w:lang w:eastAsia="en-GB"/>
        </w:rPr>
        <w:t xml:space="preserve"> So, say somewhat of a minimum of 10×10=100 such events </w:t>
      </w:r>
      <w:r w:rsidR="00D05FFA">
        <w:rPr>
          <w:rFonts w:ascii="Times New Roman" w:eastAsia="Times New Roman" w:hAnsi="Times New Roman" w:cs="Times New Roman"/>
          <w:color w:val="000000"/>
          <w:sz w:val="24"/>
          <w:szCs w:val="24"/>
          <w:lang w:eastAsia="en-GB"/>
        </w:rPr>
        <w:t xml:space="preserve">(PPC) </w:t>
      </w:r>
      <w:r w:rsidRPr="00D05FFA">
        <w:rPr>
          <w:rFonts w:ascii="Times New Roman" w:eastAsia="Times New Roman" w:hAnsi="Times New Roman" w:cs="Times New Roman"/>
          <w:color w:val="000000"/>
          <w:sz w:val="24"/>
          <w:szCs w:val="24"/>
          <w:lang w:eastAsia="en-GB"/>
        </w:rPr>
        <w:t xml:space="preserve">would be required. The prevalence of such adverse events in this population was between </w:t>
      </w:r>
      <w:r w:rsidR="00D05FFA">
        <w:rPr>
          <w:rFonts w:ascii="Times New Roman" w:eastAsia="Times New Roman" w:hAnsi="Times New Roman" w:cs="Times New Roman"/>
          <w:color w:val="000000"/>
          <w:sz w:val="24"/>
          <w:szCs w:val="24"/>
          <w:lang w:eastAsia="en-GB"/>
        </w:rPr>
        <w:t>20</w:t>
      </w:r>
      <w:r w:rsidRPr="00D05FFA">
        <w:rPr>
          <w:rFonts w:ascii="Times New Roman" w:eastAsia="Times New Roman" w:hAnsi="Times New Roman" w:cs="Times New Roman"/>
          <w:color w:val="000000"/>
          <w:sz w:val="24"/>
          <w:szCs w:val="24"/>
          <w:lang w:eastAsia="en-GB"/>
        </w:rPr>
        <w:t>% and 30%</w:t>
      </w:r>
      <w:r w:rsidRPr="00D05FFA">
        <w:rPr>
          <w:rFonts w:ascii="Times New Roman" w:hAnsi="Times New Roman" w:cs="Times New Roman"/>
          <w:sz w:val="24"/>
          <w:szCs w:val="24"/>
        </w:rPr>
        <w:t xml:space="preserve">. </w:t>
      </w:r>
      <w:r w:rsidRPr="00D05FFA">
        <w:rPr>
          <w:rFonts w:ascii="Times New Roman" w:eastAsia="Times New Roman" w:hAnsi="Times New Roman" w:cs="Times New Roman"/>
          <w:color w:val="000000"/>
          <w:sz w:val="24"/>
          <w:szCs w:val="24"/>
          <w:lang w:eastAsia="en-GB"/>
        </w:rPr>
        <w:t xml:space="preserve">Therefore, we aimed at recruiting a total minimum number of between </w:t>
      </w:r>
      <w:r w:rsidR="00D05FFA">
        <w:rPr>
          <w:rFonts w:ascii="Times New Roman" w:eastAsia="Times New Roman" w:hAnsi="Times New Roman" w:cs="Times New Roman"/>
          <w:color w:val="000000"/>
          <w:sz w:val="24"/>
          <w:szCs w:val="24"/>
          <w:lang w:eastAsia="en-GB"/>
        </w:rPr>
        <w:t>34</w:t>
      </w:r>
      <w:r w:rsidRPr="00D05FFA">
        <w:rPr>
          <w:rFonts w:ascii="Times New Roman" w:eastAsia="Times New Roman" w:hAnsi="Times New Roman" w:cs="Times New Roman"/>
          <w:color w:val="000000"/>
          <w:sz w:val="24"/>
          <w:szCs w:val="24"/>
          <w:lang w:eastAsia="en-GB"/>
        </w:rPr>
        <w:t xml:space="preserve">0 and </w:t>
      </w:r>
      <w:r w:rsidR="00D05FFA">
        <w:rPr>
          <w:rFonts w:ascii="Times New Roman" w:eastAsia="Times New Roman" w:hAnsi="Times New Roman" w:cs="Times New Roman"/>
          <w:color w:val="000000"/>
          <w:sz w:val="24"/>
          <w:szCs w:val="24"/>
          <w:lang w:eastAsia="en-GB"/>
        </w:rPr>
        <w:t>5</w:t>
      </w:r>
      <w:r w:rsidRPr="00D05FFA">
        <w:rPr>
          <w:rFonts w:ascii="Times New Roman" w:eastAsia="Times New Roman" w:hAnsi="Times New Roman" w:cs="Times New Roman"/>
          <w:color w:val="000000"/>
          <w:sz w:val="24"/>
          <w:szCs w:val="24"/>
          <w:lang w:eastAsia="en-GB"/>
        </w:rPr>
        <w:t>00 patients</w:t>
      </w:r>
      <w:r w:rsidR="00D05FFA" w:rsidRPr="00D05FFA">
        <w:rPr>
          <w:rFonts w:ascii="Times New Roman" w:eastAsia="Times New Roman" w:hAnsi="Times New Roman" w:cs="Times New Roman"/>
          <w:color w:val="000000"/>
          <w:sz w:val="24"/>
          <w:szCs w:val="24"/>
          <w:lang w:eastAsia="en-GB"/>
        </w:rPr>
        <w:t>.</w:t>
      </w:r>
      <w:r w:rsidRPr="00D05FFA">
        <w:rPr>
          <w:rFonts w:ascii="Times New Roman" w:eastAsia="Times New Roman" w:hAnsi="Times New Roman" w:cs="Times New Roman"/>
          <w:color w:val="000000"/>
          <w:sz w:val="24"/>
          <w:szCs w:val="24"/>
          <w:lang w:eastAsia="en-GB"/>
        </w:rPr>
        <w:t xml:space="preserve"> </w:t>
      </w:r>
      <w:r w:rsidR="00D05FFA" w:rsidRPr="00D05FFA">
        <w:rPr>
          <w:rFonts w:ascii="Times New Roman" w:eastAsia="Times New Roman" w:hAnsi="Times New Roman" w:cs="Times New Roman"/>
          <w:color w:val="000000"/>
          <w:sz w:val="24"/>
          <w:szCs w:val="24"/>
          <w:lang w:eastAsia="en-GB"/>
        </w:rPr>
        <w:t xml:space="preserve"> It turned out that 48% of the patients developed the event which makes our study reliable for statistical estimation in terms of power.</w:t>
      </w:r>
      <w:r w:rsidR="00E7588A">
        <w:rPr>
          <w:rFonts w:ascii="Times New Roman" w:eastAsia="Times New Roman" w:hAnsi="Times New Roman" w:cs="Times New Roman"/>
          <w:color w:val="000000"/>
          <w:sz w:val="24"/>
          <w:szCs w:val="24"/>
          <w:lang w:eastAsia="en-GB"/>
        </w:rPr>
        <w:t xml:space="preserve"> This method of approximation the sample size for such models also hold for time-to-event data. </w:t>
      </w:r>
    </w:p>
    <w:p w:rsidR="00D05FFA" w:rsidRPr="00D05FFA" w:rsidRDefault="00D05FFA" w:rsidP="00D05FFA">
      <w:pPr>
        <w:adjustRightInd w:val="0"/>
        <w:spacing w:after="0" w:line="360" w:lineRule="auto"/>
        <w:rPr>
          <w:rFonts w:ascii="Times New Roman" w:eastAsia="Times New Roman" w:hAnsi="Times New Roman" w:cs="Times New Roman"/>
          <w:b/>
          <w:i/>
          <w:color w:val="000000"/>
          <w:sz w:val="24"/>
          <w:szCs w:val="24"/>
          <w:u w:val="single"/>
          <w:lang w:eastAsia="en-GB"/>
        </w:rPr>
      </w:pPr>
      <w:r w:rsidRPr="00D05FFA">
        <w:rPr>
          <w:rFonts w:ascii="Times New Roman" w:eastAsia="Times New Roman" w:hAnsi="Times New Roman" w:cs="Times New Roman"/>
          <w:b/>
          <w:i/>
          <w:color w:val="000000"/>
          <w:sz w:val="24"/>
          <w:szCs w:val="24"/>
          <w:u w:val="single"/>
          <w:lang w:eastAsia="en-GB"/>
        </w:rPr>
        <w:t>Methods of analysis</w:t>
      </w:r>
    </w:p>
    <w:p w:rsidR="002C3041" w:rsidRDefault="002C3041" w:rsidP="00D05FFA">
      <w:p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The collected variables have been explored both graphically and by summary statistics. Descriptive statistics are presented</w:t>
      </w:r>
      <w:r w:rsidR="007F7FC1">
        <w:rPr>
          <w:rFonts w:ascii="Times New Roman" w:hAnsi="Times New Roman" w:cs="Times New Roman"/>
          <w:sz w:val="24"/>
          <w:szCs w:val="24"/>
        </w:rPr>
        <w:t xml:space="preserve"> by the outcome and overall</w:t>
      </w:r>
      <w:r>
        <w:rPr>
          <w:rFonts w:ascii="Times New Roman" w:hAnsi="Times New Roman" w:cs="Times New Roman"/>
          <w:sz w:val="24"/>
          <w:szCs w:val="24"/>
        </w:rPr>
        <w:t>; means, standard deviations</w:t>
      </w:r>
      <w:r w:rsidR="0032223D">
        <w:rPr>
          <w:rFonts w:ascii="Times New Roman" w:hAnsi="Times New Roman" w:cs="Times New Roman"/>
          <w:sz w:val="24"/>
          <w:szCs w:val="24"/>
        </w:rPr>
        <w:t>, percentiles, ranges for continuous</w:t>
      </w:r>
      <w:r>
        <w:rPr>
          <w:rFonts w:ascii="Times New Roman" w:hAnsi="Times New Roman" w:cs="Times New Roman"/>
          <w:sz w:val="24"/>
          <w:szCs w:val="24"/>
        </w:rPr>
        <w:t xml:space="preserve"> variables </w:t>
      </w:r>
      <w:r w:rsidR="0032223D">
        <w:rPr>
          <w:rFonts w:ascii="Times New Roman" w:hAnsi="Times New Roman" w:cs="Times New Roman"/>
          <w:sz w:val="24"/>
          <w:szCs w:val="24"/>
        </w:rPr>
        <w:t>and proportions for categorical/binary data.</w:t>
      </w:r>
      <w:r>
        <w:rPr>
          <w:rFonts w:ascii="Times New Roman" w:hAnsi="Times New Roman" w:cs="Times New Roman"/>
          <w:sz w:val="24"/>
          <w:szCs w:val="24"/>
        </w:rPr>
        <w:t xml:space="preserve"> </w:t>
      </w:r>
    </w:p>
    <w:p w:rsidR="005F3531" w:rsidRPr="005F3531" w:rsidRDefault="003624F1" w:rsidP="005F3531">
      <w:pPr>
        <w:widowControl w:val="0"/>
        <w:autoSpaceDE w:val="0"/>
        <w:autoSpaceDN w:val="0"/>
        <w:adjustRightInd w:val="0"/>
        <w:spacing w:after="240" w:line="360" w:lineRule="atLeast"/>
        <w:rPr>
          <w:rFonts w:ascii="Times New Roman" w:hAnsi="Times New Roman" w:cs="Times New Roman"/>
          <w:sz w:val="24"/>
          <w:szCs w:val="24"/>
        </w:rPr>
      </w:pPr>
      <w:r w:rsidRPr="00D05FFA">
        <w:rPr>
          <w:rFonts w:ascii="Times New Roman" w:hAnsi="Times New Roman" w:cs="Times New Roman"/>
          <w:sz w:val="24"/>
          <w:szCs w:val="24"/>
        </w:rPr>
        <w:t xml:space="preserve">The data exhibited hierarchical structure </w:t>
      </w:r>
      <w:r w:rsidR="00600F5A" w:rsidRPr="00D05FFA">
        <w:rPr>
          <w:rFonts w:ascii="Times New Roman" w:hAnsi="Times New Roman" w:cs="Times New Roman"/>
          <w:sz w:val="24"/>
          <w:szCs w:val="24"/>
        </w:rPr>
        <w:t xml:space="preserve">given the 28 hospitals </w:t>
      </w:r>
      <w:r w:rsidR="00D05FFA">
        <w:rPr>
          <w:rFonts w:ascii="Times New Roman" w:hAnsi="Times New Roman" w:cs="Times New Roman"/>
          <w:sz w:val="24"/>
          <w:szCs w:val="24"/>
        </w:rPr>
        <w:t>res</w:t>
      </w:r>
      <w:r w:rsidR="00E64622" w:rsidRPr="00D05FFA">
        <w:rPr>
          <w:rFonts w:ascii="Times New Roman" w:hAnsi="Times New Roman" w:cs="Times New Roman"/>
          <w:sz w:val="24"/>
          <w:szCs w:val="24"/>
        </w:rPr>
        <w:t>ources</w:t>
      </w:r>
      <w:r w:rsidR="00600F5A" w:rsidRPr="00D05FFA">
        <w:rPr>
          <w:rFonts w:ascii="Times New Roman" w:hAnsi="Times New Roman" w:cs="Times New Roman"/>
          <w:sz w:val="24"/>
          <w:szCs w:val="24"/>
        </w:rPr>
        <w:t xml:space="preserve"> and this </w:t>
      </w:r>
      <w:r w:rsidR="0032223D">
        <w:rPr>
          <w:rFonts w:ascii="Times New Roman" w:hAnsi="Times New Roman" w:cs="Times New Roman"/>
          <w:sz w:val="24"/>
          <w:szCs w:val="24"/>
        </w:rPr>
        <w:t>type of clustering, reflected in adjusted standard errors, has</w:t>
      </w:r>
      <w:r w:rsidR="00600F5A" w:rsidRPr="00D05FFA">
        <w:rPr>
          <w:rFonts w:ascii="Times New Roman" w:hAnsi="Times New Roman" w:cs="Times New Roman"/>
          <w:sz w:val="24"/>
          <w:szCs w:val="24"/>
        </w:rPr>
        <w:t xml:space="preserve"> been accounted for in all analys</w:t>
      </w:r>
      <w:r w:rsidR="00E64622" w:rsidRPr="00D05FFA">
        <w:rPr>
          <w:rFonts w:ascii="Times New Roman" w:hAnsi="Times New Roman" w:cs="Times New Roman"/>
          <w:sz w:val="24"/>
          <w:szCs w:val="24"/>
        </w:rPr>
        <w:t>e</w:t>
      </w:r>
      <w:r w:rsidR="00600F5A" w:rsidRPr="00D05FFA">
        <w:rPr>
          <w:rFonts w:ascii="Times New Roman" w:hAnsi="Times New Roman" w:cs="Times New Roman"/>
          <w:sz w:val="24"/>
          <w:szCs w:val="24"/>
        </w:rPr>
        <w:t xml:space="preserve">s. </w:t>
      </w:r>
      <w:r w:rsidR="005F3531" w:rsidRPr="005F3531">
        <w:rPr>
          <w:rFonts w:ascii="Times New Roman" w:hAnsi="Times New Roman" w:cs="Times New Roman"/>
          <w:sz w:val="24"/>
          <w:szCs w:val="24"/>
        </w:rPr>
        <w:t>There was not much difference in standard errors whether the analys</w:t>
      </w:r>
      <w:r w:rsidR="005F3531">
        <w:rPr>
          <w:rFonts w:ascii="Times New Roman" w:hAnsi="Times New Roman" w:cs="Times New Roman"/>
          <w:sz w:val="24"/>
          <w:szCs w:val="24"/>
        </w:rPr>
        <w:t>e</w:t>
      </w:r>
      <w:r w:rsidR="005F3531" w:rsidRPr="005F3531">
        <w:rPr>
          <w:rFonts w:ascii="Times New Roman" w:hAnsi="Times New Roman" w:cs="Times New Roman"/>
          <w:sz w:val="24"/>
          <w:szCs w:val="24"/>
        </w:rPr>
        <w:t xml:space="preserve">s accounted for the clustering or not. This suggests that the variability between hospitals did not </w:t>
      </w:r>
      <w:r w:rsidR="00A56B81">
        <w:rPr>
          <w:rFonts w:ascii="Times New Roman" w:hAnsi="Times New Roman" w:cs="Times New Roman"/>
          <w:sz w:val="24"/>
          <w:szCs w:val="24"/>
        </w:rPr>
        <w:t xml:space="preserve">add much to </w:t>
      </w:r>
      <w:r w:rsidR="005F3531" w:rsidRPr="005F3531">
        <w:rPr>
          <w:rFonts w:ascii="Times New Roman" w:hAnsi="Times New Roman" w:cs="Times New Roman"/>
          <w:sz w:val="24"/>
          <w:szCs w:val="24"/>
        </w:rPr>
        <w:t>that of the within hospitals, most probably because this population</w:t>
      </w:r>
      <w:r w:rsidR="0065373E">
        <w:rPr>
          <w:rFonts w:ascii="Times New Roman" w:hAnsi="Times New Roman" w:cs="Times New Roman"/>
          <w:sz w:val="24"/>
          <w:szCs w:val="24"/>
        </w:rPr>
        <w:t>’s</w:t>
      </w:r>
      <w:r w:rsidR="005F3531" w:rsidRPr="005F3531">
        <w:rPr>
          <w:rFonts w:ascii="Times New Roman" w:hAnsi="Times New Roman" w:cs="Times New Roman"/>
          <w:sz w:val="24"/>
          <w:szCs w:val="24"/>
        </w:rPr>
        <w:t xml:space="preserve"> </w:t>
      </w:r>
      <w:r w:rsidR="00A56B81">
        <w:rPr>
          <w:rFonts w:ascii="Times New Roman" w:hAnsi="Times New Roman" w:cs="Times New Roman"/>
          <w:sz w:val="24"/>
          <w:szCs w:val="24"/>
        </w:rPr>
        <w:t>inherent high variability</w:t>
      </w:r>
      <w:r w:rsidR="005F3531" w:rsidRPr="005F3531">
        <w:rPr>
          <w:rFonts w:ascii="Times New Roman" w:hAnsi="Times New Roman" w:cs="Times New Roman"/>
          <w:sz w:val="24"/>
          <w:szCs w:val="24"/>
        </w:rPr>
        <w:t>.</w:t>
      </w:r>
    </w:p>
    <w:p w:rsidR="003624F1" w:rsidRPr="00D05FFA" w:rsidRDefault="00600F5A" w:rsidP="00D05FFA">
      <w:pPr>
        <w:tabs>
          <w:tab w:val="left" w:pos="426"/>
        </w:tabs>
        <w:spacing w:line="360" w:lineRule="auto"/>
        <w:jc w:val="both"/>
        <w:rPr>
          <w:rFonts w:ascii="Times New Roman" w:hAnsi="Times New Roman" w:cs="Times New Roman"/>
          <w:sz w:val="24"/>
          <w:szCs w:val="24"/>
        </w:rPr>
      </w:pPr>
      <w:r w:rsidRPr="00D05FFA">
        <w:rPr>
          <w:rFonts w:ascii="Times New Roman" w:hAnsi="Times New Roman" w:cs="Times New Roman"/>
          <w:sz w:val="24"/>
          <w:szCs w:val="24"/>
        </w:rPr>
        <w:t xml:space="preserve">Multiple PPC per individual were also observed but the clinical question of interest was whether </w:t>
      </w:r>
      <w:r w:rsidR="0032223D">
        <w:rPr>
          <w:rFonts w:ascii="Times New Roman" w:hAnsi="Times New Roman" w:cs="Times New Roman"/>
          <w:sz w:val="24"/>
          <w:szCs w:val="24"/>
        </w:rPr>
        <w:t>patients</w:t>
      </w:r>
      <w:r w:rsidRPr="00D05FFA">
        <w:rPr>
          <w:rFonts w:ascii="Times New Roman" w:hAnsi="Times New Roman" w:cs="Times New Roman"/>
          <w:sz w:val="24"/>
          <w:szCs w:val="24"/>
        </w:rPr>
        <w:t xml:space="preserve"> had a</w:t>
      </w:r>
      <w:r w:rsidR="00D05FFA">
        <w:rPr>
          <w:rFonts w:ascii="Times New Roman" w:hAnsi="Times New Roman" w:cs="Times New Roman"/>
          <w:sz w:val="24"/>
          <w:szCs w:val="24"/>
        </w:rPr>
        <w:t>t least one</w:t>
      </w:r>
      <w:r w:rsidRPr="00D05FFA">
        <w:rPr>
          <w:rFonts w:ascii="Times New Roman" w:hAnsi="Times New Roman" w:cs="Times New Roman"/>
          <w:sz w:val="24"/>
          <w:szCs w:val="24"/>
        </w:rPr>
        <w:t xml:space="preserve"> PPC </w:t>
      </w:r>
      <w:r w:rsidR="0032223D">
        <w:rPr>
          <w:rFonts w:ascii="Times New Roman" w:hAnsi="Times New Roman" w:cs="Times New Roman"/>
          <w:sz w:val="24"/>
          <w:szCs w:val="24"/>
        </w:rPr>
        <w:t xml:space="preserve">within next 7 days since surgery </w:t>
      </w:r>
      <w:r w:rsidRPr="00D05FFA">
        <w:rPr>
          <w:rFonts w:ascii="Times New Roman" w:hAnsi="Times New Roman" w:cs="Times New Roman"/>
          <w:sz w:val="24"/>
          <w:szCs w:val="24"/>
        </w:rPr>
        <w:t>as clinically defined in the paper. The timing of these failure</w:t>
      </w:r>
      <w:r w:rsidR="003D67D7">
        <w:rPr>
          <w:rFonts w:ascii="Times New Roman" w:hAnsi="Times New Roman" w:cs="Times New Roman"/>
          <w:sz w:val="24"/>
          <w:szCs w:val="24"/>
        </w:rPr>
        <w:t>s were</w:t>
      </w:r>
      <w:r w:rsidRPr="00D05FFA">
        <w:rPr>
          <w:rFonts w:ascii="Times New Roman" w:hAnsi="Times New Roman" w:cs="Times New Roman"/>
          <w:sz w:val="24"/>
          <w:szCs w:val="24"/>
        </w:rPr>
        <w:t xml:space="preserve"> collected as days (1, 2,..</w:t>
      </w:r>
      <w:proofErr w:type="gramStart"/>
      <w:r w:rsidRPr="00D05FFA">
        <w:rPr>
          <w:rFonts w:ascii="Times New Roman" w:hAnsi="Times New Roman" w:cs="Times New Roman"/>
          <w:sz w:val="24"/>
          <w:szCs w:val="24"/>
        </w:rPr>
        <w:t>,7</w:t>
      </w:r>
      <w:proofErr w:type="gramEnd"/>
      <w:r w:rsidRPr="00D05FFA">
        <w:rPr>
          <w:rFonts w:ascii="Times New Roman" w:hAnsi="Times New Roman" w:cs="Times New Roman"/>
          <w:sz w:val="24"/>
          <w:szCs w:val="24"/>
        </w:rPr>
        <w:t xml:space="preserve">). That had implications </w:t>
      </w:r>
      <w:r w:rsidRPr="00D05FFA">
        <w:rPr>
          <w:rFonts w:ascii="Times New Roman" w:hAnsi="Times New Roman" w:cs="Times New Roman"/>
          <w:sz w:val="24"/>
          <w:szCs w:val="24"/>
        </w:rPr>
        <w:lastRenderedPageBreak/>
        <w:t xml:space="preserve">on the choice of the survival setting – that of </w:t>
      </w:r>
      <w:r w:rsidR="00506E5D" w:rsidRPr="00D05FFA">
        <w:rPr>
          <w:rFonts w:ascii="Times New Roman" w:hAnsi="Times New Roman" w:cs="Times New Roman"/>
          <w:sz w:val="24"/>
          <w:szCs w:val="24"/>
        </w:rPr>
        <w:t xml:space="preserve">parametric </w:t>
      </w:r>
      <w:r w:rsidR="00176C80" w:rsidRPr="00D05FFA">
        <w:rPr>
          <w:rFonts w:ascii="Times New Roman" w:hAnsi="Times New Roman" w:cs="Times New Roman"/>
          <w:sz w:val="24"/>
          <w:szCs w:val="24"/>
        </w:rPr>
        <w:t xml:space="preserve">interval censored data </w:t>
      </w:r>
      <w:r w:rsidR="00506E5D" w:rsidRPr="00D05FFA">
        <w:rPr>
          <w:rFonts w:ascii="Times New Roman" w:hAnsi="Times New Roman" w:cs="Times New Roman"/>
          <w:sz w:val="24"/>
          <w:szCs w:val="24"/>
        </w:rPr>
        <w:t xml:space="preserve">(Weibull as it </w:t>
      </w:r>
      <w:r w:rsidR="00D05FFA">
        <w:rPr>
          <w:rFonts w:ascii="Times New Roman" w:hAnsi="Times New Roman" w:cs="Times New Roman"/>
          <w:sz w:val="24"/>
          <w:szCs w:val="24"/>
        </w:rPr>
        <w:t xml:space="preserve">also </w:t>
      </w:r>
      <w:r w:rsidR="00506E5D" w:rsidRPr="00D05FFA">
        <w:rPr>
          <w:rFonts w:ascii="Times New Roman" w:hAnsi="Times New Roman" w:cs="Times New Roman"/>
          <w:sz w:val="24"/>
          <w:szCs w:val="24"/>
        </w:rPr>
        <w:t>exhibit</w:t>
      </w:r>
      <w:r w:rsidR="00176C80" w:rsidRPr="00D05FFA">
        <w:rPr>
          <w:rFonts w:ascii="Times New Roman" w:hAnsi="Times New Roman" w:cs="Times New Roman"/>
          <w:sz w:val="24"/>
          <w:szCs w:val="24"/>
        </w:rPr>
        <w:t>s</w:t>
      </w:r>
      <w:r w:rsidR="00506E5D" w:rsidRPr="00D05FFA">
        <w:rPr>
          <w:rFonts w:ascii="Times New Roman" w:hAnsi="Times New Roman" w:cs="Times New Roman"/>
          <w:sz w:val="24"/>
          <w:szCs w:val="24"/>
        </w:rPr>
        <w:t xml:space="preserve"> proportional hazard nature</w:t>
      </w:r>
      <w:r w:rsidR="00D05FFA">
        <w:rPr>
          <w:rFonts w:ascii="Times New Roman" w:hAnsi="Times New Roman" w:cs="Times New Roman"/>
          <w:sz w:val="24"/>
          <w:szCs w:val="24"/>
        </w:rPr>
        <w:t xml:space="preserve"> as Cox analysis also requires</w:t>
      </w:r>
      <w:r w:rsidR="00506E5D" w:rsidRPr="00D05FFA">
        <w:rPr>
          <w:rFonts w:ascii="Times New Roman" w:hAnsi="Times New Roman" w:cs="Times New Roman"/>
          <w:sz w:val="24"/>
          <w:szCs w:val="24"/>
        </w:rPr>
        <w:t xml:space="preserve">). That was preferred to </w:t>
      </w:r>
      <w:r w:rsidRPr="00D05FFA">
        <w:rPr>
          <w:rFonts w:ascii="Times New Roman" w:hAnsi="Times New Roman" w:cs="Times New Roman"/>
          <w:sz w:val="24"/>
          <w:szCs w:val="24"/>
        </w:rPr>
        <w:t>discrete survival analysis</w:t>
      </w:r>
      <w:r w:rsidR="00506E5D" w:rsidRPr="00D05FFA">
        <w:rPr>
          <w:rFonts w:ascii="Times New Roman" w:hAnsi="Times New Roman" w:cs="Times New Roman"/>
          <w:sz w:val="24"/>
          <w:szCs w:val="24"/>
        </w:rPr>
        <w:t xml:space="preserve">. </w:t>
      </w:r>
      <w:r w:rsidRPr="00D05FFA">
        <w:rPr>
          <w:rFonts w:ascii="Times New Roman" w:hAnsi="Times New Roman" w:cs="Times New Roman"/>
          <w:sz w:val="24"/>
          <w:szCs w:val="24"/>
        </w:rPr>
        <w:t>Multiple failures per individual were also considered but there were no qualitative differences in the results</w:t>
      </w:r>
      <w:r w:rsidR="004F0FFB" w:rsidRPr="00D05FFA">
        <w:rPr>
          <w:rFonts w:ascii="Times New Roman" w:hAnsi="Times New Roman" w:cs="Times New Roman"/>
          <w:sz w:val="24"/>
          <w:szCs w:val="24"/>
        </w:rPr>
        <w:t xml:space="preserve"> and hence the first failure </w:t>
      </w:r>
      <w:r w:rsidR="00E64622" w:rsidRPr="00D05FFA">
        <w:rPr>
          <w:rFonts w:ascii="Times New Roman" w:hAnsi="Times New Roman" w:cs="Times New Roman"/>
          <w:sz w:val="24"/>
          <w:szCs w:val="24"/>
        </w:rPr>
        <w:t>outcome was chosen</w:t>
      </w:r>
      <w:r w:rsidR="004F0FFB" w:rsidRPr="00D05FFA">
        <w:rPr>
          <w:rFonts w:ascii="Times New Roman" w:hAnsi="Times New Roman" w:cs="Times New Roman"/>
          <w:sz w:val="24"/>
          <w:szCs w:val="24"/>
        </w:rPr>
        <w:t xml:space="preserve"> for </w:t>
      </w:r>
      <w:r w:rsidR="00A4137A" w:rsidRPr="00D05FFA">
        <w:rPr>
          <w:rFonts w:ascii="Times New Roman" w:hAnsi="Times New Roman" w:cs="Times New Roman"/>
          <w:sz w:val="24"/>
          <w:szCs w:val="24"/>
        </w:rPr>
        <w:t>the clarity of the presentation</w:t>
      </w:r>
      <w:r w:rsidR="007F7FC1">
        <w:rPr>
          <w:rFonts w:ascii="Times New Roman" w:hAnsi="Times New Roman" w:cs="Times New Roman"/>
          <w:sz w:val="24"/>
          <w:szCs w:val="24"/>
        </w:rPr>
        <w:t xml:space="preserve"> and for clinical rationale.</w:t>
      </w:r>
    </w:p>
    <w:p w:rsidR="0032223D" w:rsidRPr="00D05FFA" w:rsidRDefault="0032223D" w:rsidP="0032223D">
      <w:pPr>
        <w:spacing w:before="100" w:beforeAutospacing="1" w:after="100" w:afterAutospacing="1" w:line="360" w:lineRule="auto"/>
        <w:rPr>
          <w:rFonts w:ascii="Times New Roman" w:eastAsia="Times New Roman" w:hAnsi="Times New Roman" w:cs="Times New Roman"/>
          <w:color w:val="000000"/>
          <w:sz w:val="24"/>
          <w:szCs w:val="24"/>
          <w:lang w:eastAsia="en-GB"/>
        </w:rPr>
      </w:pPr>
      <w:r w:rsidRPr="00D05FFA">
        <w:rPr>
          <w:rFonts w:ascii="Times New Roman" w:hAnsi="Times New Roman" w:cs="Times New Roman"/>
          <w:sz w:val="24"/>
          <w:szCs w:val="24"/>
        </w:rPr>
        <w:t>Crude associations between statistical outcomes of interest and the available explanatory candidates</w:t>
      </w:r>
      <w:r w:rsidR="008C2CC5">
        <w:rPr>
          <w:rFonts w:ascii="Times New Roman" w:hAnsi="Times New Roman" w:cs="Times New Roman"/>
          <w:sz w:val="24"/>
          <w:szCs w:val="24"/>
        </w:rPr>
        <w:t xml:space="preserve"> have been performed using Weibull survival setting on all the </w:t>
      </w:r>
      <w:r w:rsidRPr="00D05FFA">
        <w:rPr>
          <w:rFonts w:ascii="Times New Roman" w:hAnsi="Times New Roman" w:cs="Times New Roman"/>
          <w:sz w:val="24"/>
          <w:szCs w:val="24"/>
        </w:rPr>
        <w:t>clinically or epidemiologically hypothesised as potentially associated with the outcome. P-values less than 0.05 were deemed as a statistically significant.</w:t>
      </w:r>
    </w:p>
    <w:p w:rsidR="004F0FFB" w:rsidRDefault="00E64622" w:rsidP="00D05FFA">
      <w:pPr>
        <w:tabs>
          <w:tab w:val="left" w:pos="426"/>
        </w:tabs>
        <w:spacing w:line="360" w:lineRule="auto"/>
        <w:jc w:val="both"/>
        <w:rPr>
          <w:rFonts w:ascii="Times New Roman" w:hAnsi="Times New Roman" w:cs="Times New Roman"/>
          <w:sz w:val="24"/>
          <w:szCs w:val="24"/>
        </w:rPr>
      </w:pPr>
      <w:proofErr w:type="spellStart"/>
      <w:r w:rsidRPr="00E7588A">
        <w:rPr>
          <w:rFonts w:ascii="Times New Roman" w:hAnsi="Times New Roman" w:cs="Times New Roman"/>
          <w:sz w:val="24"/>
          <w:szCs w:val="24"/>
          <w:shd w:val="clear" w:color="auto" w:fill="FFFFFF"/>
        </w:rPr>
        <w:t>Akaike</w:t>
      </w:r>
      <w:proofErr w:type="spellEnd"/>
      <w:r w:rsidRPr="00E7588A">
        <w:rPr>
          <w:rFonts w:ascii="Times New Roman" w:hAnsi="Times New Roman" w:cs="Times New Roman"/>
          <w:sz w:val="24"/>
          <w:szCs w:val="24"/>
          <w:shd w:val="clear" w:color="auto" w:fill="FFFFFF"/>
        </w:rPr>
        <w:t xml:space="preserve"> Information </w:t>
      </w:r>
      <w:r w:rsidRPr="00E7588A">
        <w:rPr>
          <w:rStyle w:val="Emphasis"/>
          <w:rFonts w:ascii="Times New Roman" w:hAnsi="Times New Roman" w:cs="Times New Roman"/>
          <w:bCs/>
          <w:i w:val="0"/>
          <w:iCs w:val="0"/>
          <w:sz w:val="24"/>
          <w:szCs w:val="24"/>
          <w:shd w:val="clear" w:color="auto" w:fill="FFFFFF"/>
        </w:rPr>
        <w:t xml:space="preserve">Criterion </w:t>
      </w:r>
      <w:r w:rsidR="00A4137A" w:rsidRPr="00E7588A">
        <w:rPr>
          <w:rStyle w:val="Emphasis"/>
          <w:rFonts w:ascii="Times New Roman" w:hAnsi="Times New Roman" w:cs="Times New Roman"/>
          <w:bCs/>
          <w:i w:val="0"/>
          <w:iCs w:val="0"/>
          <w:sz w:val="24"/>
          <w:szCs w:val="24"/>
          <w:shd w:val="clear" w:color="auto" w:fill="FFFFFF"/>
        </w:rPr>
        <w:t xml:space="preserve">(AIC) </w:t>
      </w:r>
      <w:r w:rsidRPr="00E7588A">
        <w:rPr>
          <w:rFonts w:ascii="Times New Roman" w:hAnsi="Times New Roman" w:cs="Times New Roman"/>
          <w:sz w:val="24"/>
          <w:szCs w:val="24"/>
        </w:rPr>
        <w:t>has been used for model choice (on similar number of complete observations).</w:t>
      </w:r>
      <w:r w:rsidR="003D67D7" w:rsidRPr="00E7588A">
        <w:rPr>
          <w:rFonts w:ascii="Times New Roman" w:hAnsi="Times New Roman" w:cs="Times New Roman"/>
          <w:sz w:val="24"/>
          <w:szCs w:val="24"/>
        </w:rPr>
        <w:t xml:space="preserve"> The interpretation was made for the model containing bundle components as predictors (AIC=</w:t>
      </w:r>
      <w:r w:rsidR="00E7588A" w:rsidRPr="00E7588A">
        <w:rPr>
          <w:rFonts w:ascii="Times New Roman" w:hAnsi="Times New Roman" w:cs="Times New Roman"/>
          <w:sz w:val="24"/>
          <w:szCs w:val="24"/>
        </w:rPr>
        <w:t>2198.269</w:t>
      </w:r>
      <w:r w:rsidR="003D67D7" w:rsidRPr="00E7588A">
        <w:rPr>
          <w:rFonts w:ascii="Times New Roman" w:hAnsi="Times New Roman" w:cs="Times New Roman"/>
          <w:sz w:val="24"/>
          <w:szCs w:val="24"/>
        </w:rPr>
        <w:t>) rather than the model containing the bundle as derived variable (AIC=</w:t>
      </w:r>
      <w:r w:rsidR="00E7588A" w:rsidRPr="00E7588A">
        <w:rPr>
          <w:rFonts w:ascii="Times New Roman" w:hAnsi="Times New Roman" w:cs="Times New Roman"/>
          <w:sz w:val="24"/>
          <w:szCs w:val="24"/>
        </w:rPr>
        <w:t>2202.216</w:t>
      </w:r>
      <w:r w:rsidR="003D67D7" w:rsidRPr="00E7588A">
        <w:rPr>
          <w:rFonts w:ascii="Times New Roman" w:hAnsi="Times New Roman" w:cs="Times New Roman"/>
          <w:sz w:val="24"/>
          <w:szCs w:val="24"/>
        </w:rPr>
        <w:t xml:space="preserve">). Table </w:t>
      </w:r>
      <w:r w:rsidR="00E7588A">
        <w:rPr>
          <w:rFonts w:ascii="Times New Roman" w:hAnsi="Times New Roman" w:cs="Times New Roman"/>
          <w:sz w:val="24"/>
          <w:szCs w:val="24"/>
        </w:rPr>
        <w:t>3</w:t>
      </w:r>
      <w:r w:rsidR="003D67D7" w:rsidRPr="00E7588A">
        <w:rPr>
          <w:rFonts w:ascii="Times New Roman" w:hAnsi="Times New Roman" w:cs="Times New Roman"/>
          <w:sz w:val="24"/>
          <w:szCs w:val="24"/>
        </w:rPr>
        <w:t xml:space="preserve"> </w:t>
      </w:r>
      <w:r w:rsidR="00E7588A">
        <w:rPr>
          <w:rFonts w:ascii="Times New Roman" w:hAnsi="Times New Roman" w:cs="Times New Roman"/>
          <w:sz w:val="24"/>
          <w:szCs w:val="24"/>
        </w:rPr>
        <w:t>presents both models</w:t>
      </w:r>
      <w:r w:rsidR="003D67D7" w:rsidRPr="00E7588A">
        <w:rPr>
          <w:rFonts w:ascii="Times New Roman" w:hAnsi="Times New Roman" w:cs="Times New Roman"/>
          <w:sz w:val="24"/>
          <w:szCs w:val="24"/>
        </w:rPr>
        <w:t>.</w:t>
      </w:r>
    </w:p>
    <w:p w:rsidR="007F7FC1" w:rsidRPr="00E7588A" w:rsidRDefault="007F7FC1" w:rsidP="00D05FFA">
      <w:p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Predictions are made to highlight the effect of the explanatory variables left in the model.</w:t>
      </w:r>
      <w:bookmarkStart w:id="0" w:name="_GoBack"/>
      <w:bookmarkEnd w:id="0"/>
    </w:p>
    <w:p w:rsidR="008F525A" w:rsidRPr="00D05FFA" w:rsidRDefault="00891EA8" w:rsidP="00D05FFA">
      <w:pPr>
        <w:tabs>
          <w:tab w:val="left" w:pos="426"/>
        </w:tabs>
        <w:spacing w:line="360" w:lineRule="auto"/>
        <w:jc w:val="both"/>
        <w:rPr>
          <w:rFonts w:ascii="Times New Roman" w:hAnsi="Times New Roman" w:cs="Times New Roman"/>
          <w:b/>
          <w:color w:val="002900"/>
          <w:sz w:val="24"/>
          <w:szCs w:val="24"/>
        </w:rPr>
      </w:pPr>
      <w:r w:rsidRPr="00D05FFA">
        <w:rPr>
          <w:rFonts w:ascii="Times New Roman" w:hAnsi="Times New Roman" w:cs="Times New Roman"/>
          <w:sz w:val="24"/>
          <w:szCs w:val="24"/>
        </w:rPr>
        <w:t>Data were entered in ACCESS 2013 (Microsoft ®) and analysed in STATA</w:t>
      </w:r>
      <w:r w:rsidRPr="00D05FFA">
        <w:rPr>
          <w:rFonts w:ascii="Times New Roman" w:hAnsi="Times New Roman" w:cs="Times New Roman"/>
          <w:i/>
          <w:iCs/>
          <w:sz w:val="24"/>
          <w:szCs w:val="24"/>
        </w:rPr>
        <w:t xml:space="preserve"> (Stata Statistical Software: Release 14</w:t>
      </w:r>
      <w:r w:rsidRPr="00D05FFA">
        <w:rPr>
          <w:rFonts w:ascii="Times New Roman" w:hAnsi="Times New Roman" w:cs="Times New Roman"/>
          <w:sz w:val="24"/>
          <w:szCs w:val="24"/>
        </w:rPr>
        <w:t xml:space="preserve">. College Station, TX: </w:t>
      </w:r>
      <w:proofErr w:type="spellStart"/>
      <w:r w:rsidRPr="00D05FFA">
        <w:rPr>
          <w:rFonts w:ascii="Times New Roman" w:hAnsi="Times New Roman" w:cs="Times New Roman"/>
          <w:sz w:val="24"/>
          <w:szCs w:val="24"/>
        </w:rPr>
        <w:t>StataCorp</w:t>
      </w:r>
      <w:proofErr w:type="spellEnd"/>
      <w:r w:rsidRPr="00D05FFA">
        <w:rPr>
          <w:rFonts w:ascii="Times New Roman" w:hAnsi="Times New Roman" w:cs="Times New Roman"/>
          <w:sz w:val="24"/>
          <w:szCs w:val="24"/>
        </w:rPr>
        <w:t xml:space="preserve"> LP</w:t>
      </w:r>
      <w:r w:rsidRPr="00D05FFA">
        <w:rPr>
          <w:rFonts w:ascii="Times New Roman" w:eastAsia="Times New Roman" w:hAnsi="Times New Roman" w:cs="Times New Roman"/>
          <w:sz w:val="24"/>
          <w:szCs w:val="24"/>
        </w:rPr>
        <w:t xml:space="preserve">). </w:t>
      </w:r>
      <w:r w:rsidRPr="00D05FFA">
        <w:rPr>
          <w:rFonts w:ascii="Times New Roman" w:hAnsi="Times New Roman" w:cs="Times New Roman"/>
          <w:b/>
          <w:color w:val="002900"/>
          <w:sz w:val="24"/>
          <w:szCs w:val="24"/>
        </w:rPr>
        <w:t xml:space="preserve"> </w:t>
      </w:r>
    </w:p>
    <w:p w:rsidR="00D23508" w:rsidRPr="00D05FFA" w:rsidRDefault="00D23508" w:rsidP="00D05FFA">
      <w:pPr>
        <w:autoSpaceDE w:val="0"/>
        <w:autoSpaceDN w:val="0"/>
        <w:adjustRightInd w:val="0"/>
        <w:spacing w:after="0" w:line="360" w:lineRule="auto"/>
        <w:rPr>
          <w:rFonts w:ascii="Times New Roman" w:hAnsi="Times New Roman" w:cs="Times New Roman"/>
          <w:sz w:val="24"/>
          <w:szCs w:val="24"/>
        </w:rPr>
      </w:pPr>
      <w:r w:rsidRPr="00D05FFA">
        <w:rPr>
          <w:rFonts w:ascii="Times New Roman" w:hAnsi="Times New Roman" w:cs="Times New Roman"/>
          <w:sz w:val="24"/>
          <w:szCs w:val="24"/>
        </w:rPr>
        <w:t xml:space="preserve">References:  </w:t>
      </w:r>
    </w:p>
    <w:p w:rsidR="00D23508" w:rsidRPr="00D05FFA" w:rsidRDefault="00D23508" w:rsidP="00D05FFA">
      <w:pPr>
        <w:autoSpaceDE w:val="0"/>
        <w:autoSpaceDN w:val="0"/>
        <w:adjustRightInd w:val="0"/>
        <w:spacing w:after="0" w:line="360" w:lineRule="auto"/>
        <w:rPr>
          <w:rFonts w:ascii="Times New Roman" w:hAnsi="Times New Roman" w:cs="Times New Roman"/>
          <w:sz w:val="24"/>
          <w:szCs w:val="24"/>
        </w:rPr>
      </w:pPr>
      <w:r w:rsidRPr="00D05FFA">
        <w:rPr>
          <w:rFonts w:ascii="Times New Roman" w:hAnsi="Times New Roman" w:cs="Times New Roman"/>
          <w:sz w:val="24"/>
          <w:szCs w:val="24"/>
        </w:rPr>
        <w:t xml:space="preserve">1. Relaxing the Rule of Ten Events per Variable in Logistic and Cox Regression” by Eric </w:t>
      </w:r>
      <w:proofErr w:type="spellStart"/>
      <w:r w:rsidRPr="00D05FFA">
        <w:rPr>
          <w:rFonts w:ascii="Times New Roman" w:hAnsi="Times New Roman" w:cs="Times New Roman"/>
          <w:sz w:val="24"/>
          <w:szCs w:val="24"/>
        </w:rPr>
        <w:t>Vittinghoff</w:t>
      </w:r>
      <w:proofErr w:type="spellEnd"/>
      <w:r w:rsidRPr="00D05FFA">
        <w:rPr>
          <w:rFonts w:ascii="Times New Roman" w:hAnsi="Times New Roman" w:cs="Times New Roman"/>
          <w:sz w:val="24"/>
          <w:szCs w:val="24"/>
        </w:rPr>
        <w:t xml:space="preserve"> and Charles E. McCulloch, American Journal of Epidemiology (2006) Vol. 165, No 6.</w:t>
      </w:r>
    </w:p>
    <w:p w:rsidR="00D23508" w:rsidRPr="00D05FFA" w:rsidRDefault="00D23508" w:rsidP="00D05FFA">
      <w:pPr>
        <w:autoSpaceDE w:val="0"/>
        <w:autoSpaceDN w:val="0"/>
        <w:adjustRightInd w:val="0"/>
        <w:spacing w:after="0" w:line="360" w:lineRule="auto"/>
        <w:rPr>
          <w:rFonts w:ascii="Times New Roman" w:hAnsi="Times New Roman" w:cs="Times New Roman"/>
          <w:sz w:val="24"/>
          <w:szCs w:val="24"/>
        </w:rPr>
      </w:pPr>
      <w:r w:rsidRPr="00D05FFA">
        <w:rPr>
          <w:rFonts w:ascii="Times New Roman" w:hAnsi="Times New Roman" w:cs="Times New Roman"/>
          <w:sz w:val="24"/>
          <w:szCs w:val="24"/>
        </w:rPr>
        <w:t xml:space="preserve">2. </w:t>
      </w:r>
      <w:proofErr w:type="spellStart"/>
      <w:r w:rsidRPr="00D05FFA">
        <w:rPr>
          <w:rFonts w:ascii="Times New Roman" w:hAnsi="Times New Roman" w:cs="Times New Roman"/>
          <w:sz w:val="24"/>
          <w:szCs w:val="24"/>
        </w:rPr>
        <w:t>Concato</w:t>
      </w:r>
      <w:proofErr w:type="spellEnd"/>
      <w:r w:rsidRPr="00D05FFA">
        <w:rPr>
          <w:rFonts w:ascii="Times New Roman" w:hAnsi="Times New Roman" w:cs="Times New Roman"/>
          <w:sz w:val="24"/>
          <w:szCs w:val="24"/>
        </w:rPr>
        <w:t xml:space="preserve"> J, </w:t>
      </w:r>
      <w:proofErr w:type="spellStart"/>
      <w:r w:rsidRPr="00D05FFA">
        <w:rPr>
          <w:rFonts w:ascii="Times New Roman" w:hAnsi="Times New Roman" w:cs="Times New Roman"/>
          <w:sz w:val="24"/>
          <w:szCs w:val="24"/>
        </w:rPr>
        <w:t>Peduzzi</w:t>
      </w:r>
      <w:proofErr w:type="spellEnd"/>
      <w:r w:rsidRPr="00D05FFA">
        <w:rPr>
          <w:rFonts w:ascii="Times New Roman" w:hAnsi="Times New Roman" w:cs="Times New Roman"/>
          <w:sz w:val="24"/>
          <w:szCs w:val="24"/>
        </w:rPr>
        <w:t xml:space="preserve"> P, </w:t>
      </w:r>
      <w:proofErr w:type="spellStart"/>
      <w:r w:rsidRPr="00D05FFA">
        <w:rPr>
          <w:rFonts w:ascii="Times New Roman" w:hAnsi="Times New Roman" w:cs="Times New Roman"/>
          <w:sz w:val="24"/>
          <w:szCs w:val="24"/>
        </w:rPr>
        <w:t>Holfold</w:t>
      </w:r>
      <w:proofErr w:type="spellEnd"/>
      <w:r w:rsidRPr="00D05FFA">
        <w:rPr>
          <w:rFonts w:ascii="Times New Roman" w:hAnsi="Times New Roman" w:cs="Times New Roman"/>
          <w:sz w:val="24"/>
          <w:szCs w:val="24"/>
        </w:rPr>
        <w:t xml:space="preserve"> TR, et al. Importance of events per independent variable in proportional hazards analysis. I. Background, goals, and general strategy. J </w:t>
      </w:r>
      <w:proofErr w:type="spellStart"/>
      <w:r w:rsidRPr="00D05FFA">
        <w:rPr>
          <w:rFonts w:ascii="Times New Roman" w:hAnsi="Times New Roman" w:cs="Times New Roman"/>
          <w:sz w:val="24"/>
          <w:szCs w:val="24"/>
        </w:rPr>
        <w:t>Clin</w:t>
      </w:r>
      <w:proofErr w:type="spellEnd"/>
      <w:r w:rsidRPr="00D05FFA">
        <w:rPr>
          <w:rFonts w:ascii="Times New Roman" w:hAnsi="Times New Roman" w:cs="Times New Roman"/>
          <w:sz w:val="24"/>
          <w:szCs w:val="24"/>
        </w:rPr>
        <w:t xml:space="preserve"> </w:t>
      </w:r>
      <w:proofErr w:type="spellStart"/>
      <w:r w:rsidRPr="00D05FFA">
        <w:rPr>
          <w:rFonts w:ascii="Times New Roman" w:hAnsi="Times New Roman" w:cs="Times New Roman"/>
          <w:sz w:val="24"/>
          <w:szCs w:val="24"/>
        </w:rPr>
        <w:t>Epidemiol</w:t>
      </w:r>
      <w:proofErr w:type="spellEnd"/>
      <w:r w:rsidRPr="00D05FFA">
        <w:rPr>
          <w:rFonts w:ascii="Times New Roman" w:hAnsi="Times New Roman" w:cs="Times New Roman"/>
          <w:sz w:val="24"/>
          <w:szCs w:val="24"/>
        </w:rPr>
        <w:t xml:space="preserve"> 1995</w:t>
      </w:r>
      <w:proofErr w:type="gramStart"/>
      <w:r w:rsidRPr="00D05FFA">
        <w:rPr>
          <w:rFonts w:ascii="Times New Roman" w:hAnsi="Times New Roman" w:cs="Times New Roman"/>
          <w:sz w:val="24"/>
          <w:szCs w:val="24"/>
        </w:rPr>
        <w:t>;48:1495</w:t>
      </w:r>
      <w:proofErr w:type="gramEnd"/>
      <w:r w:rsidRPr="00D05FFA">
        <w:rPr>
          <w:rFonts w:ascii="Times New Roman" w:hAnsi="Times New Roman" w:cs="Times New Roman"/>
          <w:sz w:val="24"/>
          <w:szCs w:val="24"/>
        </w:rPr>
        <w:t>–501.</w:t>
      </w:r>
    </w:p>
    <w:p w:rsidR="00D23508" w:rsidRPr="00D05FFA" w:rsidRDefault="00D23508" w:rsidP="00D05FFA">
      <w:pPr>
        <w:autoSpaceDE w:val="0"/>
        <w:autoSpaceDN w:val="0"/>
        <w:adjustRightInd w:val="0"/>
        <w:spacing w:after="0" w:line="360" w:lineRule="auto"/>
        <w:rPr>
          <w:rFonts w:ascii="Times New Roman" w:hAnsi="Times New Roman" w:cs="Times New Roman"/>
          <w:sz w:val="24"/>
          <w:szCs w:val="24"/>
        </w:rPr>
      </w:pPr>
      <w:r w:rsidRPr="00D05FFA">
        <w:rPr>
          <w:rFonts w:ascii="Times New Roman" w:hAnsi="Times New Roman" w:cs="Times New Roman"/>
          <w:sz w:val="24"/>
          <w:szCs w:val="24"/>
        </w:rPr>
        <w:t xml:space="preserve">3. </w:t>
      </w:r>
      <w:proofErr w:type="spellStart"/>
      <w:r w:rsidRPr="00D05FFA">
        <w:rPr>
          <w:rFonts w:ascii="Times New Roman" w:hAnsi="Times New Roman" w:cs="Times New Roman"/>
          <w:sz w:val="24"/>
          <w:szCs w:val="24"/>
        </w:rPr>
        <w:t>Peduzzi</w:t>
      </w:r>
      <w:proofErr w:type="spellEnd"/>
      <w:r w:rsidRPr="00D05FFA">
        <w:rPr>
          <w:rFonts w:ascii="Times New Roman" w:hAnsi="Times New Roman" w:cs="Times New Roman"/>
          <w:sz w:val="24"/>
          <w:szCs w:val="24"/>
        </w:rPr>
        <w:t xml:space="preserve"> P, </w:t>
      </w:r>
      <w:proofErr w:type="spellStart"/>
      <w:r w:rsidRPr="00D05FFA">
        <w:rPr>
          <w:rFonts w:ascii="Times New Roman" w:hAnsi="Times New Roman" w:cs="Times New Roman"/>
          <w:sz w:val="24"/>
          <w:szCs w:val="24"/>
        </w:rPr>
        <w:t>Concato</w:t>
      </w:r>
      <w:proofErr w:type="spellEnd"/>
      <w:r w:rsidRPr="00D05FFA">
        <w:rPr>
          <w:rFonts w:ascii="Times New Roman" w:hAnsi="Times New Roman" w:cs="Times New Roman"/>
          <w:sz w:val="24"/>
          <w:szCs w:val="24"/>
        </w:rPr>
        <w:t xml:space="preserve"> J, Feinstein AR, et al. Importance of events per independent variable in proportional hazards regression analysis. II. Accuracy and precision of regression estimates. J </w:t>
      </w:r>
      <w:proofErr w:type="spellStart"/>
      <w:r w:rsidRPr="00D05FFA">
        <w:rPr>
          <w:rFonts w:ascii="Times New Roman" w:hAnsi="Times New Roman" w:cs="Times New Roman"/>
          <w:sz w:val="24"/>
          <w:szCs w:val="24"/>
        </w:rPr>
        <w:t>Clin</w:t>
      </w:r>
      <w:proofErr w:type="spellEnd"/>
      <w:r w:rsidRPr="00D05FFA">
        <w:rPr>
          <w:rFonts w:ascii="Times New Roman" w:hAnsi="Times New Roman" w:cs="Times New Roman"/>
          <w:sz w:val="24"/>
          <w:szCs w:val="24"/>
        </w:rPr>
        <w:t xml:space="preserve"> </w:t>
      </w:r>
      <w:proofErr w:type="spellStart"/>
      <w:r w:rsidRPr="00D05FFA">
        <w:rPr>
          <w:rFonts w:ascii="Times New Roman" w:hAnsi="Times New Roman" w:cs="Times New Roman"/>
          <w:sz w:val="24"/>
          <w:szCs w:val="24"/>
        </w:rPr>
        <w:t>Epidemiol</w:t>
      </w:r>
      <w:proofErr w:type="spellEnd"/>
      <w:r w:rsidRPr="00D05FFA">
        <w:rPr>
          <w:rFonts w:ascii="Times New Roman" w:hAnsi="Times New Roman" w:cs="Times New Roman"/>
          <w:sz w:val="24"/>
          <w:szCs w:val="24"/>
        </w:rPr>
        <w:t xml:space="preserve"> 1995</w:t>
      </w:r>
      <w:proofErr w:type="gramStart"/>
      <w:r w:rsidRPr="00D05FFA">
        <w:rPr>
          <w:rFonts w:ascii="Times New Roman" w:hAnsi="Times New Roman" w:cs="Times New Roman"/>
          <w:sz w:val="24"/>
          <w:szCs w:val="24"/>
        </w:rPr>
        <w:t>;48:1503</w:t>
      </w:r>
      <w:proofErr w:type="gramEnd"/>
      <w:r w:rsidRPr="00D05FFA">
        <w:rPr>
          <w:rFonts w:ascii="Times New Roman" w:hAnsi="Times New Roman" w:cs="Times New Roman"/>
          <w:sz w:val="24"/>
          <w:szCs w:val="24"/>
        </w:rPr>
        <w:t>–10.</w:t>
      </w:r>
    </w:p>
    <w:p w:rsidR="00D23508" w:rsidRPr="00D05FFA" w:rsidRDefault="00D23508" w:rsidP="00D05FFA">
      <w:pPr>
        <w:autoSpaceDE w:val="0"/>
        <w:autoSpaceDN w:val="0"/>
        <w:adjustRightInd w:val="0"/>
        <w:spacing w:after="0" w:line="360" w:lineRule="auto"/>
        <w:rPr>
          <w:rFonts w:ascii="Times New Roman" w:hAnsi="Times New Roman" w:cs="Times New Roman"/>
          <w:sz w:val="24"/>
          <w:szCs w:val="24"/>
        </w:rPr>
      </w:pPr>
      <w:r w:rsidRPr="00D05FFA">
        <w:rPr>
          <w:rFonts w:ascii="Times New Roman" w:hAnsi="Times New Roman" w:cs="Times New Roman"/>
          <w:sz w:val="24"/>
          <w:szCs w:val="24"/>
        </w:rPr>
        <w:t xml:space="preserve">4. </w:t>
      </w:r>
      <w:proofErr w:type="spellStart"/>
      <w:r w:rsidRPr="00D05FFA">
        <w:rPr>
          <w:rFonts w:ascii="Times New Roman" w:hAnsi="Times New Roman" w:cs="Times New Roman"/>
          <w:sz w:val="24"/>
          <w:szCs w:val="24"/>
        </w:rPr>
        <w:t>Peduzzi</w:t>
      </w:r>
      <w:proofErr w:type="spellEnd"/>
      <w:r w:rsidRPr="00D05FFA">
        <w:rPr>
          <w:rFonts w:ascii="Times New Roman" w:hAnsi="Times New Roman" w:cs="Times New Roman"/>
          <w:sz w:val="24"/>
          <w:szCs w:val="24"/>
        </w:rPr>
        <w:t xml:space="preserve"> P, </w:t>
      </w:r>
      <w:proofErr w:type="spellStart"/>
      <w:r w:rsidRPr="00D05FFA">
        <w:rPr>
          <w:rFonts w:ascii="Times New Roman" w:hAnsi="Times New Roman" w:cs="Times New Roman"/>
          <w:sz w:val="24"/>
          <w:szCs w:val="24"/>
        </w:rPr>
        <w:t>Concato</w:t>
      </w:r>
      <w:proofErr w:type="spellEnd"/>
      <w:r w:rsidRPr="00D05FFA">
        <w:rPr>
          <w:rFonts w:ascii="Times New Roman" w:hAnsi="Times New Roman" w:cs="Times New Roman"/>
          <w:sz w:val="24"/>
          <w:szCs w:val="24"/>
        </w:rPr>
        <w:t xml:space="preserve"> J, Kemper E, et al. A simulation study of the number of events per variable in logistic regression analysis. J </w:t>
      </w:r>
      <w:proofErr w:type="spellStart"/>
      <w:r w:rsidRPr="00D05FFA">
        <w:rPr>
          <w:rFonts w:ascii="Times New Roman" w:hAnsi="Times New Roman" w:cs="Times New Roman"/>
          <w:sz w:val="24"/>
          <w:szCs w:val="24"/>
        </w:rPr>
        <w:t>Clin</w:t>
      </w:r>
      <w:proofErr w:type="spellEnd"/>
      <w:r w:rsidRPr="00D05FFA">
        <w:rPr>
          <w:rFonts w:ascii="Times New Roman" w:hAnsi="Times New Roman" w:cs="Times New Roman"/>
          <w:sz w:val="24"/>
          <w:szCs w:val="24"/>
        </w:rPr>
        <w:t xml:space="preserve"> </w:t>
      </w:r>
      <w:proofErr w:type="spellStart"/>
      <w:r w:rsidRPr="00D05FFA">
        <w:rPr>
          <w:rFonts w:ascii="Times New Roman" w:hAnsi="Times New Roman" w:cs="Times New Roman"/>
          <w:sz w:val="24"/>
          <w:szCs w:val="24"/>
        </w:rPr>
        <w:t>Epidemiol</w:t>
      </w:r>
      <w:proofErr w:type="spellEnd"/>
      <w:r w:rsidRPr="00D05FFA">
        <w:rPr>
          <w:rFonts w:ascii="Times New Roman" w:hAnsi="Times New Roman" w:cs="Times New Roman"/>
          <w:sz w:val="24"/>
          <w:szCs w:val="24"/>
        </w:rPr>
        <w:t xml:space="preserve"> 1996</w:t>
      </w:r>
      <w:proofErr w:type="gramStart"/>
      <w:r w:rsidRPr="00D05FFA">
        <w:rPr>
          <w:rFonts w:ascii="Times New Roman" w:hAnsi="Times New Roman" w:cs="Times New Roman"/>
          <w:sz w:val="24"/>
          <w:szCs w:val="24"/>
        </w:rPr>
        <w:t>;49:1373</w:t>
      </w:r>
      <w:proofErr w:type="gramEnd"/>
      <w:r w:rsidRPr="00D05FFA">
        <w:rPr>
          <w:rFonts w:ascii="Times New Roman" w:hAnsi="Times New Roman" w:cs="Times New Roman"/>
          <w:sz w:val="24"/>
          <w:szCs w:val="24"/>
        </w:rPr>
        <w:t>–9.</w:t>
      </w:r>
    </w:p>
    <w:p w:rsidR="00370907" w:rsidRDefault="00370907" w:rsidP="00D05FFA">
      <w:pPr>
        <w:spacing w:line="360" w:lineRule="auto"/>
        <w:rPr>
          <w:rFonts w:ascii="Times New Roman" w:hAnsi="Times New Roman" w:cs="Times New Roman"/>
          <w:sz w:val="24"/>
          <w:szCs w:val="24"/>
        </w:rPr>
      </w:pPr>
    </w:p>
    <w:p w:rsidR="00812B1D" w:rsidRDefault="00812B1D" w:rsidP="0032223D">
      <w:pPr>
        <w:adjustRightInd w:val="0"/>
        <w:spacing w:after="0" w:line="360" w:lineRule="auto"/>
        <w:rPr>
          <w:rFonts w:ascii="Times New Roman" w:eastAsia="Times New Roman" w:hAnsi="Times New Roman" w:cs="Times New Roman"/>
          <w:b/>
          <w:i/>
          <w:color w:val="000000"/>
          <w:sz w:val="24"/>
          <w:szCs w:val="24"/>
          <w:u w:val="single"/>
          <w:lang w:eastAsia="en-GB"/>
        </w:rPr>
      </w:pPr>
    </w:p>
    <w:p w:rsidR="00812B1D" w:rsidRDefault="00812B1D" w:rsidP="0032223D">
      <w:pPr>
        <w:adjustRightInd w:val="0"/>
        <w:spacing w:after="0" w:line="360" w:lineRule="auto"/>
        <w:rPr>
          <w:rFonts w:ascii="Times New Roman" w:eastAsia="Times New Roman" w:hAnsi="Times New Roman" w:cs="Times New Roman"/>
          <w:b/>
          <w:i/>
          <w:color w:val="000000"/>
          <w:sz w:val="24"/>
          <w:szCs w:val="24"/>
          <w:u w:val="single"/>
          <w:lang w:eastAsia="en-GB"/>
        </w:rPr>
      </w:pPr>
    </w:p>
    <w:p w:rsidR="00812B1D" w:rsidRDefault="00812B1D" w:rsidP="0032223D">
      <w:pPr>
        <w:adjustRightInd w:val="0"/>
        <w:spacing w:after="0" w:line="360" w:lineRule="auto"/>
        <w:rPr>
          <w:rFonts w:ascii="Times New Roman" w:eastAsia="Times New Roman" w:hAnsi="Times New Roman" w:cs="Times New Roman"/>
          <w:b/>
          <w:i/>
          <w:color w:val="000000"/>
          <w:sz w:val="24"/>
          <w:szCs w:val="24"/>
          <w:u w:val="single"/>
          <w:lang w:eastAsia="en-GB"/>
        </w:rPr>
      </w:pPr>
    </w:p>
    <w:p w:rsidR="00812B1D" w:rsidRDefault="00812B1D" w:rsidP="0032223D">
      <w:pPr>
        <w:adjustRightInd w:val="0"/>
        <w:spacing w:after="0" w:line="360" w:lineRule="auto"/>
        <w:rPr>
          <w:rFonts w:ascii="Times New Roman" w:eastAsia="Times New Roman" w:hAnsi="Times New Roman" w:cs="Times New Roman"/>
          <w:b/>
          <w:i/>
          <w:color w:val="000000"/>
          <w:sz w:val="24"/>
          <w:szCs w:val="24"/>
          <w:u w:val="single"/>
          <w:lang w:eastAsia="en-GB"/>
        </w:rPr>
      </w:pPr>
    </w:p>
    <w:p w:rsidR="00812B1D" w:rsidRDefault="00812B1D" w:rsidP="0032223D">
      <w:pPr>
        <w:adjustRightInd w:val="0"/>
        <w:spacing w:after="0" w:line="360" w:lineRule="auto"/>
        <w:rPr>
          <w:rFonts w:ascii="Times New Roman" w:eastAsia="Times New Roman" w:hAnsi="Times New Roman" w:cs="Times New Roman"/>
          <w:b/>
          <w:i/>
          <w:color w:val="000000"/>
          <w:sz w:val="24"/>
          <w:szCs w:val="24"/>
          <w:u w:val="single"/>
          <w:lang w:eastAsia="en-GB"/>
        </w:rPr>
      </w:pPr>
    </w:p>
    <w:p w:rsidR="00812B1D" w:rsidRDefault="00812B1D" w:rsidP="0032223D">
      <w:pPr>
        <w:adjustRightInd w:val="0"/>
        <w:spacing w:after="0" w:line="360" w:lineRule="auto"/>
        <w:rPr>
          <w:rFonts w:ascii="Times New Roman" w:eastAsia="Times New Roman" w:hAnsi="Times New Roman" w:cs="Times New Roman"/>
          <w:b/>
          <w:i/>
          <w:color w:val="000000"/>
          <w:sz w:val="24"/>
          <w:szCs w:val="24"/>
          <w:u w:val="single"/>
          <w:lang w:eastAsia="en-GB"/>
        </w:rPr>
      </w:pPr>
    </w:p>
    <w:p w:rsidR="0036779B" w:rsidRDefault="0032223D" w:rsidP="00014BF3">
      <w:pPr>
        <w:adjustRightInd w:val="0"/>
        <w:spacing w:after="0" w:line="360" w:lineRule="auto"/>
        <w:rPr>
          <w:rFonts w:ascii="Times New Roman" w:eastAsia="Times New Roman" w:hAnsi="Times New Roman" w:cs="Times New Roman"/>
          <w:b/>
          <w:i/>
          <w:color w:val="000000"/>
          <w:sz w:val="24"/>
          <w:szCs w:val="24"/>
          <w:u w:val="single"/>
          <w:lang w:eastAsia="en-GB"/>
        </w:rPr>
      </w:pPr>
      <w:r w:rsidRPr="00D05FFA">
        <w:rPr>
          <w:rFonts w:ascii="Times New Roman" w:eastAsia="Times New Roman" w:hAnsi="Times New Roman" w:cs="Times New Roman"/>
          <w:b/>
          <w:i/>
          <w:color w:val="000000"/>
          <w:sz w:val="24"/>
          <w:szCs w:val="24"/>
          <w:u w:val="single"/>
          <w:lang w:eastAsia="en-GB"/>
        </w:rPr>
        <w:t>M</w:t>
      </w:r>
      <w:r>
        <w:rPr>
          <w:rFonts w:ascii="Times New Roman" w:eastAsia="Times New Roman" w:hAnsi="Times New Roman" w:cs="Times New Roman"/>
          <w:b/>
          <w:i/>
          <w:color w:val="000000"/>
          <w:sz w:val="24"/>
          <w:szCs w:val="24"/>
          <w:u w:val="single"/>
          <w:lang w:eastAsia="en-GB"/>
        </w:rPr>
        <w:t>issing data analyses</w:t>
      </w:r>
    </w:p>
    <w:p w:rsidR="00014BF3" w:rsidRDefault="00014BF3" w:rsidP="00014BF3">
      <w:pPr>
        <w:adjustRightInd w:val="0"/>
        <w:spacing w:after="0" w:line="360" w:lineRule="auto"/>
        <w:rPr>
          <w:rFonts w:ascii="Times New Roman" w:eastAsia="Times New Roman" w:hAnsi="Times New Roman" w:cs="Times New Roman"/>
          <w:color w:val="000000"/>
          <w:sz w:val="24"/>
          <w:szCs w:val="24"/>
          <w:lang w:eastAsia="en-GB"/>
        </w:rPr>
      </w:pPr>
    </w:p>
    <w:p w:rsidR="00867E30" w:rsidRDefault="00867E30" w:rsidP="00014BF3">
      <w:pPr>
        <w:adjustRightInd w:val="0"/>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There are only 2.3% missing observations for the outcome (PPC) and there is no suggesting that any of the available variables is associated to the missing outcome (results of univariate logistic regressions with the outcome defined as 1-missing and 0-not missing not shown).</w:t>
      </w:r>
    </w:p>
    <w:p w:rsidR="00014BF3" w:rsidRDefault="00867E30" w:rsidP="00014BF3">
      <w:pPr>
        <w:adjustRightInd w:val="0"/>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As for the bundle which exhibits 63 (11.1%) missing observations, two extreme scenarios have been considered</w:t>
      </w:r>
      <w:r w:rsidR="004D7522">
        <w:rPr>
          <w:rFonts w:ascii="Times New Roman" w:eastAsia="Times New Roman" w:hAnsi="Times New Roman" w:cs="Times New Roman"/>
          <w:color w:val="000000"/>
          <w:sz w:val="24"/>
          <w:szCs w:val="24"/>
          <w:lang w:eastAsia="en-GB"/>
        </w:rPr>
        <w:t xml:space="preserve"> in which all the missing observations were assumed to have had the bundle wither applied or not. The results</w:t>
      </w:r>
      <w:r w:rsidR="00C8376D">
        <w:rPr>
          <w:rFonts w:ascii="Times New Roman" w:eastAsia="Times New Roman" w:hAnsi="Times New Roman" w:cs="Times New Roman"/>
          <w:color w:val="000000"/>
          <w:sz w:val="24"/>
          <w:szCs w:val="24"/>
          <w:lang w:eastAsia="en-GB"/>
        </w:rPr>
        <w:t xml:space="preserve"> (Table 1 below)</w:t>
      </w:r>
      <w:r w:rsidR="004D7522">
        <w:rPr>
          <w:rFonts w:ascii="Times New Roman" w:eastAsia="Times New Roman" w:hAnsi="Times New Roman" w:cs="Times New Roman"/>
          <w:color w:val="000000"/>
          <w:sz w:val="24"/>
          <w:szCs w:val="24"/>
          <w:lang w:eastAsia="en-GB"/>
        </w:rPr>
        <w:t>, now based on 529</w:t>
      </w:r>
      <w:r w:rsidR="00AC4DBF">
        <w:rPr>
          <w:rFonts w:ascii="Times New Roman" w:eastAsia="Times New Roman" w:hAnsi="Times New Roman" w:cs="Times New Roman"/>
          <w:color w:val="000000"/>
          <w:sz w:val="24"/>
          <w:szCs w:val="24"/>
          <w:lang w:eastAsia="en-GB"/>
        </w:rPr>
        <w:t xml:space="preserve"> (93%) </w:t>
      </w:r>
      <w:r w:rsidR="004D7522">
        <w:rPr>
          <w:rFonts w:ascii="Times New Roman" w:eastAsia="Times New Roman" w:hAnsi="Times New Roman" w:cs="Times New Roman"/>
          <w:color w:val="000000"/>
          <w:sz w:val="24"/>
          <w:szCs w:val="24"/>
          <w:lang w:eastAsia="en-GB"/>
        </w:rPr>
        <w:t>observations</w:t>
      </w:r>
      <w:r w:rsidR="00AC4DBF">
        <w:rPr>
          <w:rFonts w:ascii="Times New Roman" w:eastAsia="Times New Roman" w:hAnsi="Times New Roman" w:cs="Times New Roman"/>
          <w:color w:val="000000"/>
          <w:sz w:val="24"/>
          <w:szCs w:val="24"/>
          <w:lang w:eastAsia="en-GB"/>
        </w:rPr>
        <w:t>, are consistent with those based on complete data analyses.</w:t>
      </w:r>
    </w:p>
    <w:p w:rsidR="00AC4DBF" w:rsidRPr="00AC4DBF" w:rsidRDefault="00AC4DBF" w:rsidP="00014BF3">
      <w:pPr>
        <w:adjustRightInd w:val="0"/>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Imputation methodologies for interval-censored data can be </w:t>
      </w:r>
      <w:r w:rsidRPr="00AC4DBF">
        <w:rPr>
          <w:rFonts w:ascii="Times New Roman" w:eastAsia="Times New Roman" w:hAnsi="Times New Roman" w:cs="Times New Roman"/>
          <w:color w:val="000000"/>
          <w:sz w:val="24"/>
          <w:szCs w:val="24"/>
          <w:lang w:eastAsia="en-GB"/>
        </w:rPr>
        <w:t>intricate (</w:t>
      </w:r>
      <w:r w:rsidRPr="00AC4DBF">
        <w:rPr>
          <w:rFonts w:ascii="Times New Roman" w:hAnsi="Times New Roman" w:cs="Times New Roman"/>
          <w:sz w:val="24"/>
          <w:szCs w:val="24"/>
        </w:rPr>
        <w:t xml:space="preserve">Patrick Royston, </w:t>
      </w:r>
      <w:r w:rsidRPr="00AC4DBF">
        <w:rPr>
          <w:rFonts w:ascii="Times New Roman" w:hAnsi="Times New Roman" w:cs="Times New Roman"/>
          <w:i/>
          <w:sz w:val="24"/>
          <w:szCs w:val="24"/>
        </w:rPr>
        <w:t>Multiple imputation of missing values: further update of ice, with an emphasis on interval censoring</w:t>
      </w:r>
      <w:r w:rsidRPr="00AC4DBF">
        <w:rPr>
          <w:rFonts w:ascii="Times New Roman" w:hAnsi="Times New Roman" w:cs="Times New Roman"/>
          <w:sz w:val="24"/>
          <w:szCs w:val="24"/>
        </w:rPr>
        <w:t>, The Stata Journal (2007) 7, Number 4, pp. 445–464</w:t>
      </w:r>
      <w:r>
        <w:rPr>
          <w:rFonts w:ascii="Times New Roman" w:hAnsi="Times New Roman" w:cs="Times New Roman"/>
          <w:sz w:val="24"/>
          <w:szCs w:val="24"/>
        </w:rPr>
        <w:t>). However</w:t>
      </w:r>
      <w:r w:rsidR="00A61425">
        <w:rPr>
          <w:rFonts w:ascii="Times New Roman" w:eastAsia="Times New Roman" w:hAnsi="Times New Roman" w:cs="Times New Roman"/>
          <w:color w:val="000000"/>
          <w:sz w:val="24"/>
          <w:szCs w:val="24"/>
          <w:lang w:eastAsia="en-GB"/>
        </w:rPr>
        <w:t>, further analyses, assuming that the 2.3% of the missing outcome belonged to the patients who either have experienced PPC or not</w:t>
      </w:r>
      <w:r w:rsidR="00C8376D">
        <w:rPr>
          <w:rFonts w:ascii="Times New Roman" w:eastAsia="Times New Roman" w:hAnsi="Times New Roman" w:cs="Times New Roman"/>
          <w:color w:val="000000"/>
          <w:sz w:val="24"/>
          <w:szCs w:val="24"/>
          <w:lang w:eastAsia="en-GB"/>
        </w:rPr>
        <w:t xml:space="preserve"> and repeating the scenarios above did not reveal a different qualitative statistical picture.</w:t>
      </w:r>
    </w:p>
    <w:p w:rsidR="00AC4DBF" w:rsidRPr="00014BF3" w:rsidRDefault="00AC4DBF" w:rsidP="00014BF3">
      <w:pPr>
        <w:adjustRightInd w:val="0"/>
        <w:spacing w:after="0" w:line="360" w:lineRule="auto"/>
        <w:rPr>
          <w:rFonts w:ascii="Times New Roman" w:eastAsia="Times New Roman" w:hAnsi="Times New Roman" w:cs="Times New Roman"/>
          <w:b/>
          <w:i/>
          <w:color w:val="000000"/>
          <w:sz w:val="24"/>
          <w:szCs w:val="24"/>
          <w:u w:val="single"/>
          <w:lang w:eastAsia="en-GB"/>
        </w:rPr>
      </w:pPr>
    </w:p>
    <w:tbl>
      <w:tblPr>
        <w:tblStyle w:val="TableGrid"/>
        <w:tblW w:w="10348" w:type="dxa"/>
        <w:jc w:val="center"/>
        <w:tblLook w:val="04A0" w:firstRow="1" w:lastRow="0" w:firstColumn="1" w:lastColumn="0" w:noHBand="0" w:noVBand="1"/>
      </w:tblPr>
      <w:tblGrid>
        <w:gridCol w:w="3231"/>
        <w:gridCol w:w="1064"/>
        <w:gridCol w:w="1059"/>
        <w:gridCol w:w="718"/>
        <w:gridCol w:w="1053"/>
        <w:gridCol w:w="1128"/>
        <w:gridCol w:w="1260"/>
        <w:gridCol w:w="835"/>
      </w:tblGrid>
      <w:tr w:rsidR="0036779B" w:rsidRPr="00BF29DD" w:rsidTr="004F614C">
        <w:trPr>
          <w:jc w:val="center"/>
        </w:trPr>
        <w:tc>
          <w:tcPr>
            <w:tcW w:w="10348" w:type="dxa"/>
            <w:gridSpan w:val="8"/>
            <w:shd w:val="clear" w:color="auto" w:fill="FFFF00"/>
          </w:tcPr>
          <w:p w:rsidR="0036779B" w:rsidRPr="00BF29DD" w:rsidRDefault="0036779B" w:rsidP="00812B1D">
            <w:pPr>
              <w:jc w:val="center"/>
              <w:rPr>
                <w:b/>
                <w:sz w:val="18"/>
                <w:szCs w:val="18"/>
              </w:rPr>
            </w:pPr>
            <w:r w:rsidRPr="00BF29DD">
              <w:rPr>
                <w:b/>
                <w:sz w:val="18"/>
                <w:szCs w:val="18"/>
              </w:rPr>
              <w:t>All failures (275)</w:t>
            </w:r>
            <w:r w:rsidR="00812B1D">
              <w:rPr>
                <w:b/>
                <w:sz w:val="18"/>
                <w:szCs w:val="18"/>
              </w:rPr>
              <w:t xml:space="preserve"> model assuming the bundle is NOT applied when the observations are missing</w:t>
            </w:r>
          </w:p>
        </w:tc>
      </w:tr>
      <w:tr w:rsidR="004D7522" w:rsidRPr="00BF29DD" w:rsidTr="004F614C">
        <w:trPr>
          <w:jc w:val="center"/>
        </w:trPr>
        <w:tc>
          <w:tcPr>
            <w:tcW w:w="3231" w:type="dxa"/>
            <w:shd w:val="clear" w:color="auto" w:fill="F2DBDB" w:themeFill="accent2" w:themeFillTint="33"/>
          </w:tcPr>
          <w:p w:rsidR="004D7522" w:rsidRPr="00AD387E" w:rsidRDefault="004D7522" w:rsidP="004D7522">
            <w:pPr>
              <w:jc w:val="center"/>
              <w:rPr>
                <w:rFonts w:cs="Arial"/>
                <w:b/>
                <w:sz w:val="18"/>
                <w:szCs w:val="18"/>
              </w:rPr>
            </w:pPr>
          </w:p>
        </w:tc>
        <w:tc>
          <w:tcPr>
            <w:tcW w:w="1064" w:type="dxa"/>
            <w:shd w:val="clear" w:color="auto" w:fill="F2DBDB" w:themeFill="accent2" w:themeFillTint="33"/>
          </w:tcPr>
          <w:p w:rsidR="004D7522" w:rsidRPr="00AD387E" w:rsidRDefault="004D7522" w:rsidP="004D7522">
            <w:pPr>
              <w:jc w:val="center"/>
              <w:rPr>
                <w:b/>
                <w:sz w:val="18"/>
                <w:szCs w:val="18"/>
              </w:rPr>
            </w:pPr>
            <w:r w:rsidRPr="00AD387E">
              <w:rPr>
                <w:b/>
                <w:sz w:val="18"/>
                <w:szCs w:val="18"/>
                <w:highlight w:val="red"/>
              </w:rPr>
              <w:t>HR</w:t>
            </w:r>
          </w:p>
        </w:tc>
        <w:tc>
          <w:tcPr>
            <w:tcW w:w="1059" w:type="dxa"/>
            <w:shd w:val="clear" w:color="auto" w:fill="F2DBDB" w:themeFill="accent2" w:themeFillTint="33"/>
          </w:tcPr>
          <w:p w:rsidR="004D7522" w:rsidRPr="00AD387E" w:rsidRDefault="004D7522" w:rsidP="004D7522">
            <w:pPr>
              <w:jc w:val="center"/>
              <w:rPr>
                <w:b/>
                <w:sz w:val="18"/>
                <w:szCs w:val="18"/>
              </w:rPr>
            </w:pPr>
            <w:r w:rsidRPr="00AD387E">
              <w:rPr>
                <w:b/>
                <w:sz w:val="18"/>
                <w:szCs w:val="18"/>
              </w:rPr>
              <w:t>SE</w:t>
            </w:r>
          </w:p>
        </w:tc>
        <w:tc>
          <w:tcPr>
            <w:tcW w:w="718" w:type="dxa"/>
            <w:shd w:val="clear" w:color="auto" w:fill="F2DBDB" w:themeFill="accent2" w:themeFillTint="33"/>
          </w:tcPr>
          <w:p w:rsidR="004D7522" w:rsidRPr="00AD387E" w:rsidRDefault="004D7522" w:rsidP="004D7522">
            <w:pPr>
              <w:jc w:val="center"/>
              <w:rPr>
                <w:b/>
                <w:sz w:val="18"/>
                <w:szCs w:val="18"/>
              </w:rPr>
            </w:pPr>
            <w:r w:rsidRPr="00AD387E">
              <w:rPr>
                <w:b/>
                <w:sz w:val="18"/>
                <w:szCs w:val="18"/>
              </w:rPr>
              <w:t>Z</w:t>
            </w:r>
          </w:p>
        </w:tc>
        <w:tc>
          <w:tcPr>
            <w:tcW w:w="1053" w:type="dxa"/>
            <w:shd w:val="clear" w:color="auto" w:fill="F2DBDB" w:themeFill="accent2" w:themeFillTint="33"/>
          </w:tcPr>
          <w:p w:rsidR="004D7522" w:rsidRPr="00AD387E" w:rsidRDefault="004D7522" w:rsidP="004D7522">
            <w:pPr>
              <w:jc w:val="center"/>
              <w:rPr>
                <w:b/>
                <w:sz w:val="18"/>
                <w:szCs w:val="18"/>
              </w:rPr>
            </w:pPr>
            <w:r w:rsidRPr="00AD387E">
              <w:rPr>
                <w:b/>
                <w:sz w:val="18"/>
                <w:szCs w:val="18"/>
              </w:rPr>
              <w:t>P-value</w:t>
            </w:r>
          </w:p>
        </w:tc>
        <w:tc>
          <w:tcPr>
            <w:tcW w:w="1128" w:type="dxa"/>
            <w:shd w:val="clear" w:color="auto" w:fill="F2DBDB" w:themeFill="accent2" w:themeFillTint="33"/>
          </w:tcPr>
          <w:p w:rsidR="004D7522" w:rsidRPr="00AD387E" w:rsidRDefault="004D7522" w:rsidP="004D7522">
            <w:pPr>
              <w:jc w:val="center"/>
              <w:rPr>
                <w:b/>
                <w:sz w:val="18"/>
                <w:szCs w:val="18"/>
              </w:rPr>
            </w:pPr>
            <w:r w:rsidRPr="00AD387E">
              <w:rPr>
                <w:b/>
                <w:sz w:val="18"/>
                <w:szCs w:val="18"/>
              </w:rPr>
              <w:t>95%CI low</w:t>
            </w:r>
          </w:p>
        </w:tc>
        <w:tc>
          <w:tcPr>
            <w:tcW w:w="1260" w:type="dxa"/>
            <w:shd w:val="clear" w:color="auto" w:fill="F2DBDB" w:themeFill="accent2" w:themeFillTint="33"/>
          </w:tcPr>
          <w:p w:rsidR="004D7522" w:rsidRPr="00AD387E" w:rsidRDefault="004D7522" w:rsidP="004D7522">
            <w:pPr>
              <w:jc w:val="center"/>
              <w:rPr>
                <w:b/>
                <w:sz w:val="18"/>
                <w:szCs w:val="18"/>
              </w:rPr>
            </w:pPr>
            <w:r w:rsidRPr="00AD387E">
              <w:rPr>
                <w:b/>
                <w:sz w:val="18"/>
                <w:szCs w:val="18"/>
              </w:rPr>
              <w:t>95%CI high</w:t>
            </w:r>
          </w:p>
        </w:tc>
        <w:tc>
          <w:tcPr>
            <w:tcW w:w="835" w:type="dxa"/>
            <w:shd w:val="clear" w:color="auto" w:fill="F2DBDB" w:themeFill="accent2" w:themeFillTint="33"/>
          </w:tcPr>
          <w:p w:rsidR="004D7522" w:rsidRPr="00F512EF" w:rsidRDefault="004D7522" w:rsidP="004D7522"/>
        </w:tc>
      </w:tr>
      <w:tr w:rsidR="004D7522" w:rsidRPr="00BF29DD" w:rsidTr="004F614C">
        <w:trPr>
          <w:jc w:val="center"/>
        </w:trPr>
        <w:tc>
          <w:tcPr>
            <w:tcW w:w="3231" w:type="dxa"/>
            <w:shd w:val="clear" w:color="auto" w:fill="F2DBDB" w:themeFill="accent2" w:themeFillTint="33"/>
          </w:tcPr>
          <w:p w:rsidR="004D7522" w:rsidRPr="00AD387E" w:rsidRDefault="004D7522" w:rsidP="004D7522">
            <w:pPr>
              <w:jc w:val="center"/>
              <w:rPr>
                <w:rFonts w:cs="Arial"/>
                <w:b/>
                <w:sz w:val="18"/>
                <w:szCs w:val="18"/>
              </w:rPr>
            </w:pPr>
            <w:r w:rsidRPr="00AD387E">
              <w:rPr>
                <w:rFonts w:cs="Arial"/>
                <w:b/>
                <w:sz w:val="18"/>
                <w:szCs w:val="18"/>
              </w:rPr>
              <w:t>Age (5 year effect)</w:t>
            </w:r>
          </w:p>
        </w:tc>
        <w:tc>
          <w:tcPr>
            <w:tcW w:w="1064" w:type="dxa"/>
            <w:shd w:val="clear" w:color="auto" w:fill="F2DBDB" w:themeFill="accent2" w:themeFillTint="33"/>
          </w:tcPr>
          <w:p w:rsidR="004D7522" w:rsidRPr="00812B1D" w:rsidRDefault="004D7522" w:rsidP="004D7522">
            <w:pPr>
              <w:jc w:val="center"/>
              <w:rPr>
                <w:sz w:val="18"/>
                <w:szCs w:val="18"/>
              </w:rPr>
            </w:pPr>
            <w:r w:rsidRPr="00812B1D">
              <w:rPr>
                <w:sz w:val="18"/>
                <w:szCs w:val="18"/>
              </w:rPr>
              <w:t>1.059354</w:t>
            </w:r>
          </w:p>
        </w:tc>
        <w:tc>
          <w:tcPr>
            <w:tcW w:w="1059" w:type="dxa"/>
            <w:shd w:val="clear" w:color="auto" w:fill="F2DBDB" w:themeFill="accent2" w:themeFillTint="33"/>
          </w:tcPr>
          <w:p w:rsidR="004D7522" w:rsidRPr="00812B1D" w:rsidRDefault="004D7522" w:rsidP="004D7522">
            <w:pPr>
              <w:jc w:val="center"/>
              <w:rPr>
                <w:sz w:val="18"/>
                <w:szCs w:val="18"/>
              </w:rPr>
            </w:pPr>
            <w:r w:rsidRPr="00812B1D">
              <w:rPr>
                <w:sz w:val="18"/>
                <w:szCs w:val="18"/>
              </w:rPr>
              <w:t>.0120317</w:t>
            </w:r>
          </w:p>
        </w:tc>
        <w:tc>
          <w:tcPr>
            <w:tcW w:w="718" w:type="dxa"/>
            <w:shd w:val="clear" w:color="auto" w:fill="F2DBDB" w:themeFill="accent2" w:themeFillTint="33"/>
          </w:tcPr>
          <w:p w:rsidR="004D7522" w:rsidRPr="00812B1D" w:rsidRDefault="004D7522" w:rsidP="004D7522">
            <w:pPr>
              <w:jc w:val="center"/>
              <w:rPr>
                <w:sz w:val="18"/>
                <w:szCs w:val="18"/>
              </w:rPr>
            </w:pPr>
            <w:r w:rsidRPr="00812B1D">
              <w:rPr>
                <w:sz w:val="18"/>
                <w:szCs w:val="18"/>
              </w:rPr>
              <w:t>5.08</w:t>
            </w:r>
          </w:p>
        </w:tc>
        <w:tc>
          <w:tcPr>
            <w:tcW w:w="1053" w:type="dxa"/>
            <w:shd w:val="clear" w:color="auto" w:fill="F2DBDB" w:themeFill="accent2" w:themeFillTint="33"/>
          </w:tcPr>
          <w:p w:rsidR="004D7522" w:rsidRPr="00812B1D" w:rsidRDefault="004D7522" w:rsidP="004D7522">
            <w:pPr>
              <w:jc w:val="center"/>
              <w:rPr>
                <w:sz w:val="18"/>
                <w:szCs w:val="18"/>
              </w:rPr>
            </w:pPr>
            <w:r w:rsidRPr="00812B1D">
              <w:rPr>
                <w:sz w:val="18"/>
                <w:szCs w:val="18"/>
              </w:rPr>
              <w:t>0.000</w:t>
            </w:r>
          </w:p>
        </w:tc>
        <w:tc>
          <w:tcPr>
            <w:tcW w:w="1128" w:type="dxa"/>
            <w:shd w:val="clear" w:color="auto" w:fill="F2DBDB" w:themeFill="accent2" w:themeFillTint="33"/>
          </w:tcPr>
          <w:p w:rsidR="004D7522" w:rsidRPr="00812B1D" w:rsidRDefault="004D7522" w:rsidP="004D7522">
            <w:pPr>
              <w:jc w:val="center"/>
              <w:rPr>
                <w:sz w:val="18"/>
                <w:szCs w:val="18"/>
              </w:rPr>
            </w:pPr>
            <w:r w:rsidRPr="00812B1D">
              <w:rPr>
                <w:sz w:val="18"/>
                <w:szCs w:val="18"/>
              </w:rPr>
              <w:t>1.036033</w:t>
            </w:r>
          </w:p>
        </w:tc>
        <w:tc>
          <w:tcPr>
            <w:tcW w:w="1260" w:type="dxa"/>
            <w:shd w:val="clear" w:color="auto" w:fill="F2DBDB" w:themeFill="accent2" w:themeFillTint="33"/>
          </w:tcPr>
          <w:p w:rsidR="004D7522" w:rsidRPr="00812B1D" w:rsidRDefault="004D7522" w:rsidP="004D7522">
            <w:pPr>
              <w:jc w:val="center"/>
              <w:rPr>
                <w:sz w:val="18"/>
                <w:szCs w:val="18"/>
              </w:rPr>
            </w:pPr>
            <w:r w:rsidRPr="00812B1D">
              <w:rPr>
                <w:sz w:val="18"/>
                <w:szCs w:val="18"/>
              </w:rPr>
              <w:t>1.0832</w:t>
            </w:r>
          </w:p>
        </w:tc>
        <w:tc>
          <w:tcPr>
            <w:tcW w:w="835" w:type="dxa"/>
            <w:shd w:val="clear" w:color="auto" w:fill="F2DBDB" w:themeFill="accent2" w:themeFillTint="33"/>
          </w:tcPr>
          <w:p w:rsidR="004D7522" w:rsidRPr="00F512EF" w:rsidRDefault="004D7522" w:rsidP="004D7522"/>
        </w:tc>
      </w:tr>
      <w:tr w:rsidR="004D7522" w:rsidRPr="00BF29DD" w:rsidTr="004F614C">
        <w:trPr>
          <w:jc w:val="center"/>
        </w:trPr>
        <w:tc>
          <w:tcPr>
            <w:tcW w:w="3231" w:type="dxa"/>
          </w:tcPr>
          <w:p w:rsidR="004D7522" w:rsidRPr="00AD387E" w:rsidRDefault="004D7522" w:rsidP="004D7522">
            <w:pPr>
              <w:jc w:val="center"/>
              <w:rPr>
                <w:rFonts w:cs="Arial"/>
                <w:b/>
                <w:sz w:val="18"/>
                <w:szCs w:val="18"/>
              </w:rPr>
            </w:pPr>
            <w:r w:rsidRPr="00AD387E">
              <w:rPr>
                <w:b/>
                <w:sz w:val="18"/>
                <w:szCs w:val="18"/>
              </w:rPr>
              <w:t>Intra-operative Fio2 % (5% increase)</w:t>
            </w:r>
          </w:p>
        </w:tc>
        <w:tc>
          <w:tcPr>
            <w:tcW w:w="1064" w:type="dxa"/>
          </w:tcPr>
          <w:p w:rsidR="004D7522" w:rsidRPr="00812B1D" w:rsidRDefault="004D7522" w:rsidP="004D7522">
            <w:pPr>
              <w:jc w:val="center"/>
              <w:rPr>
                <w:sz w:val="18"/>
                <w:szCs w:val="18"/>
              </w:rPr>
            </w:pPr>
            <w:r w:rsidRPr="00812B1D">
              <w:rPr>
                <w:sz w:val="18"/>
                <w:szCs w:val="18"/>
              </w:rPr>
              <w:t>1.080127</w:t>
            </w:r>
          </w:p>
        </w:tc>
        <w:tc>
          <w:tcPr>
            <w:tcW w:w="1059" w:type="dxa"/>
          </w:tcPr>
          <w:p w:rsidR="004D7522" w:rsidRPr="00812B1D" w:rsidRDefault="004D7522" w:rsidP="004D7522">
            <w:pPr>
              <w:jc w:val="center"/>
              <w:rPr>
                <w:sz w:val="18"/>
                <w:szCs w:val="18"/>
              </w:rPr>
            </w:pPr>
            <w:r w:rsidRPr="00812B1D">
              <w:rPr>
                <w:sz w:val="18"/>
                <w:szCs w:val="18"/>
              </w:rPr>
              <w:t>.0304584</w:t>
            </w:r>
          </w:p>
        </w:tc>
        <w:tc>
          <w:tcPr>
            <w:tcW w:w="718" w:type="dxa"/>
          </w:tcPr>
          <w:p w:rsidR="004D7522" w:rsidRPr="00812B1D" w:rsidRDefault="004D7522" w:rsidP="004D7522">
            <w:pPr>
              <w:jc w:val="center"/>
              <w:rPr>
                <w:sz w:val="18"/>
                <w:szCs w:val="18"/>
              </w:rPr>
            </w:pPr>
            <w:r w:rsidRPr="00812B1D">
              <w:rPr>
                <w:sz w:val="18"/>
                <w:szCs w:val="18"/>
              </w:rPr>
              <w:t>2.73</w:t>
            </w:r>
          </w:p>
        </w:tc>
        <w:tc>
          <w:tcPr>
            <w:tcW w:w="1053" w:type="dxa"/>
          </w:tcPr>
          <w:p w:rsidR="004D7522" w:rsidRPr="00812B1D" w:rsidRDefault="004D7522" w:rsidP="004D7522">
            <w:pPr>
              <w:jc w:val="center"/>
              <w:rPr>
                <w:sz w:val="18"/>
                <w:szCs w:val="18"/>
              </w:rPr>
            </w:pPr>
            <w:r w:rsidRPr="00812B1D">
              <w:rPr>
                <w:sz w:val="18"/>
                <w:szCs w:val="18"/>
              </w:rPr>
              <w:t>0.006</w:t>
            </w:r>
          </w:p>
        </w:tc>
        <w:tc>
          <w:tcPr>
            <w:tcW w:w="1128" w:type="dxa"/>
          </w:tcPr>
          <w:p w:rsidR="004D7522" w:rsidRPr="00812B1D" w:rsidRDefault="004D7522" w:rsidP="004D7522">
            <w:pPr>
              <w:jc w:val="center"/>
              <w:rPr>
                <w:sz w:val="18"/>
                <w:szCs w:val="18"/>
              </w:rPr>
            </w:pPr>
            <w:r w:rsidRPr="00812B1D">
              <w:rPr>
                <w:sz w:val="18"/>
                <w:szCs w:val="18"/>
              </w:rPr>
              <w:t>1.02205</w:t>
            </w:r>
          </w:p>
        </w:tc>
        <w:tc>
          <w:tcPr>
            <w:tcW w:w="1260" w:type="dxa"/>
          </w:tcPr>
          <w:p w:rsidR="004D7522" w:rsidRPr="00812B1D" w:rsidRDefault="004D7522" w:rsidP="004D7522">
            <w:pPr>
              <w:jc w:val="center"/>
              <w:rPr>
                <w:sz w:val="18"/>
                <w:szCs w:val="18"/>
              </w:rPr>
            </w:pPr>
            <w:r w:rsidRPr="00812B1D">
              <w:rPr>
                <w:sz w:val="18"/>
                <w:szCs w:val="18"/>
              </w:rPr>
              <w:t>1.141505</w:t>
            </w:r>
          </w:p>
        </w:tc>
        <w:tc>
          <w:tcPr>
            <w:tcW w:w="835" w:type="dxa"/>
          </w:tcPr>
          <w:p w:rsidR="004D7522" w:rsidRPr="00F512EF" w:rsidRDefault="004D7522" w:rsidP="004D7522"/>
        </w:tc>
      </w:tr>
      <w:tr w:rsidR="004D7522" w:rsidRPr="00BF29DD" w:rsidTr="004F614C">
        <w:trPr>
          <w:jc w:val="center"/>
        </w:trPr>
        <w:tc>
          <w:tcPr>
            <w:tcW w:w="3231" w:type="dxa"/>
          </w:tcPr>
          <w:p w:rsidR="004D7522" w:rsidRPr="00AD387E" w:rsidRDefault="004D7522" w:rsidP="004D7522">
            <w:pPr>
              <w:jc w:val="center"/>
              <w:rPr>
                <w:b/>
                <w:sz w:val="18"/>
                <w:szCs w:val="18"/>
              </w:rPr>
            </w:pPr>
            <w:r w:rsidRPr="00AD387E">
              <w:rPr>
                <w:b/>
                <w:sz w:val="18"/>
                <w:szCs w:val="18"/>
              </w:rPr>
              <w:t>Peak inspiratory volume (&lt;=30 vs &gt;30)</w:t>
            </w:r>
          </w:p>
        </w:tc>
        <w:tc>
          <w:tcPr>
            <w:tcW w:w="1064" w:type="dxa"/>
          </w:tcPr>
          <w:p w:rsidR="004D7522" w:rsidRPr="00812B1D" w:rsidRDefault="004D7522" w:rsidP="004D7522">
            <w:pPr>
              <w:jc w:val="center"/>
              <w:rPr>
                <w:sz w:val="18"/>
                <w:szCs w:val="18"/>
              </w:rPr>
            </w:pPr>
            <w:r w:rsidRPr="00812B1D">
              <w:rPr>
                <w:sz w:val="18"/>
                <w:szCs w:val="18"/>
              </w:rPr>
              <w:t>.4665539</w:t>
            </w:r>
          </w:p>
        </w:tc>
        <w:tc>
          <w:tcPr>
            <w:tcW w:w="1059" w:type="dxa"/>
          </w:tcPr>
          <w:p w:rsidR="004D7522" w:rsidRPr="00812B1D" w:rsidRDefault="004D7522" w:rsidP="004D7522">
            <w:pPr>
              <w:jc w:val="center"/>
              <w:rPr>
                <w:sz w:val="18"/>
                <w:szCs w:val="18"/>
              </w:rPr>
            </w:pPr>
            <w:r w:rsidRPr="00812B1D">
              <w:rPr>
                <w:sz w:val="18"/>
                <w:szCs w:val="18"/>
              </w:rPr>
              <w:t>.1023628</w:t>
            </w:r>
          </w:p>
        </w:tc>
        <w:tc>
          <w:tcPr>
            <w:tcW w:w="718" w:type="dxa"/>
          </w:tcPr>
          <w:p w:rsidR="004D7522" w:rsidRPr="00812B1D" w:rsidRDefault="004D7522" w:rsidP="004D7522">
            <w:pPr>
              <w:jc w:val="center"/>
              <w:rPr>
                <w:sz w:val="18"/>
                <w:szCs w:val="18"/>
              </w:rPr>
            </w:pPr>
            <w:r w:rsidRPr="00812B1D">
              <w:rPr>
                <w:sz w:val="18"/>
                <w:szCs w:val="18"/>
              </w:rPr>
              <w:t>-3.47</w:t>
            </w:r>
          </w:p>
        </w:tc>
        <w:tc>
          <w:tcPr>
            <w:tcW w:w="1053" w:type="dxa"/>
          </w:tcPr>
          <w:p w:rsidR="004D7522" w:rsidRPr="00812B1D" w:rsidRDefault="004D7522" w:rsidP="004D7522">
            <w:pPr>
              <w:jc w:val="center"/>
              <w:rPr>
                <w:sz w:val="18"/>
                <w:szCs w:val="18"/>
              </w:rPr>
            </w:pPr>
            <w:r w:rsidRPr="00812B1D">
              <w:rPr>
                <w:sz w:val="18"/>
                <w:szCs w:val="18"/>
              </w:rPr>
              <w:t>0.001</w:t>
            </w:r>
          </w:p>
        </w:tc>
        <w:tc>
          <w:tcPr>
            <w:tcW w:w="1128" w:type="dxa"/>
          </w:tcPr>
          <w:p w:rsidR="004D7522" w:rsidRPr="00812B1D" w:rsidRDefault="004D7522" w:rsidP="004D7522">
            <w:pPr>
              <w:jc w:val="center"/>
              <w:rPr>
                <w:sz w:val="18"/>
                <w:szCs w:val="18"/>
              </w:rPr>
            </w:pPr>
            <w:r w:rsidRPr="00812B1D">
              <w:rPr>
                <w:sz w:val="18"/>
                <w:szCs w:val="18"/>
              </w:rPr>
              <w:t>.3034916</w:t>
            </w:r>
          </w:p>
        </w:tc>
        <w:tc>
          <w:tcPr>
            <w:tcW w:w="1260" w:type="dxa"/>
          </w:tcPr>
          <w:p w:rsidR="004D7522" w:rsidRPr="00812B1D" w:rsidRDefault="004D7522" w:rsidP="004D7522">
            <w:pPr>
              <w:jc w:val="center"/>
              <w:rPr>
                <w:sz w:val="18"/>
                <w:szCs w:val="18"/>
              </w:rPr>
            </w:pPr>
            <w:r w:rsidRPr="00812B1D">
              <w:rPr>
                <w:sz w:val="18"/>
                <w:szCs w:val="18"/>
              </w:rPr>
              <w:t>.7172278</w:t>
            </w:r>
          </w:p>
        </w:tc>
        <w:tc>
          <w:tcPr>
            <w:tcW w:w="835" w:type="dxa"/>
          </w:tcPr>
          <w:p w:rsidR="004D7522" w:rsidRPr="00F512EF" w:rsidRDefault="004D7522" w:rsidP="004D7522"/>
        </w:tc>
      </w:tr>
      <w:tr w:rsidR="004D7522" w:rsidRPr="00BF29DD" w:rsidTr="004F614C">
        <w:trPr>
          <w:jc w:val="center"/>
        </w:trPr>
        <w:tc>
          <w:tcPr>
            <w:tcW w:w="3231" w:type="dxa"/>
          </w:tcPr>
          <w:p w:rsidR="004D7522" w:rsidRPr="00AD387E" w:rsidRDefault="004D7522" w:rsidP="004D7522">
            <w:pPr>
              <w:jc w:val="center"/>
              <w:rPr>
                <w:b/>
                <w:sz w:val="18"/>
                <w:szCs w:val="18"/>
              </w:rPr>
            </w:pPr>
            <w:r w:rsidRPr="00AD387E">
              <w:rPr>
                <w:b/>
                <w:sz w:val="18"/>
                <w:szCs w:val="18"/>
              </w:rPr>
              <w:t>Bundle (YES vs. NO)</w:t>
            </w:r>
          </w:p>
        </w:tc>
        <w:tc>
          <w:tcPr>
            <w:tcW w:w="1064" w:type="dxa"/>
          </w:tcPr>
          <w:p w:rsidR="004D7522" w:rsidRPr="00812B1D" w:rsidRDefault="004D7522" w:rsidP="004D7522">
            <w:pPr>
              <w:jc w:val="center"/>
              <w:rPr>
                <w:sz w:val="18"/>
                <w:szCs w:val="18"/>
              </w:rPr>
            </w:pPr>
            <w:r w:rsidRPr="00812B1D">
              <w:rPr>
                <w:sz w:val="18"/>
                <w:szCs w:val="18"/>
              </w:rPr>
              <w:t>1.075791</w:t>
            </w:r>
          </w:p>
        </w:tc>
        <w:tc>
          <w:tcPr>
            <w:tcW w:w="1059" w:type="dxa"/>
          </w:tcPr>
          <w:p w:rsidR="004D7522" w:rsidRPr="00812B1D" w:rsidRDefault="004D7522" w:rsidP="004D7522">
            <w:pPr>
              <w:jc w:val="center"/>
              <w:rPr>
                <w:sz w:val="18"/>
                <w:szCs w:val="18"/>
              </w:rPr>
            </w:pPr>
            <w:r w:rsidRPr="00812B1D">
              <w:rPr>
                <w:sz w:val="18"/>
                <w:szCs w:val="18"/>
              </w:rPr>
              <w:t>.1763208</w:t>
            </w:r>
          </w:p>
        </w:tc>
        <w:tc>
          <w:tcPr>
            <w:tcW w:w="718" w:type="dxa"/>
          </w:tcPr>
          <w:p w:rsidR="004D7522" w:rsidRPr="00812B1D" w:rsidRDefault="004D7522" w:rsidP="004D7522">
            <w:pPr>
              <w:jc w:val="center"/>
              <w:rPr>
                <w:sz w:val="18"/>
                <w:szCs w:val="18"/>
              </w:rPr>
            </w:pPr>
            <w:r w:rsidRPr="00812B1D">
              <w:rPr>
                <w:sz w:val="18"/>
                <w:szCs w:val="18"/>
              </w:rPr>
              <w:t>0.45</w:t>
            </w:r>
          </w:p>
        </w:tc>
        <w:tc>
          <w:tcPr>
            <w:tcW w:w="1053" w:type="dxa"/>
          </w:tcPr>
          <w:p w:rsidR="004D7522" w:rsidRPr="00812B1D" w:rsidRDefault="004D7522" w:rsidP="004D7522">
            <w:pPr>
              <w:jc w:val="center"/>
              <w:rPr>
                <w:sz w:val="18"/>
                <w:szCs w:val="18"/>
              </w:rPr>
            </w:pPr>
            <w:r w:rsidRPr="00812B1D">
              <w:rPr>
                <w:sz w:val="18"/>
                <w:szCs w:val="18"/>
              </w:rPr>
              <w:t>0.656</w:t>
            </w:r>
          </w:p>
        </w:tc>
        <w:tc>
          <w:tcPr>
            <w:tcW w:w="1128" w:type="dxa"/>
          </w:tcPr>
          <w:p w:rsidR="004D7522" w:rsidRPr="00812B1D" w:rsidRDefault="004D7522" w:rsidP="004D7522">
            <w:pPr>
              <w:jc w:val="center"/>
              <w:rPr>
                <w:sz w:val="18"/>
                <w:szCs w:val="18"/>
              </w:rPr>
            </w:pPr>
            <w:r w:rsidRPr="00812B1D">
              <w:rPr>
                <w:sz w:val="18"/>
                <w:szCs w:val="18"/>
              </w:rPr>
              <w:t>.7802198</w:t>
            </w:r>
          </w:p>
        </w:tc>
        <w:tc>
          <w:tcPr>
            <w:tcW w:w="1260" w:type="dxa"/>
          </w:tcPr>
          <w:p w:rsidR="004D7522" w:rsidRPr="00812B1D" w:rsidRDefault="004D7522" w:rsidP="004D7522">
            <w:pPr>
              <w:jc w:val="center"/>
              <w:rPr>
                <w:sz w:val="18"/>
                <w:szCs w:val="18"/>
              </w:rPr>
            </w:pPr>
            <w:r w:rsidRPr="00812B1D">
              <w:rPr>
                <w:sz w:val="18"/>
                <w:szCs w:val="18"/>
              </w:rPr>
              <w:t>1.483333</w:t>
            </w:r>
          </w:p>
        </w:tc>
        <w:tc>
          <w:tcPr>
            <w:tcW w:w="835" w:type="dxa"/>
          </w:tcPr>
          <w:p w:rsidR="004D7522" w:rsidRPr="00F512EF" w:rsidRDefault="004D7522" w:rsidP="004D7522"/>
        </w:tc>
      </w:tr>
      <w:tr w:rsidR="004D7522" w:rsidRPr="00BF29DD" w:rsidTr="004F614C">
        <w:trPr>
          <w:jc w:val="center"/>
        </w:trPr>
        <w:tc>
          <w:tcPr>
            <w:tcW w:w="3231" w:type="dxa"/>
          </w:tcPr>
          <w:p w:rsidR="004D7522" w:rsidRPr="00AD387E" w:rsidRDefault="004D7522" w:rsidP="004D7522">
            <w:pPr>
              <w:jc w:val="center"/>
              <w:rPr>
                <w:rFonts w:cs="Arial"/>
                <w:b/>
                <w:sz w:val="18"/>
                <w:szCs w:val="18"/>
              </w:rPr>
            </w:pPr>
            <w:r w:rsidRPr="00AD387E">
              <w:rPr>
                <w:rFonts w:cs="Arial"/>
                <w:b/>
                <w:sz w:val="18"/>
                <w:szCs w:val="18"/>
              </w:rPr>
              <w:t>CONSTANT</w:t>
            </w:r>
          </w:p>
        </w:tc>
        <w:tc>
          <w:tcPr>
            <w:tcW w:w="1064" w:type="dxa"/>
          </w:tcPr>
          <w:p w:rsidR="004D7522" w:rsidRPr="00812B1D" w:rsidRDefault="004D7522" w:rsidP="004D7522">
            <w:pPr>
              <w:jc w:val="center"/>
              <w:rPr>
                <w:sz w:val="18"/>
                <w:szCs w:val="18"/>
              </w:rPr>
            </w:pPr>
            <w:r w:rsidRPr="00812B1D">
              <w:rPr>
                <w:sz w:val="18"/>
                <w:szCs w:val="18"/>
              </w:rPr>
              <w:t>.6147455</w:t>
            </w:r>
          </w:p>
        </w:tc>
        <w:tc>
          <w:tcPr>
            <w:tcW w:w="1059" w:type="dxa"/>
          </w:tcPr>
          <w:p w:rsidR="004D7522" w:rsidRPr="00812B1D" w:rsidRDefault="004D7522" w:rsidP="004D7522">
            <w:pPr>
              <w:jc w:val="center"/>
              <w:rPr>
                <w:sz w:val="18"/>
                <w:szCs w:val="18"/>
              </w:rPr>
            </w:pPr>
            <w:r w:rsidRPr="00812B1D">
              <w:rPr>
                <w:sz w:val="18"/>
                <w:szCs w:val="18"/>
              </w:rPr>
              <w:t>.1404311</w:t>
            </w:r>
          </w:p>
        </w:tc>
        <w:tc>
          <w:tcPr>
            <w:tcW w:w="718" w:type="dxa"/>
          </w:tcPr>
          <w:p w:rsidR="004D7522" w:rsidRPr="00812B1D" w:rsidRDefault="004D7522" w:rsidP="004D7522">
            <w:pPr>
              <w:jc w:val="center"/>
              <w:rPr>
                <w:sz w:val="18"/>
                <w:szCs w:val="18"/>
              </w:rPr>
            </w:pPr>
            <w:r w:rsidRPr="00812B1D">
              <w:rPr>
                <w:sz w:val="18"/>
                <w:szCs w:val="18"/>
              </w:rPr>
              <w:t>-2.13</w:t>
            </w:r>
          </w:p>
        </w:tc>
        <w:tc>
          <w:tcPr>
            <w:tcW w:w="1053" w:type="dxa"/>
          </w:tcPr>
          <w:p w:rsidR="004D7522" w:rsidRPr="00812B1D" w:rsidRDefault="004D7522" w:rsidP="004D7522">
            <w:pPr>
              <w:jc w:val="center"/>
              <w:rPr>
                <w:sz w:val="18"/>
                <w:szCs w:val="18"/>
              </w:rPr>
            </w:pPr>
            <w:r w:rsidRPr="00812B1D">
              <w:rPr>
                <w:sz w:val="18"/>
                <w:szCs w:val="18"/>
              </w:rPr>
              <w:t>0.033</w:t>
            </w:r>
          </w:p>
        </w:tc>
        <w:tc>
          <w:tcPr>
            <w:tcW w:w="1128" w:type="dxa"/>
          </w:tcPr>
          <w:p w:rsidR="004D7522" w:rsidRPr="00812B1D" w:rsidRDefault="004D7522" w:rsidP="004D7522">
            <w:pPr>
              <w:jc w:val="center"/>
              <w:rPr>
                <w:sz w:val="18"/>
                <w:szCs w:val="18"/>
              </w:rPr>
            </w:pPr>
            <w:r w:rsidRPr="00812B1D">
              <w:rPr>
                <w:sz w:val="18"/>
                <w:szCs w:val="18"/>
              </w:rPr>
              <w:t>.3928699</w:t>
            </w:r>
          </w:p>
        </w:tc>
        <w:tc>
          <w:tcPr>
            <w:tcW w:w="1260" w:type="dxa"/>
          </w:tcPr>
          <w:p w:rsidR="004D7522" w:rsidRPr="00812B1D" w:rsidRDefault="004D7522" w:rsidP="004D7522">
            <w:pPr>
              <w:jc w:val="center"/>
              <w:rPr>
                <w:sz w:val="18"/>
                <w:szCs w:val="18"/>
              </w:rPr>
            </w:pPr>
            <w:r w:rsidRPr="00812B1D">
              <w:rPr>
                <w:sz w:val="18"/>
                <w:szCs w:val="18"/>
              </w:rPr>
              <w:t>.9619267</w:t>
            </w:r>
          </w:p>
        </w:tc>
        <w:tc>
          <w:tcPr>
            <w:tcW w:w="835" w:type="dxa"/>
          </w:tcPr>
          <w:p w:rsidR="004D7522" w:rsidRPr="00F512EF" w:rsidRDefault="004D7522" w:rsidP="004D7522"/>
        </w:tc>
      </w:tr>
      <w:tr w:rsidR="004D7522" w:rsidRPr="00BF29DD" w:rsidTr="0074350A">
        <w:trPr>
          <w:jc w:val="center"/>
        </w:trPr>
        <w:tc>
          <w:tcPr>
            <w:tcW w:w="10348" w:type="dxa"/>
            <w:gridSpan w:val="8"/>
            <w:shd w:val="clear" w:color="auto" w:fill="F2DBDB" w:themeFill="accent2" w:themeFillTint="33"/>
          </w:tcPr>
          <w:p w:rsidR="004D7522" w:rsidRPr="00BF29DD" w:rsidRDefault="004D7522" w:rsidP="004D7522">
            <w:pPr>
              <w:jc w:val="center"/>
              <w:rPr>
                <w:sz w:val="18"/>
                <w:szCs w:val="18"/>
              </w:rPr>
            </w:pPr>
            <w:r w:rsidRPr="00BF29DD">
              <w:rPr>
                <w:b/>
                <w:sz w:val="18"/>
                <w:szCs w:val="18"/>
              </w:rPr>
              <w:t>All failures (275)</w:t>
            </w:r>
            <w:r>
              <w:rPr>
                <w:b/>
                <w:sz w:val="18"/>
                <w:szCs w:val="18"/>
              </w:rPr>
              <w:t xml:space="preserve"> model assuming the bundle IS applied when the observations are missing</w:t>
            </w:r>
          </w:p>
        </w:tc>
      </w:tr>
      <w:tr w:rsidR="004D7522" w:rsidRPr="00BF29DD" w:rsidTr="004F614C">
        <w:trPr>
          <w:jc w:val="center"/>
        </w:trPr>
        <w:tc>
          <w:tcPr>
            <w:tcW w:w="3231" w:type="dxa"/>
            <w:shd w:val="clear" w:color="auto" w:fill="F2DBDB" w:themeFill="accent2" w:themeFillTint="33"/>
          </w:tcPr>
          <w:p w:rsidR="004D7522" w:rsidRPr="00AD387E" w:rsidRDefault="004D7522" w:rsidP="004D7522">
            <w:pPr>
              <w:jc w:val="center"/>
              <w:rPr>
                <w:rFonts w:cs="Arial"/>
                <w:b/>
                <w:sz w:val="18"/>
                <w:szCs w:val="18"/>
              </w:rPr>
            </w:pPr>
            <w:r w:rsidRPr="00AD387E">
              <w:rPr>
                <w:rFonts w:cs="Arial"/>
                <w:b/>
                <w:sz w:val="18"/>
                <w:szCs w:val="18"/>
              </w:rPr>
              <w:t>Age (5 year effect)</w:t>
            </w:r>
          </w:p>
        </w:tc>
        <w:tc>
          <w:tcPr>
            <w:tcW w:w="1064" w:type="dxa"/>
            <w:shd w:val="clear" w:color="auto" w:fill="F2DBDB" w:themeFill="accent2" w:themeFillTint="33"/>
          </w:tcPr>
          <w:p w:rsidR="004D7522" w:rsidRPr="00812B1D" w:rsidRDefault="004D7522" w:rsidP="004D7522">
            <w:pPr>
              <w:jc w:val="center"/>
              <w:rPr>
                <w:sz w:val="18"/>
                <w:szCs w:val="18"/>
              </w:rPr>
            </w:pPr>
            <w:r w:rsidRPr="00812B1D">
              <w:rPr>
                <w:sz w:val="18"/>
                <w:szCs w:val="18"/>
              </w:rPr>
              <w:t>1.059402</w:t>
            </w:r>
          </w:p>
        </w:tc>
        <w:tc>
          <w:tcPr>
            <w:tcW w:w="1059" w:type="dxa"/>
            <w:shd w:val="clear" w:color="auto" w:fill="F2DBDB" w:themeFill="accent2" w:themeFillTint="33"/>
          </w:tcPr>
          <w:p w:rsidR="004D7522" w:rsidRPr="00812B1D" w:rsidRDefault="004D7522" w:rsidP="004D7522">
            <w:pPr>
              <w:jc w:val="center"/>
              <w:rPr>
                <w:sz w:val="18"/>
                <w:szCs w:val="18"/>
              </w:rPr>
            </w:pPr>
            <w:r w:rsidRPr="00812B1D">
              <w:rPr>
                <w:sz w:val="18"/>
                <w:szCs w:val="18"/>
              </w:rPr>
              <w:t>.012042</w:t>
            </w:r>
          </w:p>
        </w:tc>
        <w:tc>
          <w:tcPr>
            <w:tcW w:w="718" w:type="dxa"/>
            <w:shd w:val="clear" w:color="auto" w:fill="F2DBDB" w:themeFill="accent2" w:themeFillTint="33"/>
          </w:tcPr>
          <w:p w:rsidR="004D7522" w:rsidRPr="00812B1D" w:rsidRDefault="004D7522" w:rsidP="004D7522">
            <w:pPr>
              <w:jc w:val="center"/>
              <w:rPr>
                <w:sz w:val="18"/>
                <w:szCs w:val="18"/>
              </w:rPr>
            </w:pPr>
            <w:r w:rsidRPr="00812B1D">
              <w:rPr>
                <w:sz w:val="18"/>
                <w:szCs w:val="18"/>
              </w:rPr>
              <w:t>5.08</w:t>
            </w:r>
          </w:p>
        </w:tc>
        <w:tc>
          <w:tcPr>
            <w:tcW w:w="1053" w:type="dxa"/>
            <w:shd w:val="clear" w:color="auto" w:fill="F2DBDB" w:themeFill="accent2" w:themeFillTint="33"/>
          </w:tcPr>
          <w:p w:rsidR="004D7522" w:rsidRPr="00812B1D" w:rsidRDefault="004D7522" w:rsidP="004D7522">
            <w:pPr>
              <w:jc w:val="center"/>
              <w:rPr>
                <w:sz w:val="18"/>
                <w:szCs w:val="18"/>
              </w:rPr>
            </w:pPr>
            <w:r w:rsidRPr="00812B1D">
              <w:rPr>
                <w:sz w:val="18"/>
                <w:szCs w:val="18"/>
              </w:rPr>
              <w:t>0.000</w:t>
            </w:r>
          </w:p>
        </w:tc>
        <w:tc>
          <w:tcPr>
            <w:tcW w:w="1128" w:type="dxa"/>
            <w:shd w:val="clear" w:color="auto" w:fill="F2DBDB" w:themeFill="accent2" w:themeFillTint="33"/>
          </w:tcPr>
          <w:p w:rsidR="004D7522" w:rsidRPr="00812B1D" w:rsidRDefault="004D7522" w:rsidP="004D7522">
            <w:pPr>
              <w:jc w:val="center"/>
              <w:rPr>
                <w:sz w:val="18"/>
                <w:szCs w:val="18"/>
              </w:rPr>
            </w:pPr>
            <w:r w:rsidRPr="00812B1D">
              <w:rPr>
                <w:sz w:val="18"/>
                <w:szCs w:val="18"/>
              </w:rPr>
              <w:t>1.036061</w:t>
            </w:r>
          </w:p>
        </w:tc>
        <w:tc>
          <w:tcPr>
            <w:tcW w:w="1260" w:type="dxa"/>
            <w:shd w:val="clear" w:color="auto" w:fill="F2DBDB" w:themeFill="accent2" w:themeFillTint="33"/>
          </w:tcPr>
          <w:p w:rsidR="004D7522" w:rsidRPr="00812B1D" w:rsidRDefault="004D7522" w:rsidP="004D7522">
            <w:pPr>
              <w:jc w:val="center"/>
              <w:rPr>
                <w:sz w:val="18"/>
                <w:szCs w:val="18"/>
              </w:rPr>
            </w:pPr>
            <w:r w:rsidRPr="00812B1D">
              <w:rPr>
                <w:sz w:val="18"/>
                <w:szCs w:val="18"/>
              </w:rPr>
              <w:t>1.083269</w:t>
            </w:r>
          </w:p>
        </w:tc>
        <w:tc>
          <w:tcPr>
            <w:tcW w:w="835" w:type="dxa"/>
            <w:shd w:val="clear" w:color="auto" w:fill="F2DBDB" w:themeFill="accent2" w:themeFillTint="33"/>
          </w:tcPr>
          <w:p w:rsidR="004D7522" w:rsidRPr="00BF29DD" w:rsidRDefault="004D7522" w:rsidP="004D7522">
            <w:pPr>
              <w:jc w:val="center"/>
              <w:rPr>
                <w:sz w:val="18"/>
                <w:szCs w:val="18"/>
              </w:rPr>
            </w:pPr>
          </w:p>
        </w:tc>
      </w:tr>
      <w:tr w:rsidR="004D7522" w:rsidRPr="00BF29DD" w:rsidTr="004F614C">
        <w:trPr>
          <w:jc w:val="center"/>
        </w:trPr>
        <w:tc>
          <w:tcPr>
            <w:tcW w:w="3231" w:type="dxa"/>
            <w:shd w:val="clear" w:color="auto" w:fill="F2DBDB" w:themeFill="accent2" w:themeFillTint="33"/>
          </w:tcPr>
          <w:p w:rsidR="004D7522" w:rsidRPr="00AD387E" w:rsidRDefault="004D7522" w:rsidP="004D7522">
            <w:pPr>
              <w:jc w:val="center"/>
              <w:rPr>
                <w:rFonts w:cs="Arial"/>
                <w:b/>
                <w:sz w:val="18"/>
                <w:szCs w:val="18"/>
              </w:rPr>
            </w:pPr>
            <w:r w:rsidRPr="00AD387E">
              <w:rPr>
                <w:b/>
                <w:sz w:val="18"/>
                <w:szCs w:val="18"/>
              </w:rPr>
              <w:t>Intra-operative Fio2 % (5% increase)</w:t>
            </w:r>
          </w:p>
        </w:tc>
        <w:tc>
          <w:tcPr>
            <w:tcW w:w="1064" w:type="dxa"/>
            <w:shd w:val="clear" w:color="auto" w:fill="F2DBDB" w:themeFill="accent2" w:themeFillTint="33"/>
          </w:tcPr>
          <w:p w:rsidR="004D7522" w:rsidRPr="00812B1D" w:rsidRDefault="004D7522" w:rsidP="004D7522">
            <w:pPr>
              <w:jc w:val="center"/>
              <w:rPr>
                <w:sz w:val="18"/>
                <w:szCs w:val="18"/>
              </w:rPr>
            </w:pPr>
            <w:r w:rsidRPr="00812B1D">
              <w:rPr>
                <w:sz w:val="18"/>
                <w:szCs w:val="18"/>
              </w:rPr>
              <w:t>1.08</w:t>
            </w:r>
          </w:p>
        </w:tc>
        <w:tc>
          <w:tcPr>
            <w:tcW w:w="1059" w:type="dxa"/>
            <w:shd w:val="clear" w:color="auto" w:fill="F2DBDB" w:themeFill="accent2" w:themeFillTint="33"/>
          </w:tcPr>
          <w:p w:rsidR="004D7522" w:rsidRPr="00812B1D" w:rsidRDefault="004D7522" w:rsidP="004D7522">
            <w:pPr>
              <w:jc w:val="center"/>
              <w:rPr>
                <w:sz w:val="18"/>
                <w:szCs w:val="18"/>
              </w:rPr>
            </w:pPr>
            <w:r w:rsidRPr="00812B1D">
              <w:rPr>
                <w:sz w:val="18"/>
                <w:szCs w:val="18"/>
              </w:rPr>
              <w:t>.0307192</w:t>
            </w:r>
          </w:p>
        </w:tc>
        <w:tc>
          <w:tcPr>
            <w:tcW w:w="718" w:type="dxa"/>
            <w:shd w:val="clear" w:color="auto" w:fill="F2DBDB" w:themeFill="accent2" w:themeFillTint="33"/>
          </w:tcPr>
          <w:p w:rsidR="004D7522" w:rsidRPr="00812B1D" w:rsidRDefault="004D7522" w:rsidP="004D7522">
            <w:pPr>
              <w:jc w:val="center"/>
              <w:rPr>
                <w:sz w:val="18"/>
                <w:szCs w:val="18"/>
              </w:rPr>
            </w:pPr>
            <w:r w:rsidRPr="00812B1D">
              <w:rPr>
                <w:sz w:val="18"/>
                <w:szCs w:val="18"/>
              </w:rPr>
              <w:t>2.71</w:t>
            </w:r>
          </w:p>
        </w:tc>
        <w:tc>
          <w:tcPr>
            <w:tcW w:w="1053" w:type="dxa"/>
            <w:shd w:val="clear" w:color="auto" w:fill="F2DBDB" w:themeFill="accent2" w:themeFillTint="33"/>
          </w:tcPr>
          <w:p w:rsidR="004D7522" w:rsidRPr="00812B1D" w:rsidRDefault="004D7522" w:rsidP="004D7522">
            <w:pPr>
              <w:jc w:val="center"/>
              <w:rPr>
                <w:sz w:val="18"/>
                <w:szCs w:val="18"/>
              </w:rPr>
            </w:pPr>
            <w:r w:rsidRPr="00812B1D">
              <w:rPr>
                <w:sz w:val="18"/>
                <w:szCs w:val="18"/>
              </w:rPr>
              <w:t>0.007</w:t>
            </w:r>
          </w:p>
        </w:tc>
        <w:tc>
          <w:tcPr>
            <w:tcW w:w="1128" w:type="dxa"/>
            <w:shd w:val="clear" w:color="auto" w:fill="F2DBDB" w:themeFill="accent2" w:themeFillTint="33"/>
          </w:tcPr>
          <w:p w:rsidR="004D7522" w:rsidRPr="00812B1D" w:rsidRDefault="004D7522" w:rsidP="004D7522">
            <w:pPr>
              <w:jc w:val="center"/>
              <w:rPr>
                <w:sz w:val="18"/>
                <w:szCs w:val="18"/>
              </w:rPr>
            </w:pPr>
            <w:r w:rsidRPr="00812B1D">
              <w:rPr>
                <w:sz w:val="18"/>
                <w:szCs w:val="18"/>
              </w:rPr>
              <w:t>1.021439</w:t>
            </w:r>
          </w:p>
        </w:tc>
        <w:tc>
          <w:tcPr>
            <w:tcW w:w="1260" w:type="dxa"/>
            <w:shd w:val="clear" w:color="auto" w:fill="F2DBDB" w:themeFill="accent2" w:themeFillTint="33"/>
          </w:tcPr>
          <w:p w:rsidR="004D7522" w:rsidRPr="00812B1D" w:rsidRDefault="004D7522" w:rsidP="004D7522">
            <w:pPr>
              <w:jc w:val="center"/>
              <w:rPr>
                <w:sz w:val="18"/>
                <w:szCs w:val="18"/>
              </w:rPr>
            </w:pPr>
            <w:r w:rsidRPr="00812B1D">
              <w:rPr>
                <w:sz w:val="18"/>
                <w:szCs w:val="18"/>
              </w:rPr>
              <w:t>1.141919</w:t>
            </w:r>
          </w:p>
        </w:tc>
        <w:tc>
          <w:tcPr>
            <w:tcW w:w="835" w:type="dxa"/>
            <w:shd w:val="clear" w:color="auto" w:fill="F2DBDB" w:themeFill="accent2" w:themeFillTint="33"/>
          </w:tcPr>
          <w:p w:rsidR="004D7522" w:rsidRPr="00BF29DD" w:rsidRDefault="004D7522" w:rsidP="004D7522">
            <w:pPr>
              <w:jc w:val="center"/>
              <w:rPr>
                <w:sz w:val="18"/>
                <w:szCs w:val="18"/>
              </w:rPr>
            </w:pPr>
          </w:p>
        </w:tc>
      </w:tr>
      <w:tr w:rsidR="004D7522" w:rsidRPr="00BF29DD" w:rsidTr="004F614C">
        <w:trPr>
          <w:jc w:val="center"/>
        </w:trPr>
        <w:tc>
          <w:tcPr>
            <w:tcW w:w="3231" w:type="dxa"/>
          </w:tcPr>
          <w:p w:rsidR="004D7522" w:rsidRPr="00AD387E" w:rsidRDefault="004D7522" w:rsidP="004D7522">
            <w:pPr>
              <w:jc w:val="center"/>
              <w:rPr>
                <w:b/>
                <w:sz w:val="18"/>
                <w:szCs w:val="18"/>
              </w:rPr>
            </w:pPr>
            <w:r w:rsidRPr="00AD387E">
              <w:rPr>
                <w:b/>
                <w:sz w:val="18"/>
                <w:szCs w:val="18"/>
              </w:rPr>
              <w:t>Peak inspiratory volume (&lt;=30 vs &gt;30)</w:t>
            </w:r>
          </w:p>
        </w:tc>
        <w:tc>
          <w:tcPr>
            <w:tcW w:w="1064" w:type="dxa"/>
          </w:tcPr>
          <w:p w:rsidR="004D7522" w:rsidRPr="00812B1D" w:rsidRDefault="004D7522" w:rsidP="004D7522">
            <w:pPr>
              <w:jc w:val="center"/>
              <w:rPr>
                <w:sz w:val="18"/>
                <w:szCs w:val="18"/>
              </w:rPr>
            </w:pPr>
            <w:r w:rsidRPr="00812B1D">
              <w:rPr>
                <w:sz w:val="18"/>
                <w:szCs w:val="18"/>
              </w:rPr>
              <w:t>.4700608</w:t>
            </w:r>
          </w:p>
        </w:tc>
        <w:tc>
          <w:tcPr>
            <w:tcW w:w="1059" w:type="dxa"/>
          </w:tcPr>
          <w:p w:rsidR="004D7522" w:rsidRPr="00812B1D" w:rsidRDefault="004D7522" w:rsidP="004D7522">
            <w:pPr>
              <w:jc w:val="center"/>
              <w:rPr>
                <w:sz w:val="18"/>
                <w:szCs w:val="18"/>
              </w:rPr>
            </w:pPr>
            <w:r w:rsidRPr="00812B1D">
              <w:rPr>
                <w:sz w:val="18"/>
                <w:szCs w:val="18"/>
              </w:rPr>
              <w:t>.1044671</w:t>
            </w:r>
          </w:p>
        </w:tc>
        <w:tc>
          <w:tcPr>
            <w:tcW w:w="718" w:type="dxa"/>
          </w:tcPr>
          <w:p w:rsidR="004D7522" w:rsidRPr="00812B1D" w:rsidRDefault="004D7522" w:rsidP="004D7522">
            <w:pPr>
              <w:jc w:val="center"/>
              <w:rPr>
                <w:sz w:val="18"/>
                <w:szCs w:val="18"/>
              </w:rPr>
            </w:pPr>
            <w:r w:rsidRPr="00812B1D">
              <w:rPr>
                <w:sz w:val="18"/>
                <w:szCs w:val="18"/>
              </w:rPr>
              <w:t>-3.40</w:t>
            </w:r>
          </w:p>
        </w:tc>
        <w:tc>
          <w:tcPr>
            <w:tcW w:w="1053" w:type="dxa"/>
          </w:tcPr>
          <w:p w:rsidR="004D7522" w:rsidRPr="00812B1D" w:rsidRDefault="004D7522" w:rsidP="004D7522">
            <w:pPr>
              <w:jc w:val="center"/>
              <w:rPr>
                <w:sz w:val="18"/>
                <w:szCs w:val="18"/>
              </w:rPr>
            </w:pPr>
            <w:r w:rsidRPr="00812B1D">
              <w:rPr>
                <w:sz w:val="18"/>
                <w:szCs w:val="18"/>
              </w:rPr>
              <w:t>0.001</w:t>
            </w:r>
          </w:p>
        </w:tc>
        <w:tc>
          <w:tcPr>
            <w:tcW w:w="1128" w:type="dxa"/>
          </w:tcPr>
          <w:p w:rsidR="004D7522" w:rsidRPr="00812B1D" w:rsidRDefault="004D7522" w:rsidP="004D7522">
            <w:pPr>
              <w:jc w:val="center"/>
              <w:rPr>
                <w:sz w:val="18"/>
                <w:szCs w:val="18"/>
              </w:rPr>
            </w:pPr>
            <w:r w:rsidRPr="00812B1D">
              <w:rPr>
                <w:sz w:val="18"/>
                <w:szCs w:val="18"/>
              </w:rPr>
              <w:t>.3040756</w:t>
            </w:r>
          </w:p>
        </w:tc>
        <w:tc>
          <w:tcPr>
            <w:tcW w:w="1260" w:type="dxa"/>
          </w:tcPr>
          <w:p w:rsidR="004D7522" w:rsidRPr="00812B1D" w:rsidRDefault="004D7522" w:rsidP="004D7522">
            <w:pPr>
              <w:jc w:val="center"/>
              <w:rPr>
                <w:sz w:val="18"/>
                <w:szCs w:val="18"/>
              </w:rPr>
            </w:pPr>
            <w:r w:rsidRPr="00812B1D">
              <w:rPr>
                <w:sz w:val="18"/>
                <w:szCs w:val="18"/>
              </w:rPr>
              <w:t>.7266519</w:t>
            </w:r>
          </w:p>
        </w:tc>
        <w:tc>
          <w:tcPr>
            <w:tcW w:w="835" w:type="dxa"/>
          </w:tcPr>
          <w:p w:rsidR="004D7522" w:rsidRPr="00BF29DD" w:rsidRDefault="004D7522" w:rsidP="004D7522">
            <w:pPr>
              <w:jc w:val="center"/>
              <w:rPr>
                <w:sz w:val="18"/>
                <w:szCs w:val="18"/>
              </w:rPr>
            </w:pPr>
          </w:p>
        </w:tc>
      </w:tr>
      <w:tr w:rsidR="004D7522" w:rsidRPr="00BF29DD" w:rsidTr="004F614C">
        <w:trPr>
          <w:jc w:val="center"/>
        </w:trPr>
        <w:tc>
          <w:tcPr>
            <w:tcW w:w="3231" w:type="dxa"/>
          </w:tcPr>
          <w:p w:rsidR="004D7522" w:rsidRPr="00AD387E" w:rsidRDefault="004D7522" w:rsidP="004D7522">
            <w:pPr>
              <w:jc w:val="center"/>
              <w:rPr>
                <w:b/>
                <w:sz w:val="18"/>
                <w:szCs w:val="18"/>
              </w:rPr>
            </w:pPr>
            <w:r w:rsidRPr="00AD387E">
              <w:rPr>
                <w:b/>
                <w:sz w:val="18"/>
                <w:szCs w:val="18"/>
              </w:rPr>
              <w:t>Bundle (YES vs. NO)</w:t>
            </w:r>
          </w:p>
        </w:tc>
        <w:tc>
          <w:tcPr>
            <w:tcW w:w="1064" w:type="dxa"/>
          </w:tcPr>
          <w:p w:rsidR="004D7522" w:rsidRPr="00812B1D" w:rsidRDefault="004D7522" w:rsidP="004D7522">
            <w:pPr>
              <w:jc w:val="center"/>
              <w:rPr>
                <w:sz w:val="18"/>
                <w:szCs w:val="18"/>
              </w:rPr>
            </w:pPr>
            <w:r w:rsidRPr="00812B1D">
              <w:rPr>
                <w:sz w:val="18"/>
                <w:szCs w:val="18"/>
              </w:rPr>
              <w:t>.960533</w:t>
            </w:r>
          </w:p>
        </w:tc>
        <w:tc>
          <w:tcPr>
            <w:tcW w:w="1059" w:type="dxa"/>
          </w:tcPr>
          <w:p w:rsidR="004D7522" w:rsidRPr="00812B1D" w:rsidRDefault="004D7522" w:rsidP="004D7522">
            <w:pPr>
              <w:jc w:val="center"/>
              <w:rPr>
                <w:sz w:val="18"/>
                <w:szCs w:val="18"/>
              </w:rPr>
            </w:pPr>
            <w:r w:rsidRPr="00812B1D">
              <w:rPr>
                <w:sz w:val="18"/>
                <w:szCs w:val="18"/>
              </w:rPr>
              <w:t>.1175903</w:t>
            </w:r>
          </w:p>
        </w:tc>
        <w:tc>
          <w:tcPr>
            <w:tcW w:w="718" w:type="dxa"/>
          </w:tcPr>
          <w:p w:rsidR="004D7522" w:rsidRPr="00812B1D" w:rsidRDefault="004D7522" w:rsidP="004D7522">
            <w:pPr>
              <w:jc w:val="center"/>
              <w:rPr>
                <w:sz w:val="18"/>
                <w:szCs w:val="18"/>
              </w:rPr>
            </w:pPr>
            <w:r w:rsidRPr="00812B1D">
              <w:rPr>
                <w:sz w:val="18"/>
                <w:szCs w:val="18"/>
              </w:rPr>
              <w:t>-0.33</w:t>
            </w:r>
          </w:p>
        </w:tc>
        <w:tc>
          <w:tcPr>
            <w:tcW w:w="1053" w:type="dxa"/>
          </w:tcPr>
          <w:p w:rsidR="004D7522" w:rsidRPr="00812B1D" w:rsidRDefault="004D7522" w:rsidP="004D7522">
            <w:pPr>
              <w:jc w:val="center"/>
              <w:rPr>
                <w:sz w:val="18"/>
                <w:szCs w:val="18"/>
              </w:rPr>
            </w:pPr>
            <w:r w:rsidRPr="00812B1D">
              <w:rPr>
                <w:sz w:val="18"/>
                <w:szCs w:val="18"/>
              </w:rPr>
              <w:t>0.742</w:t>
            </w:r>
          </w:p>
        </w:tc>
        <w:tc>
          <w:tcPr>
            <w:tcW w:w="1128" w:type="dxa"/>
          </w:tcPr>
          <w:p w:rsidR="004D7522" w:rsidRPr="00812B1D" w:rsidRDefault="004D7522" w:rsidP="004D7522">
            <w:pPr>
              <w:jc w:val="center"/>
              <w:rPr>
                <w:sz w:val="18"/>
                <w:szCs w:val="18"/>
              </w:rPr>
            </w:pPr>
            <w:r w:rsidRPr="00812B1D">
              <w:rPr>
                <w:sz w:val="18"/>
                <w:szCs w:val="18"/>
              </w:rPr>
              <w:t>.7556255</w:t>
            </w:r>
          </w:p>
        </w:tc>
        <w:tc>
          <w:tcPr>
            <w:tcW w:w="1260" w:type="dxa"/>
          </w:tcPr>
          <w:p w:rsidR="004D7522" w:rsidRPr="00812B1D" w:rsidRDefault="004D7522" w:rsidP="004D7522">
            <w:pPr>
              <w:jc w:val="center"/>
              <w:rPr>
                <w:sz w:val="18"/>
                <w:szCs w:val="18"/>
              </w:rPr>
            </w:pPr>
            <w:r w:rsidRPr="00812B1D">
              <w:rPr>
                <w:sz w:val="18"/>
                <w:szCs w:val="18"/>
              </w:rPr>
              <w:t>1.221007</w:t>
            </w:r>
          </w:p>
        </w:tc>
        <w:tc>
          <w:tcPr>
            <w:tcW w:w="835" w:type="dxa"/>
          </w:tcPr>
          <w:p w:rsidR="004D7522" w:rsidRPr="00BF29DD" w:rsidRDefault="004D7522" w:rsidP="004D7522">
            <w:pPr>
              <w:jc w:val="center"/>
              <w:rPr>
                <w:sz w:val="18"/>
                <w:szCs w:val="18"/>
              </w:rPr>
            </w:pPr>
          </w:p>
        </w:tc>
      </w:tr>
      <w:tr w:rsidR="004D7522" w:rsidRPr="00BF29DD" w:rsidTr="004F614C">
        <w:trPr>
          <w:jc w:val="center"/>
        </w:trPr>
        <w:tc>
          <w:tcPr>
            <w:tcW w:w="3231" w:type="dxa"/>
          </w:tcPr>
          <w:p w:rsidR="004D7522" w:rsidRPr="00AD387E" w:rsidRDefault="004D7522" w:rsidP="004D7522">
            <w:pPr>
              <w:jc w:val="center"/>
              <w:rPr>
                <w:rFonts w:cs="Arial"/>
                <w:b/>
                <w:sz w:val="18"/>
                <w:szCs w:val="18"/>
              </w:rPr>
            </w:pPr>
            <w:r w:rsidRPr="00AD387E">
              <w:rPr>
                <w:rFonts w:cs="Arial"/>
                <w:b/>
                <w:sz w:val="18"/>
                <w:szCs w:val="18"/>
              </w:rPr>
              <w:t>CONSTANT</w:t>
            </w:r>
          </w:p>
        </w:tc>
        <w:tc>
          <w:tcPr>
            <w:tcW w:w="1064" w:type="dxa"/>
          </w:tcPr>
          <w:p w:rsidR="004D7522" w:rsidRPr="00812B1D" w:rsidRDefault="004D7522" w:rsidP="004D7522">
            <w:pPr>
              <w:jc w:val="center"/>
              <w:rPr>
                <w:sz w:val="18"/>
                <w:szCs w:val="18"/>
              </w:rPr>
            </w:pPr>
            <w:r w:rsidRPr="00812B1D">
              <w:rPr>
                <w:sz w:val="18"/>
                <w:szCs w:val="18"/>
              </w:rPr>
              <w:t>.6161032</w:t>
            </w:r>
          </w:p>
        </w:tc>
        <w:tc>
          <w:tcPr>
            <w:tcW w:w="1059" w:type="dxa"/>
          </w:tcPr>
          <w:p w:rsidR="004D7522" w:rsidRPr="00812B1D" w:rsidRDefault="004D7522" w:rsidP="004D7522">
            <w:pPr>
              <w:jc w:val="center"/>
              <w:rPr>
                <w:sz w:val="18"/>
                <w:szCs w:val="18"/>
              </w:rPr>
            </w:pPr>
            <w:r w:rsidRPr="00812B1D">
              <w:rPr>
                <w:sz w:val="18"/>
                <w:szCs w:val="18"/>
              </w:rPr>
              <w:t>.1409778</w:t>
            </w:r>
          </w:p>
        </w:tc>
        <w:tc>
          <w:tcPr>
            <w:tcW w:w="718" w:type="dxa"/>
          </w:tcPr>
          <w:p w:rsidR="004D7522" w:rsidRPr="00812B1D" w:rsidRDefault="004D7522" w:rsidP="004D7522">
            <w:pPr>
              <w:jc w:val="center"/>
              <w:rPr>
                <w:sz w:val="18"/>
                <w:szCs w:val="18"/>
              </w:rPr>
            </w:pPr>
            <w:r w:rsidRPr="00812B1D">
              <w:rPr>
                <w:sz w:val="18"/>
                <w:szCs w:val="18"/>
              </w:rPr>
              <w:t>-2.12</w:t>
            </w:r>
          </w:p>
        </w:tc>
        <w:tc>
          <w:tcPr>
            <w:tcW w:w="1053" w:type="dxa"/>
          </w:tcPr>
          <w:p w:rsidR="004D7522" w:rsidRPr="00812B1D" w:rsidRDefault="004D7522" w:rsidP="004D7522">
            <w:pPr>
              <w:jc w:val="center"/>
              <w:rPr>
                <w:sz w:val="18"/>
                <w:szCs w:val="18"/>
              </w:rPr>
            </w:pPr>
            <w:r w:rsidRPr="00812B1D">
              <w:rPr>
                <w:sz w:val="18"/>
                <w:szCs w:val="18"/>
              </w:rPr>
              <w:t>0.034</w:t>
            </w:r>
          </w:p>
        </w:tc>
        <w:tc>
          <w:tcPr>
            <w:tcW w:w="1128" w:type="dxa"/>
          </w:tcPr>
          <w:p w:rsidR="004D7522" w:rsidRPr="00812B1D" w:rsidRDefault="004D7522" w:rsidP="004D7522">
            <w:pPr>
              <w:jc w:val="center"/>
              <w:rPr>
                <w:sz w:val="18"/>
                <w:szCs w:val="18"/>
              </w:rPr>
            </w:pPr>
            <w:r w:rsidRPr="00812B1D">
              <w:rPr>
                <w:sz w:val="18"/>
                <w:szCs w:val="18"/>
              </w:rPr>
              <w:t>.3934413</w:t>
            </w:r>
          </w:p>
        </w:tc>
        <w:tc>
          <w:tcPr>
            <w:tcW w:w="1260" w:type="dxa"/>
          </w:tcPr>
          <w:p w:rsidR="004D7522" w:rsidRPr="00812B1D" w:rsidRDefault="004D7522" w:rsidP="004D7522">
            <w:pPr>
              <w:jc w:val="center"/>
              <w:rPr>
                <w:sz w:val="18"/>
                <w:szCs w:val="18"/>
              </w:rPr>
            </w:pPr>
            <w:r w:rsidRPr="00812B1D">
              <w:rPr>
                <w:sz w:val="18"/>
                <w:szCs w:val="18"/>
              </w:rPr>
              <w:t>.964777</w:t>
            </w:r>
          </w:p>
        </w:tc>
        <w:tc>
          <w:tcPr>
            <w:tcW w:w="835" w:type="dxa"/>
          </w:tcPr>
          <w:p w:rsidR="004D7522" w:rsidRPr="00BF29DD" w:rsidRDefault="004D7522" w:rsidP="004D7522">
            <w:pPr>
              <w:jc w:val="center"/>
              <w:rPr>
                <w:sz w:val="18"/>
                <w:szCs w:val="18"/>
              </w:rPr>
            </w:pPr>
          </w:p>
        </w:tc>
      </w:tr>
    </w:tbl>
    <w:p w:rsidR="0036779B" w:rsidRPr="00D05FFA" w:rsidRDefault="00014BF3" w:rsidP="0032223D">
      <w:pPr>
        <w:spacing w:line="360" w:lineRule="auto"/>
        <w:rPr>
          <w:rFonts w:ascii="Times New Roman" w:hAnsi="Times New Roman" w:cs="Times New Roman"/>
          <w:sz w:val="24"/>
          <w:szCs w:val="24"/>
        </w:rPr>
      </w:pPr>
      <w:r>
        <w:rPr>
          <w:rFonts w:ascii="Times New Roman" w:hAnsi="Times New Roman" w:cs="Times New Roman"/>
          <w:sz w:val="24"/>
          <w:szCs w:val="24"/>
        </w:rPr>
        <w:t xml:space="preserve">Table 1: Extreme scenarios for missing values of the bundle. The estimates do not change and the adjusted p-value for the association between the bundle and PPC  </w:t>
      </w:r>
    </w:p>
    <w:sectPr w:rsidR="0036779B" w:rsidRPr="00D05F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5A"/>
    <w:rsid w:val="00014BF3"/>
    <w:rsid w:val="00176C80"/>
    <w:rsid w:val="002C3041"/>
    <w:rsid w:val="0032223D"/>
    <w:rsid w:val="0033321C"/>
    <w:rsid w:val="003624F1"/>
    <w:rsid w:val="0036779B"/>
    <w:rsid w:val="00370810"/>
    <w:rsid w:val="00370907"/>
    <w:rsid w:val="003D67D7"/>
    <w:rsid w:val="004C3194"/>
    <w:rsid w:val="004D7522"/>
    <w:rsid w:val="004F0FFB"/>
    <w:rsid w:val="00506E5D"/>
    <w:rsid w:val="005F3531"/>
    <w:rsid w:val="00600F5A"/>
    <w:rsid w:val="0065373E"/>
    <w:rsid w:val="007657FD"/>
    <w:rsid w:val="007F7FC1"/>
    <w:rsid w:val="00812B1D"/>
    <w:rsid w:val="00841879"/>
    <w:rsid w:val="00867E30"/>
    <w:rsid w:val="00891EA8"/>
    <w:rsid w:val="008C2CC5"/>
    <w:rsid w:val="008F525A"/>
    <w:rsid w:val="008F7EE9"/>
    <w:rsid w:val="009E15E6"/>
    <w:rsid w:val="00A4137A"/>
    <w:rsid w:val="00A56B81"/>
    <w:rsid w:val="00A61425"/>
    <w:rsid w:val="00AC4DBF"/>
    <w:rsid w:val="00C8376D"/>
    <w:rsid w:val="00D05FFA"/>
    <w:rsid w:val="00D23508"/>
    <w:rsid w:val="00E02436"/>
    <w:rsid w:val="00E454A1"/>
    <w:rsid w:val="00E54FB3"/>
    <w:rsid w:val="00E64622"/>
    <w:rsid w:val="00E7588A"/>
    <w:rsid w:val="00F61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56F94D-E45F-453F-87A3-7ACD41E5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525A"/>
    <w:rPr>
      <w:sz w:val="16"/>
      <w:szCs w:val="16"/>
    </w:rPr>
  </w:style>
  <w:style w:type="paragraph" w:styleId="CommentText">
    <w:name w:val="annotation text"/>
    <w:basedOn w:val="Normal"/>
    <w:link w:val="CommentTextChar"/>
    <w:uiPriority w:val="99"/>
    <w:semiHidden/>
    <w:unhideWhenUsed/>
    <w:rsid w:val="008F525A"/>
    <w:pPr>
      <w:spacing w:line="240" w:lineRule="auto"/>
    </w:pPr>
    <w:rPr>
      <w:sz w:val="20"/>
      <w:szCs w:val="20"/>
    </w:rPr>
  </w:style>
  <w:style w:type="character" w:customStyle="1" w:styleId="CommentTextChar">
    <w:name w:val="Comment Text Char"/>
    <w:basedOn w:val="DefaultParagraphFont"/>
    <w:link w:val="CommentText"/>
    <w:uiPriority w:val="99"/>
    <w:semiHidden/>
    <w:rsid w:val="008F525A"/>
    <w:rPr>
      <w:sz w:val="20"/>
      <w:szCs w:val="20"/>
    </w:rPr>
  </w:style>
  <w:style w:type="paragraph" w:styleId="BalloonText">
    <w:name w:val="Balloon Text"/>
    <w:basedOn w:val="Normal"/>
    <w:link w:val="BalloonTextChar"/>
    <w:uiPriority w:val="99"/>
    <w:semiHidden/>
    <w:unhideWhenUsed/>
    <w:rsid w:val="008F5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25A"/>
    <w:rPr>
      <w:rFonts w:ascii="Tahoma" w:hAnsi="Tahoma" w:cs="Tahoma"/>
      <w:sz w:val="16"/>
      <w:szCs w:val="16"/>
    </w:rPr>
  </w:style>
  <w:style w:type="character" w:styleId="Emphasis">
    <w:name w:val="Emphasis"/>
    <w:basedOn w:val="DefaultParagraphFont"/>
    <w:uiPriority w:val="20"/>
    <w:qFormat/>
    <w:rsid w:val="00E64622"/>
    <w:rPr>
      <w:i/>
      <w:iCs/>
    </w:rPr>
  </w:style>
  <w:style w:type="table" w:styleId="TableGrid">
    <w:name w:val="Table Grid"/>
    <w:basedOn w:val="TableNormal"/>
    <w:uiPriority w:val="39"/>
    <w:rsid w:val="00367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Chis Ster</dc:creator>
  <cp:lastModifiedBy>Irina Chis Ster</cp:lastModifiedBy>
  <cp:revision>4</cp:revision>
  <dcterms:created xsi:type="dcterms:W3CDTF">2018-03-19T10:23:00Z</dcterms:created>
  <dcterms:modified xsi:type="dcterms:W3CDTF">2018-03-29T16:50:00Z</dcterms:modified>
</cp:coreProperties>
</file>