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A2C9A" w14:textId="107EF205" w:rsidR="00F3176D" w:rsidRPr="00320732" w:rsidRDefault="00DA358A" w:rsidP="00320732">
      <w:pPr>
        <w:pStyle w:val="Title"/>
      </w:pPr>
      <w:bookmarkStart w:id="0" w:name="_Hlk498892841"/>
      <w:r>
        <w:t xml:space="preserve">Reliability evaluation of </w:t>
      </w:r>
      <w:r w:rsidR="00F3176D" w:rsidRPr="00320732">
        <w:t>inter-eminence line</w:t>
      </w:r>
      <w:r>
        <w:t>, A</w:t>
      </w:r>
      <w:r w:rsidR="00F3176D" w:rsidRPr="00320732">
        <w:t>kagi and Dalury line</w:t>
      </w:r>
      <w:r w:rsidR="00320732">
        <w:t>s</w:t>
      </w:r>
      <w:r w:rsidR="00F3176D" w:rsidRPr="00320732">
        <w:t xml:space="preserve"> for i</w:t>
      </w:r>
      <w:r w:rsidR="00320732">
        <w:t>ntraoperative tibial rotation: An osteology-</w:t>
      </w:r>
      <w:r w:rsidR="00F3176D" w:rsidRPr="00320732">
        <w:t>based study</w:t>
      </w:r>
      <w:bookmarkEnd w:id="0"/>
    </w:p>
    <w:p w14:paraId="342DD9C0" w14:textId="77777777" w:rsidR="00F3176D" w:rsidRPr="00320732" w:rsidRDefault="00F3176D" w:rsidP="00895AF8">
      <w:pPr>
        <w:spacing w:line="480" w:lineRule="auto"/>
        <w:jc w:val="both"/>
        <w:rPr>
          <w:b/>
        </w:rPr>
      </w:pPr>
    </w:p>
    <w:p w14:paraId="5E07715E" w14:textId="77777777" w:rsidR="00895AF8" w:rsidRPr="00320732" w:rsidRDefault="00895AF8" w:rsidP="00895AF8">
      <w:pPr>
        <w:spacing w:line="480" w:lineRule="auto"/>
        <w:jc w:val="both"/>
      </w:pPr>
    </w:p>
    <w:p w14:paraId="1497C923" w14:textId="1AC28E32" w:rsidR="00895AF8" w:rsidRPr="00440121" w:rsidRDefault="00895AF8" w:rsidP="00320732">
      <w:pPr>
        <w:spacing w:line="360" w:lineRule="auto"/>
        <w:jc w:val="center"/>
        <w:rPr>
          <w:vertAlign w:val="superscript"/>
        </w:rPr>
      </w:pPr>
      <w:r w:rsidRPr="00320732">
        <w:t>Rhodri</w:t>
      </w:r>
      <w:r w:rsidR="00320732" w:rsidRPr="00320732">
        <w:t xml:space="preserve"> Williams </w:t>
      </w:r>
      <w:r w:rsidR="00320732" w:rsidRPr="00320732">
        <w:rPr>
          <w:vertAlign w:val="superscript"/>
        </w:rPr>
        <w:t>a</w:t>
      </w:r>
      <w:r w:rsidR="00320732" w:rsidRPr="00320732">
        <w:t xml:space="preserve">, </w:t>
      </w:r>
      <w:r w:rsidRPr="00320732">
        <w:t>Amal</w:t>
      </w:r>
      <w:r w:rsidR="00320732" w:rsidRPr="00320732">
        <w:t xml:space="preserve"> Thomas </w:t>
      </w:r>
      <w:r w:rsidR="00320732" w:rsidRPr="00320732">
        <w:rPr>
          <w:vertAlign w:val="superscript"/>
        </w:rPr>
        <w:t>b</w:t>
      </w:r>
      <w:r w:rsidR="00320732" w:rsidRPr="00320732">
        <w:t xml:space="preserve">, </w:t>
      </w:r>
      <w:r w:rsidRPr="00320732">
        <w:t>Stefan</w:t>
      </w:r>
      <w:r w:rsidR="00320732" w:rsidRPr="00320732">
        <w:t xml:space="preserve"> Bajada </w:t>
      </w:r>
      <w:r w:rsidR="00320732" w:rsidRPr="00320732">
        <w:rPr>
          <w:vertAlign w:val="superscript"/>
        </w:rPr>
        <w:t>a</w:t>
      </w:r>
      <w:r w:rsidR="00320732">
        <w:rPr>
          <w:vertAlign w:val="superscript"/>
        </w:rPr>
        <w:t>,</w:t>
      </w:r>
      <w:r w:rsidR="00320732">
        <w:t>*</w:t>
      </w:r>
      <w:r w:rsidR="00320732" w:rsidRPr="00320732">
        <w:t xml:space="preserve">, </w:t>
      </w:r>
      <w:r w:rsidRPr="00320732">
        <w:t>Tony</w:t>
      </w:r>
      <w:r w:rsidR="00320732" w:rsidRPr="00320732">
        <w:t xml:space="preserve"> Antonios </w:t>
      </w:r>
      <w:r w:rsidR="00320732" w:rsidRPr="00320732">
        <w:rPr>
          <w:vertAlign w:val="superscript"/>
        </w:rPr>
        <w:t>b</w:t>
      </w:r>
      <w:r w:rsidR="00320732" w:rsidRPr="00320732">
        <w:t xml:space="preserve">, </w:t>
      </w:r>
      <w:r w:rsidRPr="00320732">
        <w:t>Rhydian</w:t>
      </w:r>
      <w:r w:rsidR="00320732" w:rsidRPr="00320732">
        <w:t xml:space="preserve"> Morgan-Jones </w:t>
      </w:r>
      <w:r w:rsidR="00320732" w:rsidRPr="00320732">
        <w:rPr>
          <w:vertAlign w:val="superscript"/>
        </w:rPr>
        <w:t>c</w:t>
      </w:r>
      <w:r w:rsidR="00320732" w:rsidRPr="00320732">
        <w:t>,</w:t>
      </w:r>
      <w:r w:rsidRPr="00320732">
        <w:t xml:space="preserve"> Jelena</w:t>
      </w:r>
      <w:r w:rsidR="00320732" w:rsidRPr="00320732">
        <w:t xml:space="preserve"> Bekvalac </w:t>
      </w:r>
      <w:r w:rsidR="00320732" w:rsidRPr="00320732">
        <w:rPr>
          <w:vertAlign w:val="superscript"/>
        </w:rPr>
        <w:t>d</w:t>
      </w:r>
      <w:r w:rsidR="00320732" w:rsidRPr="00320732">
        <w:t xml:space="preserve">, </w:t>
      </w:r>
      <w:r w:rsidRPr="00320732">
        <w:t>Philip</w:t>
      </w:r>
      <w:r w:rsidR="00440121">
        <w:t xml:space="preserve"> Adds</w:t>
      </w:r>
      <w:r w:rsidR="00440121">
        <w:rPr>
          <w:vertAlign w:val="superscript"/>
        </w:rPr>
        <w:t>b</w:t>
      </w:r>
    </w:p>
    <w:p w14:paraId="0A149958" w14:textId="77777777" w:rsidR="00320732" w:rsidRPr="00320732" w:rsidRDefault="00320732" w:rsidP="00320732">
      <w:pPr>
        <w:spacing w:line="360" w:lineRule="auto"/>
        <w:jc w:val="center"/>
        <w:rPr>
          <w:vertAlign w:val="superscript"/>
        </w:rPr>
      </w:pPr>
    </w:p>
    <w:p w14:paraId="1E0C01D5" w14:textId="10CAECA1" w:rsidR="00895AF8" w:rsidRPr="00320732" w:rsidRDefault="00320732" w:rsidP="00320732">
      <w:pPr>
        <w:spacing w:line="360" w:lineRule="auto"/>
        <w:ind w:left="360"/>
        <w:jc w:val="both"/>
      </w:pPr>
      <w:commentRangeStart w:id="1"/>
      <w:proofErr w:type="gramStart"/>
      <w:r>
        <w:rPr>
          <w:vertAlign w:val="superscript"/>
        </w:rPr>
        <w:t>a</w:t>
      </w:r>
      <w:proofErr w:type="gramEnd"/>
      <w:r>
        <w:rPr>
          <w:vertAlign w:val="superscript"/>
        </w:rPr>
        <w:t xml:space="preserve"> </w:t>
      </w:r>
      <w:r w:rsidR="00895AF8" w:rsidRPr="00320732">
        <w:t>Hywel Dda University NHS Heal</w:t>
      </w:r>
      <w:r>
        <w:t>th Board, Wales, United Kingdom</w:t>
      </w:r>
    </w:p>
    <w:p w14:paraId="4DAF121C" w14:textId="53E4A146" w:rsidR="00895AF8" w:rsidRPr="00320732" w:rsidRDefault="00320732" w:rsidP="00320732">
      <w:pPr>
        <w:spacing w:line="360" w:lineRule="auto"/>
        <w:ind w:left="360"/>
        <w:jc w:val="both"/>
      </w:pPr>
      <w:proofErr w:type="gramStart"/>
      <w:r>
        <w:rPr>
          <w:vertAlign w:val="superscript"/>
        </w:rPr>
        <w:t>b</w:t>
      </w:r>
      <w:proofErr w:type="gramEnd"/>
      <w:r>
        <w:rPr>
          <w:vertAlign w:val="superscript"/>
        </w:rPr>
        <w:t xml:space="preserve"> </w:t>
      </w:r>
      <w:r w:rsidR="00895AF8" w:rsidRPr="00320732">
        <w:t>Institute of Medical and Biomedical Education (Anatomy)</w:t>
      </w:r>
      <w:r w:rsidR="00895AF8" w:rsidRPr="00320732">
        <w:rPr>
          <w:color w:val="000000"/>
        </w:rPr>
        <w:t>, St George's University of London, London, United Kingdom</w:t>
      </w:r>
    </w:p>
    <w:p w14:paraId="50568BD2" w14:textId="63152C5B" w:rsidR="00895AF8" w:rsidRPr="00320732" w:rsidRDefault="00320732" w:rsidP="00320732">
      <w:pPr>
        <w:spacing w:line="360" w:lineRule="auto"/>
        <w:ind w:left="360"/>
        <w:jc w:val="both"/>
      </w:pPr>
      <w:proofErr w:type="gramStart"/>
      <w:r>
        <w:rPr>
          <w:vertAlign w:val="superscript"/>
        </w:rPr>
        <w:t>c</w:t>
      </w:r>
      <w:proofErr w:type="gramEnd"/>
      <w:r>
        <w:rPr>
          <w:vertAlign w:val="superscript"/>
        </w:rPr>
        <w:t xml:space="preserve"> </w:t>
      </w:r>
      <w:r w:rsidR="00895AF8" w:rsidRPr="00320732">
        <w:t>Cardiff and Vale NHS University Health Board, Wales, United Kingdom</w:t>
      </w:r>
    </w:p>
    <w:p w14:paraId="233ED45A" w14:textId="30657D8D" w:rsidR="00895AF8" w:rsidRPr="00320732" w:rsidRDefault="00320732" w:rsidP="00320732">
      <w:pPr>
        <w:spacing w:line="360" w:lineRule="auto"/>
        <w:ind w:left="360"/>
        <w:jc w:val="both"/>
      </w:pPr>
      <w:proofErr w:type="gramStart"/>
      <w:r>
        <w:rPr>
          <w:vertAlign w:val="superscript"/>
        </w:rPr>
        <w:t>d</w:t>
      </w:r>
      <w:proofErr w:type="gramEnd"/>
      <w:r>
        <w:rPr>
          <w:vertAlign w:val="superscript"/>
        </w:rPr>
        <w:t xml:space="preserve"> </w:t>
      </w:r>
      <w:r w:rsidR="00895AF8" w:rsidRPr="00320732">
        <w:t>Centre for Human Bioarchaeology, Museum of</w:t>
      </w:r>
      <w:r>
        <w:t xml:space="preserve"> London, London, United Kingdom</w:t>
      </w:r>
    </w:p>
    <w:commentRangeEnd w:id="1"/>
    <w:p w14:paraId="3C654B1A" w14:textId="77777777" w:rsidR="00895AF8" w:rsidRPr="00320732" w:rsidRDefault="00320732" w:rsidP="00895AF8">
      <w:pPr>
        <w:spacing w:line="360" w:lineRule="auto"/>
        <w:ind w:firstLine="360"/>
        <w:jc w:val="both"/>
      </w:pPr>
      <w:r>
        <w:rPr>
          <w:rStyle w:val="CommentReference"/>
        </w:rPr>
        <w:commentReference w:id="1"/>
      </w:r>
    </w:p>
    <w:p w14:paraId="14FEE616" w14:textId="77777777" w:rsidR="00895AF8" w:rsidRPr="00320732" w:rsidRDefault="00895AF8" w:rsidP="00895AF8">
      <w:pPr>
        <w:spacing w:line="360" w:lineRule="auto"/>
        <w:jc w:val="both"/>
      </w:pPr>
    </w:p>
    <w:p w14:paraId="11CD91F7" w14:textId="77777777" w:rsidR="00895AF8" w:rsidRPr="00320732" w:rsidRDefault="00895AF8" w:rsidP="00895AF8">
      <w:pPr>
        <w:spacing w:line="480" w:lineRule="auto"/>
        <w:jc w:val="both"/>
        <w:rPr>
          <w:b/>
        </w:rPr>
      </w:pPr>
    </w:p>
    <w:p w14:paraId="16657E82" w14:textId="77777777" w:rsidR="00895AF8" w:rsidRPr="00320732" w:rsidRDefault="00895AF8" w:rsidP="00895AF8">
      <w:pPr>
        <w:spacing w:line="480" w:lineRule="auto"/>
        <w:jc w:val="both"/>
      </w:pPr>
    </w:p>
    <w:p w14:paraId="19CD538A" w14:textId="77777777" w:rsidR="00DA358A" w:rsidRDefault="00320732" w:rsidP="00895AF8">
      <w:pPr>
        <w:spacing w:line="480" w:lineRule="auto"/>
        <w:jc w:val="both"/>
      </w:pPr>
      <w:r>
        <w:rPr>
          <w:b/>
        </w:rPr>
        <w:t>*Corresponding a</w:t>
      </w:r>
      <w:r w:rsidR="00895AF8" w:rsidRPr="00320732">
        <w:rPr>
          <w:b/>
        </w:rPr>
        <w:t>uthor</w:t>
      </w:r>
      <w:r>
        <w:t xml:space="preserve">. </w:t>
      </w:r>
      <w:r w:rsidR="00DA358A" w:rsidRPr="00DA358A">
        <w:t>Prince Philip Hospital, Hywel Dda University NHS Health Board</w:t>
      </w:r>
      <w:r w:rsidR="00DA358A" w:rsidRPr="00DA358A">
        <w:rPr>
          <w:rStyle w:val="xbe"/>
          <w:color w:val="222222"/>
        </w:rPr>
        <w:t xml:space="preserve"> Bryngwyn Mawr, Dafen, Llanelli, SA14 8Q</w:t>
      </w:r>
      <w:r w:rsidRPr="00DA358A">
        <w:t xml:space="preserve">, Wales, United Kingdom. </w:t>
      </w:r>
    </w:p>
    <w:p w14:paraId="4EB30988" w14:textId="27AFECFD" w:rsidR="00895AF8" w:rsidRPr="00320732" w:rsidRDefault="00320732" w:rsidP="00895AF8">
      <w:pPr>
        <w:spacing w:line="480" w:lineRule="auto"/>
        <w:jc w:val="both"/>
      </w:pPr>
      <w:r w:rsidRPr="00DA358A">
        <w:t>Tel.:</w:t>
      </w:r>
      <w:r w:rsidR="00DA358A" w:rsidRPr="00DA358A">
        <w:rPr>
          <w:rStyle w:val="CommentReference"/>
          <w:color w:val="222222"/>
          <w:sz w:val="24"/>
          <w:szCs w:val="24"/>
        </w:rPr>
        <w:t xml:space="preserve"> </w:t>
      </w:r>
      <w:r w:rsidR="00DA358A">
        <w:rPr>
          <w:rStyle w:val="CommentReference"/>
          <w:color w:val="222222"/>
          <w:sz w:val="24"/>
          <w:szCs w:val="24"/>
        </w:rPr>
        <w:t xml:space="preserve">+0044 </w:t>
      </w:r>
      <w:r w:rsidR="00DA358A" w:rsidRPr="00DA358A">
        <w:rPr>
          <w:rStyle w:val="xbe"/>
          <w:color w:val="222222"/>
        </w:rPr>
        <w:t>1554 756567</w:t>
      </w:r>
      <w:r w:rsidR="00FD7D9E">
        <w:t xml:space="preserve"> </w:t>
      </w:r>
    </w:p>
    <w:p w14:paraId="45818B1C" w14:textId="2E6DF5C8" w:rsidR="001F1D62" w:rsidRPr="00320732" w:rsidRDefault="00320732" w:rsidP="00895AF8">
      <w:pPr>
        <w:spacing w:line="480" w:lineRule="auto"/>
        <w:jc w:val="both"/>
      </w:pPr>
      <w:r w:rsidRPr="00320732">
        <w:rPr>
          <w:i/>
        </w:rPr>
        <w:t xml:space="preserve">E-mail address: </w:t>
      </w:r>
      <w:hyperlink r:id="rId7" w:history="1">
        <w:r w:rsidRPr="00812131">
          <w:rPr>
            <w:rStyle w:val="Hyperlink"/>
          </w:rPr>
          <w:t>stefan_bajada@yahoo.com</w:t>
        </w:r>
      </w:hyperlink>
      <w:r>
        <w:t xml:space="preserve"> (Dr Stefan Bajada)</w:t>
      </w:r>
    </w:p>
    <w:p w14:paraId="6413BB7C" w14:textId="77777777" w:rsidR="00895AF8" w:rsidRPr="00320732" w:rsidRDefault="00895AF8" w:rsidP="00895AF8">
      <w:pPr>
        <w:spacing w:line="480" w:lineRule="auto"/>
        <w:jc w:val="both"/>
      </w:pPr>
    </w:p>
    <w:p w14:paraId="640C623B" w14:textId="77777777" w:rsidR="00895AF8" w:rsidRPr="00320732" w:rsidRDefault="00895AF8" w:rsidP="00895AF8">
      <w:pPr>
        <w:spacing w:line="480" w:lineRule="auto"/>
        <w:jc w:val="both"/>
      </w:pPr>
    </w:p>
    <w:p w14:paraId="4A2157A3" w14:textId="77777777" w:rsidR="00895AF8" w:rsidRPr="00320732" w:rsidRDefault="00895AF8" w:rsidP="00895AF8">
      <w:pPr>
        <w:spacing w:line="480" w:lineRule="auto"/>
        <w:jc w:val="both"/>
      </w:pPr>
    </w:p>
    <w:p w14:paraId="7C2BD8C2" w14:textId="77777777" w:rsidR="00895AF8" w:rsidRPr="00320732" w:rsidRDefault="00895AF8" w:rsidP="00895AF8">
      <w:pPr>
        <w:spacing w:line="480" w:lineRule="auto"/>
        <w:jc w:val="both"/>
      </w:pPr>
    </w:p>
    <w:p w14:paraId="392794CC" w14:textId="77777777" w:rsidR="00895AF8" w:rsidRPr="00320732" w:rsidRDefault="00895AF8" w:rsidP="00895AF8">
      <w:pPr>
        <w:spacing w:line="480" w:lineRule="auto"/>
        <w:jc w:val="both"/>
      </w:pPr>
    </w:p>
    <w:p w14:paraId="67800027" w14:textId="416128B3" w:rsidR="00895AF8" w:rsidRPr="00320732" w:rsidRDefault="00320732" w:rsidP="00320732">
      <w:pPr>
        <w:pStyle w:val="Heading1"/>
        <w:rPr>
          <w:rFonts w:ascii="Times New Roman" w:hAnsi="Times New Roman" w:cs="Times New Roman"/>
          <w:sz w:val="24"/>
          <w:szCs w:val="24"/>
        </w:rPr>
      </w:pPr>
      <w:r>
        <w:t>Abstract</w:t>
      </w:r>
    </w:p>
    <w:p w14:paraId="7C44F711" w14:textId="31BBED48" w:rsidR="00895AF8" w:rsidRPr="00320732" w:rsidRDefault="00895AF8" w:rsidP="00895AF8">
      <w:pPr>
        <w:spacing w:line="480" w:lineRule="auto"/>
        <w:jc w:val="both"/>
        <w:rPr>
          <w:b/>
          <w:bCs/>
        </w:rPr>
      </w:pPr>
      <w:r w:rsidRPr="00320732">
        <w:rPr>
          <w:b/>
          <w:bCs/>
        </w:rPr>
        <w:t>Background:</w:t>
      </w:r>
      <w:r w:rsidR="00320732">
        <w:rPr>
          <w:b/>
          <w:bCs/>
        </w:rPr>
        <w:t xml:space="preserve"> </w:t>
      </w:r>
      <w:r w:rsidRPr="00320732">
        <w:t>Thi</w:t>
      </w:r>
      <w:r w:rsidR="00320732">
        <w:t>s large osteology study examined</w:t>
      </w:r>
      <w:r w:rsidRPr="00320732">
        <w:t xml:space="preserve"> the reliability, reproducibility and correlation between previously described tibia</w:t>
      </w:r>
      <w:r w:rsidR="00B16BE6">
        <w:t>l</w:t>
      </w:r>
      <w:r w:rsidRPr="00320732">
        <w:t xml:space="preserve"> tray rotation alignment lines (including A</w:t>
      </w:r>
      <w:r w:rsidR="00172A59" w:rsidRPr="00320732">
        <w:t>kagi</w:t>
      </w:r>
      <w:r w:rsidRPr="00320732">
        <w:t xml:space="preserve"> and Dalury lines).</w:t>
      </w:r>
      <w:r w:rsidR="00FD7D9E">
        <w:t xml:space="preserve"> </w:t>
      </w:r>
      <w:r w:rsidRPr="00320732">
        <w:t xml:space="preserve">In addition, </w:t>
      </w:r>
      <w:r w:rsidR="00320732">
        <w:t xml:space="preserve">it described </w:t>
      </w:r>
      <w:r w:rsidRPr="00320732">
        <w:t xml:space="preserve">a </w:t>
      </w:r>
      <w:r w:rsidR="00320732">
        <w:t>novel inter-eminence line utilis</w:t>
      </w:r>
      <w:r w:rsidRPr="00320732">
        <w:t>ing the tibial plateau inter-condylar emin</w:t>
      </w:r>
      <w:r w:rsidR="00320732">
        <w:t>ences as a landmark</w:t>
      </w:r>
      <w:r w:rsidRPr="00320732">
        <w:t xml:space="preserve">. </w:t>
      </w:r>
    </w:p>
    <w:p w14:paraId="7CC737CA" w14:textId="77777777" w:rsidR="00895AF8" w:rsidRPr="00320732" w:rsidRDefault="00895AF8" w:rsidP="00895AF8">
      <w:pPr>
        <w:spacing w:line="480" w:lineRule="auto"/>
        <w:jc w:val="both"/>
      </w:pPr>
    </w:p>
    <w:p w14:paraId="7B2A0BB8" w14:textId="199B30A0" w:rsidR="00895AF8" w:rsidRPr="00FD7D9E" w:rsidRDefault="00FD7D9E" w:rsidP="00895AF8">
      <w:pPr>
        <w:spacing w:line="480" w:lineRule="auto"/>
        <w:jc w:val="both"/>
        <w:rPr>
          <w:b/>
          <w:bCs/>
        </w:rPr>
      </w:pPr>
      <w:r w:rsidRPr="00320732">
        <w:rPr>
          <w:b/>
          <w:bCs/>
        </w:rPr>
        <w:t>Methods:</w:t>
      </w:r>
      <w:r>
        <w:rPr>
          <w:b/>
          <w:bCs/>
        </w:rPr>
        <w:t xml:space="preserve"> </w:t>
      </w:r>
      <w:r w:rsidRPr="00FD7D9E">
        <w:rPr>
          <w:bCs/>
        </w:rPr>
        <w:t>A total of</w:t>
      </w:r>
      <w:r>
        <w:rPr>
          <w:b/>
          <w:bCs/>
        </w:rPr>
        <w:t xml:space="preserve"> </w:t>
      </w:r>
      <w:r w:rsidR="00895AF8" w:rsidRPr="00320732">
        <w:t>214 post-medieval</w:t>
      </w:r>
      <w:r w:rsidR="00172A59" w:rsidRPr="00320732">
        <w:t xml:space="preserve"> (18</w:t>
      </w:r>
      <w:r w:rsidRPr="00FD7D9E">
        <w:t>-</w:t>
      </w:r>
      <w:r w:rsidR="00172A59" w:rsidRPr="00320732">
        <w:t>19</w:t>
      </w:r>
      <w:r w:rsidR="00172A59" w:rsidRPr="00320732">
        <w:rPr>
          <w:vertAlign w:val="superscript"/>
        </w:rPr>
        <w:t>th</w:t>
      </w:r>
      <w:r w:rsidR="00172A59" w:rsidRPr="00320732">
        <w:t xml:space="preserve"> century)</w:t>
      </w:r>
      <w:r w:rsidR="00895AF8" w:rsidRPr="00320732">
        <w:t xml:space="preserve"> skeletal tibia</w:t>
      </w:r>
      <w:r>
        <w:t xml:space="preserve"> were examined. The inter/intra-</w:t>
      </w:r>
      <w:r w:rsidR="00895AF8" w:rsidRPr="00320732">
        <w:t xml:space="preserve">observer variation and correlation between reference lines was measured. </w:t>
      </w:r>
    </w:p>
    <w:p w14:paraId="17108816" w14:textId="77777777" w:rsidR="00895AF8" w:rsidRPr="00320732" w:rsidRDefault="00895AF8" w:rsidP="00895AF8">
      <w:pPr>
        <w:spacing w:line="480" w:lineRule="auto"/>
        <w:jc w:val="both"/>
      </w:pPr>
    </w:p>
    <w:p w14:paraId="197E6902" w14:textId="078DAD65" w:rsidR="00895AF8" w:rsidRPr="00FD7D9E" w:rsidRDefault="00FD7D9E" w:rsidP="00895AF8">
      <w:pPr>
        <w:spacing w:line="480" w:lineRule="auto"/>
        <w:jc w:val="both"/>
        <w:outlineLvl w:val="0"/>
        <w:rPr>
          <w:b/>
          <w:bCs/>
        </w:rPr>
      </w:pPr>
      <w:r w:rsidRPr="00320732">
        <w:rPr>
          <w:b/>
          <w:bCs/>
        </w:rPr>
        <w:t>Results:</w:t>
      </w:r>
      <w:r>
        <w:rPr>
          <w:b/>
          <w:bCs/>
        </w:rPr>
        <w:t xml:space="preserve"> </w:t>
      </w:r>
      <w:r w:rsidR="00B16BE6" w:rsidRPr="00B16BE6">
        <w:t>I</w:t>
      </w:r>
      <w:r w:rsidR="00895AF8" w:rsidRPr="00320732">
        <w:t>nter-observer repro</w:t>
      </w:r>
      <w:r>
        <w:t>ducibility was excellent and no</w:t>
      </w:r>
      <w:r w:rsidR="00895AF8" w:rsidRPr="00320732">
        <w:t xml:space="preserve"> different between </w:t>
      </w:r>
      <w:r w:rsidR="00172A59" w:rsidRPr="00320732">
        <w:t xml:space="preserve">Akagi </w:t>
      </w:r>
      <w:r>
        <w:t>(ICC = 0.90; 95% CI 0.83–</w:t>
      </w:r>
      <w:r w:rsidR="00895AF8" w:rsidRPr="00320732">
        <w:t>0.94), Da</w:t>
      </w:r>
      <w:r w:rsidR="00B16BE6">
        <w:t>lury (ICC = 0.94; 0.90–0.97), and</w:t>
      </w:r>
      <w:r w:rsidR="00895AF8" w:rsidRPr="00320732">
        <w:t xml:space="preserve"> inter-eminence lines (ICC = 0</w:t>
      </w:r>
      <w:r w:rsidR="00B16BE6">
        <w:t xml:space="preserve">.88; 0.80–0.93). Similarly, </w:t>
      </w:r>
      <w:r w:rsidR="00895AF8" w:rsidRPr="00320732">
        <w:t xml:space="preserve">intra-observer reliability was excellent for </w:t>
      </w:r>
      <w:r w:rsidR="00172A59" w:rsidRPr="00320732">
        <w:t xml:space="preserve">Akagi </w:t>
      </w:r>
      <w:r w:rsidR="00895AF8" w:rsidRPr="00320732">
        <w:t>(ICC = 0.77; 0.62–0.86), Dalury (ICC = 0.91; 0.85–0.95)</w:t>
      </w:r>
      <w:r w:rsidR="00B16BE6">
        <w:t>,</w:t>
      </w:r>
      <w:r w:rsidR="00895AF8" w:rsidRPr="00320732">
        <w:t xml:space="preserve"> and inter-eminence lines (ICC = 0.90; 0.82–0.94). Qualitative review of tibia</w:t>
      </w:r>
      <w:r>
        <w:t>l</w:t>
      </w:r>
      <w:r w:rsidR="00895AF8" w:rsidRPr="00320732">
        <w:t xml:space="preserve"> inter-condylar em</w:t>
      </w:r>
      <w:r>
        <w:t>inences suggested that these could</w:t>
      </w:r>
      <w:r w:rsidR="00895AF8" w:rsidRPr="00320732">
        <w:t xml:space="preserve"> be easily identifiable. </w:t>
      </w:r>
      <w:bookmarkStart w:id="2" w:name="_Hlk498893185"/>
      <w:r w:rsidR="00895AF8" w:rsidRPr="00320732">
        <w:t>When taking the medial angle from a medial-lateral reference line</w:t>
      </w:r>
      <w:r>
        <w:t>, the</w:t>
      </w:r>
      <w:r w:rsidR="00895AF8" w:rsidRPr="00320732">
        <w:t xml:space="preserve"> </w:t>
      </w:r>
      <w:r w:rsidR="00F3176D" w:rsidRPr="00320732">
        <w:t xml:space="preserve">Akagi </w:t>
      </w:r>
      <w:r w:rsidR="00895AF8" w:rsidRPr="00320732">
        <w:t xml:space="preserve">line showed a mean of </w:t>
      </w:r>
      <w:bookmarkStart w:id="3" w:name="_Hlk498892965"/>
      <w:r>
        <w:t>96.90º</w:t>
      </w:r>
      <w:r w:rsidR="00895AF8" w:rsidRPr="00320732">
        <w:t xml:space="preserve"> (±</w:t>
      </w:r>
      <w:r>
        <w:t xml:space="preserve"> </w:t>
      </w:r>
      <w:r w:rsidR="00895AF8" w:rsidRPr="00320732">
        <w:t>10.27), i</w:t>
      </w:r>
      <w:r>
        <w:t>nter-eminence line 94.52º</w:t>
      </w:r>
      <w:r w:rsidR="00895AF8" w:rsidRPr="00320732">
        <w:t xml:space="preserve"> (±</w:t>
      </w:r>
      <w:r>
        <w:t xml:space="preserve"> </w:t>
      </w:r>
      <w:r w:rsidR="00895AF8" w:rsidRPr="00320732">
        <w:t>12.84)</w:t>
      </w:r>
      <w:r w:rsidR="00B16BE6">
        <w:t>, and Dalury</w:t>
      </w:r>
      <w:r>
        <w:t xml:space="preserve"> line 88.06º</w:t>
      </w:r>
      <w:r w:rsidR="00895AF8" w:rsidRPr="00320732">
        <w:t xml:space="preserve"> (±</w:t>
      </w:r>
      <w:r>
        <w:t xml:space="preserve"> </w:t>
      </w:r>
      <w:r w:rsidR="00895AF8" w:rsidRPr="00320732">
        <w:t>11.75).</w:t>
      </w:r>
      <w:bookmarkEnd w:id="2"/>
      <w:r>
        <w:t xml:space="preserve"> </w:t>
      </w:r>
      <w:bookmarkEnd w:id="3"/>
      <w:r w:rsidR="00B16BE6">
        <w:t>The angle produced by the Dalury</w:t>
      </w:r>
      <w:r w:rsidR="00895AF8" w:rsidRPr="00320732">
        <w:t xml:space="preserve"> line was significantly different from both the </w:t>
      </w:r>
      <w:r w:rsidR="00B16BE6">
        <w:t>Akagi</w:t>
      </w:r>
      <w:r w:rsidR="00172A59" w:rsidRPr="00320732">
        <w:t xml:space="preserve"> </w:t>
      </w:r>
      <w:r>
        <w:t>and inter-eminence lines (</w:t>
      </w:r>
      <w:r w:rsidRPr="00FD7D9E">
        <w:rPr>
          <w:i/>
        </w:rPr>
        <w:t>P</w:t>
      </w:r>
      <w:r>
        <w:t>≤</w:t>
      </w:r>
      <w:r w:rsidR="00895AF8" w:rsidRPr="00320732">
        <w:t>0.001)</w:t>
      </w:r>
      <w:r>
        <w:t>.</w:t>
      </w:r>
      <w:r w:rsidR="00895AF8" w:rsidRPr="00320732">
        <w:t xml:space="preserve"> </w:t>
      </w:r>
      <w:r w:rsidR="00B16BE6">
        <w:t>The Akagi line and inter-eminence line</w:t>
      </w:r>
      <w:r w:rsidR="00895AF8" w:rsidRPr="00320732">
        <w:t xml:space="preserve"> showed a strong correlation </w:t>
      </w:r>
      <w:r w:rsidR="00895AF8" w:rsidRPr="00320732">
        <w:rPr>
          <w:i/>
        </w:rPr>
        <w:t>r</w:t>
      </w:r>
      <w:r>
        <w:rPr>
          <w:i/>
        </w:rPr>
        <w:t xml:space="preserve"> </w:t>
      </w:r>
      <w:r w:rsidR="00895AF8" w:rsidRPr="00320732">
        <w:t>=</w:t>
      </w:r>
      <w:r>
        <w:t xml:space="preserve"> </w:t>
      </w:r>
      <w:r w:rsidR="00B16BE6">
        <w:t>0.74. The Dalury</w:t>
      </w:r>
      <w:r w:rsidR="00895AF8" w:rsidRPr="00320732">
        <w:t xml:space="preserve"> line showed a weaker correlation with both the </w:t>
      </w:r>
      <w:r w:rsidR="00B16BE6">
        <w:t>Akagi line</w:t>
      </w:r>
      <w:r w:rsidR="00172A59" w:rsidRPr="00320732">
        <w:t xml:space="preserve"> </w:t>
      </w:r>
      <w:r w:rsidR="00895AF8" w:rsidRPr="00320732">
        <w:rPr>
          <w:i/>
        </w:rPr>
        <w:t>r</w:t>
      </w:r>
      <w:r>
        <w:rPr>
          <w:i/>
        </w:rPr>
        <w:t xml:space="preserve"> </w:t>
      </w:r>
      <w:r w:rsidR="00895AF8" w:rsidRPr="00320732">
        <w:t>=</w:t>
      </w:r>
      <w:r>
        <w:t xml:space="preserve"> </w:t>
      </w:r>
      <w:r w:rsidR="00B16BE6">
        <w:t>0.69 and inter-eminence line</w:t>
      </w:r>
      <w:r w:rsidR="00895AF8" w:rsidRPr="00320732">
        <w:t xml:space="preserve"> </w:t>
      </w:r>
      <w:r w:rsidR="00895AF8" w:rsidRPr="00320732">
        <w:rPr>
          <w:i/>
        </w:rPr>
        <w:t>r</w:t>
      </w:r>
      <w:r>
        <w:rPr>
          <w:i/>
        </w:rPr>
        <w:t xml:space="preserve"> </w:t>
      </w:r>
      <w:r w:rsidR="00895AF8" w:rsidRPr="00320732">
        <w:t>=</w:t>
      </w:r>
      <w:r>
        <w:t xml:space="preserve"> </w:t>
      </w:r>
      <w:r w:rsidR="00895AF8" w:rsidRPr="00320732">
        <w:t>0.40.</w:t>
      </w:r>
    </w:p>
    <w:p w14:paraId="218F3131" w14:textId="77777777" w:rsidR="00895AF8" w:rsidRPr="00320732" w:rsidRDefault="00895AF8" w:rsidP="00895AF8">
      <w:pPr>
        <w:spacing w:line="480" w:lineRule="auto"/>
        <w:jc w:val="both"/>
        <w:outlineLvl w:val="0"/>
      </w:pPr>
    </w:p>
    <w:p w14:paraId="0F7E5536" w14:textId="2DF76941" w:rsidR="00895AF8" w:rsidRPr="00FD7D9E" w:rsidRDefault="00895AF8" w:rsidP="00895AF8">
      <w:pPr>
        <w:spacing w:line="480" w:lineRule="auto"/>
        <w:jc w:val="both"/>
        <w:outlineLvl w:val="0"/>
        <w:rPr>
          <w:b/>
          <w:bCs/>
        </w:rPr>
      </w:pPr>
      <w:r w:rsidRPr="00320732">
        <w:rPr>
          <w:b/>
          <w:bCs/>
        </w:rPr>
        <w:lastRenderedPageBreak/>
        <w:t>Conclusion:</w:t>
      </w:r>
      <w:r w:rsidR="00FD7D9E">
        <w:rPr>
          <w:b/>
          <w:bCs/>
        </w:rPr>
        <w:t xml:space="preserve"> </w:t>
      </w:r>
      <w:r w:rsidR="00FD7D9E" w:rsidRPr="00FD7D9E">
        <w:rPr>
          <w:bCs/>
        </w:rPr>
        <w:t>This study</w:t>
      </w:r>
      <w:r w:rsidRPr="00320732">
        <w:t xml:space="preserve"> suggest</w:t>
      </w:r>
      <w:r w:rsidR="00FD7D9E">
        <w:t>ed</w:t>
      </w:r>
      <w:r w:rsidRPr="00320732">
        <w:t xml:space="preserve"> that tibia rotation lines showed excellent intra/inter-observer reliability and reproducibility. The novel and easily drawn inter-eminence line showed strong correlation with the </w:t>
      </w:r>
      <w:r w:rsidR="00172A59" w:rsidRPr="00320732">
        <w:t xml:space="preserve">Akagi </w:t>
      </w:r>
      <w:r w:rsidR="00B16BE6">
        <w:t>line and could</w:t>
      </w:r>
      <w:r w:rsidRPr="00320732">
        <w:t xml:space="preserve"> be used for tibial tray rotational alignment in total knee arthroplasty.</w:t>
      </w:r>
    </w:p>
    <w:p w14:paraId="7C97B60E" w14:textId="77777777" w:rsidR="00895AF8" w:rsidRPr="00320732" w:rsidRDefault="00895AF8" w:rsidP="00895AF8">
      <w:pPr>
        <w:spacing w:line="480" w:lineRule="auto"/>
        <w:jc w:val="both"/>
        <w:outlineLvl w:val="0"/>
      </w:pPr>
    </w:p>
    <w:p w14:paraId="3F76A51B" w14:textId="77777777" w:rsidR="00FD7D9E" w:rsidRDefault="00895AF8" w:rsidP="00895AF8">
      <w:pPr>
        <w:spacing w:line="480" w:lineRule="auto"/>
        <w:jc w:val="both"/>
        <w:outlineLvl w:val="0"/>
      </w:pPr>
      <w:r w:rsidRPr="00FD7D9E">
        <w:rPr>
          <w:b/>
          <w:i/>
        </w:rPr>
        <w:t>Keywords</w:t>
      </w:r>
      <w:r w:rsidRPr="00320732">
        <w:rPr>
          <w:b/>
        </w:rPr>
        <w:t>:</w:t>
      </w:r>
      <w:r w:rsidRPr="00320732">
        <w:t xml:space="preserve"> </w:t>
      </w:r>
    </w:p>
    <w:p w14:paraId="73BC26F5" w14:textId="3F60895A" w:rsidR="00FD7D9E" w:rsidRPr="00320732" w:rsidRDefault="00FD7D9E" w:rsidP="00895AF8">
      <w:pPr>
        <w:spacing w:line="480" w:lineRule="auto"/>
        <w:jc w:val="both"/>
        <w:outlineLvl w:val="0"/>
      </w:pPr>
      <w:r>
        <w:t>A</w:t>
      </w:r>
      <w:r w:rsidRPr="00320732">
        <w:t>lignment</w:t>
      </w:r>
    </w:p>
    <w:p w14:paraId="142F733A" w14:textId="1CCB9868" w:rsidR="00FD7D9E" w:rsidRDefault="00FD7D9E" w:rsidP="00895AF8">
      <w:pPr>
        <w:spacing w:line="480" w:lineRule="auto"/>
        <w:jc w:val="both"/>
        <w:outlineLvl w:val="0"/>
      </w:pPr>
      <w:r>
        <w:t>Rotation</w:t>
      </w:r>
    </w:p>
    <w:p w14:paraId="7B643309" w14:textId="7E226628" w:rsidR="00FD7D9E" w:rsidRDefault="00FD7D9E" w:rsidP="00895AF8">
      <w:pPr>
        <w:spacing w:line="480" w:lineRule="auto"/>
        <w:jc w:val="both"/>
        <w:outlineLvl w:val="0"/>
      </w:pPr>
      <w:r>
        <w:t>Tibia</w:t>
      </w:r>
    </w:p>
    <w:p w14:paraId="4E06DE99" w14:textId="4B4717B7" w:rsidR="00FD7D9E" w:rsidRDefault="00FD7D9E" w:rsidP="00895AF8">
      <w:pPr>
        <w:spacing w:line="480" w:lineRule="auto"/>
        <w:jc w:val="both"/>
        <w:outlineLvl w:val="0"/>
      </w:pPr>
      <w:r>
        <w:t>Total knee replacement</w:t>
      </w:r>
    </w:p>
    <w:p w14:paraId="4B756740" w14:textId="77777777" w:rsidR="00895AF8" w:rsidRPr="00320732" w:rsidRDefault="00895AF8" w:rsidP="00895AF8">
      <w:pPr>
        <w:spacing w:line="480" w:lineRule="auto"/>
        <w:jc w:val="both"/>
        <w:rPr>
          <w:b/>
        </w:rPr>
      </w:pPr>
    </w:p>
    <w:p w14:paraId="7206E2E8" w14:textId="77777777" w:rsidR="00895AF8" w:rsidRPr="00320732" w:rsidRDefault="00895AF8" w:rsidP="00895AF8">
      <w:pPr>
        <w:spacing w:line="480" w:lineRule="auto"/>
        <w:jc w:val="both"/>
        <w:rPr>
          <w:b/>
        </w:rPr>
      </w:pPr>
    </w:p>
    <w:p w14:paraId="0165AA64" w14:textId="77777777" w:rsidR="00FD7D9E" w:rsidRDefault="00FD7D9E" w:rsidP="00895AF8">
      <w:pPr>
        <w:spacing w:line="480" w:lineRule="auto"/>
        <w:jc w:val="both"/>
        <w:rPr>
          <w:b/>
        </w:rPr>
      </w:pPr>
    </w:p>
    <w:p w14:paraId="344668D0" w14:textId="77777777" w:rsidR="00FD7D9E" w:rsidRDefault="00FD7D9E" w:rsidP="00895AF8">
      <w:pPr>
        <w:spacing w:line="480" w:lineRule="auto"/>
        <w:jc w:val="both"/>
        <w:rPr>
          <w:b/>
        </w:rPr>
      </w:pPr>
    </w:p>
    <w:p w14:paraId="0C2FCD08" w14:textId="77777777" w:rsidR="00FD7D9E" w:rsidRDefault="00FD7D9E" w:rsidP="00895AF8">
      <w:pPr>
        <w:spacing w:line="480" w:lineRule="auto"/>
        <w:jc w:val="both"/>
        <w:rPr>
          <w:b/>
        </w:rPr>
      </w:pPr>
    </w:p>
    <w:p w14:paraId="20D9663D" w14:textId="77777777" w:rsidR="00FD7D9E" w:rsidRDefault="00FD7D9E" w:rsidP="00895AF8">
      <w:pPr>
        <w:spacing w:line="480" w:lineRule="auto"/>
        <w:jc w:val="both"/>
        <w:rPr>
          <w:b/>
        </w:rPr>
      </w:pPr>
    </w:p>
    <w:p w14:paraId="4F340871" w14:textId="77777777" w:rsidR="00FD7D9E" w:rsidRDefault="00FD7D9E" w:rsidP="00895AF8">
      <w:pPr>
        <w:spacing w:line="480" w:lineRule="auto"/>
        <w:jc w:val="both"/>
        <w:rPr>
          <w:b/>
        </w:rPr>
      </w:pPr>
    </w:p>
    <w:p w14:paraId="1A34A3D1" w14:textId="77777777" w:rsidR="00FD7D9E" w:rsidRDefault="00FD7D9E" w:rsidP="00895AF8">
      <w:pPr>
        <w:spacing w:line="480" w:lineRule="auto"/>
        <w:jc w:val="both"/>
        <w:rPr>
          <w:b/>
        </w:rPr>
      </w:pPr>
    </w:p>
    <w:p w14:paraId="707D531A" w14:textId="77777777" w:rsidR="00FD7D9E" w:rsidRDefault="00FD7D9E" w:rsidP="00895AF8">
      <w:pPr>
        <w:spacing w:line="480" w:lineRule="auto"/>
        <w:jc w:val="both"/>
        <w:rPr>
          <w:b/>
        </w:rPr>
      </w:pPr>
    </w:p>
    <w:p w14:paraId="12EA05E8" w14:textId="77777777" w:rsidR="00FD7D9E" w:rsidRDefault="00FD7D9E" w:rsidP="00895AF8">
      <w:pPr>
        <w:spacing w:line="480" w:lineRule="auto"/>
        <w:jc w:val="both"/>
        <w:rPr>
          <w:b/>
        </w:rPr>
      </w:pPr>
    </w:p>
    <w:p w14:paraId="36F159B1" w14:textId="77777777" w:rsidR="00FD7D9E" w:rsidRDefault="00FD7D9E" w:rsidP="00895AF8">
      <w:pPr>
        <w:spacing w:line="480" w:lineRule="auto"/>
        <w:jc w:val="both"/>
        <w:rPr>
          <w:b/>
        </w:rPr>
      </w:pPr>
    </w:p>
    <w:p w14:paraId="640AAEEB" w14:textId="77777777" w:rsidR="00FD7D9E" w:rsidRDefault="00FD7D9E" w:rsidP="00895AF8">
      <w:pPr>
        <w:spacing w:line="480" w:lineRule="auto"/>
        <w:jc w:val="both"/>
        <w:rPr>
          <w:b/>
        </w:rPr>
      </w:pPr>
    </w:p>
    <w:p w14:paraId="08E5627D" w14:textId="77777777" w:rsidR="00FD7D9E" w:rsidRDefault="00FD7D9E" w:rsidP="00895AF8">
      <w:pPr>
        <w:spacing w:line="480" w:lineRule="auto"/>
        <w:jc w:val="both"/>
        <w:rPr>
          <w:b/>
        </w:rPr>
      </w:pPr>
    </w:p>
    <w:p w14:paraId="0D3BC443" w14:textId="63000536" w:rsidR="00895AF8" w:rsidRPr="00320732" w:rsidRDefault="00895AF8" w:rsidP="00FD7D9E">
      <w:pPr>
        <w:pStyle w:val="Heading1"/>
      </w:pPr>
      <w:r w:rsidRPr="00320732">
        <w:lastRenderedPageBreak/>
        <w:t>Introduction</w:t>
      </w:r>
      <w:r w:rsidR="00FD7D9E">
        <w:t xml:space="preserve"> </w:t>
      </w:r>
    </w:p>
    <w:p w14:paraId="48E4FA0F" w14:textId="7BE20A7B" w:rsidR="00895AF8" w:rsidRPr="00320732" w:rsidRDefault="00895AF8" w:rsidP="00895AF8">
      <w:pPr>
        <w:spacing w:line="480" w:lineRule="auto"/>
        <w:jc w:val="both"/>
      </w:pPr>
      <w:r w:rsidRPr="00320732">
        <w:t xml:space="preserve">Total knee arthroplasty is considered </w:t>
      </w:r>
      <w:r w:rsidR="00FD7D9E">
        <w:t xml:space="preserve">to be </w:t>
      </w:r>
      <w:r w:rsidR="00A15101">
        <w:t xml:space="preserve">one of </w:t>
      </w:r>
      <w:r w:rsidRPr="00320732">
        <w:t>the most cost-effective intervention</w:t>
      </w:r>
      <w:r w:rsidR="00D03E92">
        <w:t>s in orthopaedic surgery</w:t>
      </w:r>
      <w:r w:rsidR="00A15101">
        <w:t xml:space="preserve"> due to</w:t>
      </w:r>
      <w:r w:rsidRPr="00320732">
        <w:t xml:space="preserve"> its ability to restore function and quality of life. However, in a small perc</w:t>
      </w:r>
      <w:r w:rsidR="00D03E92">
        <w:t>entage of patients this can cause</w:t>
      </w:r>
      <w:r w:rsidRPr="00320732">
        <w:t xml:space="preserve"> persistent pain and failure</w:t>
      </w:r>
      <w:r w:rsidR="00D03E92">
        <w:t>,</w:t>
      </w:r>
      <w:r w:rsidRPr="00320732">
        <w:t xml:space="preserve"> </w:t>
      </w:r>
      <w:r w:rsidR="00D03E92">
        <w:t>which can lead</w:t>
      </w:r>
      <w:r w:rsidRPr="00320732">
        <w:t xml:space="preserve"> to revision arthroplasty surgery</w:t>
      </w:r>
      <w:r w:rsidR="00D03E92">
        <w:t>,</w:t>
      </w:r>
      <w:r w:rsidRPr="00320732">
        <w:t xml:space="preserve"> with significant personal and socio-economic implications. The recorded causes of aseptic failure include instability, fracture, tibia and femur component loosening</w:t>
      </w:r>
      <w:r w:rsidR="00A15101">
        <w:t>,</w:t>
      </w:r>
      <w:r w:rsidRPr="00320732">
        <w:t xml:space="preserve"> </w:t>
      </w:r>
      <w:r w:rsidR="00A15101">
        <w:t xml:space="preserve">and </w:t>
      </w:r>
      <w:r w:rsidRPr="00320732">
        <w:t>polyethylene wear</w:t>
      </w:r>
      <w:r w:rsidR="00A15101">
        <w:t>.</w:t>
      </w:r>
      <w:r w:rsidR="00A15101">
        <w:rPr>
          <w:vertAlign w:val="superscript"/>
        </w:rPr>
        <w:t>1</w:t>
      </w:r>
      <w:proofErr w:type="gramStart"/>
      <w:r w:rsidR="00A15101">
        <w:rPr>
          <w:vertAlign w:val="superscript"/>
        </w:rPr>
        <w:t>,2</w:t>
      </w:r>
      <w:proofErr w:type="gramEnd"/>
      <w:r w:rsidR="00A15101">
        <w:t xml:space="preserve"> </w:t>
      </w:r>
      <w:r w:rsidRPr="00320732">
        <w:t>Technical factors</w:t>
      </w:r>
      <w:r w:rsidR="00A15101">
        <w:t>,</w:t>
      </w:r>
      <w:r w:rsidRPr="00320732">
        <w:t xml:space="preserve"> including proper component alignment</w:t>
      </w:r>
      <w:r w:rsidR="00A15101">
        <w:t>, can affect the patient-</w:t>
      </w:r>
      <w:r w:rsidRPr="00320732">
        <w:t>reported outcome and survival following total knee arthroplasty</w:t>
      </w:r>
      <w:r w:rsidR="00A15101">
        <w:t>.</w:t>
      </w:r>
      <w:r w:rsidR="00A15101">
        <w:rPr>
          <w:vertAlign w:val="superscript"/>
        </w:rPr>
        <w:t>3</w:t>
      </w:r>
      <w:r w:rsidR="00A15101">
        <w:t xml:space="preserve"> </w:t>
      </w:r>
      <w:r w:rsidRPr="00320732">
        <w:t>Component malalignment leads to alteration o</w:t>
      </w:r>
      <w:r w:rsidR="00D03E92">
        <w:t>f joint kinematics, patella mal-</w:t>
      </w:r>
      <w:r w:rsidRPr="00320732">
        <w:t>tracking, premature polyethylene wear</w:t>
      </w:r>
      <w:r w:rsidR="00A15101">
        <w:t>,</w:t>
      </w:r>
      <w:r w:rsidRPr="00320732">
        <w:t xml:space="preserve"> and knee instability</w:t>
      </w:r>
      <w:r w:rsidR="00A15101">
        <w:t>.</w:t>
      </w:r>
      <w:r w:rsidR="00A15101">
        <w:rPr>
          <w:vertAlign w:val="superscript"/>
        </w:rPr>
        <w:t>4</w:t>
      </w:r>
      <w:r w:rsidRPr="00320732">
        <w:t xml:space="preserve"> </w:t>
      </w:r>
    </w:p>
    <w:p w14:paraId="1359E260" w14:textId="77777777" w:rsidR="00895AF8" w:rsidRPr="00320732" w:rsidRDefault="00895AF8" w:rsidP="00895AF8">
      <w:pPr>
        <w:spacing w:line="480" w:lineRule="auto"/>
        <w:jc w:val="both"/>
      </w:pPr>
    </w:p>
    <w:p w14:paraId="7A4E36F1" w14:textId="55D3A775" w:rsidR="00895AF8" w:rsidRPr="00320732" w:rsidRDefault="00895AF8" w:rsidP="00895AF8">
      <w:pPr>
        <w:spacing w:line="480" w:lineRule="auto"/>
        <w:jc w:val="both"/>
      </w:pPr>
      <w:r w:rsidRPr="00320732">
        <w:t>Several bony anatomical landmarks have been described to aid adequate c</w:t>
      </w:r>
      <w:r w:rsidR="00D03E92">
        <w:t>omponent alignment. On the femoral</w:t>
      </w:r>
      <w:r w:rsidRPr="00320732">
        <w:t xml:space="preserve"> side</w:t>
      </w:r>
      <w:r w:rsidR="00A15101">
        <w:t>, gold standards</w:t>
      </w:r>
      <w:r w:rsidRPr="00320732">
        <w:t xml:space="preserve"> include the transepicondylar axis and the anteroposterior axis (Whiteside’s line)</w:t>
      </w:r>
      <w:r w:rsidR="00A15101">
        <w:t>,</w:t>
      </w:r>
      <w:r w:rsidRPr="00320732">
        <w:t xml:space="preserve"> which are assumed to be closely associated with the flexion-extension axis of the knee</w:t>
      </w:r>
      <w:r w:rsidR="00A15101">
        <w:t>.</w:t>
      </w:r>
      <w:r w:rsidR="00A15101">
        <w:rPr>
          <w:vertAlign w:val="superscript"/>
        </w:rPr>
        <w:t>5,6</w:t>
      </w:r>
      <w:r w:rsidR="00A15101">
        <w:t xml:space="preserve"> </w:t>
      </w:r>
      <w:r w:rsidRPr="00320732">
        <w:t>Similarly, on the tibia</w:t>
      </w:r>
      <w:r w:rsidR="00A15101">
        <w:t>l</w:t>
      </w:r>
      <w:r w:rsidRPr="00320732">
        <w:t xml:space="preserve"> side, several bony and soft tissue anatomic</w:t>
      </w:r>
      <w:r w:rsidR="00D03E92">
        <w:t>al</w:t>
      </w:r>
      <w:r w:rsidRPr="00320732">
        <w:t xml:space="preserve"> landmarks have been described to achieve proper rotational and transverse plane component alignment</w:t>
      </w:r>
      <w:r w:rsidR="00A15101">
        <w:t>.</w:t>
      </w:r>
      <w:r w:rsidR="00A15101">
        <w:rPr>
          <w:vertAlign w:val="superscript"/>
        </w:rPr>
        <w:t>7</w:t>
      </w:r>
      <w:r w:rsidR="00A15101">
        <w:t xml:space="preserve"> </w:t>
      </w:r>
      <w:r w:rsidRPr="00320732">
        <w:t>These include the medial third of the tibial tubercle, the medial border of the tibial tubercle, the transverse axis of the tibia</w:t>
      </w:r>
      <w:r w:rsidR="00A15101">
        <w:t>,</w:t>
      </w:r>
      <w:r w:rsidRPr="00320732">
        <w:t xml:space="preserve"> and the projected femoral transepicondylar axis</w:t>
      </w:r>
      <w:r w:rsidR="00D03E92">
        <w:t>.</w:t>
      </w:r>
      <w:r w:rsidR="00D03E92">
        <w:rPr>
          <w:vertAlign w:val="superscript"/>
        </w:rPr>
        <w:t>8</w:t>
      </w:r>
      <w:r w:rsidR="00D03E92">
        <w:t xml:space="preserve"> </w:t>
      </w:r>
      <w:r w:rsidRPr="00320732">
        <w:t>In addition,</w:t>
      </w:r>
      <w:r w:rsidR="00D03E92">
        <w:t xml:space="preserve"> a combination of the above has</w:t>
      </w:r>
      <w:r w:rsidRPr="00320732">
        <w:t xml:space="preserve"> been described as alignment lines</w:t>
      </w:r>
      <w:r w:rsidR="00A15101">
        <w:t>,</w:t>
      </w:r>
      <w:r w:rsidRPr="00320732">
        <w:t xml:space="preserve"> including Dalury and A</w:t>
      </w:r>
      <w:r w:rsidR="00172A59" w:rsidRPr="00320732">
        <w:t>kagi</w:t>
      </w:r>
      <w:r w:rsidR="00A15101">
        <w:t xml:space="preserve"> </w:t>
      </w:r>
      <w:r w:rsidRPr="00320732">
        <w:t>lines</w:t>
      </w:r>
      <w:r w:rsidR="00A15101">
        <w:t>.</w:t>
      </w:r>
      <w:r w:rsidR="00A15101">
        <w:rPr>
          <w:vertAlign w:val="superscript"/>
        </w:rPr>
        <w:t>9,10</w:t>
      </w:r>
      <w:r w:rsidR="00A15101">
        <w:t xml:space="preserve"> </w:t>
      </w:r>
      <w:r w:rsidRPr="00320732">
        <w:t>How</w:t>
      </w:r>
      <w:r w:rsidR="00D03E92">
        <w:t>ever, in comparison to the femoral</w:t>
      </w:r>
      <w:r w:rsidRPr="00320732">
        <w:t xml:space="preserve"> alignment guides</w:t>
      </w:r>
      <w:r w:rsidR="00A15101">
        <w:t>,</w:t>
      </w:r>
      <w:r w:rsidRPr="00320732">
        <w:t xml:space="preserve"> n</w:t>
      </w:r>
      <w:r w:rsidR="00A15101">
        <w:t>one of the latter has achieved gold standard</w:t>
      </w:r>
      <w:r w:rsidRPr="00320732">
        <w:t xml:space="preserve"> status due to paucity of research in the area. </w:t>
      </w:r>
    </w:p>
    <w:p w14:paraId="259EB2FD" w14:textId="77777777" w:rsidR="00895AF8" w:rsidRPr="00320732" w:rsidRDefault="00895AF8" w:rsidP="00895AF8">
      <w:pPr>
        <w:spacing w:line="480" w:lineRule="auto"/>
        <w:jc w:val="both"/>
      </w:pPr>
    </w:p>
    <w:p w14:paraId="54455C11" w14:textId="671170B5" w:rsidR="00895AF8" w:rsidRPr="00320732" w:rsidRDefault="00D03E92" w:rsidP="00895AF8">
      <w:pPr>
        <w:spacing w:line="480" w:lineRule="auto"/>
        <w:jc w:val="both"/>
      </w:pPr>
      <w:r>
        <w:lastRenderedPageBreak/>
        <w:t xml:space="preserve">This large osteology study </w:t>
      </w:r>
      <w:r w:rsidR="00895AF8" w:rsidRPr="00320732">
        <w:t>aimed to examine the reliability, reproducibility and correlation between the most commonly utilised tibia</w:t>
      </w:r>
      <w:r>
        <w:t>l</w:t>
      </w:r>
      <w:r w:rsidR="00895AF8" w:rsidRPr="00320732">
        <w:t xml:space="preserve"> tray rotation alignment lines (including </w:t>
      </w:r>
      <w:r w:rsidR="00172A59" w:rsidRPr="00320732">
        <w:t xml:space="preserve">Akagi </w:t>
      </w:r>
      <w:r w:rsidR="00895AF8" w:rsidRPr="00320732">
        <w:t>and Dalury).</w:t>
      </w:r>
      <w:r w:rsidR="00FD7D9E">
        <w:t xml:space="preserve"> </w:t>
      </w:r>
      <w:r w:rsidR="00895AF8" w:rsidRPr="00320732">
        <w:t xml:space="preserve">In addition, </w:t>
      </w:r>
      <w:r>
        <w:t xml:space="preserve">it described </w:t>
      </w:r>
      <w:r w:rsidR="00895AF8" w:rsidRPr="00320732">
        <w:t>a novel inter-eminence line utilizing the tibia</w:t>
      </w:r>
      <w:r>
        <w:t>l</w:t>
      </w:r>
      <w:r w:rsidR="00895AF8" w:rsidRPr="00320732">
        <w:t xml:space="preserve"> plateau inter-condylar emin</w:t>
      </w:r>
      <w:r>
        <w:t>ences as a landmark</w:t>
      </w:r>
      <w:r w:rsidR="00895AF8" w:rsidRPr="00320732">
        <w:t xml:space="preserve">. </w:t>
      </w:r>
    </w:p>
    <w:p w14:paraId="03E9CEF2" w14:textId="77777777" w:rsidR="00895AF8" w:rsidRPr="00320732" w:rsidRDefault="00895AF8" w:rsidP="00895AF8">
      <w:pPr>
        <w:spacing w:line="480" w:lineRule="auto"/>
        <w:jc w:val="both"/>
        <w:rPr>
          <w:b/>
        </w:rPr>
      </w:pPr>
    </w:p>
    <w:p w14:paraId="3BB4DA6E" w14:textId="77777777" w:rsidR="00895AF8" w:rsidRPr="00320732" w:rsidRDefault="00895AF8" w:rsidP="00895AF8">
      <w:pPr>
        <w:autoSpaceDE w:val="0"/>
        <w:autoSpaceDN w:val="0"/>
        <w:adjustRightInd w:val="0"/>
        <w:spacing w:line="480" w:lineRule="auto"/>
        <w:jc w:val="both"/>
        <w:rPr>
          <w:b/>
        </w:rPr>
      </w:pPr>
    </w:p>
    <w:p w14:paraId="242C7080" w14:textId="77777777" w:rsidR="00895AF8" w:rsidRPr="00320732" w:rsidRDefault="00895AF8" w:rsidP="002F5B5B">
      <w:pPr>
        <w:pStyle w:val="Heading1"/>
      </w:pPr>
      <w:r w:rsidRPr="00320732">
        <w:t>Materials and Methods</w:t>
      </w:r>
    </w:p>
    <w:p w14:paraId="57E49D5D" w14:textId="2C6CB294" w:rsidR="00895AF8" w:rsidRPr="00320732" w:rsidRDefault="00D03E92" w:rsidP="00895AF8">
      <w:pPr>
        <w:autoSpaceDE w:val="0"/>
        <w:autoSpaceDN w:val="0"/>
        <w:adjustRightInd w:val="0"/>
        <w:spacing w:line="480" w:lineRule="auto"/>
        <w:jc w:val="both"/>
      </w:pPr>
      <w:r>
        <w:t>This was</w:t>
      </w:r>
      <w:r w:rsidR="00895AF8" w:rsidRPr="00320732">
        <w:t xml:space="preserve"> an osteological survey analysing </w:t>
      </w:r>
      <w:r w:rsidR="008A556C" w:rsidRPr="00320732">
        <w:t xml:space="preserve">selected individuals </w:t>
      </w:r>
      <w:r w:rsidR="00895AF8" w:rsidRPr="00320732">
        <w:t>from the St Bride’s Church crypt in</w:t>
      </w:r>
      <w:r w:rsidR="008A556C" w:rsidRPr="00320732">
        <w:t xml:space="preserve"> Fleet Street,</w:t>
      </w:r>
      <w:r w:rsidR="00895AF8" w:rsidRPr="00320732">
        <w:t xml:space="preserve"> London, United Kingdom.</w:t>
      </w:r>
      <w:r w:rsidR="004A37E0" w:rsidRPr="00320732">
        <w:t xml:space="preserve"> </w:t>
      </w:r>
      <w:r w:rsidR="00E37755" w:rsidRPr="00320732">
        <w:t xml:space="preserve">The </w:t>
      </w:r>
      <w:r w:rsidR="00895AF8" w:rsidRPr="00320732">
        <w:t xml:space="preserve">Centre for Human Bioarchaeology (CHB), Museum of London, </w:t>
      </w:r>
      <w:r w:rsidR="00E37755" w:rsidRPr="00320732">
        <w:t xml:space="preserve">assists the church with the curation of the individuals and </w:t>
      </w:r>
      <w:r w:rsidR="00895AF8" w:rsidRPr="00320732">
        <w:t xml:space="preserve">provides access to </w:t>
      </w:r>
      <w:r w:rsidR="008A556C" w:rsidRPr="00320732">
        <w:t xml:space="preserve">the skeletal remains </w:t>
      </w:r>
      <w:r w:rsidR="00895AF8" w:rsidRPr="00320732">
        <w:t>for research purposes. The</w:t>
      </w:r>
      <w:r w:rsidR="00CF0F43" w:rsidRPr="00320732">
        <w:t xml:space="preserve"> </w:t>
      </w:r>
      <w:r w:rsidR="00B5777E" w:rsidRPr="00320732">
        <w:t>227 skeletal</w:t>
      </w:r>
      <w:r w:rsidR="00E37755" w:rsidRPr="00320732">
        <w:t xml:space="preserve"> </w:t>
      </w:r>
      <w:r w:rsidR="008A556C" w:rsidRPr="00320732">
        <w:t>individuals</w:t>
      </w:r>
      <w:r w:rsidR="00A563CB">
        <w:t xml:space="preserve"> available for research we</w:t>
      </w:r>
      <w:r w:rsidR="00CF0F43" w:rsidRPr="00320732">
        <w:t xml:space="preserve">re </w:t>
      </w:r>
      <w:r w:rsidR="001157BE" w:rsidRPr="00320732">
        <w:t>post-medieval in date</w:t>
      </w:r>
      <w:r w:rsidR="00A563CB">
        <w:t>,</w:t>
      </w:r>
      <w:r w:rsidR="00E37755" w:rsidRPr="00320732">
        <w:t xml:space="preserve"> with the osteological analysis recorded for each individual onto the Oracle platform Wellcome Osteological Research Database (WORD)</w:t>
      </w:r>
      <w:r w:rsidR="00B5777E" w:rsidRPr="00320732">
        <w:t>.</w:t>
      </w:r>
      <w:r w:rsidR="00E37755" w:rsidRPr="00320732">
        <w:t xml:space="preserve"> The </w:t>
      </w:r>
      <w:r w:rsidR="001157BE" w:rsidRPr="00320732">
        <w:t>skeletal remains of</w:t>
      </w:r>
      <w:r w:rsidR="00E37755" w:rsidRPr="00320732">
        <w:t xml:space="preserve"> those curated</w:t>
      </w:r>
      <w:r w:rsidR="00A563CB">
        <w:t xml:space="preserve"> we</w:t>
      </w:r>
      <w:r w:rsidR="00432081" w:rsidRPr="00320732">
        <w:t>re</w:t>
      </w:r>
      <w:r w:rsidR="00E37755" w:rsidRPr="00320732">
        <w:t xml:space="preserve"> </w:t>
      </w:r>
      <w:r w:rsidR="00B5777E" w:rsidRPr="00320732">
        <w:t>of individuals</w:t>
      </w:r>
      <w:r w:rsidR="001157BE" w:rsidRPr="00320732">
        <w:t xml:space="preserve"> </w:t>
      </w:r>
      <w:r w:rsidR="00CF0F43" w:rsidRPr="00320732">
        <w:t>interred in lead coffins</w:t>
      </w:r>
      <w:r w:rsidR="001157BE" w:rsidRPr="00320732">
        <w:t xml:space="preserve"> </w:t>
      </w:r>
      <w:r w:rsidR="00CF0F43" w:rsidRPr="00320732">
        <w:t xml:space="preserve">in the crypt of the church from the </w:t>
      </w:r>
      <w:r w:rsidR="00A563CB">
        <w:t>late 1670</w:t>
      </w:r>
      <w:r w:rsidR="00CF0F43" w:rsidRPr="00320732">
        <w:t xml:space="preserve">s until the crypt was closed in 1853. </w:t>
      </w:r>
      <w:r w:rsidR="00E37755" w:rsidRPr="00320732">
        <w:t>The association of coffin plates with the skeletal remains provides invaluable biographical information</w:t>
      </w:r>
      <w:r w:rsidR="00A563CB">
        <w:t xml:space="preserve"> and</w:t>
      </w:r>
      <w:r w:rsidR="00E37755" w:rsidRPr="00320732">
        <w:t xml:space="preserve"> </w:t>
      </w:r>
      <w:r w:rsidR="00A563CB">
        <w:t>enables</w:t>
      </w:r>
      <w:r w:rsidR="00E37755" w:rsidRPr="00320732">
        <w:t xml:space="preserve"> other documen</w:t>
      </w:r>
      <w:r w:rsidR="00A563CB">
        <w:t>tary sources to be researched</w:t>
      </w:r>
      <w:r>
        <w:t>, so that more can</w:t>
      </w:r>
      <w:r w:rsidR="00A563CB">
        <w:t xml:space="preserve"> be learned</w:t>
      </w:r>
      <w:r w:rsidR="00E37755" w:rsidRPr="00320732">
        <w:t xml:space="preserve"> about them and t</w:t>
      </w:r>
      <w:r w:rsidR="00432081" w:rsidRPr="00320732">
        <w:t>h</w:t>
      </w:r>
      <w:r w:rsidR="00124184" w:rsidRPr="00320732">
        <w:t>e time in which they lived.</w:t>
      </w:r>
      <w:r w:rsidR="00895AF8" w:rsidRPr="00320732">
        <w:t xml:space="preserve"> </w:t>
      </w:r>
      <w:r>
        <w:t xml:space="preserve">The individuals in </w:t>
      </w:r>
      <w:r w:rsidR="00895AF8" w:rsidRPr="00320732">
        <w:rPr>
          <w:spacing w:val="-2"/>
        </w:rPr>
        <w:t>St Bride’s</w:t>
      </w:r>
      <w:r>
        <w:rPr>
          <w:spacing w:val="-2"/>
        </w:rPr>
        <w:t xml:space="preserve"> crypt </w:t>
      </w:r>
      <w:r w:rsidR="00807374" w:rsidRPr="00320732">
        <w:rPr>
          <w:spacing w:val="-2"/>
        </w:rPr>
        <w:t>are a significant</w:t>
      </w:r>
      <w:r w:rsidR="001157BE" w:rsidRPr="00320732">
        <w:rPr>
          <w:spacing w:val="-2"/>
        </w:rPr>
        <w:t xml:space="preserve"> and large biographical skeletal collection, </w:t>
      </w:r>
      <w:r w:rsidR="00A563CB">
        <w:rPr>
          <w:spacing w:val="-2"/>
        </w:rPr>
        <w:t xml:space="preserve">and </w:t>
      </w:r>
      <w:r w:rsidR="001157BE" w:rsidRPr="00320732">
        <w:rPr>
          <w:spacing w:val="-2"/>
        </w:rPr>
        <w:t>contemporary with the biographical skeletal collection</w:t>
      </w:r>
      <w:r w:rsidR="00A563CB" w:rsidRPr="00A563CB">
        <w:rPr>
          <w:spacing w:val="-2"/>
        </w:rPr>
        <w:t xml:space="preserve"> </w:t>
      </w:r>
      <w:r w:rsidR="00A563CB">
        <w:rPr>
          <w:spacing w:val="-2"/>
        </w:rPr>
        <w:t xml:space="preserve">at </w:t>
      </w:r>
      <w:r w:rsidR="00A563CB" w:rsidRPr="00320732">
        <w:rPr>
          <w:spacing w:val="-2"/>
        </w:rPr>
        <w:t>Christ Church</w:t>
      </w:r>
      <w:r w:rsidR="00A563CB">
        <w:rPr>
          <w:spacing w:val="-2"/>
        </w:rPr>
        <w:t>,</w:t>
      </w:r>
      <w:r w:rsidR="00A563CB" w:rsidRPr="00320732">
        <w:rPr>
          <w:spacing w:val="-2"/>
        </w:rPr>
        <w:t xml:space="preserve"> Spitalfields</w:t>
      </w:r>
      <w:r w:rsidR="001157BE" w:rsidRPr="00320732">
        <w:rPr>
          <w:spacing w:val="-2"/>
        </w:rPr>
        <w:t>.</w:t>
      </w:r>
      <w:r w:rsidR="00FD7D9E">
        <w:rPr>
          <w:spacing w:val="-2"/>
        </w:rPr>
        <w:t xml:space="preserve"> </w:t>
      </w:r>
      <w:r w:rsidR="001157BE" w:rsidRPr="00320732">
        <w:rPr>
          <w:spacing w:val="-2"/>
        </w:rPr>
        <w:t xml:space="preserve">The skeletal remains from St Bride’s </w:t>
      </w:r>
      <w:r w:rsidR="00807374" w:rsidRPr="00320732">
        <w:rPr>
          <w:spacing w:val="-2"/>
        </w:rPr>
        <w:t xml:space="preserve">crypt provide an important insight </w:t>
      </w:r>
      <w:r w:rsidR="00A563CB">
        <w:rPr>
          <w:spacing w:val="-2"/>
        </w:rPr>
        <w:t>in</w:t>
      </w:r>
      <w:r w:rsidR="00807374" w:rsidRPr="00320732">
        <w:rPr>
          <w:spacing w:val="-2"/>
        </w:rPr>
        <w:t xml:space="preserve">to </w:t>
      </w:r>
      <w:r w:rsidR="00E37755" w:rsidRPr="00320732">
        <w:rPr>
          <w:spacing w:val="-2"/>
        </w:rPr>
        <w:t>a</w:t>
      </w:r>
      <w:r w:rsidR="00807374" w:rsidRPr="00320732">
        <w:rPr>
          <w:spacing w:val="-2"/>
        </w:rPr>
        <w:t xml:space="preserve"> post</w:t>
      </w:r>
      <w:r w:rsidR="00A563CB">
        <w:rPr>
          <w:spacing w:val="-2"/>
        </w:rPr>
        <w:t>-medieval population of</w:t>
      </w:r>
      <w:r w:rsidR="00895AF8" w:rsidRPr="00320732">
        <w:rPr>
          <w:spacing w:val="-2"/>
        </w:rPr>
        <w:t xml:space="preserve"> London</w:t>
      </w:r>
      <w:r w:rsidR="00A563CB">
        <w:rPr>
          <w:spacing w:val="-2"/>
        </w:rPr>
        <w:t>. Their well-documented background –</w:t>
      </w:r>
      <w:r w:rsidR="00895AF8" w:rsidRPr="00320732">
        <w:rPr>
          <w:spacing w:val="-2"/>
        </w:rPr>
        <w:t xml:space="preserve"> including age and date of death, socioeconomic status, demographics, cause of death and occupation</w:t>
      </w:r>
      <w:r w:rsidR="00A563CB">
        <w:rPr>
          <w:spacing w:val="-2"/>
        </w:rPr>
        <w:t xml:space="preserve"> –</w:t>
      </w:r>
      <w:r w:rsidR="00895AF8" w:rsidRPr="00320732">
        <w:rPr>
          <w:spacing w:val="-2"/>
        </w:rPr>
        <w:t xml:space="preserve"> makes this population ideal for comparative </w:t>
      </w:r>
      <w:r w:rsidR="00895AF8" w:rsidRPr="00320732">
        <w:rPr>
          <w:spacing w:val="-2"/>
        </w:rPr>
        <w:lastRenderedPageBreak/>
        <w:t xml:space="preserve">social studies between osteological assemblages. </w:t>
      </w:r>
      <w:r w:rsidR="00E37755" w:rsidRPr="00320732">
        <w:t>Permission was granted</w:t>
      </w:r>
      <w:r w:rsidR="00A563CB">
        <w:t>,</w:t>
      </w:r>
      <w:r w:rsidR="00E37755" w:rsidRPr="00320732">
        <w:t xml:space="preserve"> by the church and Centre for Human Bioarchaeology</w:t>
      </w:r>
      <w:r w:rsidR="00A563CB">
        <w:t>,</w:t>
      </w:r>
      <w:r w:rsidR="00E37755" w:rsidRPr="00320732">
        <w:t xml:space="preserve"> for photography and handling of the skeletal remains for research purposes.</w:t>
      </w:r>
    </w:p>
    <w:p w14:paraId="7875E1D5" w14:textId="77777777" w:rsidR="00432081" w:rsidRPr="00320732" w:rsidRDefault="00432081" w:rsidP="00895AF8">
      <w:pPr>
        <w:autoSpaceDE w:val="0"/>
        <w:autoSpaceDN w:val="0"/>
        <w:adjustRightInd w:val="0"/>
        <w:spacing w:line="480" w:lineRule="auto"/>
        <w:jc w:val="both"/>
      </w:pPr>
    </w:p>
    <w:p w14:paraId="5D659B8B" w14:textId="5130DE31" w:rsidR="00895AF8" w:rsidRPr="00320732" w:rsidRDefault="00895AF8" w:rsidP="00895AF8">
      <w:pPr>
        <w:autoSpaceDE w:val="0"/>
        <w:autoSpaceDN w:val="0"/>
        <w:adjustRightInd w:val="0"/>
        <w:spacing w:line="480" w:lineRule="auto"/>
        <w:jc w:val="both"/>
      </w:pPr>
      <w:r w:rsidRPr="00320732">
        <w:t xml:space="preserve">All 227 </w:t>
      </w:r>
      <w:r w:rsidR="00A563CB">
        <w:t>available skeletal remains</w:t>
      </w:r>
      <w:r w:rsidRPr="00320732">
        <w:t xml:space="preserve"> were analysed; 13 were excluded due to post-mortem damage to the proximal aspect of the tibia or extensive wear to the tibial plateau. The final</w:t>
      </w:r>
      <w:r w:rsidR="00D03E92">
        <w:t xml:space="preserve"> sample consisted of 214 tibiae:</w:t>
      </w:r>
      <w:r w:rsidRPr="00320732">
        <w:t xml:space="preserve"> 200 paired (100 left and 100 right, same individual) and 1</w:t>
      </w:r>
      <w:r w:rsidR="00D03E92">
        <w:t>4 unpaired</w:t>
      </w:r>
      <w:r w:rsidR="00A563CB">
        <w:t>. There were a</w:t>
      </w:r>
      <w:r w:rsidRPr="00320732">
        <w:t xml:space="preserve"> total</w:t>
      </w:r>
      <w:r w:rsidR="00A563CB">
        <w:t xml:space="preserve"> of</w:t>
      </w:r>
      <w:r w:rsidRPr="00320732">
        <w:t xml:space="preserve"> 108 left and 106 right tibiae. The tibiae were placed on an osteometric board and digital images were taken usi</w:t>
      </w:r>
      <w:r w:rsidR="00A563CB">
        <w:t>ng a standardised system (</w:t>
      </w:r>
      <w:r w:rsidR="00A563CB" w:rsidRPr="00A563CB">
        <w:rPr>
          <w:highlight w:val="lightGray"/>
        </w:rPr>
        <w:t>Fig.</w:t>
      </w:r>
      <w:r w:rsidRPr="00A563CB">
        <w:rPr>
          <w:highlight w:val="lightGray"/>
        </w:rPr>
        <w:t xml:space="preserve"> 1</w:t>
      </w:r>
      <w:r w:rsidRPr="00320732">
        <w:t xml:space="preserve">). The images where then analysed with ImageJ software (version 1.50, National Institute of </w:t>
      </w:r>
      <w:r w:rsidR="00A563CB">
        <w:t>Health, USA</w:t>
      </w:r>
      <w:r w:rsidRPr="00320732">
        <w:t>).</w:t>
      </w:r>
      <w:r w:rsidR="00FD7D9E">
        <w:t xml:space="preserve"> </w:t>
      </w:r>
      <w:r w:rsidRPr="00320732">
        <w:t>Measure</w:t>
      </w:r>
      <w:r w:rsidR="00D03E92">
        <w:t>ments included the following: 1)</w:t>
      </w:r>
      <w:r w:rsidRPr="00320732">
        <w:t xml:space="preserve"> </w:t>
      </w:r>
      <w:r w:rsidR="00172A59" w:rsidRPr="00A563CB">
        <w:t xml:space="preserve">Akagi </w:t>
      </w:r>
      <w:r w:rsidRPr="00A563CB">
        <w:t>line:</w:t>
      </w:r>
      <w:r w:rsidRPr="00320732">
        <w:t xml:space="preserve"> a line was drawn connecting the mid-point of the </w:t>
      </w:r>
      <w:r w:rsidR="00A563CB">
        <w:t>posterior cruciate ligament (</w:t>
      </w:r>
      <w:r w:rsidRPr="00320732">
        <w:t>PCL</w:t>
      </w:r>
      <w:r w:rsidR="00A563CB">
        <w:t>)</w:t>
      </w:r>
      <w:r w:rsidRPr="00320732">
        <w:t xml:space="preserve"> attachment to the point one-third from the medial border of the tibial tuberosity</w:t>
      </w:r>
      <w:r w:rsidR="00A563CB">
        <w:t>.</w:t>
      </w:r>
      <w:r w:rsidR="00A563CB">
        <w:rPr>
          <w:vertAlign w:val="superscript"/>
        </w:rPr>
        <w:t>9</w:t>
      </w:r>
      <w:r w:rsidR="00A563CB">
        <w:t xml:space="preserve"> </w:t>
      </w:r>
      <w:r w:rsidR="00D03E92">
        <w:t>2)</w:t>
      </w:r>
      <w:r w:rsidRPr="00320732">
        <w:t xml:space="preserve"> </w:t>
      </w:r>
      <w:r w:rsidRPr="00A563CB">
        <w:t>Dalury line:</w:t>
      </w:r>
      <w:r w:rsidRPr="00320732">
        <w:t xml:space="preserve"> a line was drawn from the point 1 mm medial to the medial border of the tibial tuberosity and passing to the deepest groove between the tibial spines</w:t>
      </w:r>
      <w:r w:rsidR="00A563CB">
        <w:t>.</w:t>
      </w:r>
      <w:r w:rsidR="00A563CB">
        <w:rPr>
          <w:vertAlign w:val="superscript"/>
        </w:rPr>
        <w:t>10</w:t>
      </w:r>
      <w:r w:rsidR="00B57E7A">
        <w:rPr>
          <w:vertAlign w:val="superscript"/>
        </w:rPr>
        <w:t>,11</w:t>
      </w:r>
      <w:r w:rsidR="00A563CB">
        <w:t xml:space="preserve"> </w:t>
      </w:r>
      <w:r w:rsidR="00D03E92">
        <w:t>3)</w:t>
      </w:r>
      <w:r w:rsidRPr="00320732">
        <w:t xml:space="preserve"> </w:t>
      </w:r>
      <w:r w:rsidRPr="00A563CB">
        <w:t>Inter-eminence line:</w:t>
      </w:r>
      <w:r w:rsidRPr="00320732">
        <w:t xml:space="preserve"> the four inter-condylar eminences were marked, and lines were drawn connecting the posterior (medial and lateral) tibial eminences; similarly, parallel lines were drawn connecting the anterior tibial eminences. A perpendicular line was drawn to the parallel lines between the inter-condylar eminences to the anterior plateau, this formed</w:t>
      </w:r>
      <w:r w:rsidR="00A563CB">
        <w:t xml:space="preserve"> the inter-eminence line (</w:t>
      </w:r>
      <w:r w:rsidR="00A563CB" w:rsidRPr="00A563CB">
        <w:rPr>
          <w:highlight w:val="lightGray"/>
        </w:rPr>
        <w:t>Fig. 2</w:t>
      </w:r>
      <w:r w:rsidRPr="00320732">
        <w:t>). The angle formed between these lines and the transverse axis (medial-lateral reference line) connecting the widest part of the plateau was measured. Qualitative assessment of the tibial eminences was undertaken and scored from poor (1) t</w:t>
      </w:r>
      <w:r w:rsidR="00D03E92">
        <w:t>o excellent (4) as follows: 1</w:t>
      </w:r>
      <w:r w:rsidR="0013734F">
        <w:t>,</w:t>
      </w:r>
      <w:r w:rsidR="00332AA8">
        <w:t xml:space="preserve"> </w:t>
      </w:r>
      <w:r w:rsidRPr="00320732">
        <w:t>unable to id</w:t>
      </w:r>
      <w:r w:rsidR="00332AA8">
        <w:t>entify inter-condylar eminences;</w:t>
      </w:r>
      <w:r w:rsidRPr="00320732">
        <w:t xml:space="preserve"> </w:t>
      </w:r>
      <w:r w:rsidR="0013734F">
        <w:t>2,</w:t>
      </w:r>
      <w:r w:rsidR="00332AA8">
        <w:t xml:space="preserve"> </w:t>
      </w:r>
      <w:r w:rsidRPr="00320732">
        <w:t xml:space="preserve">able to identify at least (2/3)/4 inter-condylar </w:t>
      </w:r>
      <w:r w:rsidRPr="00320732">
        <w:lastRenderedPageBreak/>
        <w:t>eminences with (1/2)/4 bein</w:t>
      </w:r>
      <w:r w:rsidR="00332AA8">
        <w:t>g d</w:t>
      </w:r>
      <w:r w:rsidR="0013734F">
        <w:t>amaged or harder to identify; 3,</w:t>
      </w:r>
      <w:r w:rsidR="00332AA8">
        <w:t xml:space="preserve"> at least three</w:t>
      </w:r>
      <w:r w:rsidRPr="00320732">
        <w:t xml:space="preserve"> inter-condylar eminences very prominent and easily identifiable</w:t>
      </w:r>
      <w:r w:rsidR="00332AA8">
        <w:t>,</w:t>
      </w:r>
      <w:r w:rsidRPr="00320732">
        <w:t xml:space="preserve"> with one being harde</w:t>
      </w:r>
      <w:r w:rsidR="00332AA8">
        <w:t>r b</w:t>
      </w:r>
      <w:r w:rsidR="0013734F">
        <w:t>ut present to a good quality; 4,</w:t>
      </w:r>
      <w:r w:rsidR="00332AA8">
        <w:t xml:space="preserve"> a</w:t>
      </w:r>
      <w:r w:rsidRPr="00320732">
        <w:t>ll inter-condylar eminences very prominent and easily identified. Measurements on a sample of 50 images were then performed separately by two authors</w:t>
      </w:r>
      <w:r w:rsidR="00332AA8">
        <w:t>,</w:t>
      </w:r>
      <w:r w:rsidRPr="00320732">
        <w:t xml:space="preserve"> to quantify the inter-observer variation and</w:t>
      </w:r>
      <w:r w:rsidR="0013734F">
        <w:t>,</w:t>
      </w:r>
      <w:r w:rsidRPr="00320732">
        <w:t xml:space="preserve"> on two separate occasions</w:t>
      </w:r>
      <w:r w:rsidR="0013734F">
        <w:t>,</w:t>
      </w:r>
      <w:r w:rsidRPr="00320732">
        <w:t xml:space="preserve"> to quantify the intra-observer variation.</w:t>
      </w:r>
    </w:p>
    <w:p w14:paraId="1E0D0461" w14:textId="77777777" w:rsidR="00895AF8" w:rsidRPr="00320732" w:rsidRDefault="00895AF8" w:rsidP="00895AF8">
      <w:pPr>
        <w:autoSpaceDE w:val="0"/>
        <w:autoSpaceDN w:val="0"/>
        <w:adjustRightInd w:val="0"/>
        <w:spacing w:line="480" w:lineRule="auto"/>
        <w:jc w:val="both"/>
      </w:pPr>
    </w:p>
    <w:p w14:paraId="746DD1C1" w14:textId="41304B80" w:rsidR="00895AF8" w:rsidRPr="00320732" w:rsidRDefault="00895AF8" w:rsidP="00895AF8">
      <w:pPr>
        <w:spacing w:line="480" w:lineRule="auto"/>
        <w:jc w:val="both"/>
      </w:pPr>
      <w:r w:rsidRPr="00320732">
        <w:rPr>
          <w:b/>
        </w:rPr>
        <w:t>Statistical analysis</w:t>
      </w:r>
    </w:p>
    <w:p w14:paraId="3414D51F" w14:textId="00145EC3" w:rsidR="00895AF8" w:rsidRPr="00320732" w:rsidRDefault="00895AF8" w:rsidP="00895AF8">
      <w:pPr>
        <w:autoSpaceDE w:val="0"/>
        <w:autoSpaceDN w:val="0"/>
        <w:adjustRightInd w:val="0"/>
        <w:spacing w:line="480" w:lineRule="auto"/>
        <w:jc w:val="both"/>
      </w:pPr>
      <w:r w:rsidRPr="00320732">
        <w:t>The Minitab software package (version 17.0, Minitab Ltd., Coventry, United Kingdom) was used for all statistical analyses except intraclass correlation coefficient (ICC) and Cohen Kappa (</w:t>
      </w:r>
      <w:r w:rsidRPr="00320732">
        <w:rPr>
          <w:i/>
        </w:rPr>
        <w:t>K</w:t>
      </w:r>
      <w:r w:rsidRPr="00320732">
        <w:t>) (version 12.5, MedCalc Software, Ostend, Belgium). A</w:t>
      </w:r>
      <w:r w:rsidR="00332AA8">
        <w:t>n ICC value &gt;</w:t>
      </w:r>
      <w:r w:rsidRPr="00320732">
        <w:t>0.75 w</w:t>
      </w:r>
      <w:r w:rsidR="00332AA8">
        <w:t>as considered excellent, 0.4-0.75 good/</w:t>
      </w:r>
      <w:r w:rsidRPr="00320732">
        <w:t>fair</w:t>
      </w:r>
      <w:r w:rsidR="00332AA8">
        <w:t>,</w:t>
      </w:r>
      <w:r w:rsidRPr="00320732">
        <w:t xml:space="preserve"> and &lt;0.4 was considered poor</w:t>
      </w:r>
      <w:r w:rsidR="00332AA8">
        <w:t>.</w:t>
      </w:r>
      <w:r w:rsidR="00332AA8">
        <w:rPr>
          <w:vertAlign w:val="superscript"/>
        </w:rPr>
        <w:t>12</w:t>
      </w:r>
      <w:r w:rsidRPr="00320732">
        <w:t xml:space="preserve"> The </w:t>
      </w:r>
      <w:r w:rsidRPr="00320732">
        <w:rPr>
          <w:i/>
        </w:rPr>
        <w:t>K</w:t>
      </w:r>
      <w:r w:rsidR="00332AA8">
        <w:rPr>
          <w:i/>
        </w:rPr>
        <w:t>-</w:t>
      </w:r>
      <w:r w:rsidRPr="00320732">
        <w:t xml:space="preserve">value for strength of agreement was </w:t>
      </w:r>
      <w:r w:rsidR="00332AA8">
        <w:t>interpreted as follows: 1.00-0.8 very good, 0.8-0.61 good, 0.6-0.41 moderate, 0.4-</w:t>
      </w:r>
      <w:r w:rsidRPr="00320732">
        <w:t>0.21 fair</w:t>
      </w:r>
      <w:r w:rsidR="00332AA8">
        <w:t xml:space="preserve">, and &lt;0.20 </w:t>
      </w:r>
      <w:r w:rsidRPr="00320732">
        <w:t>poor</w:t>
      </w:r>
      <w:r w:rsidR="00332AA8">
        <w:t>.</w:t>
      </w:r>
      <w:r w:rsidR="00332AA8">
        <w:rPr>
          <w:vertAlign w:val="superscript"/>
        </w:rPr>
        <w:t>13</w:t>
      </w:r>
      <w:r w:rsidR="00332AA8">
        <w:t xml:space="preserve"> </w:t>
      </w:r>
      <w:r w:rsidRPr="00320732">
        <w:t xml:space="preserve">Continuous data were tested for normality using the Anderson-Darling test. Statistical differences and relationships between groups were examined using the unpaired Student’s </w:t>
      </w:r>
      <w:r w:rsidRPr="00320732">
        <w:rPr>
          <w:i/>
        </w:rPr>
        <w:t>t</w:t>
      </w:r>
      <w:r w:rsidRPr="00320732">
        <w:t xml:space="preserve">-test or one-way ANOVA. </w:t>
      </w:r>
      <w:r w:rsidRPr="00332AA8">
        <w:t>Post hoc</w:t>
      </w:r>
      <w:r w:rsidRPr="00320732">
        <w:t xml:space="preserve"> determinations were made using the Tukey’s test. Correlations were tested using Pearson correlation coefficient </w:t>
      </w:r>
      <w:r w:rsidRPr="00332AA8">
        <w:t>(</w:t>
      </w:r>
      <w:r w:rsidRPr="00332AA8">
        <w:rPr>
          <w:i/>
        </w:rPr>
        <w:t>r</w:t>
      </w:r>
      <w:r w:rsidRPr="00332AA8">
        <w:t>).</w:t>
      </w:r>
      <w:r w:rsidRPr="00320732">
        <w:t xml:space="preserve"> All values </w:t>
      </w:r>
      <w:r w:rsidR="00332AA8">
        <w:t xml:space="preserve">were </w:t>
      </w:r>
      <w:r w:rsidRPr="00320732">
        <w:t xml:space="preserve">expressed as mean ± standard deviation of the mean. A </w:t>
      </w:r>
      <w:r w:rsidR="00332AA8">
        <w:rPr>
          <w:i/>
        </w:rPr>
        <w:t>P-</w:t>
      </w:r>
      <w:r w:rsidRPr="00320732">
        <w:t>value of &lt;0.05 was considered significant.</w:t>
      </w:r>
    </w:p>
    <w:p w14:paraId="1E40D16B" w14:textId="77777777" w:rsidR="00895AF8" w:rsidRPr="00320732" w:rsidRDefault="00895AF8" w:rsidP="00895AF8">
      <w:pPr>
        <w:autoSpaceDE w:val="0"/>
        <w:autoSpaceDN w:val="0"/>
        <w:adjustRightInd w:val="0"/>
        <w:spacing w:line="480" w:lineRule="auto"/>
        <w:jc w:val="both"/>
      </w:pPr>
    </w:p>
    <w:p w14:paraId="37AEB077" w14:textId="77777777" w:rsidR="00B5777E" w:rsidRPr="00320732" w:rsidRDefault="00B5777E" w:rsidP="00895AF8">
      <w:pPr>
        <w:autoSpaceDE w:val="0"/>
        <w:autoSpaceDN w:val="0"/>
        <w:adjustRightInd w:val="0"/>
        <w:spacing w:line="480" w:lineRule="auto"/>
        <w:jc w:val="both"/>
      </w:pPr>
    </w:p>
    <w:p w14:paraId="43B4A0B8" w14:textId="77777777" w:rsidR="00B5777E" w:rsidRPr="00320732" w:rsidRDefault="00B5777E" w:rsidP="00895AF8">
      <w:pPr>
        <w:autoSpaceDE w:val="0"/>
        <w:autoSpaceDN w:val="0"/>
        <w:adjustRightInd w:val="0"/>
        <w:spacing w:line="480" w:lineRule="auto"/>
        <w:jc w:val="both"/>
      </w:pPr>
    </w:p>
    <w:p w14:paraId="0386845F" w14:textId="77777777" w:rsidR="00895AF8" w:rsidRPr="00320732" w:rsidRDefault="00895AF8" w:rsidP="00332AA8">
      <w:pPr>
        <w:pStyle w:val="Heading1"/>
      </w:pPr>
      <w:r w:rsidRPr="00320732">
        <w:lastRenderedPageBreak/>
        <w:t>Results</w:t>
      </w:r>
    </w:p>
    <w:p w14:paraId="5A90D59A" w14:textId="77777777" w:rsidR="00895AF8" w:rsidRPr="00332AA8" w:rsidRDefault="00895AF8" w:rsidP="00895AF8">
      <w:pPr>
        <w:spacing w:line="480" w:lineRule="auto"/>
        <w:jc w:val="both"/>
        <w:outlineLvl w:val="0"/>
        <w:rPr>
          <w:b/>
        </w:rPr>
      </w:pPr>
      <w:r w:rsidRPr="00332AA8">
        <w:rPr>
          <w:b/>
        </w:rPr>
        <w:t>Measurement reproducibility and reliability</w:t>
      </w:r>
    </w:p>
    <w:p w14:paraId="015F4B6B" w14:textId="2DEB63E7" w:rsidR="00895AF8" w:rsidRPr="00320732" w:rsidRDefault="00895AF8" w:rsidP="00895AF8">
      <w:pPr>
        <w:spacing w:line="480" w:lineRule="auto"/>
        <w:jc w:val="both"/>
        <w:outlineLvl w:val="0"/>
      </w:pPr>
      <w:r w:rsidRPr="00320732">
        <w:t xml:space="preserve">The inter-observer reproducibility was excellent and not different between </w:t>
      </w:r>
      <w:r w:rsidR="00273005" w:rsidRPr="00320732">
        <w:t xml:space="preserve">Akagi </w:t>
      </w:r>
      <w:r w:rsidRPr="00320732">
        <w:t xml:space="preserve">(ICC = 0.90; 95% CI, 0.83–0.94), Dalury (ICC = 0.94; 95% CI, 0.90–0.97), or inter-eminence lines (ICC = 0.88; 95% CI, 0.80–0.93). Similarly, the intra-observer reliability was excellent for all the lines including the </w:t>
      </w:r>
      <w:r w:rsidR="00172A59" w:rsidRPr="00320732">
        <w:t>Akagi</w:t>
      </w:r>
      <w:r w:rsidR="004A37E0" w:rsidRPr="00320732">
        <w:t xml:space="preserve"> </w:t>
      </w:r>
      <w:r w:rsidRPr="00320732">
        <w:t>(ICC = 0.77; 95% CI, 0.62–0.86) and Dalury (ICC = 0.91; 95% CI, 0.85–0.95)</w:t>
      </w:r>
      <w:r w:rsidR="0013734F">
        <w:t xml:space="preserve"> lines,</w:t>
      </w:r>
      <w:r w:rsidRPr="00320732">
        <w:t xml:space="preserve"> with the highest be</w:t>
      </w:r>
      <w:r w:rsidR="0013734F">
        <w:t>ing for the inter-eminence line</w:t>
      </w:r>
      <w:r w:rsidRPr="00320732">
        <w:t xml:space="preserve"> (ICC = 0.90; 95% CI, 0.82–0.94). </w:t>
      </w:r>
    </w:p>
    <w:p w14:paraId="3FDCEC83" w14:textId="77777777" w:rsidR="00895AF8" w:rsidRPr="00320732" w:rsidRDefault="00895AF8" w:rsidP="00895AF8">
      <w:pPr>
        <w:spacing w:line="480" w:lineRule="auto"/>
        <w:jc w:val="both"/>
        <w:outlineLvl w:val="0"/>
      </w:pPr>
    </w:p>
    <w:p w14:paraId="196A309D" w14:textId="565CF634" w:rsidR="00895AF8" w:rsidRPr="00320732" w:rsidRDefault="00895AF8" w:rsidP="00895AF8">
      <w:pPr>
        <w:spacing w:line="480" w:lineRule="auto"/>
        <w:jc w:val="both"/>
        <w:outlineLvl w:val="0"/>
      </w:pPr>
      <w:r w:rsidRPr="00320732">
        <w:t>Qualitative review of tibia</w:t>
      </w:r>
      <w:r w:rsidR="00573EB0">
        <w:t>l</w:t>
      </w:r>
      <w:r w:rsidRPr="00320732">
        <w:t xml:space="preserve"> inter-condyla</w:t>
      </w:r>
      <w:r w:rsidR="00573EB0">
        <w:t>r eminences s</w:t>
      </w:r>
      <w:r w:rsidR="002265BA">
        <w:t xml:space="preserve">uggested that they could </w:t>
      </w:r>
      <w:r w:rsidR="00573EB0">
        <w:t>be</w:t>
      </w:r>
      <w:r w:rsidRPr="00320732">
        <w:t xml:space="preserve"> easily identifiable in most specimens. The median score was 3: three easily identifiable eminences (124 tibiae, 57.4%). Two eminences were easily identi</w:t>
      </w:r>
      <w:r w:rsidR="002265BA">
        <w:t>fiable in 97.7% of cases. F</w:t>
      </w:r>
      <w:r w:rsidRPr="00320732">
        <w:t>ive t</w:t>
      </w:r>
      <w:r w:rsidR="002265BA">
        <w:t xml:space="preserve">ibiae (2.34%) had a score of 1, indicating difficulty in </w:t>
      </w:r>
      <w:r w:rsidRPr="00320732">
        <w:t>identify</w:t>
      </w:r>
      <w:r w:rsidR="002265BA">
        <w:t>ing</w:t>
      </w:r>
      <w:r w:rsidRPr="00320732">
        <w:t xml:space="preserve"> the inter-condylar eminences. Inter-observer reproducibility showed a good (</w:t>
      </w:r>
      <w:r w:rsidRPr="00320732">
        <w:rPr>
          <w:i/>
        </w:rPr>
        <w:t>K</w:t>
      </w:r>
      <w:r w:rsidR="002265BA">
        <w:rPr>
          <w:i/>
        </w:rPr>
        <w:t>-</w:t>
      </w:r>
      <w:r w:rsidR="002265BA">
        <w:t>value</w:t>
      </w:r>
      <w:r w:rsidRPr="00320732">
        <w:t xml:space="preserve"> 0.62) strength of agreement for this assessment.</w:t>
      </w:r>
    </w:p>
    <w:p w14:paraId="19D7BFDE" w14:textId="77777777" w:rsidR="00895AF8" w:rsidRPr="00320732" w:rsidRDefault="00895AF8" w:rsidP="00895AF8">
      <w:pPr>
        <w:spacing w:line="480" w:lineRule="auto"/>
        <w:jc w:val="both"/>
        <w:outlineLvl w:val="0"/>
        <w:rPr>
          <w:b/>
          <w:i/>
        </w:rPr>
      </w:pPr>
    </w:p>
    <w:p w14:paraId="04E87068" w14:textId="77777777" w:rsidR="00895AF8" w:rsidRPr="002265BA" w:rsidRDefault="00895AF8" w:rsidP="00895AF8">
      <w:pPr>
        <w:spacing w:line="480" w:lineRule="auto"/>
        <w:jc w:val="both"/>
        <w:outlineLvl w:val="0"/>
        <w:rPr>
          <w:b/>
        </w:rPr>
      </w:pPr>
      <w:r w:rsidRPr="002265BA">
        <w:rPr>
          <w:b/>
        </w:rPr>
        <w:t>Correlation between alignment lines</w:t>
      </w:r>
    </w:p>
    <w:p w14:paraId="642D0791" w14:textId="784CC783" w:rsidR="00895AF8" w:rsidRPr="00320732" w:rsidRDefault="00895AF8" w:rsidP="00895AF8">
      <w:pPr>
        <w:spacing w:line="480" w:lineRule="auto"/>
        <w:jc w:val="both"/>
        <w:outlineLvl w:val="0"/>
      </w:pPr>
      <w:r w:rsidRPr="00320732">
        <w:t>When taking the medial angle from a transverse axis (m</w:t>
      </w:r>
      <w:r w:rsidR="002265BA">
        <w:t>edial-lateral reference line) it was</w:t>
      </w:r>
      <w:r w:rsidRPr="00320732">
        <w:t xml:space="preserve"> found that </w:t>
      </w:r>
      <w:r w:rsidR="0013734F">
        <w:t>the Akagi</w:t>
      </w:r>
      <w:r w:rsidRPr="00320732">
        <w:t xml:space="preserve"> line show</w:t>
      </w:r>
      <w:r w:rsidR="002265BA">
        <w:t>ed a mean angle of 96.90º</w:t>
      </w:r>
      <w:r w:rsidRPr="00320732">
        <w:t xml:space="preserve"> (± 10.27) and the inter</w:t>
      </w:r>
      <w:r w:rsidR="002265BA">
        <w:t>-eminence line was 94.52º (± 12.84); t</w:t>
      </w:r>
      <w:r w:rsidRPr="00320732">
        <w:t xml:space="preserve">herefore, both lines were externally rotated to the tibia plateau midline. These measurements were not significantly different from each other on </w:t>
      </w:r>
      <w:r w:rsidRPr="002265BA">
        <w:t xml:space="preserve">post hoc </w:t>
      </w:r>
      <w:r w:rsidR="0013734F">
        <w:t>determination. The Dalury</w:t>
      </w:r>
      <w:r w:rsidRPr="00320732">
        <w:t xml:space="preserve"> line was ro</w:t>
      </w:r>
      <w:r w:rsidR="002265BA">
        <w:t>tated to a mean of 88.06º</w:t>
      </w:r>
      <w:r w:rsidRPr="00320732">
        <w:t xml:space="preserve"> (± 11.75).</w:t>
      </w:r>
      <w:r w:rsidR="00FD7D9E">
        <w:t xml:space="preserve"> </w:t>
      </w:r>
      <w:r w:rsidR="0013734F">
        <w:t>The angle produced by the Dalury</w:t>
      </w:r>
      <w:r w:rsidRPr="00320732">
        <w:t xml:space="preserve"> line was significantly different from both the </w:t>
      </w:r>
      <w:r w:rsidR="0013734F">
        <w:t>Akagi</w:t>
      </w:r>
      <w:r w:rsidR="00172A59" w:rsidRPr="00320732">
        <w:t xml:space="preserve"> </w:t>
      </w:r>
      <w:r w:rsidR="002265BA">
        <w:t>and inter-eminence lines (</w:t>
      </w:r>
      <w:r w:rsidR="002265BA" w:rsidRPr="002265BA">
        <w:rPr>
          <w:i/>
        </w:rPr>
        <w:t>P</w:t>
      </w:r>
      <w:r w:rsidR="002265BA">
        <w:t>≤0.001) (</w:t>
      </w:r>
      <w:r w:rsidR="002265BA" w:rsidRPr="002265BA">
        <w:rPr>
          <w:highlight w:val="lightGray"/>
        </w:rPr>
        <w:t>Fig.</w:t>
      </w:r>
      <w:r w:rsidRPr="002265BA">
        <w:rPr>
          <w:highlight w:val="lightGray"/>
        </w:rPr>
        <w:t xml:space="preserve"> 3</w:t>
      </w:r>
      <w:r w:rsidR="0013734F">
        <w:t xml:space="preserve">). The Akagi </w:t>
      </w:r>
      <w:r w:rsidRPr="00320732">
        <w:t xml:space="preserve">and the inter-eminence lines showed a strong </w:t>
      </w:r>
      <w:r w:rsidRPr="00320732">
        <w:lastRenderedPageBreak/>
        <w:t xml:space="preserve">correlation </w:t>
      </w:r>
      <w:r w:rsidRPr="00320732">
        <w:rPr>
          <w:i/>
        </w:rPr>
        <w:t>r</w:t>
      </w:r>
      <w:r w:rsidR="002265BA">
        <w:rPr>
          <w:i/>
        </w:rPr>
        <w:t xml:space="preserve"> </w:t>
      </w:r>
      <w:r w:rsidRPr="00320732">
        <w:t>=</w:t>
      </w:r>
      <w:r w:rsidR="002265BA">
        <w:t xml:space="preserve"> 0.74 (</w:t>
      </w:r>
      <w:r w:rsidR="002265BA" w:rsidRPr="002265BA">
        <w:rPr>
          <w:i/>
        </w:rPr>
        <w:t>P</w:t>
      </w:r>
      <w:r w:rsidR="002265BA">
        <w:t>≤</w:t>
      </w:r>
      <w:r w:rsidRPr="00320732">
        <w:t xml:space="preserve">0.001). </w:t>
      </w:r>
      <w:r w:rsidR="0013734F">
        <w:t>The Dalury</w:t>
      </w:r>
      <w:r w:rsidRPr="00320732">
        <w:t xml:space="preserve"> line showed a weaker correlation with both the </w:t>
      </w:r>
      <w:r w:rsidR="0013734F">
        <w:t>Akagi</w:t>
      </w:r>
      <w:r w:rsidR="00172A59" w:rsidRPr="00320732">
        <w:t xml:space="preserve"> </w:t>
      </w:r>
      <w:r w:rsidRPr="00320732">
        <w:rPr>
          <w:i/>
        </w:rPr>
        <w:t>r</w:t>
      </w:r>
      <w:r w:rsidR="002265BA">
        <w:rPr>
          <w:i/>
        </w:rPr>
        <w:t xml:space="preserve"> </w:t>
      </w:r>
      <w:r w:rsidRPr="00320732">
        <w:t>=</w:t>
      </w:r>
      <w:r w:rsidR="002265BA">
        <w:t xml:space="preserve"> 0.62 (</w:t>
      </w:r>
      <w:r w:rsidR="002265BA" w:rsidRPr="002265BA">
        <w:rPr>
          <w:i/>
        </w:rPr>
        <w:t>P</w:t>
      </w:r>
      <w:r w:rsidR="002265BA">
        <w:t>≤</w:t>
      </w:r>
      <w:r w:rsidRPr="00320732">
        <w:t xml:space="preserve">0.001) and inter-eminence lines </w:t>
      </w:r>
      <w:r w:rsidRPr="00320732">
        <w:rPr>
          <w:i/>
        </w:rPr>
        <w:t>r</w:t>
      </w:r>
      <w:r w:rsidR="002265BA">
        <w:rPr>
          <w:i/>
        </w:rPr>
        <w:t xml:space="preserve"> </w:t>
      </w:r>
      <w:r w:rsidRPr="00320732">
        <w:t>=</w:t>
      </w:r>
      <w:r w:rsidR="002265BA">
        <w:t xml:space="preserve"> 0.24 (</w:t>
      </w:r>
      <w:r w:rsidR="002265BA" w:rsidRPr="002265BA">
        <w:rPr>
          <w:i/>
        </w:rPr>
        <w:t>P</w:t>
      </w:r>
      <w:r w:rsidR="002265BA">
        <w:t>≤</w:t>
      </w:r>
      <w:r w:rsidRPr="00320732">
        <w:t>0.001).</w:t>
      </w:r>
    </w:p>
    <w:p w14:paraId="2E8831F3" w14:textId="77777777" w:rsidR="00895AF8" w:rsidRPr="00320732" w:rsidRDefault="00895AF8" w:rsidP="00895AF8">
      <w:pPr>
        <w:spacing w:line="480" w:lineRule="auto"/>
        <w:jc w:val="both"/>
        <w:outlineLvl w:val="0"/>
      </w:pPr>
    </w:p>
    <w:p w14:paraId="39F0FCD0" w14:textId="77777777" w:rsidR="00895AF8" w:rsidRPr="00320732" w:rsidRDefault="00895AF8" w:rsidP="002265BA">
      <w:pPr>
        <w:pStyle w:val="Heading1"/>
      </w:pPr>
      <w:r w:rsidRPr="00320732">
        <w:t>Discussion</w:t>
      </w:r>
    </w:p>
    <w:p w14:paraId="3D0D15B7" w14:textId="65299A8A" w:rsidR="009D72AE" w:rsidRDefault="009D72AE" w:rsidP="00895AF8">
      <w:pPr>
        <w:spacing w:line="480" w:lineRule="auto"/>
        <w:jc w:val="both"/>
      </w:pPr>
      <w:r>
        <w:t xml:space="preserve">This large osteology study </w:t>
      </w:r>
      <w:r w:rsidR="00895AF8" w:rsidRPr="00320732">
        <w:t>report</w:t>
      </w:r>
      <w:r>
        <w:t>ed</w:t>
      </w:r>
      <w:r w:rsidR="00895AF8" w:rsidRPr="00320732">
        <w:t xml:space="preserve"> adequate reliability and reproducibility between previously described tibia</w:t>
      </w:r>
      <w:r w:rsidR="0013734F">
        <w:t>l</w:t>
      </w:r>
      <w:r w:rsidR="00895AF8" w:rsidRPr="00320732">
        <w:t xml:space="preserve"> tray rotation alignment lines (including </w:t>
      </w:r>
      <w:r w:rsidR="00273005" w:rsidRPr="00320732">
        <w:t xml:space="preserve">Akagi </w:t>
      </w:r>
      <w:r w:rsidR="00895AF8" w:rsidRPr="00320732">
        <w:t>and Dalury lines).</w:t>
      </w:r>
      <w:r w:rsidR="00FD7D9E">
        <w:t xml:space="preserve"> </w:t>
      </w:r>
      <w:r w:rsidR="00895AF8" w:rsidRPr="00320732">
        <w:t xml:space="preserve">In addition, a novel inter-eminence line </w:t>
      </w:r>
      <w:r>
        <w:t>utilis</w:t>
      </w:r>
      <w:r w:rsidR="00895AF8" w:rsidRPr="00320732">
        <w:t>ing the tibial plateau inter-condylar eminences as a landmark showed excellent inter</w:t>
      </w:r>
      <w:r w:rsidR="0013734F">
        <w:t>-observer</w:t>
      </w:r>
      <w:r w:rsidR="00895AF8" w:rsidRPr="00320732">
        <w:t xml:space="preserve"> and intra-observer variability. This line also showed good correlation with the </w:t>
      </w:r>
      <w:r w:rsidR="00273005" w:rsidRPr="00320732">
        <w:t xml:space="preserve">Akagi </w:t>
      </w:r>
      <w:r w:rsidR="00895AF8" w:rsidRPr="00320732">
        <w:t>line</w:t>
      </w:r>
      <w:r>
        <w:t>,</w:t>
      </w:r>
      <w:r w:rsidR="00895AF8" w:rsidRPr="00320732">
        <w:t xml:space="preserve"> which </w:t>
      </w:r>
      <w:r>
        <w:t xml:space="preserve">is believed to be </w:t>
      </w:r>
      <w:r w:rsidR="00895AF8" w:rsidRPr="00320732">
        <w:t>the most reliable tibia</w:t>
      </w:r>
      <w:r>
        <w:t>l</w:t>
      </w:r>
      <w:r w:rsidR="00895AF8" w:rsidRPr="00320732">
        <w:t xml:space="preserve"> rotation gu</w:t>
      </w:r>
      <w:r>
        <w:t>ide to date. It is felt</w:t>
      </w:r>
      <w:r w:rsidR="00895AF8" w:rsidRPr="00320732">
        <w:t xml:space="preserve"> that the inter-eminence line constitutes somewhat of an improvement on the Dalury concept to achieve appropriate tibia</w:t>
      </w:r>
      <w:r w:rsidR="0013734F">
        <w:t>l</w:t>
      </w:r>
      <w:r w:rsidR="00895AF8" w:rsidRPr="00320732">
        <w:t xml:space="preserve"> tray rotation when perform</w:t>
      </w:r>
      <w:r>
        <w:t>ing total knee arthroplasty. The current</w:t>
      </w:r>
      <w:r w:rsidR="00895AF8" w:rsidRPr="00320732">
        <w:t xml:space="preserve"> results suggest that the inter-eminence line leads to a significantly more external rotated position than when using the Dalury line. This is not unexpected since in its original description, comparison with a “self-see</w:t>
      </w:r>
      <w:r w:rsidR="00273005" w:rsidRPr="00320732">
        <w:t>k</w:t>
      </w:r>
      <w:r w:rsidR="00895AF8" w:rsidRPr="00320732">
        <w:t>ing” or free range of motion tibial tray technique showed a 3 mm more lateral tibial tray position than the marked Dalury line</w:t>
      </w:r>
      <w:r>
        <w:t>.</w:t>
      </w:r>
      <w:r>
        <w:rPr>
          <w:vertAlign w:val="superscript"/>
        </w:rPr>
        <w:t>10</w:t>
      </w:r>
      <w:r>
        <w:t xml:space="preserve"> </w:t>
      </w:r>
      <w:proofErr w:type="gramStart"/>
      <w:r w:rsidR="00895AF8" w:rsidRPr="00320732">
        <w:t>Similarly</w:t>
      </w:r>
      <w:proofErr w:type="gramEnd"/>
      <w:r w:rsidR="00895AF8" w:rsidRPr="00320732">
        <w:t xml:space="preserve">, the inter-eminence line does not utilise the tibial tuberosity as a landmark and this should decrease variability. </w:t>
      </w:r>
    </w:p>
    <w:p w14:paraId="36C81C3F" w14:textId="77777777" w:rsidR="009D72AE" w:rsidRDefault="009D72AE" w:rsidP="00895AF8">
      <w:pPr>
        <w:spacing w:line="480" w:lineRule="auto"/>
        <w:jc w:val="both"/>
      </w:pPr>
    </w:p>
    <w:p w14:paraId="6D1F809D" w14:textId="3270631B" w:rsidR="00432081" w:rsidRPr="00320732" w:rsidRDefault="009D72AE" w:rsidP="00895AF8">
      <w:pPr>
        <w:spacing w:line="480" w:lineRule="auto"/>
        <w:jc w:val="both"/>
        <w:rPr>
          <w:b/>
          <w:u w:val="single"/>
        </w:rPr>
      </w:pPr>
      <w:r>
        <w:t xml:space="preserve">In 2011, </w:t>
      </w:r>
      <w:r w:rsidR="00895AF8" w:rsidRPr="00320732">
        <w:t xml:space="preserve">Bonnin </w:t>
      </w:r>
      <w:r>
        <w:t xml:space="preserve">et al. </w:t>
      </w:r>
      <w:r w:rsidR="00895AF8" w:rsidRPr="00320732">
        <w:t>showed significant variability in tibial tuberosity position when compared to the transepicondylar axis</w:t>
      </w:r>
      <w:r>
        <w:t>.</w:t>
      </w:r>
      <w:r>
        <w:rPr>
          <w:vertAlign w:val="superscript"/>
        </w:rPr>
        <w:t>14</w:t>
      </w:r>
      <w:r>
        <w:t xml:space="preserve"> In 2016, Hatayama et al. </w:t>
      </w:r>
      <w:r w:rsidR="00895AF8" w:rsidRPr="00320732">
        <w:t xml:space="preserve">reported that both the tibial tubercle and </w:t>
      </w:r>
      <w:r w:rsidR="00273005" w:rsidRPr="00320732">
        <w:t xml:space="preserve">Akagi </w:t>
      </w:r>
      <w:r w:rsidR="00895AF8" w:rsidRPr="00320732">
        <w:t>line were significantly more laterally rotated in valgus knees compared to varus knees</w:t>
      </w:r>
      <w:r>
        <w:t>.</w:t>
      </w:r>
      <w:r>
        <w:rPr>
          <w:vertAlign w:val="superscript"/>
        </w:rPr>
        <w:t>15</w:t>
      </w:r>
      <w:r>
        <w:t xml:space="preserve"> In addition, the current authors</w:t>
      </w:r>
      <w:r w:rsidR="00895AF8" w:rsidRPr="00320732">
        <w:t xml:space="preserve"> feel that the inter-eminence line might be more easily drawn when compared to the </w:t>
      </w:r>
      <w:r w:rsidR="00273005" w:rsidRPr="00320732">
        <w:t xml:space="preserve">Akagi </w:t>
      </w:r>
      <w:r w:rsidR="00895AF8" w:rsidRPr="00320732">
        <w:t>line</w:t>
      </w:r>
      <w:r>
        <w:t>,</w:t>
      </w:r>
      <w:r w:rsidR="00895AF8" w:rsidRPr="00320732">
        <w:t xml:space="preserve"> since it does not utilise a </w:t>
      </w:r>
      <w:r w:rsidR="00895AF8" w:rsidRPr="00320732">
        <w:lastRenderedPageBreak/>
        <w:t>soft tissue landmark such as</w:t>
      </w:r>
      <w:r>
        <w:t xml:space="preserve"> the PCL landmark. In the current</w:t>
      </w:r>
      <w:r w:rsidR="00895AF8" w:rsidRPr="00320732">
        <w:t xml:space="preserve"> study, the bony landmarks of the tibial condylar eminence were surprisingly easy to identify despite using post-medieval tibiae, with a good intra-observer agreement for the assessment.</w:t>
      </w:r>
      <w:r w:rsidR="00D52F53" w:rsidRPr="00320732">
        <w:t xml:space="preserve"> The identification of an adequate tibial rotation line is important</w:t>
      </w:r>
      <w:r>
        <w:t>, as</w:t>
      </w:r>
      <w:r w:rsidR="00D52F53" w:rsidRPr="00320732">
        <w:t xml:space="preserve"> technical factors</w:t>
      </w:r>
      <w:r>
        <w:t>,</w:t>
      </w:r>
      <w:r w:rsidR="00D52F53" w:rsidRPr="00320732">
        <w:t xml:space="preserve"> including proper component alignment</w:t>
      </w:r>
      <w:r>
        <w:t>, can affect the patient-</w:t>
      </w:r>
      <w:r w:rsidR="00D52F53" w:rsidRPr="00320732">
        <w:t>reported outcome and survival following total knee arthroplasty</w:t>
      </w:r>
      <w:r>
        <w:t>.</w:t>
      </w:r>
      <w:r>
        <w:rPr>
          <w:vertAlign w:val="superscript"/>
        </w:rPr>
        <w:t>3</w:t>
      </w:r>
      <w:r>
        <w:t xml:space="preserve"> </w:t>
      </w:r>
      <w:proofErr w:type="gramStart"/>
      <w:r w:rsidR="00D52F53" w:rsidRPr="00320732">
        <w:t>The</w:t>
      </w:r>
      <w:proofErr w:type="gramEnd"/>
      <w:r w:rsidR="00D52F53" w:rsidRPr="00320732">
        <w:t xml:space="preserve"> presence of a validated and easily identifiable alignment line</w:t>
      </w:r>
      <w:r>
        <w:t>,</w:t>
      </w:r>
      <w:r w:rsidR="00D52F53" w:rsidRPr="00320732">
        <w:t xml:space="preserve"> such as the inter-eminence line</w:t>
      </w:r>
      <w:r>
        <w:t xml:space="preserve">, should allow </w:t>
      </w:r>
      <w:r w:rsidR="00D52F53" w:rsidRPr="00320732">
        <w:t xml:space="preserve">proper positioning of the tibial base plate </w:t>
      </w:r>
      <w:r w:rsidR="00B5777E" w:rsidRPr="00320732">
        <w:t>and</w:t>
      </w:r>
      <w:r>
        <w:t>,</w:t>
      </w:r>
      <w:r w:rsidR="00B5777E" w:rsidRPr="00320732">
        <w:t xml:space="preserve"> </w:t>
      </w:r>
      <w:r>
        <w:t>thus, avoid</w:t>
      </w:r>
      <w:r w:rsidR="00D52F53" w:rsidRPr="00320732">
        <w:t xml:space="preserve"> component malalignment. The latter would lead to alteration of joint kinematics, patella mal-tracking, premature polyethylene wear</w:t>
      </w:r>
      <w:r>
        <w:t>,</w:t>
      </w:r>
      <w:r w:rsidR="00D52F53" w:rsidRPr="00320732">
        <w:t xml:space="preserve"> and knee instability.</w:t>
      </w:r>
    </w:p>
    <w:p w14:paraId="6C960B0E" w14:textId="77777777" w:rsidR="004A37E0" w:rsidRPr="00320732" w:rsidRDefault="004A37E0" w:rsidP="00895AF8">
      <w:pPr>
        <w:spacing w:line="480" w:lineRule="auto"/>
        <w:jc w:val="both"/>
      </w:pPr>
    </w:p>
    <w:p w14:paraId="5747B1A6" w14:textId="7DFC3223" w:rsidR="004B3284" w:rsidRDefault="009D72AE" w:rsidP="00432081">
      <w:pPr>
        <w:spacing w:line="480" w:lineRule="auto"/>
        <w:jc w:val="both"/>
      </w:pPr>
      <w:r>
        <w:t>There we</w:t>
      </w:r>
      <w:r w:rsidR="00432081" w:rsidRPr="00320732">
        <w:t xml:space="preserve">re several limitations to the current study. As this was an osteological study of </w:t>
      </w:r>
      <w:r w:rsidR="007E302E" w:rsidRPr="00320732">
        <w:t>individuals</w:t>
      </w:r>
      <w:r w:rsidR="00432081" w:rsidRPr="00320732">
        <w:t xml:space="preserve"> </w:t>
      </w:r>
      <w:r w:rsidR="007E302E" w:rsidRPr="00320732">
        <w:t xml:space="preserve">predominantly </w:t>
      </w:r>
      <w:r w:rsidR="004B3284">
        <w:t>from the 1800</w:t>
      </w:r>
      <w:r w:rsidR="00432081" w:rsidRPr="00320732">
        <w:t>s, the population was fairly homogenous and it was not possible to include diverse ethnic backgrounds. Similarly, the individuals were not differentiated by sex. It has been shown that natural femoral rotational alignment varies by both ethnic background and sex</w:t>
      </w:r>
      <w:r w:rsidR="004B3284">
        <w:t>.</w:t>
      </w:r>
      <w:r w:rsidR="004B3284">
        <w:rPr>
          <w:vertAlign w:val="superscript"/>
        </w:rPr>
        <w:t>16</w:t>
      </w:r>
      <w:bookmarkStart w:id="4" w:name="_Hlk498966714"/>
      <w:r w:rsidR="004B3284">
        <w:t xml:space="preserve"> Therefore, it is </w:t>
      </w:r>
      <w:r w:rsidR="00432081" w:rsidRPr="00320732">
        <w:t>within reason to assume that su</w:t>
      </w:r>
      <w:r w:rsidR="004B3284">
        <w:t>ch variations due to ethnicity/</w:t>
      </w:r>
      <w:r w:rsidR="00432081" w:rsidRPr="00320732">
        <w:t>sex also exist in the rotational alignment in the tibia and should be accounted for in future studies.</w:t>
      </w:r>
      <w:r w:rsidR="00FD7D9E">
        <w:t xml:space="preserve"> </w:t>
      </w:r>
      <w:r w:rsidR="004B3284">
        <w:t>Similarly, a wide variation was present in the</w:t>
      </w:r>
      <w:r w:rsidR="00124184" w:rsidRPr="00320732">
        <w:t xml:space="preserve"> results with large standard deviations (±</w:t>
      </w:r>
      <w:r w:rsidR="004B3284">
        <w:t xml:space="preserve"> 12.84º</w:t>
      </w:r>
      <w:r w:rsidR="00124184" w:rsidRPr="00320732">
        <w:t xml:space="preserve"> for inter-eminence line) in the measured medial angle f</w:t>
      </w:r>
      <w:r w:rsidR="004B3284">
        <w:t>rom the transverse axis. This is</w:t>
      </w:r>
      <w:r w:rsidR="00124184" w:rsidRPr="00320732">
        <w:t xml:space="preserve"> likely secondary to natural </w:t>
      </w:r>
      <w:r w:rsidR="00124184" w:rsidRPr="00320732">
        <w:rPr>
          <w:bCs/>
        </w:rPr>
        <w:t xml:space="preserve">anthropometric variation in a human population, </w:t>
      </w:r>
      <w:r w:rsidR="00D52F53" w:rsidRPr="00320732">
        <w:rPr>
          <w:bCs/>
        </w:rPr>
        <w:t xml:space="preserve">rather </w:t>
      </w:r>
      <w:r w:rsidR="0013734F">
        <w:rPr>
          <w:bCs/>
        </w:rPr>
        <w:t>tha</w:t>
      </w:r>
      <w:r w:rsidR="00124184" w:rsidRPr="00320732">
        <w:rPr>
          <w:bCs/>
        </w:rPr>
        <w:t xml:space="preserve">n </w:t>
      </w:r>
      <w:r w:rsidR="00504E2D" w:rsidRPr="00320732">
        <w:rPr>
          <w:bCs/>
        </w:rPr>
        <w:t xml:space="preserve">measurement </w:t>
      </w:r>
      <w:r w:rsidR="00124184" w:rsidRPr="00320732">
        <w:rPr>
          <w:bCs/>
        </w:rPr>
        <w:t>inaccuracy</w:t>
      </w:r>
      <w:r w:rsidR="004B3284">
        <w:rPr>
          <w:bCs/>
        </w:rPr>
        <w:t>,</w:t>
      </w:r>
      <w:r w:rsidR="00124184" w:rsidRPr="00320732">
        <w:rPr>
          <w:bCs/>
        </w:rPr>
        <w:t xml:space="preserve"> since the same degree of variation was present also in the Agaki and Dalury lines.</w:t>
      </w:r>
      <w:r w:rsidR="00124184" w:rsidRPr="00320732">
        <w:t xml:space="preserve"> </w:t>
      </w:r>
    </w:p>
    <w:p w14:paraId="14E6ED4A" w14:textId="77777777" w:rsidR="004B3284" w:rsidRDefault="004B3284" w:rsidP="00432081">
      <w:pPr>
        <w:spacing w:line="480" w:lineRule="auto"/>
        <w:jc w:val="both"/>
      </w:pPr>
    </w:p>
    <w:p w14:paraId="7E23F6A9" w14:textId="1743F6CD" w:rsidR="00962954" w:rsidRDefault="00432081" w:rsidP="00432081">
      <w:pPr>
        <w:spacing w:line="480" w:lineRule="auto"/>
        <w:jc w:val="both"/>
      </w:pPr>
      <w:r w:rsidRPr="00320732">
        <w:lastRenderedPageBreak/>
        <w:t xml:space="preserve">In </w:t>
      </w:r>
      <w:r w:rsidR="004B3284">
        <w:t>addition,</w:t>
      </w:r>
      <w:r w:rsidR="00504E2D" w:rsidRPr="00320732">
        <w:t xml:space="preserve"> </w:t>
      </w:r>
      <w:r w:rsidRPr="00320732">
        <w:t xml:space="preserve">existing pathologies were not taken into consideration. </w:t>
      </w:r>
      <w:bookmarkEnd w:id="4"/>
      <w:r w:rsidRPr="00320732">
        <w:t>This was partly becau</w:t>
      </w:r>
      <w:r w:rsidR="004B3284">
        <w:t>se medical records of the time were un</w:t>
      </w:r>
      <w:r w:rsidRPr="00320732">
        <w:t xml:space="preserve">reliable and most </w:t>
      </w:r>
      <w:r w:rsidR="00392AA0" w:rsidRPr="00320732">
        <w:t xml:space="preserve">individuals </w:t>
      </w:r>
      <w:r w:rsidR="004B3284">
        <w:t>had</w:t>
      </w:r>
      <w:r w:rsidRPr="00320732">
        <w:t xml:space="preserve"> cause of death recor</w:t>
      </w:r>
      <w:r w:rsidR="004B3284">
        <w:t>ded as “died of natural causes/</w:t>
      </w:r>
      <w:r w:rsidRPr="00320732">
        <w:t xml:space="preserve">died of age”. Some </w:t>
      </w:r>
      <w:r w:rsidR="00392AA0" w:rsidRPr="00320732">
        <w:t xml:space="preserve">individuals </w:t>
      </w:r>
      <w:r w:rsidRPr="00320732">
        <w:t>showed visible signs of osteological co-morbidities such as syphilis and cancer</w:t>
      </w:r>
      <w:r w:rsidR="004B3284">
        <w:t>,</w:t>
      </w:r>
      <w:r w:rsidR="0034485A">
        <w:t xml:space="preserve"> which could have</w:t>
      </w:r>
      <w:r w:rsidRPr="00320732">
        <w:t xml:space="preserve"> affect</w:t>
      </w:r>
      <w:r w:rsidR="0034485A">
        <w:t>ed</w:t>
      </w:r>
      <w:r w:rsidRPr="00320732">
        <w:t xml:space="preserve"> the identification of the condylar eminences and measurements. </w:t>
      </w:r>
      <w:r w:rsidR="00B5777E" w:rsidRPr="00320732">
        <w:t>In addition, b</w:t>
      </w:r>
      <w:r w:rsidR="0034485A">
        <w:t>one preservation could have</w:t>
      </w:r>
      <w:r w:rsidRPr="00320732">
        <w:t xml:space="preserve"> be</w:t>
      </w:r>
      <w:r w:rsidR="0034485A">
        <w:t>en</w:t>
      </w:r>
      <w:r w:rsidRPr="00320732">
        <w:t xml:space="preserve"> affected by extrinsic taphonomic factors such as burial depth and soil acidity</w:t>
      </w:r>
      <w:r w:rsidR="004B3284">
        <w:t>.</w:t>
      </w:r>
      <w:r w:rsidR="004B3284">
        <w:rPr>
          <w:vertAlign w:val="superscript"/>
        </w:rPr>
        <w:t>17</w:t>
      </w:r>
      <w:r w:rsidR="004B3284">
        <w:t xml:space="preserve"> </w:t>
      </w:r>
      <w:r w:rsidRPr="00320732">
        <w:t xml:space="preserve">Although the </w:t>
      </w:r>
      <w:r w:rsidR="00392AA0" w:rsidRPr="00320732">
        <w:t xml:space="preserve">individuals </w:t>
      </w:r>
      <w:r w:rsidR="00962954">
        <w:t>used in the current</w:t>
      </w:r>
      <w:r w:rsidRPr="00320732">
        <w:t xml:space="preserve"> study were largely protected from these extrinsic factors due to crypt burial, minor bone deterioration secondary to excavation, cleaning and curation could</w:t>
      </w:r>
      <w:r w:rsidR="00962954">
        <w:t xml:space="preserve"> have</w:t>
      </w:r>
      <w:r w:rsidRPr="00320732">
        <w:t xml:space="preserve"> influence</w:t>
      </w:r>
      <w:r w:rsidR="00962954">
        <w:t>d</w:t>
      </w:r>
      <w:r w:rsidRPr="00320732">
        <w:t xml:space="preserve"> bone quality and</w:t>
      </w:r>
      <w:r w:rsidR="0034485A">
        <w:t>,</w:t>
      </w:r>
      <w:r w:rsidRPr="00320732">
        <w:t xml:space="preserve"> therefore</w:t>
      </w:r>
      <w:r w:rsidR="0034485A">
        <w:t>,</w:t>
      </w:r>
      <w:r w:rsidRPr="00320732">
        <w:t xml:space="preserve"> results</w:t>
      </w:r>
      <w:r w:rsidR="00962954">
        <w:t>.</w:t>
      </w:r>
      <w:r w:rsidR="00962954">
        <w:rPr>
          <w:vertAlign w:val="superscript"/>
        </w:rPr>
        <w:t>18</w:t>
      </w:r>
      <w:proofErr w:type="gramStart"/>
      <w:r w:rsidR="00962954">
        <w:rPr>
          <w:vertAlign w:val="superscript"/>
        </w:rPr>
        <w:t>,19</w:t>
      </w:r>
      <w:proofErr w:type="gramEnd"/>
      <w:r w:rsidR="00962954">
        <w:t xml:space="preserve"> </w:t>
      </w:r>
    </w:p>
    <w:p w14:paraId="4AB1BB84" w14:textId="77777777" w:rsidR="00962954" w:rsidRDefault="00962954" w:rsidP="00432081">
      <w:pPr>
        <w:spacing w:line="480" w:lineRule="auto"/>
        <w:jc w:val="both"/>
      </w:pPr>
    </w:p>
    <w:p w14:paraId="53331A63" w14:textId="5A72D0F4" w:rsidR="00432081" w:rsidRPr="00320732" w:rsidRDefault="00962954" w:rsidP="00432081">
      <w:pPr>
        <w:spacing w:line="480" w:lineRule="auto"/>
        <w:jc w:val="both"/>
      </w:pPr>
      <w:r>
        <w:t>Finally, this was</w:t>
      </w:r>
      <w:r w:rsidR="00432081" w:rsidRPr="00320732">
        <w:t xml:space="preserve"> an osteological study conducted to establish an intraoperative anatomic landmark that will be </w:t>
      </w:r>
      <w:bookmarkStart w:id="5" w:name="_Hlk498926910"/>
      <w:r w:rsidR="00432081" w:rsidRPr="00320732">
        <w:t>helpful in improving the tibial tray rotation</w:t>
      </w:r>
      <w:r w:rsidR="0095456A" w:rsidRPr="00320732">
        <w:t xml:space="preserve"> for knee arthroplasty in arthritis</w:t>
      </w:r>
      <w:r w:rsidR="00432081" w:rsidRPr="00320732">
        <w:t>. As such, the current authors suggest further intra</w:t>
      </w:r>
      <w:r w:rsidR="00030EB4" w:rsidRPr="00320732">
        <w:t>-</w:t>
      </w:r>
      <w:r w:rsidR="00432081" w:rsidRPr="00320732">
        <w:t xml:space="preserve">operative investigation to assess the robustness of this method. </w:t>
      </w:r>
      <w:r>
        <w:t>In particular, they were un</w:t>
      </w:r>
      <w:r w:rsidR="00030EB4" w:rsidRPr="00320732">
        <w:t>able to evaluate the effect of arthritic changes</w:t>
      </w:r>
      <w:r>
        <w:t>,</w:t>
      </w:r>
      <w:r w:rsidR="00030EB4" w:rsidRPr="00320732">
        <w:t xml:space="preserve"> </w:t>
      </w:r>
      <w:r w:rsidR="006C7E15" w:rsidRPr="00320732">
        <w:t>including osteoarthritis or</w:t>
      </w:r>
      <w:r w:rsidR="0095456A" w:rsidRPr="00320732">
        <w:t xml:space="preserve"> inflammatory arthritis</w:t>
      </w:r>
      <w:r>
        <w:t>,</w:t>
      </w:r>
      <w:r w:rsidR="0095456A" w:rsidRPr="00320732">
        <w:t xml:space="preserve"> </w:t>
      </w:r>
      <w:r w:rsidR="006C7E15" w:rsidRPr="00320732">
        <w:t>on the identification of</w:t>
      </w:r>
      <w:r>
        <w:t xml:space="preserve"> anatomical features. The current study was</w:t>
      </w:r>
      <w:r w:rsidR="00030EB4" w:rsidRPr="00320732">
        <w:t xml:space="preserve"> able to identify the tibial eminences in most samples</w:t>
      </w:r>
      <w:r>
        <w:t>; however, it was</w:t>
      </w:r>
      <w:r w:rsidR="0034485A">
        <w:t xml:space="preserve"> un</w:t>
      </w:r>
      <w:r>
        <w:t>able to confirm how many of the</w:t>
      </w:r>
      <w:r w:rsidR="00030EB4" w:rsidRPr="00320732">
        <w:t xml:space="preserve"> samples suffered from arthritis. As such, osteoarthritis might make identification of the eminences easier. This is since “spiking", "sharpening" or "peaking" of the tubercles of the intercondylar </w:t>
      </w:r>
      <w:r w:rsidR="00030EB4" w:rsidRPr="00320732">
        <w:rPr>
          <w:rStyle w:val="highlight2"/>
        </w:rPr>
        <w:t>eminence</w:t>
      </w:r>
      <w:r w:rsidR="0034485A">
        <w:t xml:space="preserve"> of the tibial plateau have been described as </w:t>
      </w:r>
      <w:r w:rsidR="00030EB4" w:rsidRPr="00320732">
        <w:t>early sign</w:t>
      </w:r>
      <w:r w:rsidR="0034485A">
        <w:t>s</w:t>
      </w:r>
      <w:r w:rsidR="00030EB4" w:rsidRPr="00320732">
        <w:t xml:space="preserve"> of osteoarthritis of the </w:t>
      </w:r>
      <w:r w:rsidR="006C7E15" w:rsidRPr="00320732">
        <w:rPr>
          <w:rStyle w:val="highlight2"/>
        </w:rPr>
        <w:t>knee joint</w:t>
      </w:r>
      <w:r>
        <w:rPr>
          <w:rStyle w:val="highlight2"/>
        </w:rPr>
        <w:t>.</w:t>
      </w:r>
      <w:r>
        <w:rPr>
          <w:rStyle w:val="highlight2"/>
          <w:vertAlign w:val="superscript"/>
        </w:rPr>
        <w:t>2</w:t>
      </w:r>
      <w:r w:rsidR="00B57E7A">
        <w:rPr>
          <w:rStyle w:val="highlight2"/>
          <w:vertAlign w:val="superscript"/>
        </w:rPr>
        <w:t>0</w:t>
      </w:r>
      <w:r>
        <w:rPr>
          <w:rStyle w:val="highlight2"/>
          <w:vertAlign w:val="superscript"/>
        </w:rPr>
        <w:t>,2</w:t>
      </w:r>
      <w:r w:rsidR="00B57E7A">
        <w:rPr>
          <w:rStyle w:val="highlight2"/>
          <w:vertAlign w:val="superscript"/>
        </w:rPr>
        <w:t>1</w:t>
      </w:r>
      <w:r w:rsidR="006C7E15" w:rsidRPr="00320732">
        <w:rPr>
          <w:rStyle w:val="highlight2"/>
        </w:rPr>
        <w:t xml:space="preserve"> </w:t>
      </w:r>
      <w:r w:rsidR="00030EB4" w:rsidRPr="00320732">
        <w:t xml:space="preserve">Therefore, further intra-operative studies in patients undergoing knee arthroplasty are </w:t>
      </w:r>
      <w:r w:rsidR="00030EB4" w:rsidRPr="00320732">
        <w:lastRenderedPageBreak/>
        <w:t>required. This would allow for taking in</w:t>
      </w:r>
      <w:r w:rsidR="0034485A">
        <w:t>to</w:t>
      </w:r>
      <w:r w:rsidR="00030EB4" w:rsidRPr="00320732">
        <w:t xml:space="preserve"> consideration variations such as age, sex, ethnicity and presence of intra-articular disease.</w:t>
      </w:r>
    </w:p>
    <w:bookmarkEnd w:id="5"/>
    <w:p w14:paraId="6A881D02" w14:textId="77777777" w:rsidR="00432081" w:rsidRPr="00320732" w:rsidRDefault="00432081" w:rsidP="00432081">
      <w:pPr>
        <w:spacing w:line="480" w:lineRule="auto"/>
        <w:jc w:val="both"/>
      </w:pPr>
    </w:p>
    <w:p w14:paraId="02CDB5CA" w14:textId="6ADB8BA3" w:rsidR="00432081" w:rsidRPr="00320732" w:rsidRDefault="00962954" w:rsidP="00432081">
      <w:pPr>
        <w:spacing w:line="480" w:lineRule="auto"/>
        <w:jc w:val="both"/>
        <w:outlineLvl w:val="0"/>
      </w:pPr>
      <w:r>
        <w:t>In summary,</w:t>
      </w:r>
      <w:r w:rsidR="00432081" w:rsidRPr="00320732">
        <w:t xml:space="preserve"> the tibia rotation lines</w:t>
      </w:r>
      <w:r>
        <w:t xml:space="preserve"> that were</w:t>
      </w:r>
      <w:r w:rsidR="00432081" w:rsidRPr="00320732">
        <w:t xml:space="preserve"> studied showed excellent intra/inter-observer reliability and reproducibility. The novel and easily drawn inter-eminence line showed strong correlation with the </w:t>
      </w:r>
      <w:r w:rsidR="00273005" w:rsidRPr="00320732">
        <w:t xml:space="preserve">Akagi </w:t>
      </w:r>
      <w:r>
        <w:t>line and could</w:t>
      </w:r>
      <w:r w:rsidR="00432081" w:rsidRPr="00320732">
        <w:t xml:space="preserve"> be used for tibial tray rotational alignment in total knee arthroplasty.</w:t>
      </w:r>
    </w:p>
    <w:p w14:paraId="28C3B49E" w14:textId="77777777" w:rsidR="00432081" w:rsidRPr="00320732" w:rsidRDefault="00432081" w:rsidP="00432081">
      <w:pPr>
        <w:spacing w:line="480" w:lineRule="auto"/>
        <w:jc w:val="both"/>
      </w:pPr>
    </w:p>
    <w:p w14:paraId="76F4C7A5" w14:textId="77777777" w:rsidR="00432081" w:rsidRPr="00320732" w:rsidRDefault="00432081" w:rsidP="00432081">
      <w:pPr>
        <w:spacing w:line="480" w:lineRule="auto"/>
        <w:jc w:val="both"/>
        <w:outlineLvl w:val="0"/>
        <w:rPr>
          <w:b/>
        </w:rPr>
      </w:pPr>
    </w:p>
    <w:p w14:paraId="281C4727" w14:textId="548D7C77" w:rsidR="00432081" w:rsidRPr="00962954" w:rsidRDefault="00432081" w:rsidP="00432081">
      <w:pPr>
        <w:spacing w:line="480" w:lineRule="auto"/>
        <w:jc w:val="both"/>
        <w:outlineLvl w:val="0"/>
        <w:rPr>
          <w:b/>
        </w:rPr>
      </w:pPr>
      <w:bookmarkStart w:id="6" w:name="_GoBack"/>
      <w:r w:rsidRPr="00320732">
        <w:rPr>
          <w:b/>
        </w:rPr>
        <w:t>Acknowledgments</w:t>
      </w:r>
      <w:r w:rsidR="00962954">
        <w:rPr>
          <w:b/>
        </w:rPr>
        <w:t>:</w:t>
      </w:r>
      <w:bookmarkEnd w:id="6"/>
      <w:r w:rsidR="00962954">
        <w:rPr>
          <w:b/>
        </w:rPr>
        <w:t xml:space="preserve"> </w:t>
      </w:r>
      <w:r w:rsidRPr="00320732">
        <w:t xml:space="preserve">These studies did not receive </w:t>
      </w:r>
      <w:r w:rsidR="00440121">
        <w:t xml:space="preserve">external </w:t>
      </w:r>
      <w:r w:rsidRPr="00320732">
        <w:t>funding.</w:t>
      </w:r>
    </w:p>
    <w:p w14:paraId="5FE267A7" w14:textId="77777777" w:rsidR="00432081" w:rsidRPr="00320732" w:rsidRDefault="00432081" w:rsidP="00432081">
      <w:pPr>
        <w:spacing w:line="480" w:lineRule="auto"/>
        <w:jc w:val="both"/>
      </w:pPr>
    </w:p>
    <w:p w14:paraId="5F0D4A9B" w14:textId="5442F70B" w:rsidR="00432081" w:rsidRPr="00962954" w:rsidRDefault="00432081" w:rsidP="00962954">
      <w:pPr>
        <w:spacing w:line="480" w:lineRule="auto"/>
        <w:jc w:val="both"/>
        <w:outlineLvl w:val="0"/>
        <w:rPr>
          <w:b/>
        </w:rPr>
      </w:pPr>
      <w:r w:rsidRPr="00320732">
        <w:rPr>
          <w:b/>
        </w:rPr>
        <w:t>Conflict of interest</w:t>
      </w:r>
      <w:r w:rsidR="00962954">
        <w:rPr>
          <w:b/>
        </w:rPr>
        <w:t xml:space="preserve">: </w:t>
      </w:r>
      <w:r w:rsidRPr="00320732">
        <w:t>No benefits in any form have been received or will be received from a commercial party related directly or indirectly to the subject of this article.</w:t>
      </w:r>
    </w:p>
    <w:p w14:paraId="1BF3F2DA" w14:textId="77777777" w:rsidR="00432081" w:rsidRPr="00320732" w:rsidRDefault="00432081" w:rsidP="00432081">
      <w:pPr>
        <w:spacing w:line="480" w:lineRule="auto"/>
        <w:jc w:val="both"/>
        <w:outlineLvl w:val="0"/>
        <w:rPr>
          <w:b/>
        </w:rPr>
      </w:pPr>
    </w:p>
    <w:p w14:paraId="280C548A" w14:textId="77777777" w:rsidR="00962954" w:rsidRDefault="00962954" w:rsidP="00432081">
      <w:pPr>
        <w:spacing w:line="480" w:lineRule="auto"/>
        <w:jc w:val="both"/>
        <w:outlineLvl w:val="0"/>
        <w:rPr>
          <w:b/>
        </w:rPr>
      </w:pPr>
    </w:p>
    <w:p w14:paraId="7C13E90D" w14:textId="77777777" w:rsidR="00962954" w:rsidRDefault="00962954" w:rsidP="00432081">
      <w:pPr>
        <w:spacing w:line="480" w:lineRule="auto"/>
        <w:jc w:val="both"/>
        <w:outlineLvl w:val="0"/>
        <w:rPr>
          <w:b/>
        </w:rPr>
      </w:pPr>
    </w:p>
    <w:p w14:paraId="22E09D66" w14:textId="77777777" w:rsidR="00962954" w:rsidRDefault="00962954" w:rsidP="00432081">
      <w:pPr>
        <w:spacing w:line="480" w:lineRule="auto"/>
        <w:jc w:val="both"/>
        <w:outlineLvl w:val="0"/>
        <w:rPr>
          <w:b/>
        </w:rPr>
      </w:pPr>
    </w:p>
    <w:p w14:paraId="1E030755" w14:textId="77777777" w:rsidR="00962954" w:rsidRDefault="00962954" w:rsidP="00432081">
      <w:pPr>
        <w:spacing w:line="480" w:lineRule="auto"/>
        <w:jc w:val="both"/>
        <w:outlineLvl w:val="0"/>
        <w:rPr>
          <w:b/>
        </w:rPr>
      </w:pPr>
    </w:p>
    <w:p w14:paraId="753D00F9" w14:textId="77777777" w:rsidR="00962954" w:rsidRDefault="00962954" w:rsidP="00432081">
      <w:pPr>
        <w:spacing w:line="480" w:lineRule="auto"/>
        <w:jc w:val="both"/>
        <w:outlineLvl w:val="0"/>
        <w:rPr>
          <w:b/>
        </w:rPr>
      </w:pPr>
    </w:p>
    <w:p w14:paraId="405B3A08" w14:textId="77777777" w:rsidR="00962954" w:rsidRDefault="00962954" w:rsidP="00432081">
      <w:pPr>
        <w:spacing w:line="480" w:lineRule="auto"/>
        <w:jc w:val="both"/>
        <w:outlineLvl w:val="0"/>
        <w:rPr>
          <w:b/>
        </w:rPr>
      </w:pPr>
    </w:p>
    <w:p w14:paraId="06CE1C34" w14:textId="77777777" w:rsidR="00962954" w:rsidRDefault="00962954" w:rsidP="00432081">
      <w:pPr>
        <w:spacing w:line="480" w:lineRule="auto"/>
        <w:jc w:val="both"/>
        <w:outlineLvl w:val="0"/>
        <w:rPr>
          <w:b/>
        </w:rPr>
      </w:pPr>
    </w:p>
    <w:p w14:paraId="2C1C9B75" w14:textId="77777777" w:rsidR="00962954" w:rsidRDefault="00962954" w:rsidP="00432081">
      <w:pPr>
        <w:spacing w:line="480" w:lineRule="auto"/>
        <w:jc w:val="both"/>
        <w:outlineLvl w:val="0"/>
        <w:rPr>
          <w:b/>
        </w:rPr>
      </w:pPr>
    </w:p>
    <w:p w14:paraId="6084A38E" w14:textId="77777777" w:rsidR="00962954" w:rsidRDefault="00962954" w:rsidP="00432081">
      <w:pPr>
        <w:spacing w:line="480" w:lineRule="auto"/>
        <w:jc w:val="both"/>
        <w:outlineLvl w:val="0"/>
        <w:rPr>
          <w:b/>
        </w:rPr>
      </w:pPr>
    </w:p>
    <w:p w14:paraId="78B8672A" w14:textId="5AFDA716" w:rsidR="00432081" w:rsidRPr="00320732" w:rsidRDefault="00962954" w:rsidP="00962954">
      <w:pPr>
        <w:pStyle w:val="Heading1"/>
        <w:rPr>
          <w:rFonts w:ascii="Times New Roman" w:hAnsi="Times New Roman" w:cs="Times New Roman"/>
          <w:sz w:val="24"/>
          <w:szCs w:val="24"/>
        </w:rPr>
      </w:pPr>
      <w:r>
        <w:lastRenderedPageBreak/>
        <w:t>References</w:t>
      </w:r>
    </w:p>
    <w:p w14:paraId="555AAB85" w14:textId="02C0ACB1" w:rsidR="00432081" w:rsidRPr="00320732" w:rsidRDefault="00432081" w:rsidP="00432081">
      <w:pPr>
        <w:numPr>
          <w:ilvl w:val="0"/>
          <w:numId w:val="2"/>
        </w:numPr>
        <w:spacing w:line="480" w:lineRule="auto"/>
        <w:jc w:val="both"/>
      </w:pPr>
      <w:r w:rsidRPr="00320732">
        <w:t xml:space="preserve">Abdel MP, Ledford CK, Kobic A, Taunton MJ, Hanssen AD. </w:t>
      </w:r>
      <w:hyperlink r:id="rId8" w:history="1">
        <w:r w:rsidRPr="00320732">
          <w:rPr>
            <w:rStyle w:val="Hyperlink"/>
            <w:color w:val="auto"/>
            <w:u w:val="none"/>
          </w:rPr>
          <w:t xml:space="preserve">Contemporary failure aetiologies of the primary, posterior-stabilised </w:t>
        </w:r>
        <w:r w:rsidRPr="00320732">
          <w:rPr>
            <w:rStyle w:val="Hyperlink"/>
            <w:bCs/>
            <w:color w:val="auto"/>
            <w:u w:val="none"/>
          </w:rPr>
          <w:t>total</w:t>
        </w:r>
        <w:r w:rsidRPr="00320732">
          <w:rPr>
            <w:rStyle w:val="Hyperlink"/>
            <w:color w:val="auto"/>
            <w:u w:val="none"/>
          </w:rPr>
          <w:t xml:space="preserve"> </w:t>
        </w:r>
        <w:r w:rsidRPr="00320732">
          <w:rPr>
            <w:rStyle w:val="Hyperlink"/>
            <w:bCs/>
            <w:color w:val="auto"/>
            <w:u w:val="none"/>
          </w:rPr>
          <w:t>knee</w:t>
        </w:r>
        <w:r w:rsidRPr="00320732">
          <w:rPr>
            <w:rStyle w:val="Hyperlink"/>
            <w:color w:val="auto"/>
            <w:u w:val="none"/>
          </w:rPr>
          <w:t xml:space="preserve"> </w:t>
        </w:r>
        <w:r w:rsidRPr="00320732">
          <w:rPr>
            <w:rStyle w:val="Hyperlink"/>
            <w:bCs/>
            <w:color w:val="auto"/>
            <w:u w:val="none"/>
          </w:rPr>
          <w:t>arthroplasty</w:t>
        </w:r>
        <w:r w:rsidRPr="00320732">
          <w:rPr>
            <w:rStyle w:val="Hyperlink"/>
            <w:color w:val="auto"/>
            <w:u w:val="none"/>
          </w:rPr>
          <w:t>.</w:t>
        </w:r>
      </w:hyperlink>
      <w:r w:rsidRPr="00320732">
        <w:t xml:space="preserve"> </w:t>
      </w:r>
      <w:r w:rsidRPr="00320732">
        <w:rPr>
          <w:rStyle w:val="jrnl"/>
          <w:bCs/>
        </w:rPr>
        <w:t>Bone Joint J</w:t>
      </w:r>
      <w:r w:rsidR="00962954">
        <w:t xml:space="preserve"> 2017</w:t>
      </w:r>
      <w:proofErr w:type="gramStart"/>
      <w:r w:rsidRPr="00320732">
        <w:t>;99</w:t>
      </w:r>
      <w:proofErr w:type="gramEnd"/>
      <w:r w:rsidRPr="00320732">
        <w:t xml:space="preserve">-B(5):647-652. </w:t>
      </w:r>
    </w:p>
    <w:p w14:paraId="1272F180" w14:textId="084897C8" w:rsidR="00432081" w:rsidRPr="00320732" w:rsidRDefault="00432081" w:rsidP="00432081">
      <w:pPr>
        <w:numPr>
          <w:ilvl w:val="0"/>
          <w:numId w:val="2"/>
        </w:numPr>
        <w:spacing w:line="480" w:lineRule="auto"/>
        <w:jc w:val="both"/>
      </w:pPr>
      <w:r w:rsidRPr="00320732">
        <w:t>Sharkey PF, Lichstein PM, Shen C, Tokarski AT, Parvizi J. Why are total knee arthroplasties failing today: has anything changed</w:t>
      </w:r>
      <w:r w:rsidR="00962954">
        <w:t xml:space="preserve"> after 10 years? J Arthroplasty</w:t>
      </w:r>
      <w:r w:rsidRPr="00320732">
        <w:t xml:space="preserve"> 2014; 29(9):1774-1778.</w:t>
      </w:r>
    </w:p>
    <w:p w14:paraId="5EA7695B" w14:textId="0E74AD78" w:rsidR="00432081" w:rsidRPr="00320732" w:rsidRDefault="00432081" w:rsidP="00432081">
      <w:pPr>
        <w:numPr>
          <w:ilvl w:val="0"/>
          <w:numId w:val="2"/>
        </w:numPr>
        <w:spacing w:line="480" w:lineRule="auto"/>
        <w:jc w:val="both"/>
      </w:pPr>
      <w:r w:rsidRPr="00320732">
        <w:t>Barrack RL, Schrader T, Bertot AJ, Wolfe MW, Myers L. Component rotation and anterior knee pain after total knee arth</w:t>
      </w:r>
      <w:r w:rsidR="00962954">
        <w:t>roplasty. Clin Orthop Relat Res</w:t>
      </w:r>
      <w:r w:rsidRPr="00320732">
        <w:t xml:space="preserve"> 2001; (392):46-55.</w:t>
      </w:r>
    </w:p>
    <w:p w14:paraId="5781A831" w14:textId="153038F2" w:rsidR="00432081" w:rsidRPr="00320732" w:rsidRDefault="00432081" w:rsidP="00432081">
      <w:pPr>
        <w:numPr>
          <w:ilvl w:val="0"/>
          <w:numId w:val="2"/>
        </w:numPr>
        <w:spacing w:line="480" w:lineRule="auto"/>
        <w:jc w:val="both"/>
      </w:pPr>
      <w:r w:rsidRPr="00320732">
        <w:t>Berger RA, Crossett LS, Jacobs JJ, Rubash HE. Malrotation causing patellofemoral complications after total knee arthroplasty</w:t>
      </w:r>
      <w:r w:rsidR="00962954">
        <w:t>. Clin Orthop Relat Res</w:t>
      </w:r>
      <w:r w:rsidRPr="00320732">
        <w:t xml:space="preserve"> 998; (356):144-153.</w:t>
      </w:r>
    </w:p>
    <w:p w14:paraId="241E3B5D" w14:textId="44A9A22A" w:rsidR="00432081" w:rsidRPr="00320732" w:rsidRDefault="00432081" w:rsidP="00432081">
      <w:pPr>
        <w:numPr>
          <w:ilvl w:val="0"/>
          <w:numId w:val="2"/>
        </w:numPr>
        <w:spacing w:line="480" w:lineRule="auto"/>
        <w:jc w:val="both"/>
      </w:pPr>
      <w:r w:rsidRPr="00320732">
        <w:t xml:space="preserve">Churchill DL, Incavo SJ, Johnson CC, Beynnon BD. The transepicondylar axis approximates the optimal flexion axis of </w:t>
      </w:r>
      <w:r w:rsidR="00962954">
        <w:t>the knee. Clin Orthop Relat Res</w:t>
      </w:r>
      <w:r w:rsidRPr="00320732">
        <w:t xml:space="preserve"> 998; (356):111-118.</w:t>
      </w:r>
    </w:p>
    <w:p w14:paraId="36D83747" w14:textId="583FDAA0" w:rsidR="00432081" w:rsidRPr="00320732" w:rsidRDefault="00432081" w:rsidP="00432081">
      <w:pPr>
        <w:numPr>
          <w:ilvl w:val="0"/>
          <w:numId w:val="2"/>
        </w:numPr>
        <w:spacing w:line="480" w:lineRule="auto"/>
        <w:jc w:val="both"/>
      </w:pPr>
      <w:r w:rsidRPr="00320732">
        <w:t xml:space="preserve">Whiteside LA, Arima J. </w:t>
      </w:r>
      <w:hyperlink r:id="rId9" w:history="1">
        <w:r w:rsidRPr="00320732">
          <w:rPr>
            <w:rStyle w:val="Hyperlink"/>
            <w:color w:val="auto"/>
            <w:u w:val="none"/>
          </w:rPr>
          <w:t xml:space="preserve">The anteroposterior axis for femoral rotational </w:t>
        </w:r>
        <w:r w:rsidRPr="00320732">
          <w:rPr>
            <w:rStyle w:val="Hyperlink"/>
            <w:bCs/>
            <w:color w:val="auto"/>
            <w:u w:val="none"/>
          </w:rPr>
          <w:t>alignment</w:t>
        </w:r>
        <w:r w:rsidRPr="00320732">
          <w:rPr>
            <w:rStyle w:val="Hyperlink"/>
            <w:color w:val="auto"/>
            <w:u w:val="none"/>
          </w:rPr>
          <w:t xml:space="preserve"> in valgus </w:t>
        </w:r>
        <w:r w:rsidRPr="00320732">
          <w:rPr>
            <w:rStyle w:val="Hyperlink"/>
            <w:bCs/>
            <w:color w:val="auto"/>
            <w:u w:val="none"/>
          </w:rPr>
          <w:t>total</w:t>
        </w:r>
        <w:r w:rsidRPr="00320732">
          <w:rPr>
            <w:rStyle w:val="Hyperlink"/>
            <w:color w:val="auto"/>
            <w:u w:val="none"/>
          </w:rPr>
          <w:t xml:space="preserve"> </w:t>
        </w:r>
        <w:r w:rsidRPr="00320732">
          <w:rPr>
            <w:rStyle w:val="Hyperlink"/>
            <w:bCs/>
            <w:color w:val="auto"/>
            <w:u w:val="none"/>
          </w:rPr>
          <w:t>knee</w:t>
        </w:r>
        <w:r w:rsidRPr="00320732">
          <w:rPr>
            <w:rStyle w:val="Hyperlink"/>
            <w:color w:val="auto"/>
            <w:u w:val="none"/>
          </w:rPr>
          <w:t xml:space="preserve"> arthroplasty.</w:t>
        </w:r>
      </w:hyperlink>
      <w:r w:rsidRPr="00320732">
        <w:t xml:space="preserve"> </w:t>
      </w:r>
      <w:r w:rsidRPr="00320732">
        <w:rPr>
          <w:rStyle w:val="jrnl"/>
        </w:rPr>
        <w:t>Clin Orthop Relat Res</w:t>
      </w:r>
      <w:r w:rsidR="00962954">
        <w:t xml:space="preserve"> </w:t>
      </w:r>
      <w:proofErr w:type="gramStart"/>
      <w:r w:rsidR="00962954">
        <w:t>1995</w:t>
      </w:r>
      <w:r w:rsidRPr="00320732">
        <w:t>;</w:t>
      </w:r>
      <w:proofErr w:type="gramEnd"/>
      <w:r w:rsidRPr="00320732">
        <w:t>(321):168-</w:t>
      </w:r>
      <w:r w:rsidR="00962954">
        <w:t>1</w:t>
      </w:r>
      <w:r w:rsidRPr="00320732">
        <w:t>72.</w:t>
      </w:r>
    </w:p>
    <w:p w14:paraId="1FCD6621" w14:textId="61FE6BFA" w:rsidR="00432081" w:rsidRPr="00320732" w:rsidRDefault="00432081" w:rsidP="00432081">
      <w:pPr>
        <w:numPr>
          <w:ilvl w:val="0"/>
          <w:numId w:val="2"/>
        </w:numPr>
        <w:spacing w:line="480" w:lineRule="auto"/>
        <w:jc w:val="both"/>
      </w:pPr>
      <w:r w:rsidRPr="00320732">
        <w:t xml:space="preserve">Brar AS, Howell SM, Hull ML. </w:t>
      </w:r>
      <w:hyperlink r:id="rId10" w:history="1">
        <w:r w:rsidRPr="00320732">
          <w:rPr>
            <w:rStyle w:val="Hyperlink"/>
            <w:color w:val="auto"/>
            <w:u w:val="none"/>
          </w:rPr>
          <w:t xml:space="preserve">What are the bias, imprecision, and limits of agreement for finding the flexion-extension plane of the </w:t>
        </w:r>
        <w:r w:rsidRPr="00320732">
          <w:rPr>
            <w:rStyle w:val="Hyperlink"/>
            <w:bCs/>
            <w:color w:val="auto"/>
            <w:u w:val="none"/>
          </w:rPr>
          <w:t>knee</w:t>
        </w:r>
        <w:r w:rsidRPr="00320732">
          <w:rPr>
            <w:rStyle w:val="Hyperlink"/>
            <w:color w:val="auto"/>
            <w:u w:val="none"/>
          </w:rPr>
          <w:t xml:space="preserve"> with five tibial reference </w:t>
        </w:r>
        <w:r w:rsidRPr="00320732">
          <w:rPr>
            <w:rStyle w:val="Hyperlink"/>
            <w:bCs/>
            <w:color w:val="auto"/>
            <w:u w:val="none"/>
          </w:rPr>
          <w:t>lines</w:t>
        </w:r>
        <w:r w:rsidRPr="00320732">
          <w:rPr>
            <w:rStyle w:val="Hyperlink"/>
            <w:color w:val="auto"/>
            <w:u w:val="none"/>
          </w:rPr>
          <w:t>?</w:t>
        </w:r>
      </w:hyperlink>
      <w:r w:rsidRPr="00320732">
        <w:t xml:space="preserve"> </w:t>
      </w:r>
      <w:r w:rsidRPr="00320732">
        <w:rPr>
          <w:rStyle w:val="jrnl"/>
          <w:bCs/>
        </w:rPr>
        <w:t>Knee</w:t>
      </w:r>
      <w:r w:rsidR="007A261B">
        <w:t xml:space="preserve"> 2016</w:t>
      </w:r>
      <w:proofErr w:type="gramStart"/>
      <w:r w:rsidRPr="00320732">
        <w:t>;23</w:t>
      </w:r>
      <w:proofErr w:type="gramEnd"/>
      <w:r w:rsidRPr="00320732">
        <w:t>(3):406-</w:t>
      </w:r>
      <w:r w:rsidR="007A261B">
        <w:t>4</w:t>
      </w:r>
      <w:r w:rsidRPr="00320732">
        <w:t>11.</w:t>
      </w:r>
    </w:p>
    <w:p w14:paraId="25D3B078" w14:textId="600E8A7D" w:rsidR="00432081" w:rsidRPr="00320732" w:rsidRDefault="00432081" w:rsidP="00432081">
      <w:pPr>
        <w:numPr>
          <w:ilvl w:val="0"/>
          <w:numId w:val="2"/>
        </w:numPr>
        <w:spacing w:line="480" w:lineRule="auto"/>
        <w:jc w:val="both"/>
      </w:pPr>
      <w:r w:rsidRPr="00320732">
        <w:t xml:space="preserve">Sahin N, Atıcı T, Öztürk A, Özkaya G, Özkan Y, Avcu B. </w:t>
      </w:r>
      <w:hyperlink r:id="rId11" w:history="1">
        <w:r w:rsidRPr="00320732">
          <w:rPr>
            <w:rStyle w:val="Hyperlink"/>
            <w:color w:val="auto"/>
            <w:u w:val="none"/>
          </w:rPr>
          <w:t xml:space="preserve">Accuracy of anatomical references used for rotational </w:t>
        </w:r>
        <w:r w:rsidRPr="00320732">
          <w:rPr>
            <w:rStyle w:val="Hyperlink"/>
            <w:bCs/>
            <w:color w:val="auto"/>
            <w:u w:val="none"/>
          </w:rPr>
          <w:t>alignment</w:t>
        </w:r>
        <w:r w:rsidRPr="00320732">
          <w:rPr>
            <w:rStyle w:val="Hyperlink"/>
            <w:color w:val="auto"/>
            <w:u w:val="none"/>
          </w:rPr>
          <w:t xml:space="preserve"> of tibial component in </w:t>
        </w:r>
        <w:r w:rsidRPr="00320732">
          <w:rPr>
            <w:rStyle w:val="Hyperlink"/>
            <w:bCs/>
            <w:color w:val="auto"/>
            <w:u w:val="none"/>
          </w:rPr>
          <w:t>total</w:t>
        </w:r>
        <w:r w:rsidRPr="00320732">
          <w:rPr>
            <w:rStyle w:val="Hyperlink"/>
            <w:color w:val="auto"/>
            <w:u w:val="none"/>
          </w:rPr>
          <w:t xml:space="preserve"> </w:t>
        </w:r>
        <w:r w:rsidRPr="00320732">
          <w:rPr>
            <w:rStyle w:val="Hyperlink"/>
            <w:bCs/>
            <w:color w:val="auto"/>
            <w:u w:val="none"/>
          </w:rPr>
          <w:t>knee</w:t>
        </w:r>
        <w:r w:rsidRPr="00320732">
          <w:rPr>
            <w:rStyle w:val="Hyperlink"/>
            <w:color w:val="auto"/>
            <w:u w:val="none"/>
          </w:rPr>
          <w:t xml:space="preserve"> arthroplasty.</w:t>
        </w:r>
      </w:hyperlink>
      <w:r w:rsidRPr="00320732">
        <w:t xml:space="preserve"> </w:t>
      </w:r>
      <w:r w:rsidRPr="00320732">
        <w:rPr>
          <w:rStyle w:val="jrnl"/>
          <w:bCs/>
        </w:rPr>
        <w:t>Knee</w:t>
      </w:r>
      <w:r w:rsidRPr="00320732">
        <w:rPr>
          <w:rStyle w:val="jrnl"/>
        </w:rPr>
        <w:t xml:space="preserve"> Surg Sports Traumatol Arthrosc</w:t>
      </w:r>
      <w:r w:rsidR="007A261B">
        <w:t xml:space="preserve"> 2012</w:t>
      </w:r>
      <w:proofErr w:type="gramStart"/>
      <w:r w:rsidRPr="00320732">
        <w:t>;20</w:t>
      </w:r>
      <w:proofErr w:type="gramEnd"/>
      <w:r w:rsidRPr="00320732">
        <w:t>(3):565-</w:t>
      </w:r>
      <w:r w:rsidR="007A261B">
        <w:t>5</w:t>
      </w:r>
      <w:r w:rsidRPr="00320732">
        <w:t>70.</w:t>
      </w:r>
    </w:p>
    <w:p w14:paraId="4525B313" w14:textId="63C68BDE" w:rsidR="00432081" w:rsidRPr="00320732" w:rsidRDefault="00432081" w:rsidP="00432081">
      <w:pPr>
        <w:numPr>
          <w:ilvl w:val="0"/>
          <w:numId w:val="2"/>
        </w:numPr>
        <w:spacing w:line="480" w:lineRule="auto"/>
        <w:jc w:val="both"/>
      </w:pPr>
      <w:r w:rsidRPr="00320732">
        <w:lastRenderedPageBreak/>
        <w:t xml:space="preserve">Akagi M, Oh M, Nonaka T, Tsujimoto H, Asano T, Hamanishi C. An anteroposterior axis of the tibia for total knee arthroplasty. </w:t>
      </w:r>
      <w:r w:rsidRPr="00320732">
        <w:rPr>
          <w:rStyle w:val="jrnl"/>
        </w:rPr>
        <w:t>Clin Orthop Relat Res</w:t>
      </w:r>
      <w:r w:rsidR="007A261B">
        <w:t xml:space="preserve"> </w:t>
      </w:r>
      <w:proofErr w:type="gramStart"/>
      <w:r w:rsidR="007A261B">
        <w:t>2004</w:t>
      </w:r>
      <w:r w:rsidRPr="00320732">
        <w:t>;</w:t>
      </w:r>
      <w:proofErr w:type="gramEnd"/>
      <w:r w:rsidRPr="00320732">
        <w:t>(420):213-</w:t>
      </w:r>
      <w:r w:rsidR="007A261B">
        <w:t>21</w:t>
      </w:r>
      <w:r w:rsidRPr="00320732">
        <w:t>9.</w:t>
      </w:r>
    </w:p>
    <w:p w14:paraId="5253C4AE" w14:textId="244AE6F9" w:rsidR="00432081" w:rsidRPr="00320732" w:rsidRDefault="00432081" w:rsidP="00432081">
      <w:pPr>
        <w:numPr>
          <w:ilvl w:val="0"/>
          <w:numId w:val="2"/>
        </w:numPr>
        <w:spacing w:line="480" w:lineRule="auto"/>
        <w:jc w:val="both"/>
      </w:pPr>
      <w:r w:rsidRPr="00320732">
        <w:t xml:space="preserve">Dalury DF. </w:t>
      </w:r>
      <w:hyperlink r:id="rId12" w:history="1">
        <w:r w:rsidRPr="00320732">
          <w:rPr>
            <w:rStyle w:val="Hyperlink"/>
            <w:bCs/>
            <w:color w:val="auto"/>
            <w:u w:val="none"/>
          </w:rPr>
          <w:t>Observations</w:t>
        </w:r>
        <w:r w:rsidRPr="00320732">
          <w:rPr>
            <w:rStyle w:val="Hyperlink"/>
            <w:color w:val="auto"/>
            <w:u w:val="none"/>
          </w:rPr>
          <w:t xml:space="preserve"> of the </w:t>
        </w:r>
        <w:r w:rsidRPr="00320732">
          <w:rPr>
            <w:rStyle w:val="Hyperlink"/>
            <w:bCs/>
            <w:color w:val="auto"/>
            <w:u w:val="none"/>
          </w:rPr>
          <w:t>proximal</w:t>
        </w:r>
        <w:r w:rsidRPr="00320732">
          <w:rPr>
            <w:rStyle w:val="Hyperlink"/>
            <w:color w:val="auto"/>
            <w:u w:val="none"/>
          </w:rPr>
          <w:t xml:space="preserve"> </w:t>
        </w:r>
        <w:r w:rsidRPr="00320732">
          <w:rPr>
            <w:rStyle w:val="Hyperlink"/>
            <w:bCs/>
            <w:color w:val="auto"/>
            <w:u w:val="none"/>
          </w:rPr>
          <w:t>tibia</w:t>
        </w:r>
        <w:r w:rsidRPr="00320732">
          <w:rPr>
            <w:rStyle w:val="Hyperlink"/>
            <w:color w:val="auto"/>
            <w:u w:val="none"/>
          </w:rPr>
          <w:t xml:space="preserve"> in </w:t>
        </w:r>
        <w:r w:rsidRPr="00320732">
          <w:rPr>
            <w:rStyle w:val="Hyperlink"/>
            <w:bCs/>
            <w:color w:val="auto"/>
            <w:u w:val="none"/>
          </w:rPr>
          <w:t>total knee arthroplasty</w:t>
        </w:r>
        <w:r w:rsidRPr="00320732">
          <w:rPr>
            <w:rStyle w:val="Hyperlink"/>
            <w:color w:val="auto"/>
            <w:u w:val="none"/>
          </w:rPr>
          <w:t>.</w:t>
        </w:r>
      </w:hyperlink>
      <w:r w:rsidRPr="00320732">
        <w:t xml:space="preserve"> </w:t>
      </w:r>
      <w:r w:rsidRPr="00320732">
        <w:rPr>
          <w:rStyle w:val="jrnl"/>
        </w:rPr>
        <w:t>Clin Orthop Relat Res</w:t>
      </w:r>
      <w:r w:rsidR="007A261B">
        <w:t xml:space="preserve"> </w:t>
      </w:r>
      <w:proofErr w:type="gramStart"/>
      <w:r w:rsidR="007A261B">
        <w:t>2001</w:t>
      </w:r>
      <w:r w:rsidRPr="00320732">
        <w:t>;</w:t>
      </w:r>
      <w:proofErr w:type="gramEnd"/>
      <w:r w:rsidRPr="00320732">
        <w:t>(389):150-</w:t>
      </w:r>
      <w:r w:rsidR="007A261B">
        <w:t>15</w:t>
      </w:r>
      <w:r w:rsidRPr="00320732">
        <w:t>5.</w:t>
      </w:r>
    </w:p>
    <w:p w14:paraId="72AD2CD0" w14:textId="64DAECE1" w:rsidR="00432081" w:rsidRPr="00320732" w:rsidRDefault="00432081" w:rsidP="00432081">
      <w:pPr>
        <w:numPr>
          <w:ilvl w:val="0"/>
          <w:numId w:val="2"/>
        </w:numPr>
        <w:spacing w:line="480" w:lineRule="auto"/>
        <w:jc w:val="both"/>
      </w:pPr>
      <w:r w:rsidRPr="00320732">
        <w:t xml:space="preserve">Dalury DF, Aram LJ. </w:t>
      </w:r>
      <w:hyperlink r:id="rId13" w:history="1">
        <w:r w:rsidRPr="00320732">
          <w:rPr>
            <w:rStyle w:val="Hyperlink"/>
            <w:color w:val="auto"/>
            <w:u w:val="none"/>
          </w:rPr>
          <w:t>The "midsulcus line" as a landmark for tibial resection during total knee arthroplasty.</w:t>
        </w:r>
      </w:hyperlink>
      <w:r w:rsidRPr="00320732">
        <w:t xml:space="preserve"> </w:t>
      </w:r>
      <w:r w:rsidRPr="00320732">
        <w:rPr>
          <w:rStyle w:val="jrnl"/>
        </w:rPr>
        <w:t>Knee</w:t>
      </w:r>
      <w:r w:rsidR="007A261B">
        <w:t xml:space="preserve"> 2016</w:t>
      </w:r>
      <w:proofErr w:type="gramStart"/>
      <w:r w:rsidRPr="00320732">
        <w:t>;23</w:t>
      </w:r>
      <w:proofErr w:type="gramEnd"/>
      <w:r w:rsidRPr="00320732">
        <w:t>(3):529-</w:t>
      </w:r>
      <w:r w:rsidR="007A261B">
        <w:t>5</w:t>
      </w:r>
      <w:r w:rsidRPr="00320732">
        <w:t>31.</w:t>
      </w:r>
    </w:p>
    <w:p w14:paraId="789D0D16" w14:textId="5F324D31" w:rsidR="00432081" w:rsidRPr="00320732" w:rsidRDefault="00432081" w:rsidP="00432081">
      <w:pPr>
        <w:numPr>
          <w:ilvl w:val="0"/>
          <w:numId w:val="2"/>
        </w:numPr>
        <w:spacing w:line="480" w:lineRule="auto"/>
        <w:jc w:val="both"/>
      </w:pPr>
      <w:r w:rsidRPr="00320732">
        <w:rPr>
          <w:rStyle w:val="HTMLCite"/>
          <w:i w:val="0"/>
        </w:rPr>
        <w:t>Cicchetti DV. Guidelines, criteria, and rules of thumb for evaluating normed and standardized assess</w:t>
      </w:r>
      <w:r w:rsidR="007A261B">
        <w:rPr>
          <w:rStyle w:val="HTMLCite"/>
          <w:i w:val="0"/>
        </w:rPr>
        <w:t>ment instruments in psychology. Psychological Assessment</w:t>
      </w:r>
      <w:r w:rsidRPr="00320732">
        <w:rPr>
          <w:rStyle w:val="HTMLCite"/>
          <w:i w:val="0"/>
        </w:rPr>
        <w:t xml:space="preserve"> 1994</w:t>
      </w:r>
      <w:r w:rsidR="007A261B">
        <w:rPr>
          <w:rStyle w:val="HTMLCite"/>
          <w:i w:val="0"/>
        </w:rPr>
        <w:t>;</w:t>
      </w:r>
      <w:r w:rsidRPr="00320732">
        <w:rPr>
          <w:rStyle w:val="HTMLCite"/>
          <w:i w:val="0"/>
        </w:rPr>
        <w:t xml:space="preserve"> </w:t>
      </w:r>
      <w:r w:rsidRPr="00320732">
        <w:rPr>
          <w:rStyle w:val="HTMLCite"/>
          <w:bCs/>
          <w:i w:val="0"/>
        </w:rPr>
        <w:t>6</w:t>
      </w:r>
      <w:r w:rsidR="007A261B">
        <w:rPr>
          <w:rStyle w:val="HTMLCite"/>
          <w:i w:val="0"/>
        </w:rPr>
        <w:t>(4): 284-</w:t>
      </w:r>
      <w:r w:rsidRPr="00320732">
        <w:rPr>
          <w:rStyle w:val="HTMLCite"/>
          <w:i w:val="0"/>
        </w:rPr>
        <w:t>290.</w:t>
      </w:r>
    </w:p>
    <w:p w14:paraId="3C0C09FE" w14:textId="5A5D5B70" w:rsidR="00432081" w:rsidRPr="00320732" w:rsidRDefault="00432081" w:rsidP="00432081">
      <w:pPr>
        <w:numPr>
          <w:ilvl w:val="0"/>
          <w:numId w:val="2"/>
        </w:numPr>
        <w:spacing w:line="480" w:lineRule="auto"/>
        <w:jc w:val="both"/>
        <w:rPr>
          <w:rStyle w:val="HTMLCite"/>
          <w:i w:val="0"/>
          <w:iCs w:val="0"/>
        </w:rPr>
      </w:pPr>
      <w:r w:rsidRPr="00320732">
        <w:rPr>
          <w:rStyle w:val="HTMLCite"/>
          <w:i w:val="0"/>
        </w:rPr>
        <w:t>Landis JR, Koch GG. The measurement of observer agreement for categorical da</w:t>
      </w:r>
      <w:r w:rsidR="007A261B">
        <w:rPr>
          <w:rStyle w:val="HTMLCite"/>
          <w:i w:val="0"/>
        </w:rPr>
        <w:t>ta. Biometrics 1977</w:t>
      </w:r>
      <w:proofErr w:type="gramStart"/>
      <w:r w:rsidR="007A261B">
        <w:rPr>
          <w:rStyle w:val="HTMLCite"/>
          <w:i w:val="0"/>
        </w:rPr>
        <w:t>;</w:t>
      </w:r>
      <w:r w:rsidRPr="00320732">
        <w:rPr>
          <w:rStyle w:val="HTMLCite"/>
          <w:bCs/>
          <w:i w:val="0"/>
        </w:rPr>
        <w:t>33</w:t>
      </w:r>
      <w:proofErr w:type="gramEnd"/>
      <w:r w:rsidR="007A261B">
        <w:rPr>
          <w:rStyle w:val="HTMLCite"/>
          <w:i w:val="0"/>
        </w:rPr>
        <w:t xml:space="preserve"> (1): 159-</w:t>
      </w:r>
      <w:r w:rsidRPr="00320732">
        <w:rPr>
          <w:rStyle w:val="HTMLCite"/>
          <w:i w:val="0"/>
        </w:rPr>
        <w:t>174.</w:t>
      </w:r>
    </w:p>
    <w:p w14:paraId="34E818A3" w14:textId="26DB2DA7" w:rsidR="00432081" w:rsidRPr="00320732" w:rsidRDefault="00432081" w:rsidP="00432081">
      <w:pPr>
        <w:numPr>
          <w:ilvl w:val="0"/>
          <w:numId w:val="2"/>
        </w:numPr>
        <w:spacing w:line="480" w:lineRule="auto"/>
        <w:jc w:val="both"/>
      </w:pPr>
      <w:r w:rsidRPr="00E26F6A">
        <w:rPr>
          <w:lang w:val="fr-FR"/>
        </w:rPr>
        <w:t xml:space="preserve"> Bonnin MP, Saffarini M, Mercier PE, Laurent JR, Carrillon Y. </w:t>
      </w:r>
      <w:hyperlink r:id="rId14" w:history="1">
        <w:r w:rsidRPr="00320732">
          <w:rPr>
            <w:rStyle w:val="Hyperlink"/>
            <w:color w:val="auto"/>
            <w:u w:val="none"/>
          </w:rPr>
          <w:t>Is the anterior tibial tuberosity a reliable rotational landmark for the tibial component in total knee arthroplasty?</w:t>
        </w:r>
      </w:hyperlink>
      <w:r w:rsidRPr="00320732">
        <w:t xml:space="preserve"> </w:t>
      </w:r>
      <w:r w:rsidRPr="00320732">
        <w:rPr>
          <w:rStyle w:val="jrnl"/>
        </w:rPr>
        <w:t>J Arthroplasty</w:t>
      </w:r>
      <w:r w:rsidR="007A261B">
        <w:t xml:space="preserve"> 2011</w:t>
      </w:r>
      <w:proofErr w:type="gramStart"/>
      <w:r w:rsidRPr="00320732">
        <w:t>;26</w:t>
      </w:r>
      <w:proofErr w:type="gramEnd"/>
      <w:r w:rsidRPr="00320732">
        <w:t>(2):260-</w:t>
      </w:r>
      <w:r w:rsidR="007A261B">
        <w:t>26</w:t>
      </w:r>
      <w:r w:rsidRPr="00320732">
        <w:t>7.</w:t>
      </w:r>
    </w:p>
    <w:p w14:paraId="4705E401" w14:textId="326A24C8" w:rsidR="00432081" w:rsidRPr="00320732" w:rsidRDefault="00432081" w:rsidP="00432081">
      <w:pPr>
        <w:numPr>
          <w:ilvl w:val="0"/>
          <w:numId w:val="2"/>
        </w:numPr>
        <w:spacing w:line="480" w:lineRule="auto"/>
        <w:jc w:val="both"/>
      </w:pPr>
      <w:r w:rsidRPr="00320732">
        <w:rPr>
          <w:bCs/>
        </w:rPr>
        <w:t>Hatayama</w:t>
      </w:r>
      <w:r w:rsidRPr="00320732">
        <w:t xml:space="preserve"> K, Terauchi M, Saito K, Hagiwara K, Higuchi H. </w:t>
      </w:r>
      <w:hyperlink r:id="rId15" w:history="1">
        <w:r w:rsidRPr="00320732">
          <w:rPr>
            <w:rStyle w:val="Hyperlink"/>
            <w:color w:val="auto"/>
            <w:u w:val="none"/>
          </w:rPr>
          <w:t>Tibial Tubercle in Valgus Osteoarthritic Knees Is More Laterally Positioned Than in Varus Knees.</w:t>
        </w:r>
      </w:hyperlink>
      <w:r w:rsidRPr="00320732">
        <w:t xml:space="preserve"> </w:t>
      </w:r>
      <w:r w:rsidRPr="00320732">
        <w:rPr>
          <w:rStyle w:val="jrnl"/>
        </w:rPr>
        <w:t>J Arthroplasty</w:t>
      </w:r>
      <w:r w:rsidR="007A261B">
        <w:t xml:space="preserve"> 2016</w:t>
      </w:r>
      <w:proofErr w:type="gramStart"/>
      <w:r w:rsidRPr="00320732">
        <w:t>;31</w:t>
      </w:r>
      <w:proofErr w:type="gramEnd"/>
      <w:r w:rsidRPr="00320732">
        <w:t>(10):2303-</w:t>
      </w:r>
      <w:r w:rsidR="007A261B">
        <w:t>230</w:t>
      </w:r>
      <w:r w:rsidRPr="00320732">
        <w:t>7.</w:t>
      </w:r>
    </w:p>
    <w:p w14:paraId="4808DC72" w14:textId="5EE5078B" w:rsidR="00432081" w:rsidRPr="00320732" w:rsidRDefault="00432081" w:rsidP="00432081">
      <w:pPr>
        <w:numPr>
          <w:ilvl w:val="0"/>
          <w:numId w:val="2"/>
        </w:numPr>
        <w:spacing w:line="480" w:lineRule="auto"/>
        <w:jc w:val="both"/>
      </w:pPr>
      <w:r w:rsidRPr="00320732">
        <w:t xml:space="preserve">Yip DK, Zhu YH, Chiu KY, Ng TP. </w:t>
      </w:r>
      <w:hyperlink r:id="rId16" w:history="1">
        <w:r w:rsidRPr="00320732">
          <w:rPr>
            <w:rStyle w:val="Hyperlink"/>
            <w:bCs/>
            <w:color w:val="auto"/>
            <w:u w:val="none"/>
          </w:rPr>
          <w:t>Distal</w:t>
        </w:r>
        <w:r w:rsidRPr="00320732">
          <w:rPr>
            <w:rStyle w:val="Hyperlink"/>
            <w:color w:val="auto"/>
            <w:u w:val="none"/>
          </w:rPr>
          <w:t xml:space="preserve"> </w:t>
        </w:r>
        <w:r w:rsidRPr="00320732">
          <w:rPr>
            <w:rStyle w:val="Hyperlink"/>
            <w:bCs/>
            <w:color w:val="auto"/>
            <w:u w:val="none"/>
          </w:rPr>
          <w:t>rotational</w:t>
        </w:r>
        <w:r w:rsidRPr="00320732">
          <w:rPr>
            <w:rStyle w:val="Hyperlink"/>
            <w:color w:val="auto"/>
            <w:u w:val="none"/>
          </w:rPr>
          <w:t xml:space="preserve"> </w:t>
        </w:r>
        <w:r w:rsidRPr="00320732">
          <w:rPr>
            <w:rStyle w:val="Hyperlink"/>
            <w:bCs/>
            <w:color w:val="auto"/>
            <w:u w:val="none"/>
          </w:rPr>
          <w:t>alignment</w:t>
        </w:r>
        <w:r w:rsidRPr="00320732">
          <w:rPr>
            <w:rStyle w:val="Hyperlink"/>
            <w:color w:val="auto"/>
            <w:u w:val="none"/>
          </w:rPr>
          <w:t xml:space="preserve"> of the </w:t>
        </w:r>
        <w:r w:rsidRPr="00320732">
          <w:rPr>
            <w:rStyle w:val="Hyperlink"/>
            <w:bCs/>
            <w:color w:val="auto"/>
            <w:u w:val="none"/>
          </w:rPr>
          <w:t>Chinese</w:t>
        </w:r>
        <w:r w:rsidRPr="00320732">
          <w:rPr>
            <w:rStyle w:val="Hyperlink"/>
            <w:color w:val="auto"/>
            <w:u w:val="none"/>
          </w:rPr>
          <w:t xml:space="preserve"> </w:t>
        </w:r>
        <w:r w:rsidRPr="00320732">
          <w:rPr>
            <w:rStyle w:val="Hyperlink"/>
            <w:bCs/>
            <w:color w:val="auto"/>
            <w:u w:val="none"/>
          </w:rPr>
          <w:t>femur</w:t>
        </w:r>
        <w:r w:rsidRPr="00320732">
          <w:rPr>
            <w:rStyle w:val="Hyperlink"/>
            <w:color w:val="auto"/>
            <w:u w:val="none"/>
          </w:rPr>
          <w:t xml:space="preserve"> and its </w:t>
        </w:r>
        <w:r w:rsidRPr="00320732">
          <w:rPr>
            <w:rStyle w:val="Hyperlink"/>
            <w:bCs/>
            <w:color w:val="auto"/>
            <w:u w:val="none"/>
          </w:rPr>
          <w:t>relevance</w:t>
        </w:r>
        <w:r w:rsidRPr="00320732">
          <w:rPr>
            <w:rStyle w:val="Hyperlink"/>
            <w:color w:val="auto"/>
            <w:u w:val="none"/>
          </w:rPr>
          <w:t xml:space="preserve"> in </w:t>
        </w:r>
        <w:r w:rsidRPr="00320732">
          <w:rPr>
            <w:rStyle w:val="Hyperlink"/>
            <w:bCs/>
            <w:color w:val="auto"/>
            <w:u w:val="none"/>
          </w:rPr>
          <w:t>total</w:t>
        </w:r>
        <w:r w:rsidRPr="00320732">
          <w:rPr>
            <w:rStyle w:val="Hyperlink"/>
            <w:color w:val="auto"/>
            <w:u w:val="none"/>
          </w:rPr>
          <w:t xml:space="preserve"> </w:t>
        </w:r>
        <w:r w:rsidRPr="00320732">
          <w:rPr>
            <w:rStyle w:val="Hyperlink"/>
            <w:bCs/>
            <w:color w:val="auto"/>
            <w:u w:val="none"/>
          </w:rPr>
          <w:t>knee</w:t>
        </w:r>
        <w:r w:rsidRPr="00320732">
          <w:rPr>
            <w:rStyle w:val="Hyperlink"/>
            <w:color w:val="auto"/>
            <w:u w:val="none"/>
          </w:rPr>
          <w:t xml:space="preserve"> </w:t>
        </w:r>
        <w:r w:rsidRPr="00320732">
          <w:rPr>
            <w:rStyle w:val="Hyperlink"/>
            <w:bCs/>
            <w:color w:val="auto"/>
            <w:u w:val="none"/>
          </w:rPr>
          <w:t>arthroplasty</w:t>
        </w:r>
        <w:r w:rsidRPr="00320732">
          <w:rPr>
            <w:rStyle w:val="Hyperlink"/>
            <w:color w:val="auto"/>
            <w:u w:val="none"/>
          </w:rPr>
          <w:t>.</w:t>
        </w:r>
      </w:hyperlink>
      <w:r w:rsidRPr="00320732">
        <w:t xml:space="preserve"> </w:t>
      </w:r>
      <w:r w:rsidRPr="00320732">
        <w:rPr>
          <w:rStyle w:val="jrnl"/>
        </w:rPr>
        <w:t xml:space="preserve">J </w:t>
      </w:r>
      <w:r w:rsidRPr="00320732">
        <w:rPr>
          <w:rStyle w:val="jrnl"/>
          <w:bCs/>
        </w:rPr>
        <w:t>Arthroplasty</w:t>
      </w:r>
      <w:r w:rsidR="007A261B">
        <w:t xml:space="preserve"> 2004</w:t>
      </w:r>
      <w:proofErr w:type="gramStart"/>
      <w:r w:rsidRPr="00320732">
        <w:t>;19</w:t>
      </w:r>
      <w:proofErr w:type="gramEnd"/>
      <w:r w:rsidRPr="00320732">
        <w:t>(5):613-</w:t>
      </w:r>
      <w:r w:rsidR="007A261B">
        <w:t>61</w:t>
      </w:r>
      <w:r w:rsidRPr="00320732">
        <w:t>9.</w:t>
      </w:r>
    </w:p>
    <w:p w14:paraId="16FDD257" w14:textId="3FBE33C6" w:rsidR="00432081" w:rsidRPr="00320732" w:rsidRDefault="00432081" w:rsidP="00432081">
      <w:pPr>
        <w:numPr>
          <w:ilvl w:val="0"/>
          <w:numId w:val="2"/>
        </w:numPr>
        <w:spacing w:line="480" w:lineRule="auto"/>
        <w:jc w:val="both"/>
      </w:pPr>
      <w:r w:rsidRPr="00320732">
        <w:t xml:space="preserve">Galloway </w:t>
      </w:r>
      <w:proofErr w:type="gramStart"/>
      <w:r w:rsidRPr="00320732">
        <w:t>A</w:t>
      </w:r>
      <w:proofErr w:type="gramEnd"/>
      <w:r w:rsidRPr="00320732">
        <w:t>, Willey P, Snyder L.</w:t>
      </w:r>
      <w:r w:rsidR="00FD7D9E">
        <w:t xml:space="preserve"> </w:t>
      </w:r>
      <w:r w:rsidRPr="00320732">
        <w:t>Human bone mineral densities and survival of bone elements: A c</w:t>
      </w:r>
      <w:r w:rsidR="007A261B">
        <w:t>ontemporary sample. In: Haglund WD, Sorg, MH, Eds.</w:t>
      </w:r>
      <w:r w:rsidRPr="00320732">
        <w:t xml:space="preserve"> Forensic </w:t>
      </w:r>
      <w:r w:rsidRPr="00320732">
        <w:lastRenderedPageBreak/>
        <w:t>Taphonomy: The post m</w:t>
      </w:r>
      <w:r w:rsidR="007A261B">
        <w:t>ortem fate of human remains. Florida: CRC Press,</w:t>
      </w:r>
      <w:r w:rsidRPr="00320732">
        <w:t xml:space="preserve"> </w:t>
      </w:r>
      <w:r w:rsidR="007A261B">
        <w:t xml:space="preserve">1997: </w:t>
      </w:r>
      <w:r w:rsidRPr="00320732">
        <w:t>295-317.</w:t>
      </w:r>
    </w:p>
    <w:p w14:paraId="227B0DAD" w14:textId="7BB4ACF7" w:rsidR="00432081" w:rsidRPr="00320732" w:rsidRDefault="00432081" w:rsidP="00432081">
      <w:pPr>
        <w:numPr>
          <w:ilvl w:val="0"/>
          <w:numId w:val="2"/>
        </w:numPr>
        <w:spacing w:line="480" w:lineRule="auto"/>
        <w:jc w:val="both"/>
      </w:pPr>
      <w:r w:rsidRPr="00320732">
        <w:t>Henderson J. Factors Determining the State of Preservation o</w:t>
      </w:r>
      <w:r w:rsidR="007A261B">
        <w:t>f Human Remains. In: Boddington A, Garland AN, Janaway RC, Eds.</w:t>
      </w:r>
      <w:r w:rsidRPr="00320732">
        <w:t xml:space="preserve"> Death Decay and Reconstruction: Approaches to Archaeology and Forensic Science.</w:t>
      </w:r>
      <w:r w:rsidR="007A261B">
        <w:t xml:space="preserve"> Manchester: </w:t>
      </w:r>
      <w:r w:rsidRPr="00320732">
        <w:t>Mancheste</w:t>
      </w:r>
      <w:r w:rsidR="007A261B">
        <w:t xml:space="preserve">r University Press, 1987: </w:t>
      </w:r>
      <w:r w:rsidRPr="00320732">
        <w:t>43-54.</w:t>
      </w:r>
    </w:p>
    <w:p w14:paraId="65C876EB" w14:textId="492A3032" w:rsidR="006C7E15" w:rsidRPr="00320732" w:rsidRDefault="00311A60" w:rsidP="00B71370">
      <w:pPr>
        <w:numPr>
          <w:ilvl w:val="0"/>
          <w:numId w:val="2"/>
        </w:numPr>
        <w:spacing w:line="480" w:lineRule="auto"/>
        <w:jc w:val="both"/>
      </w:pPr>
      <w:r w:rsidRPr="00320732">
        <w:t xml:space="preserve">WORD database, Museum of London. </w:t>
      </w:r>
      <w:r w:rsidR="007A261B">
        <w:t xml:space="preserve">(Accessed September 30, 2015, at: </w:t>
      </w:r>
      <w:hyperlink r:id="rId17" w:history="1">
        <w:r w:rsidR="006C7E15" w:rsidRPr="00320732">
          <w:rPr>
            <w:rStyle w:val="Hyperlink"/>
          </w:rPr>
          <w:t>http://www.museumoflondon.org.uk/collections/other-collection-databases-and-libraries/centre-human-bioarchaeology</w:t>
        </w:r>
      </w:hyperlink>
      <w:r w:rsidR="006C7E15" w:rsidRPr="00320732">
        <w:t>.</w:t>
      </w:r>
      <w:r w:rsidR="007A261B">
        <w:t>)</w:t>
      </w:r>
    </w:p>
    <w:p w14:paraId="568703BD" w14:textId="10778B83" w:rsidR="006C7E15" w:rsidRPr="00320732" w:rsidRDefault="006C7E15" w:rsidP="003A19D4">
      <w:pPr>
        <w:numPr>
          <w:ilvl w:val="0"/>
          <w:numId w:val="2"/>
        </w:numPr>
        <w:spacing w:line="480" w:lineRule="auto"/>
        <w:jc w:val="both"/>
      </w:pPr>
      <w:bookmarkStart w:id="7" w:name="_Hlk498926935"/>
      <w:r w:rsidRPr="00320732">
        <w:t xml:space="preserve">Reiff DB, Heron CW, Stoker DJ. </w:t>
      </w:r>
      <w:hyperlink r:id="rId18" w:history="1">
        <w:r w:rsidRPr="00320732">
          <w:rPr>
            <w:rStyle w:val="Hyperlink"/>
            <w:color w:val="auto"/>
            <w:u w:val="none"/>
          </w:rPr>
          <w:t xml:space="preserve">Spiking of the tubercles of the intercondylar </w:t>
        </w:r>
        <w:r w:rsidRPr="00320732">
          <w:rPr>
            <w:rStyle w:val="Hyperlink"/>
            <w:bCs/>
            <w:color w:val="auto"/>
            <w:u w:val="none"/>
          </w:rPr>
          <w:t>eminence</w:t>
        </w:r>
        <w:r w:rsidRPr="00320732">
          <w:rPr>
            <w:rStyle w:val="Hyperlink"/>
            <w:color w:val="auto"/>
            <w:u w:val="none"/>
          </w:rPr>
          <w:t xml:space="preserve"> of the tibial plateau in osteoarthritis.</w:t>
        </w:r>
      </w:hyperlink>
      <w:r w:rsidRPr="00320732">
        <w:t xml:space="preserve"> </w:t>
      </w:r>
      <w:r w:rsidRPr="00320732">
        <w:rPr>
          <w:rStyle w:val="jrnl"/>
        </w:rPr>
        <w:t>Br J Radiol</w:t>
      </w:r>
      <w:r w:rsidR="007A261B">
        <w:t xml:space="preserve"> 1991</w:t>
      </w:r>
      <w:proofErr w:type="gramStart"/>
      <w:r w:rsidRPr="00320732">
        <w:t>;64</w:t>
      </w:r>
      <w:proofErr w:type="gramEnd"/>
      <w:r w:rsidRPr="00320732">
        <w:t>(766):915-</w:t>
      </w:r>
      <w:r w:rsidR="007A261B">
        <w:t>91</w:t>
      </w:r>
      <w:r w:rsidRPr="00320732">
        <w:t xml:space="preserve">7. </w:t>
      </w:r>
    </w:p>
    <w:p w14:paraId="73089250" w14:textId="70EF2CCE" w:rsidR="009912E4" w:rsidRPr="00320732" w:rsidRDefault="006C7E15" w:rsidP="00B57E7A">
      <w:pPr>
        <w:numPr>
          <w:ilvl w:val="0"/>
          <w:numId w:val="2"/>
        </w:numPr>
        <w:spacing w:line="480" w:lineRule="auto"/>
        <w:jc w:val="both"/>
      </w:pPr>
      <w:r w:rsidRPr="00320732">
        <w:t xml:space="preserve">Hayeri MR, Shiehmorteza M, Trudell DJ, Heflin T, Resnick D. </w:t>
      </w:r>
      <w:hyperlink r:id="rId19" w:history="1">
        <w:r w:rsidRPr="00B57E7A">
          <w:rPr>
            <w:rStyle w:val="Hyperlink"/>
            <w:color w:val="auto"/>
            <w:u w:val="none"/>
          </w:rPr>
          <w:t xml:space="preserve">Proximal tibial osteophytes and their relationship with the height of the tibial spines of the intercondylar </w:t>
        </w:r>
        <w:r w:rsidRPr="00B57E7A">
          <w:rPr>
            <w:rStyle w:val="Hyperlink"/>
            <w:bCs/>
            <w:color w:val="auto"/>
            <w:u w:val="none"/>
          </w:rPr>
          <w:t>eminence</w:t>
        </w:r>
        <w:r w:rsidRPr="00B57E7A">
          <w:rPr>
            <w:rStyle w:val="Hyperlink"/>
            <w:color w:val="auto"/>
            <w:u w:val="none"/>
          </w:rPr>
          <w:t>: paleopathological study.</w:t>
        </w:r>
      </w:hyperlink>
      <w:r w:rsidRPr="00320732">
        <w:t xml:space="preserve"> </w:t>
      </w:r>
      <w:r w:rsidRPr="00320732">
        <w:rPr>
          <w:rStyle w:val="jrnl"/>
        </w:rPr>
        <w:t>Skeletal Radiol</w:t>
      </w:r>
      <w:r w:rsidR="007A261B">
        <w:t xml:space="preserve"> 2010</w:t>
      </w:r>
      <w:proofErr w:type="gramStart"/>
      <w:r w:rsidRPr="00320732">
        <w:t>;39</w:t>
      </w:r>
      <w:proofErr w:type="gramEnd"/>
      <w:r w:rsidRPr="00320732">
        <w:t>(9):877-</w:t>
      </w:r>
      <w:r w:rsidR="007A261B">
        <w:t>8</w:t>
      </w:r>
      <w:r w:rsidRPr="00320732">
        <w:t xml:space="preserve">81. </w:t>
      </w:r>
      <w:proofErr w:type="gramStart"/>
      <w:r w:rsidRPr="00320732">
        <w:t>doi</w:t>
      </w:r>
      <w:proofErr w:type="gramEnd"/>
      <w:r w:rsidRPr="00320732">
        <w:t>: 10.1007/s00256-009-0838-z</w:t>
      </w:r>
      <w:r w:rsidR="00B5777E" w:rsidRPr="00320732">
        <w:t>.</w:t>
      </w:r>
      <w:bookmarkEnd w:id="7"/>
    </w:p>
    <w:sectPr w:rsidR="009912E4" w:rsidRPr="00320732">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py Editor" w:date="2018-01-04T11:17:00Z" w:initials="CO">
    <w:p w14:paraId="408E6244" w14:textId="7BF4120F" w:rsidR="00320732" w:rsidRDefault="00320732">
      <w:pPr>
        <w:pStyle w:val="CommentText"/>
      </w:pPr>
      <w:r>
        <w:rPr>
          <w:rStyle w:val="CommentReference"/>
        </w:rPr>
        <w:annotationRef/>
      </w:r>
      <w:r>
        <w:t xml:space="preserve">Authors: for each affiliation please list: name of department, institution, city and country. </w:t>
      </w:r>
      <w:proofErr w:type="gramStart"/>
      <w:r>
        <w:t>thanks</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E62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7246"/>
    <w:multiLevelType w:val="hybridMultilevel"/>
    <w:tmpl w:val="30023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F126E4"/>
    <w:multiLevelType w:val="hybridMultilevel"/>
    <w:tmpl w:val="D4265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F8"/>
    <w:rsid w:val="00030EB4"/>
    <w:rsid w:val="00092207"/>
    <w:rsid w:val="001157BE"/>
    <w:rsid w:val="00124184"/>
    <w:rsid w:val="0013734F"/>
    <w:rsid w:val="00172A59"/>
    <w:rsid w:val="001F1D62"/>
    <w:rsid w:val="002265BA"/>
    <w:rsid w:val="00273005"/>
    <w:rsid w:val="002F5B5B"/>
    <w:rsid w:val="00311A60"/>
    <w:rsid w:val="00320732"/>
    <w:rsid w:val="00332AA8"/>
    <w:rsid w:val="0034485A"/>
    <w:rsid w:val="00392AA0"/>
    <w:rsid w:val="003D37D9"/>
    <w:rsid w:val="00432081"/>
    <w:rsid w:val="00437D85"/>
    <w:rsid w:val="00440121"/>
    <w:rsid w:val="004A37E0"/>
    <w:rsid w:val="004B3284"/>
    <w:rsid w:val="00504E2D"/>
    <w:rsid w:val="00527C88"/>
    <w:rsid w:val="00573EB0"/>
    <w:rsid w:val="006C7E15"/>
    <w:rsid w:val="006F4C6A"/>
    <w:rsid w:val="007155F3"/>
    <w:rsid w:val="007303A8"/>
    <w:rsid w:val="007A261B"/>
    <w:rsid w:val="007E302E"/>
    <w:rsid w:val="00807374"/>
    <w:rsid w:val="00817A8A"/>
    <w:rsid w:val="008766FA"/>
    <w:rsid w:val="00895AF8"/>
    <w:rsid w:val="008A556C"/>
    <w:rsid w:val="008B1BDF"/>
    <w:rsid w:val="0095456A"/>
    <w:rsid w:val="00962954"/>
    <w:rsid w:val="009912E4"/>
    <w:rsid w:val="009D72AE"/>
    <w:rsid w:val="00A15101"/>
    <w:rsid w:val="00A563CB"/>
    <w:rsid w:val="00A8181E"/>
    <w:rsid w:val="00A96291"/>
    <w:rsid w:val="00AC750A"/>
    <w:rsid w:val="00B16BE6"/>
    <w:rsid w:val="00B5777E"/>
    <w:rsid w:val="00B57E7A"/>
    <w:rsid w:val="00BA1FC0"/>
    <w:rsid w:val="00BB795E"/>
    <w:rsid w:val="00CF0F43"/>
    <w:rsid w:val="00D03E92"/>
    <w:rsid w:val="00D52F53"/>
    <w:rsid w:val="00DA358A"/>
    <w:rsid w:val="00E26F6A"/>
    <w:rsid w:val="00E37755"/>
    <w:rsid w:val="00EA241A"/>
    <w:rsid w:val="00F3176D"/>
    <w:rsid w:val="00FD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2D70A"/>
  <w15:docId w15:val="{811D4A50-840C-4FB5-B402-6545FAB3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F8"/>
    <w:rPr>
      <w:sz w:val="24"/>
      <w:szCs w:val="24"/>
    </w:rPr>
  </w:style>
  <w:style w:type="paragraph" w:styleId="Heading1">
    <w:name w:val="heading 1"/>
    <w:basedOn w:val="Normal"/>
    <w:next w:val="Normal"/>
    <w:link w:val="Heading1Char"/>
    <w:qFormat/>
    <w:rsid w:val="003207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F4C6A"/>
    <w:rPr>
      <w:sz w:val="16"/>
      <w:szCs w:val="16"/>
    </w:rPr>
  </w:style>
  <w:style w:type="paragraph" w:styleId="CommentText">
    <w:name w:val="annotation text"/>
    <w:basedOn w:val="Normal"/>
    <w:link w:val="CommentTextChar"/>
    <w:rsid w:val="006F4C6A"/>
    <w:rPr>
      <w:sz w:val="20"/>
      <w:szCs w:val="20"/>
    </w:rPr>
  </w:style>
  <w:style w:type="character" w:customStyle="1" w:styleId="CommentTextChar">
    <w:name w:val="Comment Text Char"/>
    <w:basedOn w:val="DefaultParagraphFont"/>
    <w:link w:val="CommentText"/>
    <w:rsid w:val="006F4C6A"/>
  </w:style>
  <w:style w:type="paragraph" w:styleId="CommentSubject">
    <w:name w:val="annotation subject"/>
    <w:basedOn w:val="CommentText"/>
    <w:next w:val="CommentText"/>
    <w:link w:val="CommentSubjectChar"/>
    <w:rsid w:val="006F4C6A"/>
    <w:rPr>
      <w:b/>
      <w:bCs/>
    </w:rPr>
  </w:style>
  <w:style w:type="character" w:customStyle="1" w:styleId="CommentSubjectChar">
    <w:name w:val="Comment Subject Char"/>
    <w:basedOn w:val="CommentTextChar"/>
    <w:link w:val="CommentSubject"/>
    <w:rsid w:val="006F4C6A"/>
    <w:rPr>
      <w:b/>
      <w:bCs/>
    </w:rPr>
  </w:style>
  <w:style w:type="paragraph" w:styleId="BalloonText">
    <w:name w:val="Balloon Text"/>
    <w:basedOn w:val="Normal"/>
    <w:link w:val="BalloonTextChar"/>
    <w:rsid w:val="006F4C6A"/>
    <w:rPr>
      <w:rFonts w:ascii="Tahoma" w:hAnsi="Tahoma" w:cs="Tahoma"/>
      <w:sz w:val="16"/>
      <w:szCs w:val="16"/>
    </w:rPr>
  </w:style>
  <w:style w:type="character" w:customStyle="1" w:styleId="BalloonTextChar">
    <w:name w:val="Balloon Text Char"/>
    <w:basedOn w:val="DefaultParagraphFont"/>
    <w:link w:val="BalloonText"/>
    <w:rsid w:val="006F4C6A"/>
    <w:rPr>
      <w:rFonts w:ascii="Tahoma" w:hAnsi="Tahoma" w:cs="Tahoma"/>
      <w:sz w:val="16"/>
      <w:szCs w:val="16"/>
    </w:rPr>
  </w:style>
  <w:style w:type="character" w:styleId="Hyperlink">
    <w:name w:val="Hyperlink"/>
    <w:uiPriority w:val="99"/>
    <w:unhideWhenUsed/>
    <w:rsid w:val="00432081"/>
    <w:rPr>
      <w:rFonts w:ascii="Times New Roman" w:hAnsi="Times New Roman" w:cs="Times New Roman" w:hint="default"/>
      <w:color w:val="0000FF"/>
      <w:u w:val="single"/>
    </w:rPr>
  </w:style>
  <w:style w:type="character" w:customStyle="1" w:styleId="jrnl">
    <w:name w:val="jrnl"/>
    <w:rsid w:val="00432081"/>
  </w:style>
  <w:style w:type="character" w:styleId="HTMLCite">
    <w:name w:val="HTML Cite"/>
    <w:basedOn w:val="DefaultParagraphFont"/>
    <w:uiPriority w:val="99"/>
    <w:unhideWhenUsed/>
    <w:rsid w:val="00432081"/>
    <w:rPr>
      <w:i/>
      <w:iCs/>
    </w:rPr>
  </w:style>
  <w:style w:type="character" w:customStyle="1" w:styleId="highlight2">
    <w:name w:val="highlight2"/>
    <w:rsid w:val="00030EB4"/>
  </w:style>
  <w:style w:type="character" w:customStyle="1" w:styleId="UnresolvedMention">
    <w:name w:val="Unresolved Mention"/>
    <w:basedOn w:val="DefaultParagraphFont"/>
    <w:uiPriority w:val="99"/>
    <w:semiHidden/>
    <w:unhideWhenUsed/>
    <w:rsid w:val="006C7E15"/>
    <w:rPr>
      <w:color w:val="808080"/>
      <w:shd w:val="clear" w:color="auto" w:fill="E6E6E6"/>
    </w:rPr>
  </w:style>
  <w:style w:type="paragraph" w:customStyle="1" w:styleId="Title1">
    <w:name w:val="Title1"/>
    <w:basedOn w:val="Normal"/>
    <w:rsid w:val="006C7E15"/>
    <w:pPr>
      <w:spacing w:before="100" w:beforeAutospacing="1" w:after="100" w:afterAutospacing="1"/>
    </w:pPr>
  </w:style>
  <w:style w:type="paragraph" w:customStyle="1" w:styleId="desc">
    <w:name w:val="desc"/>
    <w:basedOn w:val="Normal"/>
    <w:rsid w:val="006C7E15"/>
    <w:pPr>
      <w:spacing w:before="100" w:beforeAutospacing="1" w:after="100" w:afterAutospacing="1"/>
    </w:pPr>
  </w:style>
  <w:style w:type="paragraph" w:customStyle="1" w:styleId="details">
    <w:name w:val="details"/>
    <w:basedOn w:val="Normal"/>
    <w:rsid w:val="006C7E15"/>
    <w:pPr>
      <w:spacing w:before="100" w:beforeAutospacing="1" w:after="100" w:afterAutospacing="1"/>
    </w:pPr>
  </w:style>
  <w:style w:type="paragraph" w:styleId="Title">
    <w:name w:val="Title"/>
    <w:basedOn w:val="Normal"/>
    <w:next w:val="Normal"/>
    <w:link w:val="TitleChar"/>
    <w:qFormat/>
    <w:rsid w:val="003207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207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320732"/>
    <w:rPr>
      <w:rFonts w:asciiTheme="majorHAnsi" w:eastAsiaTheme="majorEastAsia" w:hAnsiTheme="majorHAnsi" w:cstheme="majorBidi"/>
      <w:color w:val="365F91" w:themeColor="accent1" w:themeShade="BF"/>
      <w:sz w:val="32"/>
      <w:szCs w:val="32"/>
    </w:rPr>
  </w:style>
  <w:style w:type="character" w:customStyle="1" w:styleId="xbe">
    <w:name w:val="_xbe"/>
    <w:basedOn w:val="DefaultParagraphFont"/>
    <w:rsid w:val="00DA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2400">
      <w:bodyDiv w:val="1"/>
      <w:marLeft w:val="0"/>
      <w:marRight w:val="0"/>
      <w:marTop w:val="0"/>
      <w:marBottom w:val="0"/>
      <w:divBdr>
        <w:top w:val="none" w:sz="0" w:space="0" w:color="auto"/>
        <w:left w:val="none" w:sz="0" w:space="0" w:color="auto"/>
        <w:bottom w:val="none" w:sz="0" w:space="0" w:color="auto"/>
        <w:right w:val="none" w:sz="0" w:space="0" w:color="auto"/>
      </w:divBdr>
      <w:divsChild>
        <w:div w:id="1983582309">
          <w:marLeft w:val="0"/>
          <w:marRight w:val="0"/>
          <w:marTop w:val="0"/>
          <w:marBottom w:val="0"/>
          <w:divBdr>
            <w:top w:val="none" w:sz="0" w:space="0" w:color="auto"/>
            <w:left w:val="none" w:sz="0" w:space="0" w:color="auto"/>
            <w:bottom w:val="none" w:sz="0" w:space="0" w:color="auto"/>
            <w:right w:val="none" w:sz="0" w:space="0" w:color="auto"/>
          </w:divBdr>
          <w:divsChild>
            <w:div w:id="1545870291">
              <w:marLeft w:val="0"/>
              <w:marRight w:val="0"/>
              <w:marTop w:val="0"/>
              <w:marBottom w:val="0"/>
              <w:divBdr>
                <w:top w:val="none" w:sz="0" w:space="0" w:color="auto"/>
                <w:left w:val="none" w:sz="0" w:space="0" w:color="auto"/>
                <w:bottom w:val="none" w:sz="0" w:space="0" w:color="auto"/>
                <w:right w:val="none" w:sz="0" w:space="0" w:color="auto"/>
              </w:divBdr>
              <w:divsChild>
                <w:div w:id="1863081466">
                  <w:marLeft w:val="0"/>
                  <w:marRight w:val="0"/>
                  <w:marTop w:val="0"/>
                  <w:marBottom w:val="0"/>
                  <w:divBdr>
                    <w:top w:val="none" w:sz="0" w:space="0" w:color="auto"/>
                    <w:left w:val="none" w:sz="0" w:space="0" w:color="auto"/>
                    <w:bottom w:val="none" w:sz="0" w:space="0" w:color="auto"/>
                    <w:right w:val="none" w:sz="0" w:space="0" w:color="auto"/>
                  </w:divBdr>
                  <w:divsChild>
                    <w:div w:id="1284189860">
                      <w:marLeft w:val="0"/>
                      <w:marRight w:val="0"/>
                      <w:marTop w:val="0"/>
                      <w:marBottom w:val="0"/>
                      <w:divBdr>
                        <w:top w:val="none" w:sz="0" w:space="0" w:color="auto"/>
                        <w:left w:val="none" w:sz="0" w:space="0" w:color="auto"/>
                        <w:bottom w:val="none" w:sz="0" w:space="0" w:color="auto"/>
                        <w:right w:val="none" w:sz="0" w:space="0" w:color="auto"/>
                      </w:divBdr>
                      <w:divsChild>
                        <w:div w:id="555968982">
                          <w:marLeft w:val="0"/>
                          <w:marRight w:val="0"/>
                          <w:marTop w:val="0"/>
                          <w:marBottom w:val="0"/>
                          <w:divBdr>
                            <w:top w:val="none" w:sz="0" w:space="0" w:color="auto"/>
                            <w:left w:val="none" w:sz="0" w:space="0" w:color="auto"/>
                            <w:bottom w:val="none" w:sz="0" w:space="0" w:color="auto"/>
                            <w:right w:val="none" w:sz="0" w:space="0" w:color="auto"/>
                          </w:divBdr>
                          <w:divsChild>
                            <w:div w:id="11036660">
                              <w:marLeft w:val="0"/>
                              <w:marRight w:val="0"/>
                              <w:marTop w:val="0"/>
                              <w:marBottom w:val="0"/>
                              <w:divBdr>
                                <w:top w:val="none" w:sz="0" w:space="0" w:color="auto"/>
                                <w:left w:val="none" w:sz="0" w:space="0" w:color="auto"/>
                                <w:bottom w:val="none" w:sz="0" w:space="0" w:color="auto"/>
                                <w:right w:val="none" w:sz="0" w:space="0" w:color="auto"/>
                              </w:divBdr>
                              <w:divsChild>
                                <w:div w:id="1227375047">
                                  <w:marLeft w:val="0"/>
                                  <w:marRight w:val="0"/>
                                  <w:marTop w:val="0"/>
                                  <w:marBottom w:val="0"/>
                                  <w:divBdr>
                                    <w:top w:val="none" w:sz="0" w:space="0" w:color="auto"/>
                                    <w:left w:val="none" w:sz="0" w:space="0" w:color="auto"/>
                                    <w:bottom w:val="none" w:sz="0" w:space="0" w:color="auto"/>
                                    <w:right w:val="none" w:sz="0" w:space="0" w:color="auto"/>
                                  </w:divBdr>
                                  <w:divsChild>
                                    <w:div w:id="328993855">
                                      <w:marLeft w:val="0"/>
                                      <w:marRight w:val="0"/>
                                      <w:marTop w:val="0"/>
                                      <w:marBottom w:val="0"/>
                                      <w:divBdr>
                                        <w:top w:val="none" w:sz="0" w:space="0" w:color="auto"/>
                                        <w:left w:val="none" w:sz="0" w:space="0" w:color="auto"/>
                                        <w:bottom w:val="none" w:sz="0" w:space="0" w:color="auto"/>
                                        <w:right w:val="none" w:sz="0" w:space="0" w:color="auto"/>
                                      </w:divBdr>
                                      <w:divsChild>
                                        <w:div w:id="870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020328">
      <w:bodyDiv w:val="1"/>
      <w:marLeft w:val="0"/>
      <w:marRight w:val="0"/>
      <w:marTop w:val="0"/>
      <w:marBottom w:val="0"/>
      <w:divBdr>
        <w:top w:val="none" w:sz="0" w:space="0" w:color="auto"/>
        <w:left w:val="none" w:sz="0" w:space="0" w:color="auto"/>
        <w:bottom w:val="none" w:sz="0" w:space="0" w:color="auto"/>
        <w:right w:val="none" w:sz="0" w:space="0" w:color="auto"/>
      </w:divBdr>
    </w:div>
    <w:div w:id="411704884">
      <w:bodyDiv w:val="1"/>
      <w:marLeft w:val="0"/>
      <w:marRight w:val="0"/>
      <w:marTop w:val="0"/>
      <w:marBottom w:val="0"/>
      <w:divBdr>
        <w:top w:val="none" w:sz="0" w:space="0" w:color="auto"/>
        <w:left w:val="none" w:sz="0" w:space="0" w:color="auto"/>
        <w:bottom w:val="none" w:sz="0" w:space="0" w:color="auto"/>
        <w:right w:val="none" w:sz="0" w:space="0" w:color="auto"/>
      </w:divBdr>
      <w:divsChild>
        <w:div w:id="414859759">
          <w:marLeft w:val="0"/>
          <w:marRight w:val="0"/>
          <w:marTop w:val="0"/>
          <w:marBottom w:val="0"/>
          <w:divBdr>
            <w:top w:val="none" w:sz="0" w:space="0" w:color="auto"/>
            <w:left w:val="none" w:sz="0" w:space="0" w:color="auto"/>
            <w:bottom w:val="none" w:sz="0" w:space="0" w:color="auto"/>
            <w:right w:val="none" w:sz="0" w:space="0" w:color="auto"/>
          </w:divBdr>
          <w:divsChild>
            <w:div w:id="1013610368">
              <w:marLeft w:val="0"/>
              <w:marRight w:val="0"/>
              <w:marTop w:val="0"/>
              <w:marBottom w:val="0"/>
              <w:divBdr>
                <w:top w:val="none" w:sz="0" w:space="0" w:color="auto"/>
                <w:left w:val="none" w:sz="0" w:space="0" w:color="auto"/>
                <w:bottom w:val="none" w:sz="0" w:space="0" w:color="auto"/>
                <w:right w:val="none" w:sz="0" w:space="0" w:color="auto"/>
              </w:divBdr>
              <w:divsChild>
                <w:div w:id="65341138">
                  <w:marLeft w:val="0"/>
                  <w:marRight w:val="0"/>
                  <w:marTop w:val="0"/>
                  <w:marBottom w:val="0"/>
                  <w:divBdr>
                    <w:top w:val="none" w:sz="0" w:space="0" w:color="auto"/>
                    <w:left w:val="none" w:sz="0" w:space="0" w:color="auto"/>
                    <w:bottom w:val="none" w:sz="0" w:space="0" w:color="auto"/>
                    <w:right w:val="none" w:sz="0" w:space="0" w:color="auto"/>
                  </w:divBdr>
                  <w:divsChild>
                    <w:div w:id="565914580">
                      <w:marLeft w:val="0"/>
                      <w:marRight w:val="0"/>
                      <w:marTop w:val="0"/>
                      <w:marBottom w:val="0"/>
                      <w:divBdr>
                        <w:top w:val="none" w:sz="0" w:space="0" w:color="auto"/>
                        <w:left w:val="none" w:sz="0" w:space="0" w:color="auto"/>
                        <w:bottom w:val="none" w:sz="0" w:space="0" w:color="auto"/>
                        <w:right w:val="none" w:sz="0" w:space="0" w:color="auto"/>
                      </w:divBdr>
                      <w:divsChild>
                        <w:div w:id="1927954504">
                          <w:marLeft w:val="0"/>
                          <w:marRight w:val="0"/>
                          <w:marTop w:val="0"/>
                          <w:marBottom w:val="0"/>
                          <w:divBdr>
                            <w:top w:val="none" w:sz="0" w:space="0" w:color="auto"/>
                            <w:left w:val="none" w:sz="0" w:space="0" w:color="auto"/>
                            <w:bottom w:val="none" w:sz="0" w:space="0" w:color="auto"/>
                            <w:right w:val="none" w:sz="0" w:space="0" w:color="auto"/>
                          </w:divBdr>
                          <w:divsChild>
                            <w:div w:id="597254581">
                              <w:marLeft w:val="0"/>
                              <w:marRight w:val="0"/>
                              <w:marTop w:val="0"/>
                              <w:marBottom w:val="0"/>
                              <w:divBdr>
                                <w:top w:val="none" w:sz="0" w:space="0" w:color="auto"/>
                                <w:left w:val="none" w:sz="0" w:space="0" w:color="auto"/>
                                <w:bottom w:val="none" w:sz="0" w:space="0" w:color="auto"/>
                                <w:right w:val="none" w:sz="0" w:space="0" w:color="auto"/>
                              </w:divBdr>
                              <w:divsChild>
                                <w:div w:id="1174489598">
                                  <w:marLeft w:val="0"/>
                                  <w:marRight w:val="0"/>
                                  <w:marTop w:val="0"/>
                                  <w:marBottom w:val="0"/>
                                  <w:divBdr>
                                    <w:top w:val="none" w:sz="0" w:space="0" w:color="auto"/>
                                    <w:left w:val="none" w:sz="0" w:space="0" w:color="auto"/>
                                    <w:bottom w:val="none" w:sz="0" w:space="0" w:color="auto"/>
                                    <w:right w:val="none" w:sz="0" w:space="0" w:color="auto"/>
                                  </w:divBdr>
                                  <w:divsChild>
                                    <w:div w:id="1841116649">
                                      <w:marLeft w:val="0"/>
                                      <w:marRight w:val="0"/>
                                      <w:marTop w:val="0"/>
                                      <w:marBottom w:val="0"/>
                                      <w:divBdr>
                                        <w:top w:val="none" w:sz="0" w:space="0" w:color="auto"/>
                                        <w:left w:val="none" w:sz="0" w:space="0" w:color="auto"/>
                                        <w:bottom w:val="none" w:sz="0" w:space="0" w:color="auto"/>
                                        <w:right w:val="none" w:sz="0" w:space="0" w:color="auto"/>
                                      </w:divBdr>
                                      <w:divsChild>
                                        <w:div w:id="4528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469872">
      <w:bodyDiv w:val="1"/>
      <w:marLeft w:val="0"/>
      <w:marRight w:val="0"/>
      <w:marTop w:val="0"/>
      <w:marBottom w:val="0"/>
      <w:divBdr>
        <w:top w:val="none" w:sz="0" w:space="0" w:color="auto"/>
        <w:left w:val="none" w:sz="0" w:space="0" w:color="auto"/>
        <w:bottom w:val="none" w:sz="0" w:space="0" w:color="auto"/>
        <w:right w:val="none" w:sz="0" w:space="0" w:color="auto"/>
      </w:divBdr>
    </w:div>
    <w:div w:id="1750466603">
      <w:bodyDiv w:val="1"/>
      <w:marLeft w:val="0"/>
      <w:marRight w:val="0"/>
      <w:marTop w:val="0"/>
      <w:marBottom w:val="0"/>
      <w:divBdr>
        <w:top w:val="none" w:sz="0" w:space="0" w:color="auto"/>
        <w:left w:val="none" w:sz="0" w:space="0" w:color="auto"/>
        <w:bottom w:val="none" w:sz="0" w:space="0" w:color="auto"/>
        <w:right w:val="none" w:sz="0" w:space="0" w:color="auto"/>
      </w:divBdr>
      <w:divsChild>
        <w:div w:id="1700543461">
          <w:marLeft w:val="0"/>
          <w:marRight w:val="0"/>
          <w:marTop w:val="0"/>
          <w:marBottom w:val="0"/>
          <w:divBdr>
            <w:top w:val="none" w:sz="0" w:space="0" w:color="auto"/>
            <w:left w:val="none" w:sz="0" w:space="0" w:color="auto"/>
            <w:bottom w:val="none" w:sz="0" w:space="0" w:color="auto"/>
            <w:right w:val="none" w:sz="0" w:space="0" w:color="auto"/>
          </w:divBdr>
          <w:divsChild>
            <w:div w:id="343561058">
              <w:marLeft w:val="0"/>
              <w:marRight w:val="0"/>
              <w:marTop w:val="0"/>
              <w:marBottom w:val="0"/>
              <w:divBdr>
                <w:top w:val="none" w:sz="0" w:space="0" w:color="auto"/>
                <w:left w:val="none" w:sz="0" w:space="0" w:color="auto"/>
                <w:bottom w:val="none" w:sz="0" w:space="0" w:color="auto"/>
                <w:right w:val="none" w:sz="0" w:space="0" w:color="auto"/>
              </w:divBdr>
              <w:divsChild>
                <w:div w:id="1136415657">
                  <w:marLeft w:val="0"/>
                  <w:marRight w:val="0"/>
                  <w:marTop w:val="0"/>
                  <w:marBottom w:val="0"/>
                  <w:divBdr>
                    <w:top w:val="none" w:sz="0" w:space="0" w:color="auto"/>
                    <w:left w:val="none" w:sz="0" w:space="0" w:color="auto"/>
                    <w:bottom w:val="none" w:sz="0" w:space="0" w:color="auto"/>
                    <w:right w:val="none" w:sz="0" w:space="0" w:color="auto"/>
                  </w:divBdr>
                  <w:divsChild>
                    <w:div w:id="702481683">
                      <w:marLeft w:val="0"/>
                      <w:marRight w:val="0"/>
                      <w:marTop w:val="0"/>
                      <w:marBottom w:val="0"/>
                      <w:divBdr>
                        <w:top w:val="none" w:sz="0" w:space="0" w:color="auto"/>
                        <w:left w:val="none" w:sz="0" w:space="0" w:color="auto"/>
                        <w:bottom w:val="none" w:sz="0" w:space="0" w:color="auto"/>
                        <w:right w:val="none" w:sz="0" w:space="0" w:color="auto"/>
                      </w:divBdr>
                      <w:divsChild>
                        <w:div w:id="2075935099">
                          <w:marLeft w:val="0"/>
                          <w:marRight w:val="0"/>
                          <w:marTop w:val="0"/>
                          <w:marBottom w:val="0"/>
                          <w:divBdr>
                            <w:top w:val="none" w:sz="0" w:space="0" w:color="auto"/>
                            <w:left w:val="none" w:sz="0" w:space="0" w:color="auto"/>
                            <w:bottom w:val="none" w:sz="0" w:space="0" w:color="auto"/>
                            <w:right w:val="none" w:sz="0" w:space="0" w:color="auto"/>
                          </w:divBdr>
                          <w:divsChild>
                            <w:div w:id="627199081">
                              <w:marLeft w:val="0"/>
                              <w:marRight w:val="0"/>
                              <w:marTop w:val="0"/>
                              <w:marBottom w:val="0"/>
                              <w:divBdr>
                                <w:top w:val="none" w:sz="0" w:space="0" w:color="auto"/>
                                <w:left w:val="none" w:sz="0" w:space="0" w:color="auto"/>
                                <w:bottom w:val="none" w:sz="0" w:space="0" w:color="auto"/>
                                <w:right w:val="none" w:sz="0" w:space="0" w:color="auto"/>
                              </w:divBdr>
                              <w:divsChild>
                                <w:div w:id="1298297878">
                                  <w:marLeft w:val="0"/>
                                  <w:marRight w:val="0"/>
                                  <w:marTop w:val="0"/>
                                  <w:marBottom w:val="0"/>
                                  <w:divBdr>
                                    <w:top w:val="none" w:sz="0" w:space="0" w:color="auto"/>
                                    <w:left w:val="none" w:sz="0" w:space="0" w:color="auto"/>
                                    <w:bottom w:val="none" w:sz="0" w:space="0" w:color="auto"/>
                                    <w:right w:val="none" w:sz="0" w:space="0" w:color="auto"/>
                                  </w:divBdr>
                                  <w:divsChild>
                                    <w:div w:id="1923486450">
                                      <w:marLeft w:val="0"/>
                                      <w:marRight w:val="0"/>
                                      <w:marTop w:val="0"/>
                                      <w:marBottom w:val="0"/>
                                      <w:divBdr>
                                        <w:top w:val="none" w:sz="0" w:space="0" w:color="auto"/>
                                        <w:left w:val="none" w:sz="0" w:space="0" w:color="auto"/>
                                        <w:bottom w:val="none" w:sz="0" w:space="0" w:color="auto"/>
                                        <w:right w:val="none" w:sz="0" w:space="0" w:color="auto"/>
                                      </w:divBdr>
                                      <w:divsChild>
                                        <w:div w:id="1096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455474" TargetMode="External"/><Relationship Id="rId13" Type="http://schemas.openxmlformats.org/officeDocument/2006/relationships/hyperlink" Target="https://www.ncbi.nlm.nih.gov/pubmed/26919760" TargetMode="External"/><Relationship Id="rId18" Type="http://schemas.openxmlformats.org/officeDocument/2006/relationships/hyperlink" Target="https://www.ncbi.nlm.nih.gov/pubmed/19545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efan_bajada@yahoo.com" TargetMode="External"/><Relationship Id="rId12" Type="http://schemas.openxmlformats.org/officeDocument/2006/relationships/hyperlink" Target="https://www.ncbi.nlm.nih.gov/pubmed/11501804" TargetMode="External"/><Relationship Id="rId17" Type="http://schemas.openxmlformats.org/officeDocument/2006/relationships/hyperlink" Target="http://www.museumoflondon.org.uk/collections/other-collection-databases-and-libraries/centre-human-bioarchaeology" TargetMode="External"/><Relationship Id="rId2" Type="http://schemas.openxmlformats.org/officeDocument/2006/relationships/styles" Target="styles.xml"/><Relationship Id="rId16" Type="http://schemas.openxmlformats.org/officeDocument/2006/relationships/hyperlink" Target="https://www.ncbi.nlm.nih.gov/pubmed/15284983"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ncbi.nlm.nih.gov/pubmed/21761232" TargetMode="External"/><Relationship Id="rId5" Type="http://schemas.openxmlformats.org/officeDocument/2006/relationships/comments" Target="comments.xml"/><Relationship Id="rId15" Type="http://schemas.openxmlformats.org/officeDocument/2006/relationships/hyperlink" Target="https://www.ncbi.nlm.nih.gov/pubmed/27155995" TargetMode="External"/><Relationship Id="rId10" Type="http://schemas.openxmlformats.org/officeDocument/2006/relationships/hyperlink" Target="https://www.ncbi.nlm.nih.gov/pubmed/26875046" TargetMode="External"/><Relationship Id="rId19" Type="http://schemas.openxmlformats.org/officeDocument/2006/relationships/hyperlink" Target="https://www.ncbi.nlm.nih.gov/pubmed/19941134" TargetMode="External"/><Relationship Id="rId4" Type="http://schemas.openxmlformats.org/officeDocument/2006/relationships/webSettings" Target="webSettings.xml"/><Relationship Id="rId9" Type="http://schemas.openxmlformats.org/officeDocument/2006/relationships/hyperlink" Target="https://www.ncbi.nlm.nih.gov/pubmed/7497664" TargetMode="External"/><Relationship Id="rId14" Type="http://schemas.openxmlformats.org/officeDocument/2006/relationships/hyperlink" Target="https://www.ncbi.nlm.nih.gov/pubmed/20452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1C-W7-07</Company>
  <LinksUpToDate>false</LinksUpToDate>
  <CharactersWithSpaces>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Philip Adds</cp:lastModifiedBy>
  <cp:revision>2</cp:revision>
  <dcterms:created xsi:type="dcterms:W3CDTF">2018-01-19T09:35:00Z</dcterms:created>
  <dcterms:modified xsi:type="dcterms:W3CDTF">2018-01-19T09:35:00Z</dcterms:modified>
</cp:coreProperties>
</file>