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E94" w:rsidRDefault="00E95E94" w:rsidP="00E95E94">
      <w:pPr>
        <w:jc w:val="both"/>
      </w:pPr>
    </w:p>
    <w:p w:rsidR="00E95E94" w:rsidRDefault="00E95E94" w:rsidP="00E95E94">
      <w:pPr>
        <w:jc w:val="both"/>
      </w:pPr>
    </w:p>
    <w:p w:rsidR="00E95E94" w:rsidRPr="00E95E94" w:rsidRDefault="00E95E94" w:rsidP="00E95E94">
      <w:pPr>
        <w:jc w:val="both"/>
        <w:rPr>
          <w:rFonts w:ascii="Arial" w:hAnsi="Arial" w:cs="Arial"/>
          <w:sz w:val="24"/>
          <w:szCs w:val="24"/>
        </w:rPr>
      </w:pPr>
      <w:r w:rsidRPr="00E95E94">
        <w:rPr>
          <w:rFonts w:ascii="Arial" w:hAnsi="Arial" w:cs="Arial"/>
          <w:sz w:val="24"/>
          <w:szCs w:val="24"/>
        </w:rPr>
        <w:t>NEURO-INFLAMMATION AND ALCOHOL ADDICTION: CORRELATION WITH MEMORY AND MOTOR IMPAIREMENT</w:t>
      </w:r>
    </w:p>
    <w:p w:rsidR="00E95E94" w:rsidRPr="00E95E94" w:rsidRDefault="00E95E94" w:rsidP="00E95E94">
      <w:pPr>
        <w:autoSpaceDE w:val="0"/>
        <w:spacing w:after="0" w:line="240" w:lineRule="auto"/>
        <w:jc w:val="both"/>
        <w:rPr>
          <w:rFonts w:ascii="Arial" w:hAnsi="Arial" w:cs="Arial"/>
          <w:sz w:val="24"/>
          <w:szCs w:val="24"/>
        </w:rPr>
      </w:pPr>
      <w:r w:rsidRPr="00E95E94">
        <w:rPr>
          <w:rFonts w:ascii="Arial" w:hAnsi="Arial" w:cs="Arial"/>
          <w:sz w:val="24"/>
          <w:szCs w:val="24"/>
          <w:u w:val="single"/>
        </w:rPr>
        <w:t>Bailey, A</w:t>
      </w:r>
      <w:r w:rsidRPr="00E95E94">
        <w:rPr>
          <w:rFonts w:ascii="Arial" w:hAnsi="Arial" w:cs="Arial"/>
          <w:b/>
          <w:sz w:val="24"/>
          <w:szCs w:val="24"/>
          <w:vertAlign w:val="superscript"/>
        </w:rPr>
        <w:t>1</w:t>
      </w:r>
      <w:r w:rsidRPr="00E95E94">
        <w:rPr>
          <w:rFonts w:ascii="Arial" w:hAnsi="Arial" w:cs="Arial"/>
          <w:b/>
          <w:sz w:val="24"/>
          <w:szCs w:val="24"/>
        </w:rPr>
        <w:t xml:space="preserve">; </w:t>
      </w:r>
      <w:r w:rsidRPr="00E95E94">
        <w:rPr>
          <w:rFonts w:ascii="Arial" w:hAnsi="Arial" w:cs="Arial"/>
          <w:sz w:val="24"/>
          <w:szCs w:val="24"/>
        </w:rPr>
        <w:t>Georgiou</w:t>
      </w:r>
      <w:r w:rsidRPr="00E95E94">
        <w:rPr>
          <w:rFonts w:ascii="Arial" w:hAnsi="Arial" w:cs="Arial"/>
          <w:sz w:val="24"/>
          <w:szCs w:val="24"/>
          <w:vertAlign w:val="superscript"/>
        </w:rPr>
        <w:t>2</w:t>
      </w:r>
      <w:r w:rsidRPr="00E95E94">
        <w:rPr>
          <w:rFonts w:ascii="Arial" w:hAnsi="Arial" w:cs="Arial"/>
          <w:sz w:val="24"/>
          <w:szCs w:val="24"/>
        </w:rPr>
        <w:t xml:space="preserve">; </w:t>
      </w:r>
      <w:proofErr w:type="spellStart"/>
      <w:r w:rsidRPr="00E95E94">
        <w:rPr>
          <w:rFonts w:ascii="Arial" w:hAnsi="Arial" w:cs="Arial"/>
          <w:sz w:val="24"/>
          <w:szCs w:val="24"/>
        </w:rPr>
        <w:t>Zanos</w:t>
      </w:r>
      <w:proofErr w:type="spellEnd"/>
      <w:r w:rsidRPr="00E95E94">
        <w:rPr>
          <w:rFonts w:ascii="Arial" w:hAnsi="Arial" w:cs="Arial"/>
          <w:sz w:val="24"/>
          <w:szCs w:val="24"/>
          <w:vertAlign w:val="superscript"/>
        </w:rPr>
        <w:t xml:space="preserve"> </w:t>
      </w:r>
      <w:r w:rsidRPr="00E95E94">
        <w:rPr>
          <w:rFonts w:ascii="Arial" w:hAnsi="Arial" w:cs="Arial"/>
          <w:sz w:val="24"/>
          <w:szCs w:val="24"/>
        </w:rPr>
        <w:t>P</w:t>
      </w:r>
      <w:r w:rsidRPr="00E95E94">
        <w:rPr>
          <w:rFonts w:ascii="Arial" w:hAnsi="Arial" w:cs="Arial"/>
          <w:sz w:val="24"/>
          <w:szCs w:val="24"/>
          <w:vertAlign w:val="superscript"/>
        </w:rPr>
        <w:t>2</w:t>
      </w:r>
      <w:r w:rsidRPr="00E95E94">
        <w:rPr>
          <w:rFonts w:ascii="Arial" w:hAnsi="Arial" w:cs="Arial"/>
          <w:sz w:val="24"/>
          <w:szCs w:val="24"/>
        </w:rPr>
        <w:t xml:space="preserve">; </w:t>
      </w:r>
      <w:proofErr w:type="spellStart"/>
      <w:r w:rsidRPr="00E95E94">
        <w:rPr>
          <w:rFonts w:ascii="Arial" w:hAnsi="Arial" w:cs="Arial"/>
          <w:sz w:val="24"/>
          <w:szCs w:val="24"/>
        </w:rPr>
        <w:t>Sklirou</w:t>
      </w:r>
      <w:proofErr w:type="spellEnd"/>
      <w:r w:rsidRPr="00E95E94">
        <w:rPr>
          <w:rFonts w:ascii="Arial" w:hAnsi="Arial" w:cs="Arial"/>
          <w:sz w:val="24"/>
          <w:szCs w:val="24"/>
          <w:vertAlign w:val="superscript"/>
        </w:rPr>
        <w:t xml:space="preserve"> </w:t>
      </w:r>
      <w:r w:rsidRPr="00E95E94">
        <w:rPr>
          <w:rFonts w:ascii="Arial" w:hAnsi="Arial" w:cs="Arial"/>
          <w:sz w:val="24"/>
          <w:szCs w:val="24"/>
        </w:rPr>
        <w:t>M</w:t>
      </w:r>
      <w:r w:rsidRPr="00E95E94">
        <w:rPr>
          <w:rFonts w:ascii="Arial" w:hAnsi="Arial" w:cs="Arial"/>
          <w:sz w:val="24"/>
          <w:szCs w:val="24"/>
          <w:vertAlign w:val="superscript"/>
        </w:rPr>
        <w:t>3</w:t>
      </w:r>
      <w:r w:rsidRPr="00E95E94">
        <w:rPr>
          <w:rFonts w:ascii="Arial" w:hAnsi="Arial" w:cs="Arial"/>
          <w:sz w:val="24"/>
          <w:szCs w:val="24"/>
        </w:rPr>
        <w:t xml:space="preserve">; </w:t>
      </w:r>
      <w:r w:rsidR="00D978F6" w:rsidRPr="00D978F6">
        <w:rPr>
          <w:rFonts w:ascii="Arial" w:hAnsi="Arial" w:cs="Arial"/>
          <w:bCs/>
          <w:sz w:val="24"/>
          <w:szCs w:val="24"/>
        </w:rPr>
        <w:t>Nicola Kalk</w:t>
      </w:r>
      <w:r w:rsidR="00D978F6" w:rsidRPr="00D978F6">
        <w:rPr>
          <w:rFonts w:ascii="Arial" w:hAnsi="Arial" w:cs="Arial"/>
          <w:bCs/>
          <w:sz w:val="24"/>
          <w:szCs w:val="24"/>
          <w:vertAlign w:val="superscript"/>
        </w:rPr>
        <w:t>4</w:t>
      </w:r>
      <w:r w:rsidR="00D978F6" w:rsidRPr="00D978F6">
        <w:rPr>
          <w:rFonts w:ascii="Arial" w:hAnsi="Arial" w:cs="Arial"/>
          <w:bCs/>
          <w:sz w:val="24"/>
          <w:szCs w:val="24"/>
        </w:rPr>
        <w:t>, Anne Lingford-Hughes</w:t>
      </w:r>
      <w:r w:rsidR="00D978F6" w:rsidRPr="00D978F6">
        <w:rPr>
          <w:rFonts w:ascii="Arial" w:hAnsi="Arial" w:cs="Arial"/>
          <w:bCs/>
          <w:sz w:val="24"/>
          <w:szCs w:val="24"/>
          <w:vertAlign w:val="superscript"/>
        </w:rPr>
        <w:t>4</w:t>
      </w:r>
      <w:r w:rsidR="00D978F6" w:rsidRPr="00D978F6">
        <w:rPr>
          <w:rFonts w:ascii="Arial" w:hAnsi="Arial" w:cs="Arial"/>
          <w:bCs/>
          <w:sz w:val="24"/>
          <w:szCs w:val="24"/>
        </w:rPr>
        <w:t>;</w:t>
      </w:r>
      <w:r w:rsidR="00D978F6">
        <w:rPr>
          <w:rFonts w:ascii="Arial" w:hAnsi="Arial" w:cs="Arial"/>
          <w:b/>
          <w:bCs/>
          <w:sz w:val="24"/>
          <w:szCs w:val="24"/>
        </w:rPr>
        <w:t xml:space="preserve"> </w:t>
      </w:r>
      <w:r w:rsidRPr="00D978F6">
        <w:rPr>
          <w:rFonts w:ascii="Arial" w:hAnsi="Arial" w:cs="Arial"/>
          <w:sz w:val="24"/>
          <w:szCs w:val="24"/>
        </w:rPr>
        <w:t>Wells</w:t>
      </w:r>
      <w:r w:rsidRPr="00E95E94">
        <w:rPr>
          <w:rFonts w:ascii="Arial" w:hAnsi="Arial" w:cs="Arial"/>
          <w:sz w:val="24"/>
          <w:szCs w:val="24"/>
        </w:rPr>
        <w:t>, L</w:t>
      </w:r>
      <w:r w:rsidR="00D978F6">
        <w:rPr>
          <w:rFonts w:ascii="Arial" w:hAnsi="Arial" w:cs="Arial"/>
          <w:sz w:val="24"/>
          <w:szCs w:val="24"/>
          <w:vertAlign w:val="superscript"/>
        </w:rPr>
        <w:t>5</w:t>
      </w:r>
      <w:r w:rsidRPr="00E95E94">
        <w:rPr>
          <w:rFonts w:ascii="Arial" w:hAnsi="Arial" w:cs="Arial"/>
          <w:sz w:val="24"/>
          <w:szCs w:val="24"/>
        </w:rPr>
        <w:t xml:space="preserve"> </w:t>
      </w:r>
    </w:p>
    <w:p w:rsidR="00E95E94" w:rsidRPr="00E95E94" w:rsidRDefault="00E95E94" w:rsidP="00E95E94">
      <w:pPr>
        <w:autoSpaceDE w:val="0"/>
        <w:spacing w:after="0" w:line="240" w:lineRule="auto"/>
        <w:jc w:val="both"/>
        <w:rPr>
          <w:rFonts w:ascii="Arial" w:hAnsi="Arial" w:cs="Arial"/>
          <w:b/>
          <w:sz w:val="24"/>
          <w:szCs w:val="24"/>
        </w:rPr>
      </w:pPr>
    </w:p>
    <w:p w:rsidR="00E95E94" w:rsidRPr="00E95E94" w:rsidRDefault="00E95E94" w:rsidP="00E95E94">
      <w:pPr>
        <w:spacing w:line="240" w:lineRule="auto"/>
        <w:jc w:val="both"/>
        <w:rPr>
          <w:rFonts w:ascii="Arial" w:hAnsi="Arial" w:cs="Arial"/>
          <w:color w:val="000000"/>
          <w:sz w:val="24"/>
          <w:szCs w:val="24"/>
          <w:shd w:val="clear" w:color="auto" w:fill="FFFFFF"/>
        </w:rPr>
      </w:pPr>
      <w:r w:rsidRPr="00E95E94">
        <w:rPr>
          <w:rFonts w:ascii="Arial" w:hAnsi="Arial" w:cs="Arial"/>
          <w:sz w:val="24"/>
          <w:szCs w:val="24"/>
          <w:vertAlign w:val="superscript"/>
        </w:rPr>
        <w:t xml:space="preserve">1 </w:t>
      </w:r>
      <w:r w:rsidRPr="00E95E94">
        <w:rPr>
          <w:rFonts w:ascii="Arial" w:hAnsi="Arial" w:cs="Arial"/>
          <w:color w:val="000000"/>
          <w:sz w:val="24"/>
          <w:szCs w:val="24"/>
          <w:shd w:val="clear" w:color="auto" w:fill="FFFFFF"/>
        </w:rPr>
        <w:t xml:space="preserve">Institute of Medical and Biomedical Education, St George's University of London, London, UK </w:t>
      </w:r>
    </w:p>
    <w:p w:rsidR="00E95E94" w:rsidRPr="00E95E94" w:rsidRDefault="00E95E94" w:rsidP="00E95E94">
      <w:pPr>
        <w:spacing w:line="240" w:lineRule="auto"/>
        <w:jc w:val="both"/>
        <w:rPr>
          <w:rFonts w:ascii="Arial" w:hAnsi="Arial" w:cs="Arial"/>
          <w:color w:val="000000"/>
          <w:sz w:val="24"/>
          <w:szCs w:val="24"/>
          <w:shd w:val="clear" w:color="auto" w:fill="FFFFFF"/>
        </w:rPr>
      </w:pPr>
      <w:r w:rsidRPr="00E95E94">
        <w:rPr>
          <w:rFonts w:ascii="Arial" w:hAnsi="Arial" w:cs="Arial"/>
          <w:color w:val="000000"/>
          <w:sz w:val="24"/>
          <w:szCs w:val="24"/>
          <w:shd w:val="clear" w:color="auto" w:fill="FFFFFF"/>
          <w:vertAlign w:val="superscript"/>
        </w:rPr>
        <w:t>2</w:t>
      </w:r>
      <w:r w:rsidRPr="00E95E94">
        <w:rPr>
          <w:rFonts w:ascii="Arial" w:hAnsi="Arial" w:cs="Arial"/>
          <w:color w:val="000000"/>
          <w:sz w:val="24"/>
          <w:szCs w:val="24"/>
          <w:shd w:val="clear" w:color="auto" w:fill="FFFFFF"/>
        </w:rPr>
        <w:t xml:space="preserve"> Departments of Psychiatry, University of Maryland School of Medicine, Baltimore, USA</w:t>
      </w:r>
    </w:p>
    <w:p w:rsidR="00E95E94" w:rsidRDefault="00E95E94" w:rsidP="00E95E94">
      <w:pPr>
        <w:spacing w:line="240" w:lineRule="auto"/>
        <w:jc w:val="both"/>
        <w:rPr>
          <w:rFonts w:ascii="Arial" w:hAnsi="Arial" w:cs="Arial"/>
          <w:sz w:val="24"/>
          <w:szCs w:val="24"/>
        </w:rPr>
      </w:pPr>
      <w:r w:rsidRPr="00E95E94">
        <w:rPr>
          <w:rFonts w:ascii="Arial" w:hAnsi="Arial" w:cs="Arial"/>
          <w:sz w:val="24"/>
          <w:szCs w:val="24"/>
          <w:vertAlign w:val="superscript"/>
        </w:rPr>
        <w:t xml:space="preserve">3 </w:t>
      </w:r>
      <w:r w:rsidRPr="00E95E94">
        <w:rPr>
          <w:rFonts w:ascii="Arial" w:hAnsi="Arial" w:cs="Arial"/>
          <w:sz w:val="24"/>
          <w:szCs w:val="24"/>
        </w:rPr>
        <w:t>School of Biosciences and Medicine, Faculty of Health and Medical Sciences, University of Surrey, Guildford, UK</w:t>
      </w:r>
    </w:p>
    <w:p w:rsidR="00D978F6" w:rsidRPr="00E95E94" w:rsidRDefault="00D978F6" w:rsidP="00E95E94">
      <w:pPr>
        <w:spacing w:line="240" w:lineRule="auto"/>
        <w:jc w:val="both"/>
        <w:rPr>
          <w:rFonts w:ascii="Arial" w:hAnsi="Arial" w:cs="Arial"/>
          <w:sz w:val="24"/>
          <w:szCs w:val="24"/>
        </w:rPr>
      </w:pPr>
      <w:r w:rsidRPr="00D978F6">
        <w:rPr>
          <w:rFonts w:ascii="Arial" w:hAnsi="Arial" w:cs="Arial"/>
          <w:iCs/>
          <w:sz w:val="24"/>
          <w:szCs w:val="24"/>
          <w:vertAlign w:val="superscript"/>
        </w:rPr>
        <w:t xml:space="preserve">4 </w:t>
      </w:r>
      <w:r w:rsidRPr="00D978F6">
        <w:rPr>
          <w:rFonts w:ascii="Arial" w:hAnsi="Arial" w:cs="Arial"/>
          <w:iCs/>
          <w:sz w:val="24"/>
          <w:szCs w:val="24"/>
        </w:rPr>
        <w:t>Faculty of Medicine, Department of Medicine, Imperial College, London, UK</w:t>
      </w:r>
      <w:r w:rsidRPr="00D978F6">
        <w:rPr>
          <w:rFonts w:ascii="Arial" w:hAnsi="Arial" w:cs="Arial"/>
          <w:i/>
          <w:iCs/>
          <w:sz w:val="24"/>
          <w:szCs w:val="24"/>
        </w:rPr>
        <w:t>.</w:t>
      </w:r>
    </w:p>
    <w:p w:rsidR="00E95E94" w:rsidRPr="00E95E94" w:rsidRDefault="00D978F6" w:rsidP="00E95E94">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vertAlign w:val="superscript"/>
        </w:rPr>
        <w:t>5</w:t>
      </w:r>
      <w:r w:rsidR="00E95E94" w:rsidRPr="00E95E94">
        <w:rPr>
          <w:rFonts w:ascii="Arial" w:hAnsi="Arial" w:cs="Arial"/>
          <w:color w:val="000000"/>
          <w:sz w:val="24"/>
          <w:szCs w:val="24"/>
          <w:shd w:val="clear" w:color="auto" w:fill="FFFFFF"/>
          <w:vertAlign w:val="superscript"/>
        </w:rPr>
        <w:t xml:space="preserve"> </w:t>
      </w:r>
      <w:proofErr w:type="spellStart"/>
      <w:r w:rsidR="00E95E94" w:rsidRPr="00E95E94">
        <w:rPr>
          <w:rFonts w:ascii="Arial" w:hAnsi="Arial" w:cs="Arial"/>
          <w:color w:val="000000"/>
          <w:sz w:val="24"/>
          <w:szCs w:val="24"/>
          <w:shd w:val="clear" w:color="auto" w:fill="FFFFFF"/>
        </w:rPr>
        <w:t>Imanova</w:t>
      </w:r>
      <w:proofErr w:type="spellEnd"/>
      <w:r w:rsidR="00E95E94" w:rsidRPr="00E95E94">
        <w:rPr>
          <w:rFonts w:ascii="Arial" w:hAnsi="Arial" w:cs="Arial"/>
          <w:color w:val="000000"/>
          <w:sz w:val="24"/>
          <w:szCs w:val="24"/>
          <w:shd w:val="clear" w:color="auto" w:fill="FFFFFF"/>
        </w:rPr>
        <w:t xml:space="preserve"> Centre for Imaging Sciences, W12 0NN, London, UK</w:t>
      </w:r>
    </w:p>
    <w:p w:rsidR="00E95E94" w:rsidRPr="00E95E94" w:rsidRDefault="00E95E94" w:rsidP="00E95E94">
      <w:pPr>
        <w:jc w:val="both"/>
        <w:rPr>
          <w:rFonts w:ascii="Arial" w:hAnsi="Arial" w:cs="Arial"/>
          <w:sz w:val="24"/>
          <w:szCs w:val="24"/>
        </w:rPr>
      </w:pPr>
    </w:p>
    <w:p w:rsidR="00E95E94" w:rsidRPr="00E95E94" w:rsidRDefault="00E95E94" w:rsidP="00E95E94">
      <w:pPr>
        <w:jc w:val="both"/>
        <w:rPr>
          <w:rFonts w:ascii="Arial" w:hAnsi="Arial" w:cs="Arial"/>
          <w:sz w:val="24"/>
          <w:szCs w:val="24"/>
        </w:rPr>
      </w:pPr>
      <w:r w:rsidRPr="00E95E94">
        <w:rPr>
          <w:rFonts w:ascii="Arial" w:hAnsi="Arial" w:cs="Arial"/>
          <w:sz w:val="24"/>
          <w:szCs w:val="24"/>
        </w:rPr>
        <w:t>Chronic ethanol use and abstinence is well known to cause cognitive and motor impairment in alcohol dependent individuals, however the neurobiological mechanism underlining those behavioural changes is still not clear. There is emerging evidence implicating microglia activation (i.e. neuro-inflammation) in the neurobiology of several mental health disorders. In this talk, we will present novel data illustrating the effect of chronic ethanol use and of acute, medium and lo</w:t>
      </w:r>
      <w:bookmarkStart w:id="0" w:name="_GoBack"/>
      <w:bookmarkEnd w:id="0"/>
      <w:r w:rsidRPr="00E95E94">
        <w:rPr>
          <w:rFonts w:ascii="Arial" w:hAnsi="Arial" w:cs="Arial"/>
          <w:sz w:val="24"/>
          <w:szCs w:val="24"/>
        </w:rPr>
        <w:t xml:space="preserve">ng term abstinence on a cerebral </w:t>
      </w:r>
      <w:proofErr w:type="spellStart"/>
      <w:r w:rsidRPr="00E95E94">
        <w:rPr>
          <w:rFonts w:ascii="Arial" w:hAnsi="Arial" w:cs="Arial"/>
          <w:sz w:val="24"/>
          <w:szCs w:val="24"/>
        </w:rPr>
        <w:t>neuroinflammation</w:t>
      </w:r>
      <w:proofErr w:type="spellEnd"/>
      <w:r w:rsidRPr="00E95E94">
        <w:rPr>
          <w:rFonts w:ascii="Arial" w:hAnsi="Arial" w:cs="Arial"/>
          <w:sz w:val="24"/>
          <w:szCs w:val="24"/>
        </w:rPr>
        <w:t xml:space="preserve"> marker. 18kDa translocator protein (TSPO) is sparsely expressed in the brain parenchyma, and resting glia, but richly expressed in activated glial cells. TSPO PET has been used to detect </w:t>
      </w:r>
      <w:proofErr w:type="spellStart"/>
      <w:r w:rsidRPr="00E95E94">
        <w:rPr>
          <w:rFonts w:ascii="Arial" w:hAnsi="Arial" w:cs="Arial"/>
          <w:sz w:val="24"/>
          <w:szCs w:val="24"/>
        </w:rPr>
        <w:t>neuroinflammation</w:t>
      </w:r>
      <w:proofErr w:type="spellEnd"/>
      <w:r w:rsidRPr="00E95E94">
        <w:rPr>
          <w:rFonts w:ascii="Arial" w:hAnsi="Arial" w:cs="Arial"/>
          <w:sz w:val="24"/>
          <w:szCs w:val="24"/>
        </w:rPr>
        <w:t xml:space="preserve"> </w:t>
      </w:r>
      <w:r w:rsidRPr="00E95E94">
        <w:rPr>
          <w:rFonts w:ascii="Arial" w:hAnsi="Arial" w:cs="Arial"/>
          <w:i/>
          <w:iCs/>
          <w:sz w:val="24"/>
          <w:szCs w:val="24"/>
        </w:rPr>
        <w:t>in vivo</w:t>
      </w:r>
      <w:r w:rsidRPr="00E95E94">
        <w:rPr>
          <w:rFonts w:ascii="Arial" w:hAnsi="Arial" w:cs="Arial"/>
          <w:sz w:val="24"/>
          <w:szCs w:val="24"/>
        </w:rPr>
        <w:t xml:space="preserve"> in humans in inflammatory conditions.  We also assessed the effect of chronic ethanol use and of acute, medium and long term abstinence on mGluR5 glutamate receptors which is also known to be associated with </w:t>
      </w:r>
      <w:proofErr w:type="spellStart"/>
      <w:r w:rsidRPr="00E95E94">
        <w:rPr>
          <w:rFonts w:ascii="Arial" w:hAnsi="Arial" w:cs="Arial"/>
          <w:sz w:val="24"/>
          <w:szCs w:val="24"/>
        </w:rPr>
        <w:t>neuroinflammation</w:t>
      </w:r>
      <w:proofErr w:type="spellEnd"/>
      <w:r w:rsidRPr="00E95E94">
        <w:rPr>
          <w:rFonts w:ascii="Arial" w:hAnsi="Arial" w:cs="Arial"/>
          <w:sz w:val="24"/>
          <w:szCs w:val="24"/>
        </w:rPr>
        <w:t xml:space="preserve"> and alcohol addiction.</w:t>
      </w:r>
    </w:p>
    <w:p w:rsidR="00E95E94" w:rsidRPr="00E95E94" w:rsidRDefault="00E95E94" w:rsidP="00E95E94">
      <w:pPr>
        <w:jc w:val="both"/>
        <w:rPr>
          <w:rFonts w:ascii="Arial" w:hAnsi="Arial" w:cs="Arial"/>
          <w:sz w:val="24"/>
          <w:szCs w:val="24"/>
        </w:rPr>
      </w:pPr>
      <w:r w:rsidRPr="00E95E94">
        <w:rPr>
          <w:rFonts w:ascii="Arial" w:hAnsi="Arial" w:cs="Arial"/>
          <w:sz w:val="24"/>
          <w:szCs w:val="24"/>
        </w:rPr>
        <w:t xml:space="preserve">We treated C57Bl/6J) mice with an ethanol-containing diet or </w:t>
      </w:r>
      <w:proofErr w:type="spellStart"/>
      <w:r w:rsidRPr="00E95E94">
        <w:rPr>
          <w:rFonts w:ascii="Arial" w:hAnsi="Arial" w:cs="Arial"/>
          <w:sz w:val="24"/>
          <w:szCs w:val="24"/>
        </w:rPr>
        <w:t>isocaloric</w:t>
      </w:r>
      <w:proofErr w:type="spellEnd"/>
      <w:r w:rsidRPr="00E95E94">
        <w:rPr>
          <w:rFonts w:ascii="Arial" w:hAnsi="Arial" w:cs="Arial"/>
          <w:sz w:val="24"/>
          <w:szCs w:val="24"/>
        </w:rPr>
        <w:t xml:space="preserve"> diet up to 10 days, with an escalating paradigm. Different mice cohorts were then let to spontaneously withdraw for one, four or seven days and underwent behavioural assessments of cognition and coordination, (novel object recognition (NOR) and </w:t>
      </w:r>
      <w:proofErr w:type="spellStart"/>
      <w:r w:rsidRPr="00E95E94">
        <w:rPr>
          <w:rFonts w:ascii="Arial" w:hAnsi="Arial" w:cs="Arial"/>
          <w:sz w:val="24"/>
          <w:szCs w:val="24"/>
        </w:rPr>
        <w:t>Rota</w:t>
      </w:r>
      <w:proofErr w:type="spellEnd"/>
      <w:r w:rsidRPr="00E95E94">
        <w:rPr>
          <w:rFonts w:ascii="Arial" w:hAnsi="Arial" w:cs="Arial"/>
          <w:sz w:val="24"/>
          <w:szCs w:val="24"/>
        </w:rPr>
        <w:t>-Rod respectively), prior to termination at treatment.</w:t>
      </w:r>
    </w:p>
    <w:p w:rsidR="00E95E94" w:rsidRPr="00E95E94" w:rsidRDefault="00E95E94" w:rsidP="00E95E94">
      <w:pPr>
        <w:jc w:val="both"/>
        <w:rPr>
          <w:rFonts w:ascii="Arial" w:hAnsi="Arial" w:cs="Arial"/>
          <w:sz w:val="24"/>
          <w:szCs w:val="24"/>
        </w:rPr>
      </w:pPr>
      <w:r w:rsidRPr="00E95E94">
        <w:rPr>
          <w:rFonts w:ascii="Arial" w:hAnsi="Arial" w:cs="Arial"/>
          <w:sz w:val="24"/>
          <w:szCs w:val="24"/>
        </w:rPr>
        <w:t xml:space="preserve">Chronic ethanol treatment had a negative impact on motor coordination which persisted for one day post-withdrawal from ethanol but recovered after 4 days withdrawal. Ethanol treatment did not have a significant effect on memory as evaluated by NOR; however, ethanol-withdrawal resulted in a reduction of memory with a lack of object recognition on withdrawal days 1 and 7. </w:t>
      </w:r>
    </w:p>
    <w:p w:rsidR="00E95E94" w:rsidRPr="00E95E94" w:rsidRDefault="00E95E94" w:rsidP="00E95E94">
      <w:pPr>
        <w:jc w:val="both"/>
        <w:rPr>
          <w:rFonts w:ascii="Arial" w:hAnsi="Arial" w:cs="Arial"/>
          <w:b/>
          <w:bCs/>
          <w:sz w:val="24"/>
          <w:szCs w:val="24"/>
        </w:rPr>
      </w:pPr>
      <w:r w:rsidRPr="00E95E94">
        <w:rPr>
          <w:rFonts w:ascii="Arial" w:hAnsi="Arial" w:cs="Arial"/>
          <w:sz w:val="24"/>
          <w:szCs w:val="24"/>
        </w:rPr>
        <w:lastRenderedPageBreak/>
        <w:t>Chronic ethanol treatment and one day post-ethanol withdrawal lead to a transient significant increase in TSPO binding in several brain regions. Moreover, an overall-group increase in mgluR5 binding was observed in several key brain regions of alcohol treated mice compared to controls. Significant negative correlations were identified between binding levels and memory scores in several brain regions in ethanol treated and abstinent mice.</w:t>
      </w:r>
    </w:p>
    <w:p w:rsidR="00E95E94" w:rsidRPr="00E95E94" w:rsidRDefault="00E95E94" w:rsidP="00E95E94">
      <w:pPr>
        <w:rPr>
          <w:rFonts w:ascii="Arial" w:hAnsi="Arial" w:cs="Arial"/>
          <w:sz w:val="24"/>
          <w:szCs w:val="24"/>
        </w:rPr>
      </w:pPr>
      <w:r w:rsidRPr="00E95E94">
        <w:rPr>
          <w:rFonts w:ascii="Arial" w:hAnsi="Arial" w:cs="Arial"/>
          <w:sz w:val="24"/>
          <w:szCs w:val="24"/>
        </w:rPr>
        <w:t xml:space="preserve">The results of this study indicate </w:t>
      </w:r>
      <w:proofErr w:type="spellStart"/>
      <w:r w:rsidRPr="00E95E94">
        <w:rPr>
          <w:rFonts w:ascii="Arial" w:hAnsi="Arial" w:cs="Arial"/>
          <w:sz w:val="24"/>
          <w:szCs w:val="24"/>
        </w:rPr>
        <w:t>neuroinflammation</w:t>
      </w:r>
      <w:proofErr w:type="spellEnd"/>
      <w:r w:rsidRPr="00E95E94">
        <w:rPr>
          <w:rFonts w:ascii="Arial" w:hAnsi="Arial" w:cs="Arial"/>
          <w:sz w:val="24"/>
          <w:szCs w:val="24"/>
        </w:rPr>
        <w:t xml:space="preserve"> as possible mechanism driving cognitive and behavioural changes observed in alcohol dependent individuals undergoing abstinence. </w:t>
      </w:r>
    </w:p>
    <w:p w:rsidR="006E3E02" w:rsidRPr="00E95E94" w:rsidRDefault="006E3E02" w:rsidP="00E95E94">
      <w:pPr>
        <w:rPr>
          <w:rFonts w:ascii="Arial" w:hAnsi="Arial" w:cs="Arial"/>
          <w:sz w:val="24"/>
          <w:szCs w:val="24"/>
        </w:rPr>
      </w:pPr>
    </w:p>
    <w:sectPr w:rsidR="006E3E02" w:rsidRPr="00E95E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1C1"/>
    <w:rsid w:val="006E3E02"/>
    <w:rsid w:val="00D978F6"/>
    <w:rsid w:val="00DC71C1"/>
    <w:rsid w:val="00E95E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2E8E70-D4C4-4D9C-9464-26B9B852A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E94"/>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808934">
      <w:bodyDiv w:val="1"/>
      <w:marLeft w:val="0"/>
      <w:marRight w:val="0"/>
      <w:marTop w:val="0"/>
      <w:marBottom w:val="0"/>
      <w:divBdr>
        <w:top w:val="none" w:sz="0" w:space="0" w:color="auto"/>
        <w:left w:val="none" w:sz="0" w:space="0" w:color="auto"/>
        <w:bottom w:val="none" w:sz="0" w:space="0" w:color="auto"/>
        <w:right w:val="none" w:sz="0" w:space="0" w:color="auto"/>
      </w:divBdr>
    </w:div>
    <w:div w:id="110141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St Georges, University of London</Company>
  <LinksUpToDate>false</LinksUpToDate>
  <CharactersWithSpaces>2977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Bailey</dc:creator>
  <cp:keywords/>
  <dc:description/>
  <cp:lastModifiedBy>Alexis Bailey</cp:lastModifiedBy>
  <cp:revision>2</cp:revision>
  <dcterms:created xsi:type="dcterms:W3CDTF">2017-07-03T07:40:00Z</dcterms:created>
  <dcterms:modified xsi:type="dcterms:W3CDTF">2017-07-03T08:08:00Z</dcterms:modified>
</cp:coreProperties>
</file>