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8E" w:rsidRDefault="006B168E" w:rsidP="006B168E">
      <w:pPr>
        <w:autoSpaceDE w:val="0"/>
        <w:spacing w:after="0" w:line="240" w:lineRule="auto"/>
        <w:rPr>
          <w:rFonts w:ascii="Arial" w:hAnsi="Arial" w:cs="Arial"/>
          <w:b/>
          <w:sz w:val="24"/>
          <w:szCs w:val="24"/>
        </w:rPr>
      </w:pPr>
    </w:p>
    <w:p w:rsidR="006B168E" w:rsidRDefault="006B168E" w:rsidP="006B168E">
      <w:pPr>
        <w:autoSpaceDE w:val="0"/>
        <w:spacing w:after="0" w:line="240" w:lineRule="auto"/>
        <w:rPr>
          <w:rFonts w:ascii="Arial" w:hAnsi="Arial" w:cs="Arial"/>
          <w:b/>
          <w:sz w:val="24"/>
          <w:szCs w:val="24"/>
        </w:rPr>
      </w:pPr>
    </w:p>
    <w:p w:rsidR="006B168E" w:rsidRDefault="006B168E" w:rsidP="006B168E">
      <w:pPr>
        <w:autoSpaceDE w:val="0"/>
        <w:spacing w:after="0" w:line="240" w:lineRule="auto"/>
        <w:rPr>
          <w:rFonts w:ascii="Arial" w:hAnsi="Arial" w:cs="Arial"/>
          <w:b/>
          <w:sz w:val="24"/>
          <w:szCs w:val="24"/>
        </w:rPr>
      </w:pPr>
    </w:p>
    <w:p w:rsidR="006B168E" w:rsidRPr="00EA56C6" w:rsidRDefault="006B168E" w:rsidP="006B168E">
      <w:pPr>
        <w:autoSpaceDE w:val="0"/>
        <w:spacing w:after="0" w:line="240" w:lineRule="auto"/>
        <w:rPr>
          <w:rFonts w:ascii="Arial" w:hAnsi="Arial" w:cs="Arial"/>
          <w:b/>
          <w:sz w:val="24"/>
          <w:szCs w:val="24"/>
        </w:rPr>
      </w:pPr>
      <w:r w:rsidRPr="00EA56C6">
        <w:rPr>
          <w:rFonts w:ascii="Arial" w:hAnsi="Arial" w:cs="Arial"/>
          <w:b/>
          <w:sz w:val="24"/>
          <w:szCs w:val="24"/>
        </w:rPr>
        <w:t>UNDERSTANDING THE NEUROBIOLOGY OF ALCOHOL ABSTINENCE: THE OXYTOCIN STORY</w:t>
      </w:r>
    </w:p>
    <w:p w:rsidR="006B168E" w:rsidRPr="00EA56C6" w:rsidRDefault="006B168E" w:rsidP="006B168E">
      <w:pPr>
        <w:autoSpaceDE w:val="0"/>
        <w:spacing w:after="0" w:line="240" w:lineRule="auto"/>
        <w:rPr>
          <w:rFonts w:ascii="Arial" w:hAnsi="Arial" w:cs="Arial"/>
          <w:b/>
          <w:sz w:val="24"/>
          <w:szCs w:val="24"/>
        </w:rPr>
      </w:pPr>
      <w:r w:rsidRPr="00EA56C6">
        <w:rPr>
          <w:rFonts w:ascii="Arial" w:hAnsi="Arial" w:cs="Arial"/>
          <w:b/>
          <w:sz w:val="24"/>
          <w:szCs w:val="24"/>
        </w:rPr>
        <w:t xml:space="preserve">  </w:t>
      </w:r>
    </w:p>
    <w:p w:rsidR="006B168E" w:rsidRPr="00EA56C6" w:rsidRDefault="006B168E" w:rsidP="006B168E">
      <w:pPr>
        <w:autoSpaceDE w:val="0"/>
        <w:spacing w:after="0" w:line="240" w:lineRule="auto"/>
        <w:jc w:val="both"/>
        <w:rPr>
          <w:rFonts w:ascii="Arial" w:hAnsi="Arial" w:cs="Arial"/>
          <w:b/>
          <w:sz w:val="24"/>
          <w:szCs w:val="24"/>
        </w:rPr>
      </w:pPr>
      <w:r w:rsidRPr="00EA56C6">
        <w:rPr>
          <w:rFonts w:ascii="Arial" w:hAnsi="Arial" w:cs="Arial"/>
          <w:sz w:val="24"/>
          <w:szCs w:val="24"/>
          <w:u w:val="single"/>
        </w:rPr>
        <w:t>Bailey, A</w:t>
      </w:r>
      <w:r w:rsidRPr="00EA56C6">
        <w:rPr>
          <w:rFonts w:ascii="Arial" w:hAnsi="Arial" w:cs="Arial"/>
          <w:b/>
          <w:sz w:val="24"/>
          <w:szCs w:val="24"/>
          <w:vertAlign w:val="superscript"/>
        </w:rPr>
        <w:t>1</w:t>
      </w:r>
      <w:r w:rsidR="00D225CE">
        <w:rPr>
          <w:rFonts w:ascii="Arial" w:hAnsi="Arial" w:cs="Arial"/>
          <w:b/>
          <w:sz w:val="24"/>
          <w:szCs w:val="24"/>
        </w:rPr>
        <w:t xml:space="preserve">; </w:t>
      </w:r>
      <w:bookmarkStart w:id="0" w:name="_GoBack"/>
      <w:bookmarkEnd w:id="0"/>
      <w:r w:rsidR="00D225CE">
        <w:rPr>
          <w:rFonts w:ascii="Arial" w:hAnsi="Arial" w:cs="Arial"/>
          <w:sz w:val="24"/>
          <w:szCs w:val="24"/>
        </w:rPr>
        <w:t>Georgiou</w:t>
      </w:r>
      <w:r w:rsidRPr="00EA56C6">
        <w:rPr>
          <w:rFonts w:ascii="Arial" w:hAnsi="Arial" w:cs="Arial"/>
          <w:sz w:val="24"/>
          <w:szCs w:val="24"/>
          <w:vertAlign w:val="superscript"/>
        </w:rPr>
        <w:t>2</w:t>
      </w:r>
      <w:r w:rsidRPr="00EA56C6">
        <w:rPr>
          <w:rFonts w:ascii="Arial" w:hAnsi="Arial" w:cs="Arial"/>
          <w:sz w:val="24"/>
          <w:szCs w:val="24"/>
        </w:rPr>
        <w:t xml:space="preserve">; </w:t>
      </w:r>
      <w:proofErr w:type="spellStart"/>
      <w:r w:rsidRPr="00EA56C6">
        <w:rPr>
          <w:rFonts w:ascii="Arial" w:hAnsi="Arial" w:cs="Arial"/>
          <w:sz w:val="24"/>
          <w:szCs w:val="24"/>
        </w:rPr>
        <w:t>Zanos</w:t>
      </w:r>
      <w:proofErr w:type="spellEnd"/>
      <w:r w:rsidRPr="00EA56C6">
        <w:rPr>
          <w:rFonts w:ascii="Arial" w:hAnsi="Arial" w:cs="Arial"/>
          <w:sz w:val="24"/>
          <w:szCs w:val="24"/>
          <w:vertAlign w:val="superscript"/>
        </w:rPr>
        <w:t xml:space="preserve"> </w:t>
      </w:r>
      <w:r w:rsidR="00D225CE">
        <w:rPr>
          <w:rFonts w:ascii="Arial" w:hAnsi="Arial" w:cs="Arial"/>
          <w:sz w:val="24"/>
          <w:szCs w:val="24"/>
        </w:rPr>
        <w:t>P</w:t>
      </w:r>
      <w:r w:rsidRPr="00EA56C6">
        <w:rPr>
          <w:rFonts w:ascii="Arial" w:hAnsi="Arial" w:cs="Arial"/>
          <w:sz w:val="24"/>
          <w:szCs w:val="24"/>
          <w:vertAlign w:val="superscript"/>
        </w:rPr>
        <w:t>2</w:t>
      </w:r>
      <w:r w:rsidRPr="00EA56C6">
        <w:rPr>
          <w:rFonts w:ascii="Arial" w:hAnsi="Arial" w:cs="Arial"/>
          <w:sz w:val="24"/>
          <w:szCs w:val="24"/>
        </w:rPr>
        <w:t xml:space="preserve">; </w:t>
      </w:r>
      <w:proofErr w:type="spellStart"/>
      <w:r w:rsidRPr="00EA56C6">
        <w:rPr>
          <w:rFonts w:ascii="Arial" w:hAnsi="Arial" w:cs="Arial"/>
          <w:sz w:val="24"/>
          <w:szCs w:val="24"/>
        </w:rPr>
        <w:t>Sklirou</w:t>
      </w:r>
      <w:proofErr w:type="spellEnd"/>
      <w:r w:rsidRPr="00EA56C6">
        <w:rPr>
          <w:rFonts w:ascii="Arial" w:hAnsi="Arial" w:cs="Arial"/>
          <w:sz w:val="24"/>
          <w:szCs w:val="24"/>
          <w:vertAlign w:val="superscript"/>
        </w:rPr>
        <w:t xml:space="preserve"> </w:t>
      </w:r>
      <w:r w:rsidR="00D225CE">
        <w:rPr>
          <w:rFonts w:ascii="Arial" w:hAnsi="Arial" w:cs="Arial"/>
          <w:sz w:val="24"/>
          <w:szCs w:val="24"/>
        </w:rPr>
        <w:t>M</w:t>
      </w:r>
      <w:r w:rsidRPr="00EA56C6">
        <w:rPr>
          <w:rFonts w:ascii="Arial" w:hAnsi="Arial" w:cs="Arial"/>
          <w:sz w:val="24"/>
          <w:szCs w:val="24"/>
          <w:vertAlign w:val="superscript"/>
        </w:rPr>
        <w:t>3</w:t>
      </w:r>
      <w:r w:rsidR="00D225CE">
        <w:rPr>
          <w:rFonts w:ascii="Arial" w:hAnsi="Arial" w:cs="Arial"/>
          <w:sz w:val="24"/>
          <w:szCs w:val="24"/>
        </w:rPr>
        <w:t xml:space="preserve">; </w:t>
      </w:r>
      <w:proofErr w:type="spellStart"/>
      <w:r w:rsidR="00D225CE">
        <w:rPr>
          <w:rFonts w:ascii="Arial" w:hAnsi="Arial" w:cs="Arial"/>
          <w:sz w:val="24"/>
          <w:szCs w:val="24"/>
        </w:rPr>
        <w:t>Pantouli</w:t>
      </w:r>
      <w:proofErr w:type="spellEnd"/>
      <w:r w:rsidR="00D225CE">
        <w:rPr>
          <w:rFonts w:ascii="Arial" w:hAnsi="Arial" w:cs="Arial"/>
          <w:sz w:val="24"/>
          <w:szCs w:val="24"/>
        </w:rPr>
        <w:t>, F</w:t>
      </w:r>
      <w:r w:rsidRPr="00EA56C6">
        <w:rPr>
          <w:rFonts w:ascii="Arial" w:hAnsi="Arial" w:cs="Arial"/>
          <w:sz w:val="24"/>
          <w:szCs w:val="24"/>
          <w:vertAlign w:val="superscript"/>
        </w:rPr>
        <w:t>1</w:t>
      </w:r>
      <w:r w:rsidR="00D225CE">
        <w:rPr>
          <w:rFonts w:ascii="Arial" w:hAnsi="Arial" w:cs="Arial"/>
          <w:sz w:val="24"/>
          <w:szCs w:val="24"/>
        </w:rPr>
        <w:t>; Wells, L</w:t>
      </w:r>
      <w:r w:rsidRPr="00EA56C6">
        <w:rPr>
          <w:rFonts w:ascii="Arial" w:hAnsi="Arial" w:cs="Arial"/>
          <w:sz w:val="24"/>
          <w:szCs w:val="24"/>
          <w:vertAlign w:val="superscript"/>
        </w:rPr>
        <w:t>4</w:t>
      </w:r>
      <w:r w:rsidRPr="00EA56C6">
        <w:rPr>
          <w:rFonts w:ascii="Arial" w:hAnsi="Arial" w:cs="Arial"/>
          <w:sz w:val="24"/>
          <w:szCs w:val="24"/>
        </w:rPr>
        <w:t xml:space="preserve"> </w:t>
      </w:r>
    </w:p>
    <w:p w:rsidR="006B168E" w:rsidRPr="00EA56C6" w:rsidRDefault="006B168E" w:rsidP="006B168E">
      <w:pPr>
        <w:autoSpaceDE w:val="0"/>
        <w:spacing w:after="0" w:line="240" w:lineRule="auto"/>
        <w:jc w:val="both"/>
        <w:rPr>
          <w:rFonts w:ascii="Arial" w:hAnsi="Arial" w:cs="Arial"/>
          <w:sz w:val="24"/>
          <w:szCs w:val="24"/>
        </w:rPr>
      </w:pPr>
      <w:r w:rsidRPr="00EA56C6">
        <w:rPr>
          <w:rFonts w:ascii="Arial" w:hAnsi="Arial" w:cs="Arial"/>
          <w:b/>
          <w:sz w:val="24"/>
          <w:szCs w:val="24"/>
        </w:rPr>
        <w:t xml:space="preserve">                                                                    </w:t>
      </w:r>
    </w:p>
    <w:p w:rsidR="006B168E" w:rsidRPr="00EA56C6" w:rsidRDefault="006B168E" w:rsidP="006B168E">
      <w:pPr>
        <w:spacing w:line="240" w:lineRule="auto"/>
        <w:jc w:val="both"/>
        <w:rPr>
          <w:rFonts w:ascii="Arial" w:hAnsi="Arial" w:cs="Arial"/>
          <w:color w:val="000000"/>
          <w:sz w:val="24"/>
          <w:szCs w:val="24"/>
          <w:shd w:val="clear" w:color="auto" w:fill="FFFFFF"/>
        </w:rPr>
      </w:pPr>
      <w:r w:rsidRPr="00EA56C6">
        <w:rPr>
          <w:rFonts w:ascii="Arial" w:hAnsi="Arial" w:cs="Arial"/>
          <w:sz w:val="24"/>
          <w:szCs w:val="24"/>
          <w:vertAlign w:val="superscript"/>
        </w:rPr>
        <w:t xml:space="preserve">1 </w:t>
      </w:r>
      <w:r w:rsidRPr="00EA56C6">
        <w:rPr>
          <w:rFonts w:ascii="Arial" w:hAnsi="Arial" w:cs="Arial"/>
          <w:color w:val="000000"/>
          <w:sz w:val="24"/>
          <w:szCs w:val="24"/>
          <w:shd w:val="clear" w:color="auto" w:fill="FFFFFF"/>
        </w:rPr>
        <w:t xml:space="preserve">Institute of Medical and Biomedical Education, St George's University of London, London, UK </w:t>
      </w:r>
    </w:p>
    <w:p w:rsidR="006B168E" w:rsidRPr="00EA56C6" w:rsidRDefault="006B168E" w:rsidP="006B168E">
      <w:pPr>
        <w:spacing w:line="240" w:lineRule="auto"/>
        <w:jc w:val="both"/>
        <w:rPr>
          <w:rFonts w:ascii="Arial" w:hAnsi="Arial" w:cs="Arial"/>
          <w:color w:val="000000"/>
          <w:sz w:val="24"/>
          <w:szCs w:val="24"/>
          <w:shd w:val="clear" w:color="auto" w:fill="FFFFFF"/>
        </w:rPr>
      </w:pPr>
      <w:r w:rsidRPr="00EA56C6">
        <w:rPr>
          <w:rFonts w:ascii="Arial" w:hAnsi="Arial" w:cs="Arial"/>
          <w:color w:val="000000"/>
          <w:sz w:val="24"/>
          <w:szCs w:val="24"/>
          <w:shd w:val="clear" w:color="auto" w:fill="FFFFFF"/>
          <w:vertAlign w:val="superscript"/>
        </w:rPr>
        <w:t>2</w:t>
      </w:r>
      <w:r w:rsidRPr="00EA56C6">
        <w:rPr>
          <w:rFonts w:ascii="Arial" w:hAnsi="Arial" w:cs="Arial"/>
          <w:color w:val="000000"/>
          <w:sz w:val="24"/>
          <w:szCs w:val="24"/>
          <w:shd w:val="clear" w:color="auto" w:fill="FFFFFF"/>
        </w:rPr>
        <w:t xml:space="preserve"> Departments of Psychiatry, University of Maryland School of Medicine, Baltimore, USA</w:t>
      </w:r>
    </w:p>
    <w:p w:rsidR="006B168E" w:rsidRPr="00EA56C6" w:rsidRDefault="006B168E" w:rsidP="006B168E">
      <w:pPr>
        <w:spacing w:line="240" w:lineRule="auto"/>
        <w:jc w:val="both"/>
        <w:rPr>
          <w:rFonts w:ascii="Arial" w:hAnsi="Arial" w:cs="Arial"/>
          <w:sz w:val="24"/>
          <w:szCs w:val="24"/>
        </w:rPr>
      </w:pPr>
      <w:r w:rsidRPr="00EA56C6">
        <w:rPr>
          <w:rFonts w:ascii="Arial" w:hAnsi="Arial" w:cs="Arial"/>
          <w:sz w:val="24"/>
          <w:szCs w:val="24"/>
          <w:vertAlign w:val="superscript"/>
        </w:rPr>
        <w:t xml:space="preserve">3 </w:t>
      </w:r>
      <w:r w:rsidRPr="00EA56C6">
        <w:rPr>
          <w:rFonts w:ascii="Arial" w:hAnsi="Arial" w:cs="Arial"/>
          <w:sz w:val="24"/>
          <w:szCs w:val="24"/>
        </w:rPr>
        <w:t>School of Biosciences and Medicine, Faculty of Health and Medical Sciences, University of Surrey, Guildford, UK</w:t>
      </w:r>
    </w:p>
    <w:p w:rsidR="006B168E" w:rsidRPr="00EA56C6" w:rsidRDefault="006B168E" w:rsidP="006B168E">
      <w:pPr>
        <w:spacing w:after="0" w:line="240" w:lineRule="auto"/>
        <w:jc w:val="both"/>
        <w:rPr>
          <w:rFonts w:ascii="Arial" w:hAnsi="Arial" w:cs="Arial"/>
          <w:color w:val="000000"/>
          <w:sz w:val="24"/>
          <w:szCs w:val="24"/>
          <w:shd w:val="clear" w:color="auto" w:fill="FFFFFF"/>
        </w:rPr>
      </w:pPr>
      <w:r w:rsidRPr="00EA56C6">
        <w:rPr>
          <w:rFonts w:ascii="Arial" w:hAnsi="Arial" w:cs="Arial"/>
          <w:color w:val="000000"/>
          <w:sz w:val="24"/>
          <w:szCs w:val="24"/>
          <w:shd w:val="clear" w:color="auto" w:fill="FFFFFF"/>
          <w:vertAlign w:val="superscript"/>
        </w:rPr>
        <w:t xml:space="preserve">4 </w:t>
      </w:r>
      <w:proofErr w:type="spellStart"/>
      <w:r w:rsidRPr="00EA56C6">
        <w:rPr>
          <w:rFonts w:ascii="Arial" w:hAnsi="Arial" w:cs="Arial"/>
          <w:color w:val="000000"/>
          <w:sz w:val="24"/>
          <w:szCs w:val="24"/>
          <w:shd w:val="clear" w:color="auto" w:fill="FFFFFF"/>
        </w:rPr>
        <w:t>Imanova</w:t>
      </w:r>
      <w:proofErr w:type="spellEnd"/>
      <w:r w:rsidRPr="00EA56C6">
        <w:rPr>
          <w:rFonts w:ascii="Arial" w:hAnsi="Arial" w:cs="Arial"/>
          <w:color w:val="000000"/>
          <w:sz w:val="24"/>
          <w:szCs w:val="24"/>
          <w:shd w:val="clear" w:color="auto" w:fill="FFFFFF"/>
        </w:rPr>
        <w:t xml:space="preserve"> Centre for Imaging Sciences, W12 0NN, London, UK</w:t>
      </w:r>
    </w:p>
    <w:p w:rsidR="006B168E" w:rsidRPr="00EA56C6" w:rsidRDefault="006B168E" w:rsidP="006B168E">
      <w:pPr>
        <w:spacing w:before="166" w:after="166" w:line="240" w:lineRule="auto"/>
        <w:jc w:val="both"/>
        <w:rPr>
          <w:rFonts w:ascii="Arial" w:hAnsi="Arial" w:cs="Arial"/>
          <w:sz w:val="24"/>
          <w:szCs w:val="24"/>
        </w:rPr>
      </w:pPr>
    </w:p>
    <w:p w:rsidR="00D225CE" w:rsidRDefault="006B168E" w:rsidP="006B168E">
      <w:pPr>
        <w:spacing w:before="166" w:after="166" w:line="240" w:lineRule="auto"/>
        <w:rPr>
          <w:rFonts w:ascii="Arial" w:hAnsi="Arial" w:cs="Arial"/>
          <w:sz w:val="24"/>
          <w:szCs w:val="24"/>
        </w:rPr>
      </w:pPr>
      <w:r w:rsidRPr="00EA56C6">
        <w:rPr>
          <w:rFonts w:ascii="Arial" w:hAnsi="Arial" w:cs="Arial"/>
          <w:sz w:val="24"/>
          <w:szCs w:val="24"/>
        </w:rPr>
        <w:t xml:space="preserve">Chronic ethanol use and abstinence is associated with the development of emotional deficits and is well known to cause cognitive and motor impairment following abstinence. Although several systems have been identified, the exact neurobiological mechanisms implicated in alcohol addiction are not well understood. </w:t>
      </w:r>
      <w:r>
        <w:rPr>
          <w:rFonts w:ascii="Arial" w:hAnsi="Arial" w:cs="Arial"/>
          <w:sz w:val="24"/>
          <w:szCs w:val="24"/>
        </w:rPr>
        <w:t>We recently demonstrated profound dysregulation of the opioid system following chronic opioid treatment and withdrawal and have identified oxytocin as a potential target for the treatment of emotional impairment following opioid abstinence and relapse prevention (1). H</w:t>
      </w:r>
      <w:r w:rsidRPr="00EA56C6">
        <w:rPr>
          <w:rFonts w:ascii="Arial" w:hAnsi="Arial" w:cs="Arial"/>
          <w:sz w:val="24"/>
          <w:szCs w:val="24"/>
        </w:rPr>
        <w:t xml:space="preserve">ere we sought to investigate the effects of chronic alcohol consumption, as well as acute and long-term withdrawal on </w:t>
      </w:r>
      <w:r>
        <w:rPr>
          <w:rFonts w:ascii="Arial" w:hAnsi="Arial" w:cs="Arial"/>
          <w:sz w:val="24"/>
          <w:szCs w:val="24"/>
        </w:rPr>
        <w:t>mu- opioid (</w:t>
      </w:r>
      <w:proofErr w:type="spellStart"/>
      <w:r w:rsidRPr="00EA56C6">
        <w:rPr>
          <w:rFonts w:ascii="Arial" w:hAnsi="Arial" w:cs="Arial"/>
          <w:sz w:val="24"/>
          <w:szCs w:val="24"/>
        </w:rPr>
        <w:t>MOPr</w:t>
      </w:r>
      <w:proofErr w:type="spellEnd"/>
      <w:r>
        <w:rPr>
          <w:rFonts w:ascii="Arial" w:hAnsi="Arial" w:cs="Arial"/>
          <w:sz w:val="24"/>
          <w:szCs w:val="24"/>
        </w:rPr>
        <w:t>)</w:t>
      </w:r>
      <w:r w:rsidRPr="00EA56C6">
        <w:rPr>
          <w:rFonts w:ascii="Arial" w:hAnsi="Arial" w:cs="Arial"/>
          <w:sz w:val="24"/>
          <w:szCs w:val="24"/>
        </w:rPr>
        <w:t xml:space="preserve"> and </w:t>
      </w:r>
      <w:r>
        <w:rPr>
          <w:rFonts w:ascii="Arial" w:hAnsi="Arial" w:cs="Arial"/>
          <w:sz w:val="24"/>
          <w:szCs w:val="24"/>
        </w:rPr>
        <w:t>oxytocin (</w:t>
      </w:r>
      <w:r w:rsidRPr="00EA56C6">
        <w:rPr>
          <w:rFonts w:ascii="Arial" w:hAnsi="Arial" w:cs="Arial"/>
          <w:sz w:val="24"/>
          <w:szCs w:val="24"/>
        </w:rPr>
        <w:t>OTR</w:t>
      </w:r>
      <w:r>
        <w:rPr>
          <w:rFonts w:ascii="Arial" w:hAnsi="Arial" w:cs="Arial"/>
          <w:sz w:val="24"/>
          <w:szCs w:val="24"/>
        </w:rPr>
        <w:t>) receptor</w:t>
      </w:r>
      <w:r w:rsidRPr="00EA56C6">
        <w:rPr>
          <w:rFonts w:ascii="Arial" w:hAnsi="Arial" w:cs="Arial"/>
          <w:sz w:val="24"/>
          <w:szCs w:val="24"/>
        </w:rPr>
        <w:t xml:space="preserve"> binding in the brain. </w:t>
      </w:r>
    </w:p>
    <w:p w:rsidR="00D225CE" w:rsidRDefault="006B168E" w:rsidP="006B168E">
      <w:pPr>
        <w:spacing w:before="166" w:after="166" w:line="240" w:lineRule="auto"/>
        <w:rPr>
          <w:rFonts w:ascii="Arial" w:hAnsi="Arial" w:cs="Arial"/>
          <w:sz w:val="24"/>
          <w:szCs w:val="24"/>
        </w:rPr>
      </w:pPr>
      <w:r w:rsidRPr="00EA56C6">
        <w:rPr>
          <w:rFonts w:ascii="Arial" w:hAnsi="Arial" w:cs="Arial"/>
          <w:sz w:val="24"/>
          <w:szCs w:val="24"/>
        </w:rPr>
        <w:t xml:space="preserve">Ethanol was provided in liquid diet using a 10-day escalating-dose paradigm (2.3%-2 days, 4.2%-2 days and 7%-6 days). Different mice cohorts were then let to spontaneously withdraw for one, four or seven days. </w:t>
      </w:r>
    </w:p>
    <w:p w:rsidR="00D225CE" w:rsidRDefault="006B168E" w:rsidP="006B168E">
      <w:pPr>
        <w:spacing w:before="166" w:after="166" w:line="240" w:lineRule="auto"/>
        <w:rPr>
          <w:rFonts w:ascii="Arial" w:hAnsi="Arial" w:cs="Arial"/>
          <w:sz w:val="24"/>
          <w:szCs w:val="24"/>
        </w:rPr>
      </w:pPr>
      <w:r w:rsidRPr="00EA56C6">
        <w:rPr>
          <w:rFonts w:ascii="Arial" w:hAnsi="Arial" w:cs="Arial"/>
          <w:sz w:val="24"/>
          <w:szCs w:val="24"/>
        </w:rPr>
        <w:t xml:space="preserve">Chronic ethanol exposure induced an overall increase in OTR binding in the medial septum and ventral limb of the diagonal band of </w:t>
      </w:r>
      <w:proofErr w:type="spellStart"/>
      <w:r w:rsidRPr="00EA56C6">
        <w:rPr>
          <w:rFonts w:ascii="Arial" w:hAnsi="Arial" w:cs="Arial"/>
          <w:sz w:val="24"/>
          <w:szCs w:val="24"/>
        </w:rPr>
        <w:t>Broca</w:t>
      </w:r>
      <w:proofErr w:type="spellEnd"/>
      <w:r w:rsidRPr="00EA56C6">
        <w:rPr>
          <w:rFonts w:ascii="Arial" w:hAnsi="Arial" w:cs="Arial"/>
          <w:sz w:val="24"/>
          <w:szCs w:val="24"/>
        </w:rPr>
        <w:t xml:space="preserve">. A transient downregulation of OTR was observed in the nucleus </w:t>
      </w:r>
      <w:proofErr w:type="spellStart"/>
      <w:r w:rsidRPr="00EA56C6">
        <w:rPr>
          <w:rFonts w:ascii="Arial" w:hAnsi="Arial" w:cs="Arial"/>
          <w:sz w:val="24"/>
          <w:szCs w:val="24"/>
        </w:rPr>
        <w:t>accumbens</w:t>
      </w:r>
      <w:proofErr w:type="spellEnd"/>
      <w:r w:rsidRPr="00EA56C6">
        <w:rPr>
          <w:rFonts w:ascii="Arial" w:hAnsi="Arial" w:cs="Arial"/>
          <w:sz w:val="24"/>
          <w:szCs w:val="24"/>
        </w:rPr>
        <w:t xml:space="preserve"> core following 1-day withdrawal, which returned to control levels after 4-days withdrawal. OTR was also upregulated in the </w:t>
      </w:r>
      <w:proofErr w:type="spellStart"/>
      <w:r w:rsidRPr="00EA56C6">
        <w:rPr>
          <w:rFonts w:ascii="Arial" w:hAnsi="Arial" w:cs="Arial"/>
          <w:sz w:val="24"/>
          <w:szCs w:val="24"/>
        </w:rPr>
        <w:t>basomedial</w:t>
      </w:r>
      <w:proofErr w:type="spellEnd"/>
      <w:r w:rsidRPr="00EA56C6">
        <w:rPr>
          <w:rFonts w:ascii="Arial" w:hAnsi="Arial" w:cs="Arial"/>
          <w:sz w:val="24"/>
          <w:szCs w:val="24"/>
        </w:rPr>
        <w:t xml:space="preserve"> amygdala following 7-days withdrawal. An overall increase in </w:t>
      </w:r>
      <w:proofErr w:type="spellStart"/>
      <w:r w:rsidRPr="00EA56C6">
        <w:rPr>
          <w:rFonts w:ascii="Arial" w:hAnsi="Arial" w:cs="Arial"/>
          <w:sz w:val="24"/>
          <w:szCs w:val="24"/>
        </w:rPr>
        <w:t>MOPr</w:t>
      </w:r>
      <w:proofErr w:type="spellEnd"/>
      <w:r w:rsidRPr="00EA56C6">
        <w:rPr>
          <w:rFonts w:ascii="Arial" w:hAnsi="Arial" w:cs="Arial"/>
          <w:sz w:val="24"/>
          <w:szCs w:val="24"/>
        </w:rPr>
        <w:t xml:space="preserve"> binding in the </w:t>
      </w:r>
      <w:proofErr w:type="spellStart"/>
      <w:r w:rsidRPr="00EA56C6">
        <w:rPr>
          <w:rFonts w:ascii="Arial" w:hAnsi="Arial" w:cs="Arial"/>
          <w:sz w:val="24"/>
          <w:szCs w:val="24"/>
        </w:rPr>
        <w:t>basomedial</w:t>
      </w:r>
      <w:proofErr w:type="spellEnd"/>
      <w:r w:rsidRPr="00EA56C6">
        <w:rPr>
          <w:rFonts w:ascii="Arial" w:hAnsi="Arial" w:cs="Arial"/>
          <w:sz w:val="24"/>
          <w:szCs w:val="24"/>
        </w:rPr>
        <w:t xml:space="preserve"> amygdala was demonstrated in the alcohol exposed groups compared to controls. </w:t>
      </w:r>
      <w:proofErr w:type="spellStart"/>
      <w:r w:rsidRPr="00EA56C6">
        <w:rPr>
          <w:rFonts w:ascii="Arial" w:hAnsi="Arial" w:cs="Arial"/>
          <w:sz w:val="24"/>
          <w:szCs w:val="24"/>
        </w:rPr>
        <w:t>MOPr</w:t>
      </w:r>
      <w:proofErr w:type="spellEnd"/>
      <w:r w:rsidRPr="00EA56C6">
        <w:rPr>
          <w:rFonts w:ascii="Arial" w:hAnsi="Arial" w:cs="Arial"/>
          <w:sz w:val="24"/>
          <w:szCs w:val="24"/>
        </w:rPr>
        <w:t xml:space="preserve"> binding was transiently increased 4-days post-withdrawal in the caudate putamen and nucleus </w:t>
      </w:r>
      <w:proofErr w:type="spellStart"/>
      <w:r w:rsidRPr="00EA56C6">
        <w:rPr>
          <w:rFonts w:ascii="Arial" w:hAnsi="Arial" w:cs="Arial"/>
          <w:sz w:val="24"/>
          <w:szCs w:val="24"/>
        </w:rPr>
        <w:t>accumbens</w:t>
      </w:r>
      <w:proofErr w:type="spellEnd"/>
      <w:r w:rsidRPr="00EA56C6">
        <w:rPr>
          <w:rFonts w:ascii="Arial" w:hAnsi="Arial" w:cs="Arial"/>
          <w:sz w:val="24"/>
          <w:szCs w:val="24"/>
        </w:rPr>
        <w:t xml:space="preserve">, which returned to control levels after 7-days withdrawal. </w:t>
      </w:r>
    </w:p>
    <w:p w:rsidR="006B168E" w:rsidRDefault="006B168E" w:rsidP="006B168E">
      <w:pPr>
        <w:spacing w:before="166" w:after="166" w:line="240" w:lineRule="auto"/>
        <w:rPr>
          <w:rFonts w:ascii="Arial" w:hAnsi="Arial" w:cs="Arial"/>
          <w:sz w:val="24"/>
          <w:szCs w:val="24"/>
        </w:rPr>
      </w:pPr>
      <w:r w:rsidRPr="00EA56C6">
        <w:rPr>
          <w:rFonts w:ascii="Arial" w:hAnsi="Arial" w:cs="Arial"/>
          <w:sz w:val="24"/>
          <w:szCs w:val="24"/>
        </w:rPr>
        <w:t xml:space="preserve">Collectively, our findings indicate that chronic alcohol use and abstinence can induce brain-region specific neuroadaptations of the OTR and </w:t>
      </w:r>
      <w:proofErr w:type="spellStart"/>
      <w:r w:rsidRPr="00EA56C6">
        <w:rPr>
          <w:rFonts w:ascii="Arial" w:hAnsi="Arial" w:cs="Arial"/>
          <w:sz w:val="24"/>
          <w:szCs w:val="24"/>
        </w:rPr>
        <w:t>MOPr</w:t>
      </w:r>
      <w:proofErr w:type="spellEnd"/>
      <w:r w:rsidRPr="00EA56C6">
        <w:rPr>
          <w:rFonts w:ascii="Arial" w:hAnsi="Arial" w:cs="Arial"/>
          <w:sz w:val="24"/>
          <w:szCs w:val="24"/>
        </w:rPr>
        <w:t xml:space="preserve"> systems, which may contribute to the neurobiological mechanisms underlying excessive alcohol drinking and the emotional consequences of ethanol withdrawal. </w:t>
      </w:r>
    </w:p>
    <w:p w:rsidR="006B168E" w:rsidRPr="008F3162" w:rsidRDefault="00D225CE" w:rsidP="006B168E">
      <w:pPr>
        <w:pStyle w:val="ListParagraph"/>
        <w:numPr>
          <w:ilvl w:val="0"/>
          <w:numId w:val="1"/>
        </w:numPr>
        <w:autoSpaceDE w:val="0"/>
        <w:spacing w:after="0" w:line="240" w:lineRule="auto"/>
        <w:jc w:val="both"/>
        <w:rPr>
          <w:rFonts w:ascii="Arial" w:hAnsi="Arial" w:cs="Arial"/>
          <w:sz w:val="24"/>
          <w:szCs w:val="24"/>
        </w:rPr>
      </w:pPr>
      <w:hyperlink r:id="rId5" w:history="1">
        <w:proofErr w:type="spellStart"/>
        <w:r w:rsidR="006B168E" w:rsidRPr="008F3162">
          <w:rPr>
            <w:rFonts w:ascii="Arial" w:hAnsi="Arial" w:cs="Arial"/>
            <w:sz w:val="24"/>
            <w:szCs w:val="24"/>
          </w:rPr>
          <w:t>Zanos</w:t>
        </w:r>
        <w:proofErr w:type="spellEnd"/>
        <w:r w:rsidR="006B168E" w:rsidRPr="008F3162">
          <w:rPr>
            <w:rFonts w:ascii="Arial" w:hAnsi="Arial" w:cs="Arial"/>
            <w:sz w:val="24"/>
            <w:szCs w:val="24"/>
          </w:rPr>
          <w:t xml:space="preserve"> P</w:t>
        </w:r>
      </w:hyperlink>
      <w:r w:rsidR="006B168E" w:rsidRPr="008F3162">
        <w:rPr>
          <w:rFonts w:ascii="Arial" w:hAnsi="Arial" w:cs="Arial"/>
          <w:sz w:val="24"/>
          <w:szCs w:val="24"/>
        </w:rPr>
        <w:t xml:space="preserve"> </w:t>
      </w:r>
      <w:r w:rsidR="006B168E" w:rsidRPr="008F3162">
        <w:rPr>
          <w:rFonts w:ascii="Arial" w:hAnsi="Arial" w:cs="Arial"/>
          <w:i/>
          <w:iCs/>
          <w:sz w:val="24"/>
          <w:szCs w:val="24"/>
        </w:rPr>
        <w:t xml:space="preserve">et al. </w:t>
      </w:r>
      <w:r w:rsidR="006B168E" w:rsidRPr="008F3162">
        <w:rPr>
          <w:rFonts w:ascii="Arial" w:hAnsi="Arial" w:cs="Arial"/>
          <w:sz w:val="24"/>
          <w:szCs w:val="24"/>
        </w:rPr>
        <w:t xml:space="preserve">(2014) </w:t>
      </w:r>
      <w:proofErr w:type="spellStart"/>
      <w:r w:rsidR="006B168E" w:rsidRPr="008F3162">
        <w:rPr>
          <w:rFonts w:ascii="Arial" w:hAnsi="Arial" w:cs="Arial"/>
          <w:i/>
          <w:sz w:val="24"/>
          <w:szCs w:val="24"/>
        </w:rPr>
        <w:t>Neuropsychopharmacology</w:t>
      </w:r>
      <w:proofErr w:type="spellEnd"/>
      <w:r w:rsidR="006B168E" w:rsidRPr="008F3162">
        <w:rPr>
          <w:rFonts w:ascii="Arial" w:hAnsi="Arial" w:cs="Arial"/>
          <w:sz w:val="24"/>
          <w:szCs w:val="24"/>
        </w:rPr>
        <w:t xml:space="preserve"> 39(4):855-65</w:t>
      </w:r>
    </w:p>
    <w:p w:rsidR="006B168E" w:rsidRPr="00EA56C6" w:rsidRDefault="006B168E" w:rsidP="006B168E">
      <w:pPr>
        <w:spacing w:before="166" w:after="166" w:line="240" w:lineRule="auto"/>
        <w:rPr>
          <w:rFonts w:ascii="Arial" w:hAnsi="Arial" w:cs="Arial"/>
          <w:sz w:val="24"/>
          <w:szCs w:val="24"/>
        </w:rPr>
      </w:pPr>
    </w:p>
    <w:p w:rsidR="006E3E02" w:rsidRDefault="006E3E02"/>
    <w:sectPr w:rsidR="006E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46E1D"/>
    <w:multiLevelType w:val="multilevel"/>
    <w:tmpl w:val="617C3364"/>
    <w:lvl w:ilvl="0">
      <w:start w:val="1"/>
      <w:numFmt w:val="decimal"/>
      <w:lvlText w:val="(%1)"/>
      <w:lvlJc w:val="left"/>
      <w:pPr>
        <w:ind w:left="420" w:hanging="360"/>
      </w:pPr>
      <w:rPr>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E"/>
    <w:rsid w:val="006B168E"/>
    <w:rsid w:val="006E3E02"/>
    <w:rsid w:val="00D2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1CFCD-9B38-4497-837A-444EA1A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B168E"/>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term=Zanos%20P%5BAuthor%5D&amp;cauthor=true&amp;cauthor_uid=241292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Bailey</dc:creator>
  <cp:keywords/>
  <dc:description/>
  <cp:lastModifiedBy>Alexis Bailey</cp:lastModifiedBy>
  <cp:revision>2</cp:revision>
  <dcterms:created xsi:type="dcterms:W3CDTF">2017-07-03T07:20:00Z</dcterms:created>
  <dcterms:modified xsi:type="dcterms:W3CDTF">2017-07-03T07:23:00Z</dcterms:modified>
</cp:coreProperties>
</file>