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3E2F" w14:textId="2E99BB41" w:rsidR="00F96525" w:rsidRPr="00E84D1D" w:rsidRDefault="004267B5" w:rsidP="00241797">
      <w:pPr>
        <w:pStyle w:val="Manuscriptheading1"/>
      </w:pPr>
      <w:r w:rsidRPr="00E84D1D">
        <w:t xml:space="preserve">Outcomes after </w:t>
      </w:r>
      <w:r w:rsidR="00DE3338" w:rsidRPr="00E84D1D">
        <w:t xml:space="preserve">catheter </w:t>
      </w:r>
      <w:r w:rsidR="005D72D0" w:rsidRPr="00E84D1D">
        <w:t xml:space="preserve">ablation and cardioversion in </w:t>
      </w:r>
      <w:r w:rsidRPr="00E84D1D">
        <w:t xml:space="preserve">patients with non-valvular </w:t>
      </w:r>
      <w:r w:rsidR="005B3E84" w:rsidRPr="00E84D1D">
        <w:t>atrial fibrillation</w:t>
      </w:r>
      <w:r w:rsidRPr="00E84D1D">
        <w:t xml:space="preserve">: results from the </w:t>
      </w:r>
      <w:r w:rsidR="006E7ED0" w:rsidRPr="00E84D1D">
        <w:t xml:space="preserve">prospective, observational </w:t>
      </w:r>
      <w:r w:rsidRPr="00E84D1D">
        <w:t xml:space="preserve">XANTUS </w:t>
      </w:r>
      <w:r w:rsidR="005D72D0" w:rsidRPr="00E84D1D">
        <w:t>stud</w:t>
      </w:r>
      <w:r w:rsidRPr="00E84D1D">
        <w:t>y</w:t>
      </w:r>
    </w:p>
    <w:p w14:paraId="3AA561D9" w14:textId="77777777" w:rsidR="009E5CF2" w:rsidRPr="00E84D1D" w:rsidRDefault="009E5CF2" w:rsidP="00241797">
      <w:pPr>
        <w:pStyle w:val="Text"/>
      </w:pPr>
    </w:p>
    <w:p w14:paraId="75A79453" w14:textId="39DA6798" w:rsidR="00392D68" w:rsidRPr="00E84D1D" w:rsidRDefault="00392D68" w:rsidP="00241797">
      <w:pPr>
        <w:spacing w:line="480" w:lineRule="auto"/>
        <w:rPr>
          <w:rFonts w:cs="Arial"/>
        </w:rPr>
      </w:pPr>
      <w:r w:rsidRPr="00E84D1D">
        <w:rPr>
          <w:rFonts w:cs="Arial"/>
        </w:rPr>
        <w:t>A. John Camm</w:t>
      </w:r>
      <w:r w:rsidRPr="00E84D1D">
        <w:rPr>
          <w:rFonts w:cs="Arial"/>
          <w:vertAlign w:val="superscript"/>
        </w:rPr>
        <w:t>1</w:t>
      </w:r>
      <w:r w:rsidRPr="00E84D1D">
        <w:rPr>
          <w:rFonts w:cs="Arial"/>
        </w:rPr>
        <w:t>*</w:t>
      </w:r>
      <w:r w:rsidR="007721B2" w:rsidRPr="00E84D1D">
        <w:rPr>
          <w:rFonts w:cs="Arial"/>
        </w:rPr>
        <w:t>,</w:t>
      </w:r>
      <w:r w:rsidRPr="00E84D1D">
        <w:rPr>
          <w:rFonts w:cs="Arial"/>
        </w:rPr>
        <w:t xml:space="preserve"> Alexander G.G.</w:t>
      </w:r>
      <w:r w:rsidR="00CC071D" w:rsidRPr="00E84D1D">
        <w:rPr>
          <w:rFonts w:cs="Arial"/>
        </w:rPr>
        <w:t xml:space="preserve"> </w:t>
      </w:r>
      <w:r w:rsidRPr="00E84D1D">
        <w:rPr>
          <w:rFonts w:cs="Arial"/>
        </w:rPr>
        <w:t>Turpie</w:t>
      </w:r>
      <w:r w:rsidRPr="00E84D1D">
        <w:rPr>
          <w:rFonts w:cs="Arial"/>
          <w:vertAlign w:val="superscript"/>
        </w:rPr>
        <w:t>2</w:t>
      </w:r>
      <w:r w:rsidR="007721B2" w:rsidRPr="00E84D1D">
        <w:rPr>
          <w:rFonts w:cs="Arial"/>
        </w:rPr>
        <w:t xml:space="preserve">, </w:t>
      </w:r>
      <w:r w:rsidRPr="00E84D1D">
        <w:rPr>
          <w:rFonts w:cs="Arial"/>
        </w:rPr>
        <w:t>Susanne Hess</w:t>
      </w:r>
      <w:r w:rsidRPr="00E84D1D">
        <w:rPr>
          <w:rFonts w:cs="Arial"/>
          <w:vertAlign w:val="superscript"/>
        </w:rPr>
        <w:t>3</w:t>
      </w:r>
      <w:r w:rsidR="007721B2" w:rsidRPr="00E84D1D">
        <w:rPr>
          <w:rFonts w:cs="Arial"/>
        </w:rPr>
        <w:t xml:space="preserve">, </w:t>
      </w:r>
      <w:r w:rsidRPr="00E84D1D">
        <w:rPr>
          <w:rFonts w:cs="Arial"/>
        </w:rPr>
        <w:t>Pierre Amarenco</w:t>
      </w:r>
      <w:r w:rsidRPr="00E84D1D">
        <w:rPr>
          <w:rFonts w:cs="Arial"/>
          <w:vertAlign w:val="superscript"/>
        </w:rPr>
        <w:t>4</w:t>
      </w:r>
      <w:r w:rsidR="007721B2" w:rsidRPr="00E84D1D">
        <w:rPr>
          <w:rFonts w:cs="Arial"/>
        </w:rPr>
        <w:t xml:space="preserve">, </w:t>
      </w:r>
      <w:r w:rsidR="00020DF8" w:rsidRPr="00E84D1D">
        <w:rPr>
          <w:rFonts w:cs="Arial"/>
        </w:rPr>
        <w:t>Marc Lambelet</w:t>
      </w:r>
      <w:r w:rsidR="00ED6D0F" w:rsidRPr="00E84D1D">
        <w:rPr>
          <w:rFonts w:cs="Arial"/>
          <w:vertAlign w:val="superscript"/>
        </w:rPr>
        <w:t>5</w:t>
      </w:r>
      <w:r w:rsidR="007721B2" w:rsidRPr="00E84D1D">
        <w:rPr>
          <w:rFonts w:cs="Arial"/>
        </w:rPr>
        <w:t xml:space="preserve">, </w:t>
      </w:r>
      <w:r w:rsidRPr="00E84D1D">
        <w:rPr>
          <w:rFonts w:cs="Arial"/>
        </w:rPr>
        <w:t>Sylvia Haas</w:t>
      </w:r>
      <w:r w:rsidR="00ED6D0F" w:rsidRPr="00E84D1D">
        <w:rPr>
          <w:rFonts w:cs="Arial"/>
          <w:vertAlign w:val="superscript"/>
        </w:rPr>
        <w:t>6</w:t>
      </w:r>
      <w:r w:rsidR="007721B2" w:rsidRPr="00E84D1D">
        <w:rPr>
          <w:rFonts w:cs="Arial"/>
        </w:rPr>
        <w:t xml:space="preserve">, </w:t>
      </w:r>
      <w:r w:rsidRPr="00E84D1D">
        <w:rPr>
          <w:rFonts w:cs="Arial"/>
        </w:rPr>
        <w:t>Martin van Eickels</w:t>
      </w:r>
      <w:r w:rsidRPr="00E84D1D">
        <w:rPr>
          <w:rFonts w:cs="Arial"/>
          <w:vertAlign w:val="superscript"/>
        </w:rPr>
        <w:t>3</w:t>
      </w:r>
      <w:r w:rsidR="007721B2" w:rsidRPr="00E84D1D">
        <w:rPr>
          <w:rFonts w:cs="Arial"/>
        </w:rPr>
        <w:t xml:space="preserve">, </w:t>
      </w:r>
      <w:r w:rsidRPr="00E84D1D">
        <w:rPr>
          <w:rFonts w:cs="Arial"/>
        </w:rPr>
        <w:t>and Paulus Kirchhof</w:t>
      </w:r>
      <w:r w:rsidR="00ED6D0F" w:rsidRPr="00E84D1D">
        <w:rPr>
          <w:rFonts w:cs="Arial"/>
          <w:vertAlign w:val="superscript"/>
        </w:rPr>
        <w:t>7</w:t>
      </w:r>
      <w:r w:rsidR="00D41A16" w:rsidRPr="00E84D1D">
        <w:rPr>
          <w:rFonts w:cs="Arial"/>
          <w:vertAlign w:val="superscript"/>
        </w:rPr>
        <w:t>,</w:t>
      </w:r>
      <w:r w:rsidR="00ED6D0F" w:rsidRPr="00E84D1D">
        <w:rPr>
          <w:rFonts w:cs="Arial"/>
          <w:vertAlign w:val="superscript"/>
        </w:rPr>
        <w:t>8</w:t>
      </w:r>
      <w:r w:rsidR="007721B2" w:rsidRPr="00E84D1D">
        <w:rPr>
          <w:rFonts w:cs="Arial"/>
        </w:rPr>
        <w:t xml:space="preserve">, </w:t>
      </w:r>
      <w:r w:rsidRPr="00E84D1D">
        <w:rPr>
          <w:rFonts w:cs="Arial"/>
        </w:rPr>
        <w:t>on behalf of the XANTUS Investigators</w:t>
      </w:r>
    </w:p>
    <w:p w14:paraId="38F233D5" w14:textId="77777777" w:rsidR="00280758" w:rsidRPr="00E84D1D" w:rsidRDefault="00280758" w:rsidP="00241797">
      <w:pPr>
        <w:pStyle w:val="Text"/>
      </w:pPr>
    </w:p>
    <w:p w14:paraId="3EBB39A3" w14:textId="71C7A045" w:rsidR="00F96525" w:rsidRPr="00E84D1D" w:rsidRDefault="008E50F7" w:rsidP="00241797">
      <w:pPr>
        <w:spacing w:line="480" w:lineRule="auto"/>
        <w:rPr>
          <w:rFonts w:cs="Arial"/>
        </w:rPr>
      </w:pPr>
      <w:r w:rsidRPr="00E84D1D">
        <w:rPr>
          <w:rFonts w:cs="Arial"/>
          <w:vertAlign w:val="superscript"/>
        </w:rPr>
        <w:t>1</w:t>
      </w:r>
      <w:r w:rsidR="00392D68" w:rsidRPr="00E84D1D">
        <w:rPr>
          <w:rFonts w:cs="Arial"/>
        </w:rPr>
        <w:t>Cardiovascular and Cell Sciences Research Institute, St George’s, University of London, and Imperial College, London, UK</w:t>
      </w:r>
      <w:r w:rsidR="00CC071D" w:rsidRPr="00E84D1D">
        <w:rPr>
          <w:rFonts w:cs="Arial"/>
        </w:rPr>
        <w:t xml:space="preserve">; </w:t>
      </w:r>
      <w:r w:rsidRPr="00E84D1D">
        <w:rPr>
          <w:rFonts w:cs="Arial"/>
          <w:vertAlign w:val="superscript"/>
        </w:rPr>
        <w:t>2</w:t>
      </w:r>
      <w:r w:rsidR="00392D68" w:rsidRPr="00E84D1D">
        <w:rPr>
          <w:rFonts w:cs="Arial"/>
        </w:rPr>
        <w:t>Department of Medicine, McMaster University, Hamilton, ON, Canada</w:t>
      </w:r>
      <w:r w:rsidR="00CC071D" w:rsidRPr="00E84D1D">
        <w:rPr>
          <w:rFonts w:cs="Arial"/>
        </w:rPr>
        <w:t xml:space="preserve">; </w:t>
      </w:r>
      <w:r w:rsidRPr="00E84D1D">
        <w:rPr>
          <w:rFonts w:cs="Arial"/>
          <w:vertAlign w:val="superscript"/>
        </w:rPr>
        <w:t>3</w:t>
      </w:r>
      <w:r w:rsidR="00392D68" w:rsidRPr="00E84D1D">
        <w:rPr>
          <w:rFonts w:cs="Arial"/>
        </w:rPr>
        <w:t>Bayer AG, Berlin, Germany</w:t>
      </w:r>
      <w:r w:rsidR="00CC071D" w:rsidRPr="00E84D1D">
        <w:rPr>
          <w:rFonts w:cs="Arial"/>
        </w:rPr>
        <w:t xml:space="preserve">; </w:t>
      </w:r>
      <w:r w:rsidRPr="00E84D1D">
        <w:rPr>
          <w:rFonts w:cs="Arial"/>
          <w:vertAlign w:val="superscript"/>
        </w:rPr>
        <w:t>4</w:t>
      </w:r>
      <w:r w:rsidR="00392D68" w:rsidRPr="00E84D1D">
        <w:rPr>
          <w:rFonts w:cs="Arial"/>
        </w:rPr>
        <w:t>Department of Neurology and Stroke Center, Paris-Diderot-Sorbonne University, Paris, France</w:t>
      </w:r>
      <w:r w:rsidR="00CC071D" w:rsidRPr="00E84D1D">
        <w:rPr>
          <w:rFonts w:cs="Arial"/>
        </w:rPr>
        <w:t xml:space="preserve">; </w:t>
      </w:r>
      <w:r w:rsidR="00ED6D0F" w:rsidRPr="00E84D1D">
        <w:rPr>
          <w:rFonts w:cs="Arial"/>
          <w:vertAlign w:val="superscript"/>
        </w:rPr>
        <w:t>5</w:t>
      </w:r>
      <w:r w:rsidR="00020DF8" w:rsidRPr="00E84D1D">
        <w:rPr>
          <w:rFonts w:cs="Arial"/>
        </w:rPr>
        <w:t>Chrestos Concept GmbH &amp; Co KG, Essen, Germany</w:t>
      </w:r>
      <w:r w:rsidR="00CC071D" w:rsidRPr="00E84D1D">
        <w:rPr>
          <w:rFonts w:cs="Arial"/>
        </w:rPr>
        <w:t xml:space="preserve">; </w:t>
      </w:r>
      <w:r w:rsidR="00ED6D0F" w:rsidRPr="00E84D1D">
        <w:rPr>
          <w:rFonts w:cs="Arial"/>
          <w:vertAlign w:val="superscript"/>
        </w:rPr>
        <w:t>6</w:t>
      </w:r>
      <w:r w:rsidR="00392D68" w:rsidRPr="00E84D1D">
        <w:rPr>
          <w:rFonts w:cs="Arial"/>
        </w:rPr>
        <w:t>Vascular Center, Munich, Germany</w:t>
      </w:r>
      <w:r w:rsidR="00CC071D" w:rsidRPr="00E84D1D">
        <w:rPr>
          <w:rFonts w:cs="Arial"/>
        </w:rPr>
        <w:t xml:space="preserve">; </w:t>
      </w:r>
      <w:r w:rsidR="00ED6D0F" w:rsidRPr="00E84D1D">
        <w:rPr>
          <w:rFonts w:cs="Arial"/>
          <w:vertAlign w:val="superscript"/>
        </w:rPr>
        <w:t>7</w:t>
      </w:r>
      <w:r w:rsidR="006E7ED0" w:rsidRPr="00E84D1D">
        <w:rPr>
          <w:rFonts w:cs="Arial"/>
        </w:rPr>
        <w:t xml:space="preserve">Institute of </w:t>
      </w:r>
      <w:r w:rsidR="00392D68" w:rsidRPr="00E84D1D">
        <w:rPr>
          <w:rFonts w:cs="Arial"/>
        </w:rPr>
        <w:t>Cardiovascular Sciences, University of Birmingham</w:t>
      </w:r>
      <w:r w:rsidR="006E7ED0" w:rsidRPr="00E84D1D">
        <w:rPr>
          <w:rFonts w:cs="Arial"/>
        </w:rPr>
        <w:t>,</w:t>
      </w:r>
      <w:r w:rsidR="00392D68" w:rsidRPr="00E84D1D">
        <w:rPr>
          <w:rFonts w:cs="Arial"/>
        </w:rPr>
        <w:t xml:space="preserve"> Sandwell and West Birmingham Hospitals </w:t>
      </w:r>
      <w:r w:rsidR="006E7ED0" w:rsidRPr="00E84D1D">
        <w:rPr>
          <w:rFonts w:cs="Arial"/>
        </w:rPr>
        <w:t xml:space="preserve">and UHB </w:t>
      </w:r>
      <w:r w:rsidR="00392D68" w:rsidRPr="00E84D1D">
        <w:rPr>
          <w:rFonts w:cs="Arial"/>
        </w:rPr>
        <w:t>NHS Trust</w:t>
      </w:r>
      <w:r w:rsidR="006E7ED0" w:rsidRPr="00E84D1D">
        <w:rPr>
          <w:rFonts w:cs="Arial"/>
        </w:rPr>
        <w:t>s</w:t>
      </w:r>
      <w:r w:rsidR="00392D68" w:rsidRPr="00E84D1D">
        <w:rPr>
          <w:rFonts w:cs="Arial"/>
        </w:rPr>
        <w:t>, Birmingham, UK</w:t>
      </w:r>
      <w:r w:rsidR="00CC071D" w:rsidRPr="00E84D1D">
        <w:rPr>
          <w:rFonts w:cs="Arial"/>
        </w:rPr>
        <w:t xml:space="preserve">; and </w:t>
      </w:r>
      <w:r w:rsidR="00ED6D0F" w:rsidRPr="00E84D1D">
        <w:rPr>
          <w:rFonts w:cs="Arial"/>
          <w:vertAlign w:val="superscript"/>
        </w:rPr>
        <w:t>8</w:t>
      </w:r>
      <w:r w:rsidR="00392D68" w:rsidRPr="00E84D1D">
        <w:rPr>
          <w:rFonts w:cs="Arial"/>
        </w:rPr>
        <w:t>Department of Cardiovascular Medicine, University of Münster, Münster, Germany</w:t>
      </w:r>
    </w:p>
    <w:p w14:paraId="2F9EF217" w14:textId="77777777" w:rsidR="00280758" w:rsidRPr="00E84D1D" w:rsidRDefault="00280758" w:rsidP="00241797">
      <w:pPr>
        <w:pStyle w:val="Text"/>
      </w:pPr>
    </w:p>
    <w:p w14:paraId="7FBA27F4" w14:textId="444B4BAA" w:rsidR="00280758" w:rsidRPr="00E84D1D" w:rsidRDefault="00A65654" w:rsidP="00241797">
      <w:pPr>
        <w:pStyle w:val="Text"/>
        <w:rPr>
          <w:b/>
          <w:bCs/>
          <w:szCs w:val="24"/>
        </w:rPr>
      </w:pPr>
      <w:r w:rsidRPr="00E84D1D">
        <w:rPr>
          <w:b/>
          <w:bCs/>
        </w:rPr>
        <w:t>*</w:t>
      </w:r>
      <w:r w:rsidR="00280758" w:rsidRPr="00E84D1D">
        <w:rPr>
          <w:b/>
          <w:bCs/>
        </w:rPr>
        <w:t>Contact information for corresponding author:</w:t>
      </w:r>
    </w:p>
    <w:p w14:paraId="239BC669" w14:textId="77777777" w:rsidR="00280758" w:rsidRPr="00E84D1D" w:rsidRDefault="00280758" w:rsidP="00241797">
      <w:pPr>
        <w:pStyle w:val="Text"/>
      </w:pPr>
      <w:r w:rsidRPr="00E84D1D">
        <w:t xml:space="preserve">Name: </w:t>
      </w:r>
      <w:r w:rsidR="00392D68" w:rsidRPr="00E84D1D">
        <w:t>A. John Camm</w:t>
      </w:r>
    </w:p>
    <w:p w14:paraId="2A176CE8" w14:textId="17C9B652" w:rsidR="00280758" w:rsidRPr="00E84D1D" w:rsidRDefault="00280758" w:rsidP="00241797">
      <w:pPr>
        <w:pStyle w:val="Text"/>
      </w:pPr>
      <w:r w:rsidRPr="00E84D1D">
        <w:t xml:space="preserve">Address: </w:t>
      </w:r>
      <w:r w:rsidR="00B160C5" w:rsidRPr="00E84D1D">
        <w:t>St. George’s</w:t>
      </w:r>
      <w:r w:rsidR="00377F58">
        <w:t>,</w:t>
      </w:r>
      <w:r w:rsidR="00B160C5" w:rsidRPr="00E84D1D">
        <w:t xml:space="preserve"> University of London, Cranmer Terrace, London, SW17 0RE, United Kingdom</w:t>
      </w:r>
    </w:p>
    <w:p w14:paraId="5FB9D40D" w14:textId="36A837F5" w:rsidR="00280758" w:rsidRPr="00E84D1D" w:rsidRDefault="00280758" w:rsidP="00241797">
      <w:pPr>
        <w:pStyle w:val="Text"/>
      </w:pPr>
      <w:r w:rsidRPr="00E84D1D">
        <w:t>Phone no:</w:t>
      </w:r>
      <w:r w:rsidR="00B160C5" w:rsidRPr="00E84D1D">
        <w:t xml:space="preserve"> +44 20 8725 3414</w:t>
      </w:r>
    </w:p>
    <w:p w14:paraId="7708D368" w14:textId="6E7773DE" w:rsidR="00280758" w:rsidRPr="00E84D1D" w:rsidRDefault="00280758" w:rsidP="00241797">
      <w:pPr>
        <w:pStyle w:val="Text"/>
      </w:pPr>
      <w:r w:rsidRPr="00E84D1D">
        <w:t xml:space="preserve">Fax no: </w:t>
      </w:r>
      <w:r w:rsidR="00B160C5" w:rsidRPr="00E84D1D">
        <w:t>+44 20 8725 3416</w:t>
      </w:r>
    </w:p>
    <w:p w14:paraId="28A33112" w14:textId="77777777" w:rsidR="00280758" w:rsidRPr="00E84D1D" w:rsidRDefault="00280758" w:rsidP="00241797">
      <w:pPr>
        <w:pStyle w:val="Text"/>
      </w:pPr>
      <w:r w:rsidRPr="00E84D1D">
        <w:t xml:space="preserve">Email: </w:t>
      </w:r>
      <w:r w:rsidR="00392D68" w:rsidRPr="00E84D1D">
        <w:t>jcamm@sgul.ac.uk</w:t>
      </w:r>
    </w:p>
    <w:p w14:paraId="179E55C9" w14:textId="77777777" w:rsidR="00280758" w:rsidRPr="00E84D1D" w:rsidRDefault="00280758" w:rsidP="00241797">
      <w:pPr>
        <w:pStyle w:val="Text"/>
      </w:pPr>
    </w:p>
    <w:p w14:paraId="304DB61E" w14:textId="77777777" w:rsidR="00280758" w:rsidRPr="00E84D1D" w:rsidRDefault="00D42835" w:rsidP="00241797">
      <w:pPr>
        <w:pStyle w:val="Text"/>
        <w:rPr>
          <w:bCs/>
          <w:i/>
        </w:rPr>
      </w:pPr>
      <w:r w:rsidRPr="00E84D1D">
        <w:rPr>
          <w:b/>
          <w:bCs/>
        </w:rPr>
        <w:t>J</w:t>
      </w:r>
      <w:r w:rsidR="00280758" w:rsidRPr="00E84D1D">
        <w:rPr>
          <w:b/>
          <w:bCs/>
        </w:rPr>
        <w:t>ournal:</w:t>
      </w:r>
      <w:r w:rsidR="00280758" w:rsidRPr="00E84D1D">
        <w:rPr>
          <w:bCs/>
        </w:rPr>
        <w:t xml:space="preserve"> </w:t>
      </w:r>
      <w:r w:rsidR="005A3BD7" w:rsidRPr="00DD5B0A">
        <w:rPr>
          <w:bCs/>
          <w:i/>
        </w:rPr>
        <w:t>Europace</w:t>
      </w:r>
    </w:p>
    <w:p w14:paraId="30507C49" w14:textId="77777777" w:rsidR="00280758" w:rsidRPr="00E84D1D" w:rsidRDefault="00280758" w:rsidP="00241797">
      <w:pPr>
        <w:pStyle w:val="Text"/>
      </w:pPr>
    </w:p>
    <w:p w14:paraId="1ABCB8C4" w14:textId="0EFDB4DE" w:rsidR="00280758" w:rsidRPr="00E84D1D" w:rsidRDefault="00280758" w:rsidP="00241797">
      <w:pPr>
        <w:pStyle w:val="Text"/>
      </w:pPr>
      <w:r w:rsidRPr="00572E41">
        <w:rPr>
          <w:b/>
          <w:bCs/>
        </w:rPr>
        <w:t>Running head:</w:t>
      </w:r>
      <w:r w:rsidRPr="00E84D1D">
        <w:rPr>
          <w:bCs/>
        </w:rPr>
        <w:t xml:space="preserve"> </w:t>
      </w:r>
      <w:r w:rsidR="00C75E29" w:rsidRPr="00E84D1D">
        <w:t>Ablation and cardioversion in XANTUS</w:t>
      </w:r>
    </w:p>
    <w:p w14:paraId="3610693D" w14:textId="77777777" w:rsidR="00A56FAF" w:rsidRPr="00E84D1D" w:rsidRDefault="00A56FAF" w:rsidP="00241797">
      <w:pPr>
        <w:pStyle w:val="Text"/>
        <w:rPr>
          <w:bCs/>
        </w:rPr>
      </w:pPr>
    </w:p>
    <w:p w14:paraId="5508EC2D" w14:textId="1290CEBD" w:rsidR="00280758" w:rsidRPr="00DD5B0A" w:rsidRDefault="00280758" w:rsidP="00241797">
      <w:pPr>
        <w:pStyle w:val="Instructions"/>
        <w:spacing w:line="480" w:lineRule="auto"/>
        <w:rPr>
          <w:rStyle w:val="TextChar"/>
          <w:rFonts w:cs="Times New Roman"/>
          <w:bCs w:val="0"/>
          <w:i w:val="0"/>
          <w:iCs w:val="0"/>
        </w:rPr>
      </w:pPr>
      <w:r w:rsidRPr="00E84D1D">
        <w:rPr>
          <w:rStyle w:val="TextChar"/>
          <w:b/>
          <w:i w:val="0"/>
        </w:rPr>
        <w:t>Word count:</w:t>
      </w:r>
      <w:r w:rsidRPr="00E84D1D">
        <w:rPr>
          <w:rStyle w:val="TextChar"/>
          <w:i w:val="0"/>
        </w:rPr>
        <w:t xml:space="preserve"> </w:t>
      </w:r>
      <w:r w:rsidR="00241797" w:rsidRPr="00E84D1D">
        <w:rPr>
          <w:rStyle w:val="TextChar"/>
          <w:i w:val="0"/>
        </w:rPr>
        <w:t>3</w:t>
      </w:r>
      <w:r w:rsidR="00C53237">
        <w:rPr>
          <w:rStyle w:val="TextChar"/>
          <w:i w:val="0"/>
        </w:rPr>
        <w:t>247</w:t>
      </w:r>
    </w:p>
    <w:p w14:paraId="5259644C" w14:textId="77777777" w:rsidR="00280758" w:rsidRPr="00E84D1D" w:rsidRDefault="00280758" w:rsidP="00241797">
      <w:pPr>
        <w:pStyle w:val="Text"/>
      </w:pPr>
    </w:p>
    <w:p w14:paraId="4A698B4E" w14:textId="252E0640" w:rsidR="00280758" w:rsidRPr="00E84D1D" w:rsidRDefault="00280758" w:rsidP="00241797">
      <w:pPr>
        <w:pStyle w:val="Text"/>
        <w:rPr>
          <w:bCs/>
        </w:rPr>
      </w:pPr>
      <w:r w:rsidRPr="00E84D1D">
        <w:rPr>
          <w:b/>
          <w:bCs/>
        </w:rPr>
        <w:t>No. of tables</w:t>
      </w:r>
      <w:r w:rsidR="00816550" w:rsidRPr="00E84D1D">
        <w:rPr>
          <w:b/>
          <w:bCs/>
        </w:rPr>
        <w:t xml:space="preserve"> and figures</w:t>
      </w:r>
      <w:r w:rsidRPr="00E84D1D">
        <w:rPr>
          <w:b/>
          <w:bCs/>
        </w:rPr>
        <w:t>:</w:t>
      </w:r>
      <w:r w:rsidRPr="00E84D1D">
        <w:rPr>
          <w:bCs/>
        </w:rPr>
        <w:t xml:space="preserve"> </w:t>
      </w:r>
      <w:r w:rsidR="00816550" w:rsidRPr="00E84D1D">
        <w:rPr>
          <w:bCs/>
        </w:rPr>
        <w:t>6</w:t>
      </w:r>
      <w:r w:rsidR="00C53237">
        <w:rPr>
          <w:bCs/>
        </w:rPr>
        <w:t xml:space="preserve"> (plus 1 supplementary table)</w:t>
      </w:r>
    </w:p>
    <w:p w14:paraId="4E12050E" w14:textId="77777777" w:rsidR="002D44F6" w:rsidRPr="00E84D1D" w:rsidRDefault="002D44F6" w:rsidP="00241797">
      <w:pPr>
        <w:pStyle w:val="Text"/>
      </w:pPr>
    </w:p>
    <w:p w14:paraId="2458BC22" w14:textId="311448F8" w:rsidR="002D44F6" w:rsidRPr="00E84D1D" w:rsidRDefault="002D44F6" w:rsidP="00241797">
      <w:pPr>
        <w:pStyle w:val="Text"/>
      </w:pPr>
      <w:r w:rsidRPr="00E84D1D">
        <w:rPr>
          <w:b/>
          <w:bCs/>
        </w:rPr>
        <w:t>No. of references:</w:t>
      </w:r>
      <w:r w:rsidR="00392D68" w:rsidRPr="00E84D1D">
        <w:t xml:space="preserve"> </w:t>
      </w:r>
      <w:r w:rsidR="00393275">
        <w:t>20</w:t>
      </w:r>
    </w:p>
    <w:p w14:paraId="7B363A37" w14:textId="14B9BECF" w:rsidR="00280758" w:rsidRPr="00E84D1D" w:rsidRDefault="00280758" w:rsidP="00241797">
      <w:pPr>
        <w:pStyle w:val="Manuscriptheading2"/>
        <w:spacing w:before="0" w:after="0"/>
        <w:rPr>
          <w:lang w:val="en-GB"/>
        </w:rPr>
      </w:pPr>
      <w:r w:rsidRPr="00E84D1D">
        <w:rPr>
          <w:lang w:val="en-GB"/>
        </w:rPr>
        <w:br w:type="page"/>
      </w:r>
      <w:r w:rsidR="005D72D0" w:rsidRPr="00E84D1D">
        <w:rPr>
          <w:lang w:val="en-GB"/>
        </w:rPr>
        <w:lastRenderedPageBreak/>
        <w:t>Abstract</w:t>
      </w:r>
    </w:p>
    <w:p w14:paraId="57D21889" w14:textId="77777777" w:rsidR="003702CD" w:rsidRPr="00E84D1D" w:rsidRDefault="00676D7D" w:rsidP="00241797">
      <w:pPr>
        <w:pStyle w:val="Text"/>
      </w:pPr>
      <w:r w:rsidRPr="00572E41">
        <w:rPr>
          <w:b/>
        </w:rPr>
        <w:t>Aim</w:t>
      </w:r>
      <w:r w:rsidR="00241797" w:rsidRPr="00572E41">
        <w:rPr>
          <w:b/>
        </w:rPr>
        <w:t>s</w:t>
      </w:r>
    </w:p>
    <w:p w14:paraId="1624FFB5" w14:textId="32F02933" w:rsidR="00676D7D" w:rsidRPr="00E84D1D" w:rsidRDefault="005E1C4C" w:rsidP="00241797">
      <w:pPr>
        <w:pStyle w:val="Text"/>
      </w:pPr>
      <w:r w:rsidRPr="00E84D1D">
        <w:t>I</w:t>
      </w:r>
      <w:r w:rsidR="00676D7D" w:rsidRPr="00E84D1D">
        <w:t>n patients with atrial fibrillation</w:t>
      </w:r>
      <w:r w:rsidRPr="00E84D1D">
        <w:t>,</w:t>
      </w:r>
      <w:r w:rsidR="00676D7D" w:rsidRPr="00E84D1D">
        <w:t xml:space="preserve"> </w:t>
      </w:r>
      <w:r w:rsidRPr="00E84D1D">
        <w:t xml:space="preserve">catheter ablation and cardioversion </w:t>
      </w:r>
      <w:r w:rsidR="00676D7D" w:rsidRPr="00E84D1D">
        <w:t>carry a risk of peri-procedural thromboembolic events</w:t>
      </w:r>
      <w:r w:rsidR="00C5058D" w:rsidRPr="00E84D1D">
        <w:t>;</w:t>
      </w:r>
      <w:r w:rsidR="00676D7D" w:rsidRPr="00E84D1D">
        <w:t xml:space="preserve"> current guidelines recommend anticoagulation in </w:t>
      </w:r>
      <w:r w:rsidR="00EA0008" w:rsidRPr="00E84D1D">
        <w:t>th</w:t>
      </w:r>
      <w:r w:rsidR="00EA0008">
        <w:t>ese</w:t>
      </w:r>
      <w:r w:rsidR="00EA0008" w:rsidRPr="00E84D1D">
        <w:t xml:space="preserve"> </w:t>
      </w:r>
      <w:r w:rsidR="00C5058D" w:rsidRPr="00E84D1D">
        <w:t>setting</w:t>
      </w:r>
      <w:r w:rsidR="00EA0008">
        <w:t>s</w:t>
      </w:r>
      <w:r w:rsidR="00676D7D" w:rsidRPr="00E84D1D">
        <w:t xml:space="preserve">. This study aimed to report baseline demographics and clinical characteristics of patients enrolled in the prospective, observational XANTUS study who underwent </w:t>
      </w:r>
      <w:r w:rsidR="0071244E" w:rsidRPr="00E84D1D">
        <w:t xml:space="preserve">catheter </w:t>
      </w:r>
      <w:r w:rsidR="00676D7D" w:rsidRPr="00E84D1D">
        <w:t xml:space="preserve">ablation or cardioversion, and adverse outcomes </w:t>
      </w:r>
      <w:r w:rsidR="00755C58" w:rsidRPr="00E84D1D">
        <w:t>with</w:t>
      </w:r>
      <w:r w:rsidR="0071244E" w:rsidRPr="00E84D1D">
        <w:t xml:space="preserve"> each of these</w:t>
      </w:r>
      <w:r w:rsidRPr="00E84D1D">
        <w:t xml:space="preserve"> procedures</w:t>
      </w:r>
      <w:r w:rsidR="0071244E" w:rsidRPr="00E84D1D">
        <w:t xml:space="preserve"> in </w:t>
      </w:r>
      <w:r w:rsidR="00676D7D" w:rsidRPr="00E84D1D">
        <w:t>patients treated with rivaroxaban.</w:t>
      </w:r>
    </w:p>
    <w:p w14:paraId="636B3AED" w14:textId="77777777" w:rsidR="003702CD" w:rsidRPr="00E84D1D" w:rsidRDefault="00676D7D" w:rsidP="00241797">
      <w:pPr>
        <w:pStyle w:val="Text"/>
        <w:rPr>
          <w:b/>
        </w:rPr>
      </w:pPr>
      <w:r w:rsidRPr="00E84D1D">
        <w:rPr>
          <w:b/>
        </w:rPr>
        <w:t>Methods</w:t>
      </w:r>
    </w:p>
    <w:p w14:paraId="24726D8A" w14:textId="53A30F13" w:rsidR="00676D7D" w:rsidRPr="00E84D1D" w:rsidRDefault="00676D7D" w:rsidP="00241797">
      <w:pPr>
        <w:pStyle w:val="Text"/>
      </w:pPr>
      <w:r w:rsidRPr="00E84D1D">
        <w:t>Data collected included information on procedures and adverse outcomes occurring within 30 days of ablation or cardioversion: incidence of treatment-emergent adjudicated symptomatic thromboembolic events and major bleeding; and cardiovascular and all-cause death. Incidence of these adverse outcomes at 42 days after cardioversion was also analysed.</w:t>
      </w:r>
    </w:p>
    <w:p w14:paraId="2C75AF1D" w14:textId="77777777" w:rsidR="003702CD" w:rsidRPr="00E84D1D" w:rsidRDefault="00676D7D" w:rsidP="00241797">
      <w:pPr>
        <w:pStyle w:val="Text"/>
        <w:rPr>
          <w:b/>
        </w:rPr>
      </w:pPr>
      <w:r w:rsidRPr="00E84D1D">
        <w:rPr>
          <w:b/>
        </w:rPr>
        <w:t>Results</w:t>
      </w:r>
    </w:p>
    <w:p w14:paraId="54E1161B" w14:textId="04C14069" w:rsidR="00676D7D" w:rsidRPr="00E84D1D" w:rsidRDefault="00676D7D" w:rsidP="00241797">
      <w:pPr>
        <w:pStyle w:val="Text"/>
      </w:pPr>
      <w:r w:rsidRPr="00E84D1D">
        <w:t>Patients undergoing either procedure had significantly lower mean CHA</w:t>
      </w:r>
      <w:r w:rsidRPr="00E84D1D">
        <w:rPr>
          <w:vertAlign w:val="subscript"/>
        </w:rPr>
        <w:t>2</w:t>
      </w:r>
      <w:r w:rsidRPr="00E84D1D">
        <w:t>DS</w:t>
      </w:r>
      <w:r w:rsidRPr="00E84D1D">
        <w:rPr>
          <w:vertAlign w:val="subscript"/>
        </w:rPr>
        <w:t>2</w:t>
      </w:r>
      <w:r w:rsidRPr="00E84D1D">
        <w:t>-VASc and HAS-BLED scores than with those who did not, and were more frequently hospitalized at study baseline. Within a period of 30 days after intervention, symptomatic thromboembolic events were reported in 1.2% and 0.6% of patients undergoing ablation or cardioversion, respectively; major bleeding events were reported in 2.9% and 0.4% of patients undergoing ablation or cardioversion, respectively. No patient</w:t>
      </w:r>
      <w:r w:rsidR="00B00F1D" w:rsidRPr="00E84D1D">
        <w:t>s</w:t>
      </w:r>
      <w:r w:rsidRPr="00E84D1D">
        <w:t xml:space="preserve"> died within 30 days of intervention. Incidence of symptomatic thromboembolic and major bleeding events remained low at 42 days after cardioversion.</w:t>
      </w:r>
    </w:p>
    <w:p w14:paraId="58575172" w14:textId="77777777" w:rsidR="003702CD" w:rsidRPr="00E84D1D" w:rsidRDefault="00676D7D" w:rsidP="00241797">
      <w:pPr>
        <w:pStyle w:val="Text"/>
        <w:rPr>
          <w:b/>
        </w:rPr>
      </w:pPr>
      <w:r w:rsidRPr="00E84D1D">
        <w:rPr>
          <w:b/>
        </w:rPr>
        <w:t>Conclusion</w:t>
      </w:r>
    </w:p>
    <w:p w14:paraId="00ADFA9C" w14:textId="30F93810" w:rsidR="00733678" w:rsidRPr="00E84D1D" w:rsidRDefault="00676D7D" w:rsidP="00241797">
      <w:pPr>
        <w:pStyle w:val="Text"/>
      </w:pPr>
      <w:r w:rsidRPr="00E84D1D">
        <w:t xml:space="preserve">Similar to the results of prospective and non-interventional studies, the low rates of symptomatic thromboembolic events and major bleeding in patients with </w:t>
      </w:r>
      <w:r w:rsidR="00E84D1D">
        <w:t>atrial fibrillation</w:t>
      </w:r>
      <w:r w:rsidRPr="00E84D1D">
        <w:t xml:space="preserve"> </w:t>
      </w:r>
      <w:r w:rsidRPr="00E84D1D">
        <w:lastRenderedPageBreak/>
        <w:t>undergoing ablation or cardioversion and treated with rivaroxaban in XANTUS suggest that its use is associated with an acceptable benefit–risk profile</w:t>
      </w:r>
      <w:r w:rsidR="00894423" w:rsidRPr="00572E41">
        <w:t xml:space="preserve"> in this setting</w:t>
      </w:r>
      <w:r w:rsidRPr="00572E41">
        <w:t>.</w:t>
      </w:r>
    </w:p>
    <w:p w14:paraId="2D73DA16" w14:textId="77777777" w:rsidR="00280758" w:rsidRPr="00E84D1D" w:rsidRDefault="00280758" w:rsidP="00241797">
      <w:pPr>
        <w:pStyle w:val="Text"/>
        <w:rPr>
          <w:b/>
        </w:rPr>
      </w:pPr>
    </w:p>
    <w:p w14:paraId="5082464C" w14:textId="2DF31F65" w:rsidR="00280758" w:rsidRPr="00E84D1D" w:rsidRDefault="00280758" w:rsidP="00241797">
      <w:pPr>
        <w:pStyle w:val="Text"/>
        <w:rPr>
          <w:bCs/>
        </w:rPr>
      </w:pPr>
      <w:r w:rsidRPr="00E84D1D">
        <w:rPr>
          <w:b/>
          <w:bCs/>
        </w:rPr>
        <w:t>Trial registration number:</w:t>
      </w:r>
      <w:r w:rsidRPr="00E84D1D">
        <w:rPr>
          <w:bCs/>
        </w:rPr>
        <w:t xml:space="preserve"> </w:t>
      </w:r>
      <w:r w:rsidR="009E47B4" w:rsidRPr="00E84D1D">
        <w:rPr>
          <w:bCs/>
        </w:rPr>
        <w:t>Clinicaltrials.gov: NCT01606995.</w:t>
      </w:r>
    </w:p>
    <w:p w14:paraId="30CFC1D1" w14:textId="77777777" w:rsidR="00280758" w:rsidRPr="00E84D1D" w:rsidRDefault="00280758" w:rsidP="00241797">
      <w:pPr>
        <w:pStyle w:val="Text"/>
        <w:rPr>
          <w:bCs/>
        </w:rPr>
      </w:pPr>
    </w:p>
    <w:p w14:paraId="2D4B35CF" w14:textId="63E89ACC" w:rsidR="00280758" w:rsidRPr="00E84D1D" w:rsidRDefault="00280758" w:rsidP="00241797">
      <w:pPr>
        <w:pStyle w:val="Text"/>
        <w:rPr>
          <w:bCs/>
        </w:rPr>
      </w:pPr>
      <w:r w:rsidRPr="00E84D1D">
        <w:rPr>
          <w:b/>
          <w:bCs/>
        </w:rPr>
        <w:t>Abstract word count:</w:t>
      </w:r>
      <w:r w:rsidRPr="00E84D1D">
        <w:rPr>
          <w:bCs/>
        </w:rPr>
        <w:t xml:space="preserve"> </w:t>
      </w:r>
      <w:r w:rsidR="00DF43CC" w:rsidRPr="00E84D1D">
        <w:rPr>
          <w:bCs/>
        </w:rPr>
        <w:t>2</w:t>
      </w:r>
      <w:r w:rsidR="00E8431E" w:rsidRPr="00E84D1D">
        <w:rPr>
          <w:bCs/>
        </w:rPr>
        <w:t>4</w:t>
      </w:r>
      <w:r w:rsidR="00ED6D0F" w:rsidRPr="00E84D1D">
        <w:rPr>
          <w:bCs/>
        </w:rPr>
        <w:t>8</w:t>
      </w:r>
    </w:p>
    <w:p w14:paraId="395C1998" w14:textId="77777777" w:rsidR="00482AB3" w:rsidRPr="00E84D1D" w:rsidRDefault="00482AB3" w:rsidP="00241797">
      <w:pPr>
        <w:pStyle w:val="Text"/>
      </w:pPr>
    </w:p>
    <w:p w14:paraId="1D4EBC6E" w14:textId="7A826EC3" w:rsidR="00482AB3" w:rsidRPr="00E84D1D" w:rsidRDefault="00482AB3" w:rsidP="00241797">
      <w:pPr>
        <w:pStyle w:val="Text"/>
        <w:rPr>
          <w:rStyle w:val="InstructionsChar"/>
        </w:rPr>
      </w:pPr>
      <w:r w:rsidRPr="00DD5B0A">
        <w:rPr>
          <w:b/>
          <w:bCs/>
        </w:rPr>
        <w:t>Key words:</w:t>
      </w:r>
      <w:r w:rsidRPr="00E84D1D">
        <w:t xml:space="preserve"> </w:t>
      </w:r>
      <w:r w:rsidR="00241797" w:rsidRPr="00E84D1D">
        <w:t xml:space="preserve">Atrial </w:t>
      </w:r>
      <w:r w:rsidR="00171191" w:rsidRPr="00E84D1D">
        <w:t>fibrillation</w:t>
      </w:r>
      <w:r w:rsidR="00241797" w:rsidRPr="00E84D1D">
        <w:t xml:space="preserve"> </w:t>
      </w:r>
      <w:r w:rsidR="00241797" w:rsidRPr="00E84D1D">
        <w:rPr>
          <w:rFonts w:cs="Arial"/>
        </w:rPr>
        <w:t>•</w:t>
      </w:r>
      <w:r w:rsidR="00241797" w:rsidRPr="00E84D1D">
        <w:t xml:space="preserve"> Cardioversion </w:t>
      </w:r>
      <w:r w:rsidR="00241797" w:rsidRPr="00E84D1D">
        <w:rPr>
          <w:rFonts w:cs="Arial"/>
        </w:rPr>
        <w:t>•</w:t>
      </w:r>
      <w:r w:rsidR="00171191" w:rsidRPr="00E84D1D">
        <w:t xml:space="preserve"> </w:t>
      </w:r>
      <w:r w:rsidR="00241797" w:rsidRPr="00E84D1D">
        <w:t xml:space="preserve">Catheter </w:t>
      </w:r>
      <w:r w:rsidR="00171191" w:rsidRPr="00E84D1D">
        <w:t>ablation</w:t>
      </w:r>
      <w:r w:rsidR="00241797" w:rsidRPr="00E84D1D">
        <w:t xml:space="preserve"> </w:t>
      </w:r>
      <w:r w:rsidR="00241797" w:rsidRPr="00E84D1D">
        <w:rPr>
          <w:rFonts w:cs="Arial"/>
        </w:rPr>
        <w:t>•</w:t>
      </w:r>
      <w:r w:rsidR="00171191" w:rsidRPr="00E84D1D">
        <w:t xml:space="preserve"> </w:t>
      </w:r>
      <w:r w:rsidR="00241797" w:rsidRPr="00E84D1D">
        <w:t>Non</w:t>
      </w:r>
      <w:r w:rsidR="00171191" w:rsidRPr="00E84D1D">
        <w:t>-</w:t>
      </w:r>
      <w:r w:rsidR="00B00F1D" w:rsidRPr="00E84D1D">
        <w:t>vitamin K antagonist</w:t>
      </w:r>
      <w:r w:rsidR="00171191" w:rsidRPr="00E84D1D">
        <w:t xml:space="preserve"> oral anticoagulants</w:t>
      </w:r>
      <w:r w:rsidR="00241797" w:rsidRPr="00E84D1D">
        <w:t xml:space="preserve"> </w:t>
      </w:r>
      <w:r w:rsidR="00241797" w:rsidRPr="00E84D1D">
        <w:rPr>
          <w:rFonts w:cs="Arial"/>
        </w:rPr>
        <w:t>•</w:t>
      </w:r>
      <w:r w:rsidR="00171191" w:rsidRPr="00E84D1D">
        <w:t xml:space="preserve"> </w:t>
      </w:r>
      <w:r w:rsidR="00241797" w:rsidRPr="00E84D1D">
        <w:t>Real</w:t>
      </w:r>
      <w:r w:rsidR="00171191" w:rsidRPr="00E84D1D">
        <w:t>-world evidence</w:t>
      </w:r>
    </w:p>
    <w:p w14:paraId="709F8420" w14:textId="136282A0" w:rsidR="00A551CB" w:rsidRPr="00E84D1D" w:rsidRDefault="00A551CB" w:rsidP="00241797">
      <w:pPr>
        <w:spacing w:line="480" w:lineRule="auto"/>
        <w:rPr>
          <w:bCs/>
          <w:lang w:eastAsia="en-US"/>
        </w:rPr>
      </w:pPr>
      <w:r w:rsidRPr="00E84D1D">
        <w:rPr>
          <w:bCs/>
        </w:rPr>
        <w:br w:type="page"/>
      </w:r>
    </w:p>
    <w:p w14:paraId="41A62347" w14:textId="33F0F1EE" w:rsidR="00A47753" w:rsidRPr="00E84D1D" w:rsidRDefault="00A47753" w:rsidP="00241797">
      <w:pPr>
        <w:spacing w:line="480" w:lineRule="auto"/>
        <w:rPr>
          <w:b/>
          <w:sz w:val="28"/>
          <w:szCs w:val="28"/>
        </w:rPr>
      </w:pPr>
      <w:r w:rsidRPr="00E84D1D">
        <w:rPr>
          <w:b/>
          <w:sz w:val="28"/>
          <w:szCs w:val="28"/>
        </w:rPr>
        <w:lastRenderedPageBreak/>
        <w:t>Condensed abstract</w:t>
      </w:r>
    </w:p>
    <w:p w14:paraId="29B7430D" w14:textId="4269532F" w:rsidR="0055510E" w:rsidRPr="00E84D1D" w:rsidRDefault="00A860E1" w:rsidP="00241797">
      <w:pPr>
        <w:pStyle w:val="Text"/>
      </w:pPr>
      <w:r w:rsidRPr="00E84D1D">
        <w:t xml:space="preserve">The </w:t>
      </w:r>
      <w:r w:rsidR="00B35FFB" w:rsidRPr="00E84D1D">
        <w:t xml:space="preserve">baseline </w:t>
      </w:r>
      <w:r w:rsidRPr="00E84D1D">
        <w:t>demographics, clinical</w:t>
      </w:r>
      <w:r w:rsidR="0055510E" w:rsidRPr="00E84D1D">
        <w:t xml:space="preserve"> characteristics</w:t>
      </w:r>
      <w:r w:rsidRPr="00E84D1D">
        <w:t xml:space="preserve"> and procedures for patients with AF treated with rivaroxaban who underwent catheter ablation or cardioversion in the prospective, observational XANTUS study were collected, </w:t>
      </w:r>
      <w:r w:rsidR="0055510E" w:rsidRPr="00E84D1D">
        <w:t xml:space="preserve">and </w:t>
      </w:r>
      <w:r w:rsidR="00B35FFB" w:rsidRPr="00E84D1D">
        <w:t xml:space="preserve">adverse </w:t>
      </w:r>
      <w:r w:rsidR="0055510E" w:rsidRPr="00E84D1D">
        <w:t xml:space="preserve">outcomes </w:t>
      </w:r>
      <w:r w:rsidRPr="00E84D1D">
        <w:t xml:space="preserve">analysed. </w:t>
      </w:r>
      <w:r w:rsidR="0055510E" w:rsidRPr="00E84D1D">
        <w:t xml:space="preserve">Within 30 days </w:t>
      </w:r>
      <w:r w:rsidR="00377F58">
        <w:t>of</w:t>
      </w:r>
      <w:r w:rsidR="00377F58" w:rsidRPr="00E84D1D">
        <w:t xml:space="preserve"> </w:t>
      </w:r>
      <w:r w:rsidR="0055510E" w:rsidRPr="00E84D1D">
        <w:t xml:space="preserve">intervention, </w:t>
      </w:r>
      <w:r w:rsidR="001B7D76" w:rsidRPr="00E84D1D">
        <w:t xml:space="preserve">rates of </w:t>
      </w:r>
      <w:r w:rsidR="0055510E" w:rsidRPr="00E84D1D">
        <w:t xml:space="preserve">symptomatic thromboembolic </w:t>
      </w:r>
      <w:r w:rsidR="001B7D76" w:rsidRPr="00E84D1D">
        <w:t xml:space="preserve">and major bleeding </w:t>
      </w:r>
      <w:r w:rsidR="0055510E" w:rsidRPr="00E84D1D">
        <w:t xml:space="preserve">events were </w:t>
      </w:r>
      <w:r w:rsidR="001B7D76" w:rsidRPr="00E84D1D">
        <w:t>low</w:t>
      </w:r>
      <w:r w:rsidR="0003782D" w:rsidRPr="00E84D1D">
        <w:t>; no patient</w:t>
      </w:r>
      <w:r w:rsidR="006F772C" w:rsidRPr="00E84D1D">
        <w:t xml:space="preserve"> died</w:t>
      </w:r>
      <w:r w:rsidR="001B7D76" w:rsidRPr="00E84D1D">
        <w:t>.</w:t>
      </w:r>
    </w:p>
    <w:p w14:paraId="2F53B98B" w14:textId="77777777" w:rsidR="0055510E" w:rsidRPr="00E84D1D" w:rsidRDefault="0055510E" w:rsidP="00241797">
      <w:pPr>
        <w:spacing w:line="480" w:lineRule="auto"/>
      </w:pPr>
    </w:p>
    <w:p w14:paraId="68ED709C" w14:textId="76557DDE" w:rsidR="0055510E" w:rsidRPr="00E84D1D" w:rsidRDefault="0055510E" w:rsidP="00241797">
      <w:pPr>
        <w:pStyle w:val="Text"/>
        <w:rPr>
          <w:bCs/>
        </w:rPr>
      </w:pPr>
      <w:r w:rsidRPr="00E84D1D">
        <w:rPr>
          <w:b/>
          <w:bCs/>
        </w:rPr>
        <w:t>Word count:</w:t>
      </w:r>
      <w:r w:rsidRPr="00E84D1D">
        <w:rPr>
          <w:bCs/>
        </w:rPr>
        <w:t xml:space="preserve"> </w:t>
      </w:r>
      <w:r w:rsidR="00B35FFB" w:rsidRPr="00E84D1D">
        <w:rPr>
          <w:bCs/>
        </w:rPr>
        <w:t>50</w:t>
      </w:r>
      <w:r w:rsidRPr="00E84D1D">
        <w:rPr>
          <w:bCs/>
        </w:rPr>
        <w:t>/50</w:t>
      </w:r>
    </w:p>
    <w:p w14:paraId="40A08FB8" w14:textId="71E5D40E" w:rsidR="00A551CB" w:rsidRPr="00E84D1D" w:rsidRDefault="00A551CB" w:rsidP="00241797">
      <w:pPr>
        <w:spacing w:line="480" w:lineRule="auto"/>
        <w:rPr>
          <w:rFonts w:cs="Arial"/>
          <w:b/>
          <w:bCs/>
          <w:sz w:val="28"/>
          <w:szCs w:val="24"/>
          <w:lang w:eastAsia="en-US"/>
        </w:rPr>
      </w:pPr>
      <w:r w:rsidRPr="00E84D1D">
        <w:rPr>
          <w:rFonts w:cs="Arial"/>
          <w:b/>
          <w:bCs/>
          <w:sz w:val="28"/>
          <w:szCs w:val="24"/>
          <w:lang w:eastAsia="en-US"/>
        </w:rPr>
        <w:br w:type="page"/>
      </w:r>
    </w:p>
    <w:p w14:paraId="6AB66D3E" w14:textId="53CB5940" w:rsidR="00BB7682" w:rsidRPr="00E84D1D" w:rsidRDefault="00D10B4B" w:rsidP="00241797">
      <w:pPr>
        <w:pStyle w:val="Manuscriptheading2"/>
        <w:spacing w:before="0" w:after="0"/>
        <w:rPr>
          <w:lang w:val="en-GB"/>
        </w:rPr>
      </w:pPr>
      <w:r w:rsidRPr="00E84D1D">
        <w:rPr>
          <w:lang w:val="en-GB"/>
        </w:rPr>
        <w:lastRenderedPageBreak/>
        <w:t>What’s n</w:t>
      </w:r>
      <w:r w:rsidR="00BB7682" w:rsidRPr="00E84D1D">
        <w:rPr>
          <w:lang w:val="en-GB"/>
        </w:rPr>
        <w:t>ew?</w:t>
      </w:r>
    </w:p>
    <w:p w14:paraId="7389D6D6" w14:textId="3FD0AD86" w:rsidR="00816550" w:rsidRPr="00E84D1D" w:rsidRDefault="00E8431E" w:rsidP="00241797">
      <w:pPr>
        <w:pStyle w:val="ListBullet"/>
        <w:spacing w:line="480" w:lineRule="auto"/>
      </w:pPr>
      <w:r w:rsidRPr="00E84D1D">
        <w:t>The results of the</w:t>
      </w:r>
      <w:r w:rsidR="0003782D" w:rsidRPr="00E84D1D">
        <w:t xml:space="preserve"> real-world, prospective, observational </w:t>
      </w:r>
      <w:r w:rsidRPr="00E84D1D">
        <w:t>XANTUS study confirm</w:t>
      </w:r>
      <w:r w:rsidR="0003782D" w:rsidRPr="00E84D1D">
        <w:t xml:space="preserve"> </w:t>
      </w:r>
      <w:r w:rsidRPr="00E84D1D">
        <w:t>data</w:t>
      </w:r>
      <w:r w:rsidR="0003782D" w:rsidRPr="00E84D1D">
        <w:t xml:space="preserve"> </w:t>
      </w:r>
      <w:r w:rsidRPr="00E84D1D">
        <w:t xml:space="preserve">from prospective and non-interventional studies </w:t>
      </w:r>
      <w:r w:rsidR="0003782D" w:rsidRPr="00E84D1D">
        <w:t>in terms of low r</w:t>
      </w:r>
      <w:r w:rsidR="00191E64" w:rsidRPr="00E84D1D">
        <w:t xml:space="preserve">ates of adverse </w:t>
      </w:r>
      <w:r w:rsidR="004051A7" w:rsidRPr="00E84D1D">
        <w:t>outcome</w:t>
      </w:r>
      <w:r w:rsidR="00191E64" w:rsidRPr="00E84D1D">
        <w:t xml:space="preserve">s, i.e. symptomatic thromboembolic </w:t>
      </w:r>
      <w:r w:rsidR="00DF43CC" w:rsidRPr="00E84D1D">
        <w:t>events and major bleeding</w:t>
      </w:r>
      <w:r w:rsidR="00191E64" w:rsidRPr="00E84D1D">
        <w:t>, in p</w:t>
      </w:r>
      <w:r w:rsidR="001B7D76" w:rsidRPr="00E84D1D">
        <w:t xml:space="preserve">atients with </w:t>
      </w:r>
      <w:r w:rsidR="00241797" w:rsidRPr="00E84D1D">
        <w:t xml:space="preserve">atrial fibrillation </w:t>
      </w:r>
      <w:r w:rsidR="00191E64" w:rsidRPr="00E84D1D">
        <w:t>treated with rivaroxaban who undergo</w:t>
      </w:r>
      <w:r w:rsidR="001B7D76" w:rsidRPr="00E84D1D">
        <w:t xml:space="preserve"> </w:t>
      </w:r>
      <w:r w:rsidR="00DF43CC" w:rsidRPr="00E84D1D">
        <w:t xml:space="preserve">catheter </w:t>
      </w:r>
      <w:r w:rsidR="00191E64" w:rsidRPr="00E84D1D">
        <w:t>ablation or cardioversion</w:t>
      </w:r>
    </w:p>
    <w:p w14:paraId="4175DB5A" w14:textId="5DA8FAC1" w:rsidR="00191E64" w:rsidRPr="00E84D1D" w:rsidRDefault="0003782D" w:rsidP="00241797">
      <w:pPr>
        <w:pStyle w:val="ListBullet"/>
        <w:spacing w:line="480" w:lineRule="auto"/>
      </w:pPr>
      <w:r w:rsidRPr="00E84D1D">
        <w:t>These results indicate that the u</w:t>
      </w:r>
      <w:r w:rsidR="00191E64" w:rsidRPr="00E84D1D">
        <w:t>se of rivaroxaban</w:t>
      </w:r>
      <w:r w:rsidR="00DF43CC" w:rsidRPr="00E84D1D">
        <w:t xml:space="preserve"> </w:t>
      </w:r>
      <w:r w:rsidR="00EA0008">
        <w:t>is</w:t>
      </w:r>
      <w:r w:rsidR="00191E64" w:rsidRPr="00E84D1D">
        <w:t xml:space="preserve"> associated with an acceptable benefit–risk profile in patients with </w:t>
      </w:r>
      <w:r w:rsidR="00DD5B0A">
        <w:t>atrial fibrillation</w:t>
      </w:r>
      <w:r w:rsidR="004A2A7B" w:rsidRPr="00E84D1D">
        <w:t xml:space="preserve"> </w:t>
      </w:r>
      <w:r w:rsidR="00191E64" w:rsidRPr="00E84D1D">
        <w:t>undergoing ablation or cardioversion</w:t>
      </w:r>
    </w:p>
    <w:p w14:paraId="4ECD7E63" w14:textId="77777777" w:rsidR="004A2A7B" w:rsidRPr="00E84D1D" w:rsidRDefault="004A2A7B" w:rsidP="00241797">
      <w:pPr>
        <w:pStyle w:val="Text"/>
        <w:rPr>
          <w:b/>
          <w:bCs/>
        </w:rPr>
      </w:pPr>
    </w:p>
    <w:p w14:paraId="20852AC1" w14:textId="47632629" w:rsidR="004A2A7B" w:rsidRPr="00E84D1D" w:rsidRDefault="004A2A7B" w:rsidP="00241797">
      <w:pPr>
        <w:pStyle w:val="Text"/>
        <w:rPr>
          <w:bCs/>
        </w:rPr>
      </w:pPr>
      <w:r w:rsidRPr="00E84D1D">
        <w:rPr>
          <w:b/>
          <w:bCs/>
        </w:rPr>
        <w:t>Word count:</w:t>
      </w:r>
      <w:r w:rsidRPr="00E84D1D">
        <w:rPr>
          <w:bCs/>
        </w:rPr>
        <w:t xml:space="preserve"> </w:t>
      </w:r>
      <w:r w:rsidR="00241797" w:rsidRPr="00E84D1D">
        <w:rPr>
          <w:bCs/>
        </w:rPr>
        <w:t>71</w:t>
      </w:r>
      <w:r w:rsidRPr="00E84D1D">
        <w:rPr>
          <w:bCs/>
        </w:rPr>
        <w:t>/150</w:t>
      </w:r>
    </w:p>
    <w:p w14:paraId="0A03BE7D" w14:textId="77777777" w:rsidR="005D72D0" w:rsidRPr="00E84D1D" w:rsidRDefault="00280758" w:rsidP="00241797">
      <w:pPr>
        <w:pStyle w:val="Text"/>
      </w:pPr>
      <w:r w:rsidRPr="00E84D1D">
        <w:br w:type="page"/>
      </w:r>
    </w:p>
    <w:p w14:paraId="4CAF86DE" w14:textId="77777777" w:rsidR="005D72D0" w:rsidRPr="00E84D1D" w:rsidRDefault="005D72D0" w:rsidP="00241797">
      <w:pPr>
        <w:pStyle w:val="Manuscriptheading2"/>
        <w:spacing w:before="0" w:after="0"/>
        <w:rPr>
          <w:lang w:val="en-GB"/>
        </w:rPr>
      </w:pPr>
      <w:r w:rsidRPr="00E84D1D">
        <w:rPr>
          <w:lang w:val="en-GB"/>
        </w:rPr>
        <w:lastRenderedPageBreak/>
        <w:t>Introduction</w:t>
      </w:r>
    </w:p>
    <w:p w14:paraId="04D5DB1A" w14:textId="6DD90FF5" w:rsidR="00C32BF3" w:rsidRPr="00572E41" w:rsidRDefault="00EF5917" w:rsidP="00241797">
      <w:pPr>
        <w:pStyle w:val="Text"/>
        <w:rPr>
          <w:strike/>
        </w:rPr>
      </w:pPr>
      <w:r w:rsidRPr="00E84D1D">
        <w:t>By 2030, it is estimated that there will be 14–17 million patients</w:t>
      </w:r>
      <w:r w:rsidR="009A1985" w:rsidRPr="00E84D1D">
        <w:t xml:space="preserve"> </w:t>
      </w:r>
      <w:r w:rsidR="000D203B" w:rsidRPr="00E84D1D">
        <w:t>with atrial fibrillation (AF)</w:t>
      </w:r>
      <w:r w:rsidRPr="00E84D1D">
        <w:t xml:space="preserve"> in the European Union, with 120,000–215,000 </w:t>
      </w:r>
      <w:r w:rsidR="004A2A7B" w:rsidRPr="00E84D1D">
        <w:t xml:space="preserve">patients </w:t>
      </w:r>
      <w:r w:rsidRPr="00E84D1D">
        <w:t xml:space="preserve">newly diagnosed </w:t>
      </w:r>
      <w:r w:rsidR="004A2A7B" w:rsidRPr="00E84D1D">
        <w:t>each</w:t>
      </w:r>
      <w:r w:rsidRPr="00E84D1D">
        <w:t xml:space="preserve"> year.</w:t>
      </w:r>
      <w:r w:rsidR="00BB6394" w:rsidRPr="00B64398">
        <w:fldChar w:fldCharType="begin"/>
      </w:r>
      <w:r w:rsidR="00465856">
        <w:instrText xml:space="preserve"> ADDIN REFMGR.CITE &lt;Refman&gt;&lt;Cite&gt;&lt;Author&gt;Zoni-Berisso&lt;/Author&gt;&lt;Year&gt;2014&lt;/Year&gt;&lt;RecNum&gt;ZONIBERISSO2014&lt;/RecNum&gt;&lt;IDText&gt;Epidemiology of atrial fibrillation: European perspective&lt;/IDText&gt;&lt;MDL Ref_Type="Journal"&gt;&lt;Ref_Type&gt;Journal&lt;/Ref_Type&gt;&lt;Ref_ID&gt;ZONIBERISSO2014&lt;/Ref_ID&gt;&lt;Title_Primary&gt;Epidemiology of atrial fibrillation: European perspective&lt;/Title_Primary&gt;&lt;Authors_Primary&gt;Zoni-Berisso,M.&lt;/Authors_Primary&gt;&lt;Authors_Primary&gt;Lercari,F.&lt;/Authors_Primary&gt;&lt;Authors_Primary&gt;Carazza,T.&lt;/Authors_Primary&gt;&lt;Authors_Primary&gt;Domenicucci,S.&lt;/Authors_Primary&gt;&lt;Date_Primary&gt;2014&lt;/Date_Primary&gt;&lt;Keywords&gt;Aged&lt;/Keywords&gt;&lt;Keywords&gt;Arteries&lt;/Keywords&gt;&lt;Keywords&gt;ARTERY-DISEASE&lt;/Keywords&gt;&lt;Keywords&gt;Atrial Fibrillation&lt;/Keywords&gt;&lt;Keywords&gt;Cardiology&lt;/Keywords&gt;&lt;Keywords&gt;Cardiomyopathies&lt;/Keywords&gt;&lt;Keywords&gt;Comorbidity&lt;/Keywords&gt;&lt;Keywords&gt;Coronary Artery Disease&lt;/Keywords&gt;&lt;Keywords&gt;Death&lt;/Keywords&gt;&lt;Keywords&gt;Disease&lt;/Keywords&gt;&lt;Keywords&gt;epidemiology&lt;/Keywords&gt;&lt;Keywords&gt;Europe&lt;/Keywords&gt;&lt;Keywords&gt;Female&lt;/Keywords&gt;&lt;Keywords&gt;Health&lt;/Keywords&gt;&lt;Keywords&gt;Health Care Costs&lt;/Keywords&gt;&lt;Keywords&gt;Heart&lt;/Keywords&gt;&lt;Keywords&gt;Heart Failure&lt;/Keywords&gt;&lt;Keywords&gt;history&lt;/Keywords&gt;&lt;Keywords&gt;Hypertension&lt;/Keywords&gt;&lt;Keywords&gt;Incidence&lt;/Keywords&gt;&lt;Keywords&gt;Italy&lt;/Keywords&gt;&lt;Keywords&gt;Male&lt;/Keywords&gt;&lt;Keywords&gt;Morbidity&lt;/Keywords&gt;&lt;Keywords&gt;mortality&lt;/Keywords&gt;&lt;Keywords&gt;Patients&lt;/Keywords&gt;&lt;Keywords&gt;Prevalence&lt;/Keywords&gt;&lt;Keywords&gt;Public Health&lt;/Keywords&gt;&lt;Keywords&gt;Recurrence&lt;/Keywords&gt;&lt;Keywords&gt;review&lt;/Keywords&gt;&lt;Keywords&gt;Risk&lt;/Keywords&gt;&lt;Keywords&gt;Sex&lt;/Keywords&gt;&lt;Keywords&gt;Stroke&lt;/Keywords&gt;&lt;Keywords&gt;Time&lt;/Keywords&gt;&lt;Reprint&gt;Not in File&lt;/Reprint&gt;&lt;Start_Page&gt;213&lt;/Start_Page&gt;&lt;End_Page&gt;220&lt;/End_Page&gt;&lt;Periodical&gt;Clin Epidemiol.&lt;/Periodical&gt;&lt;Volume&gt;6&lt;/Volume&gt;&lt;Address&gt;Department of Cardiology, ASL 3, Padre A Micone Hospital, Genoa, Italy&amp;#xA;Department of Cardiology, ASL 3, Padre A Micone Hospital, Genoa, Italy&amp;#xA;Department of Cardiology, ASL 3, Padre A Micone Hospital, Genoa, Italy&amp;#xA;Department of Cardiology, ASL 3, Padre A Micone Hospital, Genoa, Italy&lt;/Address&gt;&lt;Web_URL&gt;PM:24966695&lt;/Web_URL&gt;&lt;ZZ_JournalStdAbbrev&gt;&lt;f name="System"&gt;Clin Epidemiol.&lt;/f&gt;&lt;/ZZ_JournalStdAbbrev&gt;&lt;ZZ_WorkformID&gt;1&lt;/ZZ_WorkformID&gt;&lt;/MDL&gt;&lt;/Cite&gt;&lt;/Refman&gt;</w:instrText>
      </w:r>
      <w:r w:rsidR="00BB6394" w:rsidRPr="00B64398">
        <w:fldChar w:fldCharType="separate"/>
      </w:r>
      <w:r w:rsidR="00BB6394" w:rsidRPr="00E84D1D">
        <w:rPr>
          <w:vertAlign w:val="superscript"/>
        </w:rPr>
        <w:t>1</w:t>
      </w:r>
      <w:r w:rsidR="00BB6394" w:rsidRPr="00B64398">
        <w:fldChar w:fldCharType="end"/>
      </w:r>
      <w:r w:rsidR="009A1985" w:rsidRPr="00572E41">
        <w:t xml:space="preserve"> </w:t>
      </w:r>
      <w:r w:rsidR="005D72D0" w:rsidRPr="00572E41">
        <w:t>Catheter ablation and cardioversion</w:t>
      </w:r>
      <w:r w:rsidR="007A5F02" w:rsidRPr="00E84D1D">
        <w:t xml:space="preserve"> (pharmacological or electrical)</w:t>
      </w:r>
      <w:r w:rsidR="005D72D0" w:rsidRPr="00E84D1D">
        <w:t xml:space="preserve"> have become </w:t>
      </w:r>
      <w:r w:rsidR="004A2A7B" w:rsidRPr="00E84D1D">
        <w:t xml:space="preserve">the </w:t>
      </w:r>
      <w:r w:rsidR="005D72D0" w:rsidRPr="00E84D1D">
        <w:t xml:space="preserve">standard </w:t>
      </w:r>
      <w:r w:rsidR="00197CCE" w:rsidRPr="00E84D1D">
        <w:t xml:space="preserve">of </w:t>
      </w:r>
      <w:r w:rsidR="005957B0" w:rsidRPr="00E84D1D">
        <w:t xml:space="preserve">care for </w:t>
      </w:r>
      <w:r w:rsidR="00D3362E" w:rsidRPr="00E84D1D">
        <w:t>re-</w:t>
      </w:r>
      <w:r w:rsidR="005957B0" w:rsidRPr="00E84D1D">
        <w:t xml:space="preserve">establishing </w:t>
      </w:r>
      <w:r w:rsidR="0041745E" w:rsidRPr="00E84D1D">
        <w:t xml:space="preserve">sinus </w:t>
      </w:r>
      <w:r w:rsidR="005957B0" w:rsidRPr="00E84D1D">
        <w:t xml:space="preserve">rhythm </w:t>
      </w:r>
      <w:r w:rsidR="005D72D0" w:rsidRPr="00E84D1D">
        <w:t>in</w:t>
      </w:r>
      <w:r w:rsidR="00ED2BD1" w:rsidRPr="00E84D1D">
        <w:t xml:space="preserve"> </w:t>
      </w:r>
      <w:r w:rsidR="0041745E" w:rsidRPr="00E84D1D">
        <w:t>symptomatic p</w:t>
      </w:r>
      <w:r w:rsidR="005D72D0" w:rsidRPr="00E84D1D">
        <w:t>atients</w:t>
      </w:r>
      <w:r w:rsidR="00B160C5" w:rsidRPr="00E84D1D">
        <w:t>, especially those with recent</w:t>
      </w:r>
      <w:r w:rsidR="004A2A7B" w:rsidRPr="00E84D1D">
        <w:t>-</w:t>
      </w:r>
      <w:r w:rsidR="00B160C5" w:rsidRPr="00E84D1D">
        <w:t>onset</w:t>
      </w:r>
      <w:r w:rsidR="005D72D0" w:rsidRPr="00E84D1D">
        <w:t xml:space="preserve"> </w:t>
      </w:r>
      <w:r w:rsidR="00197CCE" w:rsidRPr="00E84D1D">
        <w:t>AF.</w:t>
      </w:r>
      <w:r w:rsidR="00BB6394" w:rsidRPr="00B64398">
        <w:fldChar w:fldCharType="begin"/>
      </w:r>
      <w:r w:rsidR="00465856">
        <w:instrText xml:space="preserve"> ADDIN REFMGR.CITE &lt;Refman&gt;&lt;Cite&gt;&lt;Author&gt;January&lt;/Author&gt;&lt;Year&gt;2014&lt;/Year&gt;&lt;RecNum&gt;JANUARY2014&lt;/RecNum&gt;&lt;IDText&gt;2014 AHA/ACC/HRS Guideline for the management of patients with atrial fibrillation: a report of the American College of Cardiology/American Heart Association Task Force on Practice Guidelines and the Heart Rhythm Society&lt;/IDText&gt;&lt;MDL Ref_Type="Journal"&gt;&lt;Ref_Type&gt;Journal&lt;/Ref_Type&gt;&lt;Ref_ID&gt;JANUARY2014&lt;/Ref_ID&gt;&lt;Title_Primary&gt;2014 AHA/ACC/HRS Guideline for the management of patients with atrial fibrillation: a report of the American College of Cardiology/American Heart Association Task Force on Practice Guidelines and the Heart Rhythm Society&lt;/Title_Primary&gt;&lt;Authors_Primary&gt;January,C.T.&lt;/Authors_Primary&gt;&lt;Authors_Primary&gt;Wann,L.S.&lt;/Authors_Primary&gt;&lt;Authors_Primary&gt;Alpert,J.S.&lt;/Authors_Primary&gt;&lt;Authors_Primary&gt;Calkins,H.&lt;/Authors_Primary&gt;&lt;Authors_Primary&gt;Cleveland,J.C.,Jr.&lt;/Authors_Primary&gt;&lt;Authors_Primary&gt;Cigarroa,J.E.&lt;/Authors_Primary&gt;&lt;Authors_Primary&gt;Conti,J.B.&lt;/Authors_Primary&gt;&lt;Authors_Primary&gt;Ellinor,P.T.&lt;/Authors_Primary&gt;&lt;Authors_Primary&gt;Ezekowitz,M.D.&lt;/Authors_Primary&gt;&lt;Authors_Primary&gt;Field,M.E.&lt;/Authors_Primary&gt;&lt;Authors_Primary&gt;Murray,K.T.&lt;/Authors_Primary&gt;&lt;Authors_Primary&gt;Sacco,R.L.&lt;/Authors_Primary&gt;&lt;Authors_Primary&gt;Stevenson,W.G.&lt;/Authors_Primary&gt;&lt;Authors_Primary&gt;Tchou,P.J.&lt;/Authors_Primary&gt;&lt;Authors_Primary&gt;Tracy,C.M.&lt;/Authors_Primary&gt;&lt;Authors_Primary&gt;Yancy,C.W.&lt;/Authors_Primary&gt;&lt;Date_Primary&gt;2014/12/1&lt;/Date_Primary&gt;&lt;Keywords&gt;Atrial Fibrillation&lt;/Keywords&gt;&lt;Keywords&gt;Guidelines&lt;/Keywords&gt;&lt;Keywords&gt;Heart&lt;/Keywords&gt;&lt;Keywords&gt;MANAGEMENT&lt;/Keywords&gt;&lt;Keywords&gt;Patients&lt;/Keywords&gt;&lt;Keywords&gt;Practice Guidelines&lt;/Keywords&gt;&lt;Reprint&gt;Not in File&lt;/Reprint&gt;&lt;Start_Page&gt;e1&lt;/Start_Page&gt;&lt;End_Page&gt;e76&lt;/End_Page&gt;&lt;Periodical&gt;J.Am.Coll.Cardiol.&lt;/Periodical&gt;&lt;Volume&gt;64&lt;/Volume&gt;&lt;Issue&gt;21&lt;/Issue&gt;&lt;Web_URL&gt;PM:24685669&lt;/Web_URL&gt;&lt;ZZ_JournalFull&gt;&lt;f name="System"&gt;Journal of the American College of Cardiology&lt;/f&gt;&lt;/ZZ_JournalFull&gt;&lt;ZZ_JournalStdAbbrev&gt;&lt;f name="System"&gt;J.Am.Coll.Cardiol.&lt;/f&gt;&lt;/ZZ_JournalStdAbbrev&gt;&lt;ZZ_WorkformID&gt;1&lt;/ZZ_WorkformID&gt;&lt;/MDL&gt;&lt;/Cite&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BB6394" w:rsidRPr="00B64398">
        <w:fldChar w:fldCharType="separate"/>
      </w:r>
      <w:r w:rsidR="00BB6394" w:rsidRPr="00E84D1D">
        <w:rPr>
          <w:vertAlign w:val="superscript"/>
        </w:rPr>
        <w:t>2, 3</w:t>
      </w:r>
      <w:r w:rsidR="00BB6394" w:rsidRPr="00B64398">
        <w:fldChar w:fldCharType="end"/>
      </w:r>
      <w:r w:rsidR="00015521" w:rsidRPr="00572E41">
        <w:t xml:space="preserve"> </w:t>
      </w:r>
      <w:r w:rsidR="007103F7" w:rsidRPr="00572E41">
        <w:t>B</w:t>
      </w:r>
      <w:r w:rsidR="00ED2BD1" w:rsidRPr="00E84D1D">
        <w:t xml:space="preserve">ecause both </w:t>
      </w:r>
      <w:r w:rsidR="004E1687" w:rsidRPr="00E84D1D">
        <w:t>catheter ablation and cardioversion</w:t>
      </w:r>
      <w:r w:rsidR="00ED2BD1" w:rsidRPr="00E84D1D">
        <w:t xml:space="preserve"> carry </w:t>
      </w:r>
      <w:r w:rsidR="0041745E" w:rsidRPr="00E84D1D">
        <w:t xml:space="preserve">a risk of </w:t>
      </w:r>
      <w:r w:rsidR="00ED2BD1" w:rsidRPr="00E84D1D">
        <w:t xml:space="preserve">peri-procedural </w:t>
      </w:r>
      <w:r w:rsidR="0041745E" w:rsidRPr="00E84D1D">
        <w:t>thromboembolic events</w:t>
      </w:r>
      <w:r w:rsidR="00ED2BD1" w:rsidRPr="00E84D1D">
        <w:t>, c</w:t>
      </w:r>
      <w:r w:rsidR="003F6868" w:rsidRPr="00E84D1D">
        <w:t>urrent guidelines</w:t>
      </w:r>
      <w:r w:rsidR="00ED2BD1" w:rsidRPr="00E84D1D">
        <w:t xml:space="preserve"> recommend that patients with AF of ≥48 hours (or unknown) duration receive</w:t>
      </w:r>
      <w:r w:rsidR="007103F7" w:rsidRPr="00E84D1D">
        <w:t xml:space="preserve"> anticoagulation in the peri-</w:t>
      </w:r>
      <w:r w:rsidR="000D203B" w:rsidRPr="00E84D1D">
        <w:t>procedural</w:t>
      </w:r>
      <w:r w:rsidR="007103F7" w:rsidRPr="00E84D1D">
        <w:t xml:space="preserve"> setting</w:t>
      </w:r>
      <w:r w:rsidR="00B160C5" w:rsidRPr="00E84D1D">
        <w:t xml:space="preserve">, </w:t>
      </w:r>
      <w:r w:rsidR="004A2A7B" w:rsidRPr="00E84D1D">
        <w:t xml:space="preserve">beginning </w:t>
      </w:r>
      <w:r w:rsidR="00B160C5" w:rsidRPr="00E84D1D">
        <w:t xml:space="preserve">at least </w:t>
      </w:r>
      <w:r w:rsidR="00D500B7" w:rsidRPr="00E84D1D">
        <w:t>3</w:t>
      </w:r>
      <w:r w:rsidR="0004691E" w:rsidRPr="00E84D1D">
        <w:t> </w:t>
      </w:r>
      <w:r w:rsidR="00B160C5" w:rsidRPr="00E84D1D">
        <w:t xml:space="preserve">weeks prior to the procedure and </w:t>
      </w:r>
      <w:r w:rsidR="004A2A7B" w:rsidRPr="00E84D1D">
        <w:t xml:space="preserve">continuing until </w:t>
      </w:r>
      <w:r w:rsidR="00670AEA" w:rsidRPr="00E84D1D">
        <w:t>4 weeks post-</w:t>
      </w:r>
      <w:r w:rsidR="00B160C5" w:rsidRPr="00E84D1D">
        <w:t xml:space="preserve">cardioversion and </w:t>
      </w:r>
      <w:r w:rsidR="00DF0005" w:rsidRPr="00E84D1D">
        <w:t>at least 8</w:t>
      </w:r>
      <w:r w:rsidR="0004691E" w:rsidRPr="00E84D1D">
        <w:t> </w:t>
      </w:r>
      <w:r w:rsidR="00DF0005" w:rsidRPr="00E84D1D">
        <w:t xml:space="preserve">weeks </w:t>
      </w:r>
      <w:r w:rsidR="00B160C5" w:rsidRPr="00E84D1D">
        <w:t>post</w:t>
      </w:r>
      <w:r w:rsidR="00B06DFF" w:rsidRPr="00E84D1D">
        <w:t>-</w:t>
      </w:r>
      <w:r w:rsidR="00B160C5" w:rsidRPr="00E84D1D">
        <w:t>ablation</w:t>
      </w:r>
      <w:r w:rsidR="00ED2BD1" w:rsidRPr="00E84D1D">
        <w:t>.</w:t>
      </w:r>
      <w:r w:rsidR="00BB6394" w:rsidRPr="00572E41">
        <w:fldChar w:fldCharType="begin"/>
      </w:r>
      <w:r w:rsidR="00465856">
        <w:instrText xml:space="preserve"> ADDIN REFMGR.CITE &lt;Refman&gt;&lt;Cite&gt;&lt;Author&gt;January&lt;/Author&gt;&lt;Year&gt;2014&lt;/Year&gt;&lt;RecNum&gt;JANUARY2014&lt;/RecNum&gt;&lt;IDText&gt;2014 AHA/ACC/HRS Guideline for the management of patients with atrial fibrillation: a report of the American College of Cardiology/American Heart Association Task Force on Practice Guidelines and the Heart Rhythm Society&lt;/IDText&gt;&lt;MDL Ref_Type="Journal"&gt;&lt;Ref_Type&gt;Journal&lt;/Ref_Type&gt;&lt;Ref_ID&gt;JANUARY2014&lt;/Ref_ID&gt;&lt;Title_Primary&gt;2014 AHA/ACC/HRS Guideline for the management of patients with atrial fibrillation: a report of the American College of Cardiology/American Heart Association Task Force on Practice Guidelines and the Heart Rhythm Society&lt;/Title_Primary&gt;&lt;Authors_Primary&gt;January,C.T.&lt;/Authors_Primary&gt;&lt;Authors_Primary&gt;Wann,L.S.&lt;/Authors_Primary&gt;&lt;Authors_Primary&gt;Alpert,J.S.&lt;/Authors_Primary&gt;&lt;Authors_Primary&gt;Calkins,H.&lt;/Authors_Primary&gt;&lt;Authors_Primary&gt;Cleveland,J.C.,Jr.&lt;/Authors_Primary&gt;&lt;Authors_Primary&gt;Cigarroa,J.E.&lt;/Authors_Primary&gt;&lt;Authors_Primary&gt;Conti,J.B.&lt;/Authors_Primary&gt;&lt;Authors_Primary&gt;Ellinor,P.T.&lt;/Authors_Primary&gt;&lt;Authors_Primary&gt;Ezekowitz,M.D.&lt;/Authors_Primary&gt;&lt;Authors_Primary&gt;Field,M.E.&lt;/Authors_Primary&gt;&lt;Authors_Primary&gt;Murray,K.T.&lt;/Authors_Primary&gt;&lt;Authors_Primary&gt;Sacco,R.L.&lt;/Authors_Primary&gt;&lt;Authors_Primary&gt;Stevenson,W.G.&lt;/Authors_Primary&gt;&lt;Authors_Primary&gt;Tchou,P.J.&lt;/Authors_Primary&gt;&lt;Authors_Primary&gt;Tracy,C.M.&lt;/Authors_Primary&gt;&lt;Authors_Primary&gt;Yancy,C.W.&lt;/Authors_Primary&gt;&lt;Date_Primary&gt;2014/12/1&lt;/Date_Primary&gt;&lt;Keywords&gt;Atrial Fibrillation&lt;/Keywords&gt;&lt;Keywords&gt;Guidelines&lt;/Keywords&gt;&lt;Keywords&gt;Heart&lt;/Keywords&gt;&lt;Keywords&gt;MANAGEMENT&lt;/Keywords&gt;&lt;Keywords&gt;Patients&lt;/Keywords&gt;&lt;Keywords&gt;Practice Guidelines&lt;/Keywords&gt;&lt;Reprint&gt;Not in File&lt;/Reprint&gt;&lt;Start_Page&gt;e1&lt;/Start_Page&gt;&lt;End_Page&gt;e76&lt;/End_Page&gt;&lt;Periodical&gt;J.Am.Coll.Cardiol.&lt;/Periodical&gt;&lt;Volume&gt;64&lt;/Volume&gt;&lt;Issue&gt;21&lt;/Issue&gt;&lt;Web_URL&gt;PM:24685669&lt;/Web_URL&gt;&lt;ZZ_JournalFull&gt;&lt;f name="System"&gt;Journal of the American College of Cardiology&lt;/f&gt;&lt;/ZZ_JournalFull&gt;&lt;ZZ_JournalStdAbbrev&gt;&lt;f name="System"&gt;J.Am.Coll.Cardiol.&lt;/f&gt;&lt;/ZZ_JournalStdAbbrev&gt;&lt;ZZ_WorkformID&gt;1&lt;/ZZ_WorkformID&gt;&lt;/MDL&gt;&lt;/Cite&gt;&lt;Cite&gt;&lt;Author&gt;Sticherling&lt;/Author&gt;&lt;Year&gt;2015&lt;/Year&gt;&lt;RecNum&gt;STICHERLING2015&lt;/RecNum&gt;&lt;IDText&gt;Antithrombotic management in patients undergoing electrophysiological procedures: a European Heart Rhythm Association (EHRA) position document endorsed by the ESC Working Group Thrombosis, Heart Rhythm Society (HRS), and Asia Pacific Heart Rhythm Society (APHRS)&lt;/IDText&gt;&lt;MDL Ref_Type="Journal"&gt;&lt;Ref_Type&gt;Journal&lt;/Ref_Type&gt;&lt;Ref_ID&gt;STICHERLING2015&lt;/Ref_ID&gt;&lt;Title_Primary&gt;Antithrombotic management in patients undergoing electrophysiological procedures: a European Heart Rhythm Association (EHRA) position document endorsed by the ESC Working Group Thrombosis, Heart Rhythm Society (HRS), and Asia Pacific Heart Rhythm Society (APHRS)&lt;/Title_Primary&gt;&lt;Authors_Primary&gt;Sticherling,C.&lt;/Authors_Primary&gt;&lt;Authors_Primary&gt;Marin,F.&lt;/Authors_Primary&gt;&lt;Authors_Primary&gt;Birnie,D.&lt;/Authors_Primary&gt;&lt;Authors_Primary&gt;Boriani,G.&lt;/Authors_Primary&gt;&lt;Authors_Primary&gt;Calkins,H.&lt;/Authors_Primary&gt;&lt;Authors_Primary&gt;Dan,G.A.&lt;/Authors_Primary&gt;&lt;Authors_Primary&gt;Gulizia,M.&lt;/Authors_Primary&gt;&lt;Authors_Primary&gt;Halvorsen,S.&lt;/Authors_Primary&gt;&lt;Authors_Primary&gt;Hindricks,G.&lt;/Authors_Primary&gt;&lt;Authors_Primary&gt;Kuck,K.H.&lt;/Authors_Primary&gt;&lt;Authors_Primary&gt;Moya,A.&lt;/Authors_Primary&gt;&lt;Authors_Primary&gt;Potpara,T.&lt;/Authors_Primary&gt;&lt;Authors_Primary&gt;Roldan,V.&lt;/Authors_Primary&gt;&lt;Authors_Primary&gt;Tilz,R.&lt;/Authors_Primary&gt;&lt;Authors_Primary&gt;Lip,G.Y.H.&lt;/Authors_Primary&gt;&lt;Date_Primary&gt;2015/8&lt;/Date_Primary&gt;&lt;Keywords&gt;antithrombotic&lt;/Keywords&gt;&lt;Keywords&gt;Asia&lt;/Keywords&gt;&lt;Keywords&gt;Heart&lt;/Keywords&gt;&lt;Keywords&gt;MANAGEMENT&lt;/Keywords&gt;&lt;Keywords&gt;Patients&lt;/Keywords&gt;&lt;Keywords&gt;Thrombosis&lt;/Keywords&gt;&lt;Reprint&gt;Not in File&lt;/Reprint&gt;&lt;Start_Page&gt;1197&lt;/Start_Page&gt;&lt;End_Page&gt;1214&lt;/End_Page&gt;&lt;Periodical&gt;Europace&lt;/Periodical&gt;&lt;Volume&gt;17&lt;/Volume&gt;&lt;Issue&gt;8&lt;/Issue&gt;&lt;Web_URL&gt;PM:26105732&lt;/Web_URL&gt;&lt;ZZ_JournalFull&gt;&lt;f name="System"&gt;Europace&lt;/f&gt;&lt;/ZZ_JournalFull&gt;&lt;ZZ_WorkformID&gt;1&lt;/ZZ_WorkformID&gt;&lt;/MDL&gt;&lt;/Cite&gt;&lt;Cite&gt;&lt;Author&gt;Kirchhof&lt;/Author&gt;&lt;Year&gt;2016&lt;/Year&gt;&lt;RecNum&gt;KIRCHHOF2016B&lt;/RecNum&gt;&lt;IDText&gt;2016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BB6394" w:rsidRPr="00572E41">
        <w:fldChar w:fldCharType="separate"/>
      </w:r>
      <w:r w:rsidR="00A91372" w:rsidRPr="00A91372">
        <w:rPr>
          <w:vertAlign w:val="superscript"/>
        </w:rPr>
        <w:t>2–4</w:t>
      </w:r>
      <w:r w:rsidR="00BB6394" w:rsidRPr="00572E41">
        <w:fldChar w:fldCharType="end"/>
      </w:r>
      <w:r w:rsidR="00197CCE" w:rsidRPr="00E84D1D">
        <w:rPr>
          <w:i/>
        </w:rPr>
        <w:t xml:space="preserve"> </w:t>
      </w:r>
      <w:r w:rsidR="00DB7FF4" w:rsidRPr="00E84D1D">
        <w:t>If a trans</w:t>
      </w:r>
      <w:r w:rsidR="00E84D1D">
        <w:t>o</w:t>
      </w:r>
      <w:r w:rsidR="00DB7FF4" w:rsidRPr="00E84D1D">
        <w:t xml:space="preserve">esophageal echocardiogram demonstrates the absence of </w:t>
      </w:r>
      <w:r w:rsidR="004A2A7B" w:rsidRPr="00E84D1D">
        <w:t xml:space="preserve">thrombi in the </w:t>
      </w:r>
      <w:r w:rsidR="00DB7FF4" w:rsidRPr="00E84D1D">
        <w:t xml:space="preserve">left </w:t>
      </w:r>
      <w:r w:rsidR="00CC57D9" w:rsidRPr="00E84D1D">
        <w:t>atri</w:t>
      </w:r>
      <w:r w:rsidR="00CC57D9">
        <w:t>um</w:t>
      </w:r>
      <w:r w:rsidR="00CC57D9" w:rsidRPr="00572E41">
        <w:t xml:space="preserve"> </w:t>
      </w:r>
      <w:r w:rsidR="004A2A7B" w:rsidRPr="00572E41">
        <w:t xml:space="preserve">or </w:t>
      </w:r>
      <w:r w:rsidR="00DB7FF4" w:rsidRPr="00572E41">
        <w:t xml:space="preserve">left atrial appendage, pre-procedural </w:t>
      </w:r>
      <w:r w:rsidR="003E7A40" w:rsidRPr="00572E41">
        <w:t>oral anticoagulant (</w:t>
      </w:r>
      <w:r w:rsidR="00DB7FF4" w:rsidRPr="00572E41">
        <w:t>OAC</w:t>
      </w:r>
      <w:r w:rsidR="003E7A40" w:rsidRPr="00E84D1D">
        <w:t>)</w:t>
      </w:r>
      <w:r w:rsidR="00DB7FF4" w:rsidRPr="00E84D1D">
        <w:t xml:space="preserve"> therapy can be omitted.</w:t>
      </w:r>
      <w:r w:rsidR="00BB6394" w:rsidRPr="00B64398">
        <w:fldChar w:fldCharType="begin"/>
      </w:r>
      <w:r w:rsidR="00465856">
        <w:instrText xml:space="preserve"> ADDIN REFMGR.CITE &lt;Refman&gt;&lt;Cite&gt;&lt;Author&gt;January&lt;/Author&gt;&lt;Year&gt;2014&lt;/Year&gt;&lt;RecNum&gt;JANUARY2014&lt;/RecNum&gt;&lt;IDText&gt;2014 AHA/ACC/HRS Guideline for the management of patients with atrial fibrillation: a report of the American College of Cardiology/American Heart Association Task Force on Practice Guidelines and the Heart Rhythm Society&lt;/IDText&gt;&lt;MDL Ref_Type="Journal"&gt;&lt;Ref_Type&gt;Journal&lt;/Ref_Type&gt;&lt;Ref_ID&gt;JANUARY2014&lt;/Ref_ID&gt;&lt;Title_Primary&gt;2014 AHA/ACC/HRS Guideline for the management of patients with atrial fibrillation: a report of the American College of Cardiology/American Heart Association Task Force on Practice Guidelines and the Heart Rhythm Society&lt;/Title_Primary&gt;&lt;Authors_Primary&gt;January,C.T.&lt;/Authors_Primary&gt;&lt;Authors_Primary&gt;Wann,L.S.&lt;/Authors_Primary&gt;&lt;Authors_Primary&gt;Alpert,J.S.&lt;/Authors_Primary&gt;&lt;Authors_Primary&gt;Calkins,H.&lt;/Authors_Primary&gt;&lt;Authors_Primary&gt;Cleveland,J.C.,Jr.&lt;/Authors_Primary&gt;&lt;Authors_Primary&gt;Cigarroa,J.E.&lt;/Authors_Primary&gt;&lt;Authors_Primary&gt;Conti,J.B.&lt;/Authors_Primary&gt;&lt;Authors_Primary&gt;Ellinor,P.T.&lt;/Authors_Primary&gt;&lt;Authors_Primary&gt;Ezekowitz,M.D.&lt;/Authors_Primary&gt;&lt;Authors_Primary&gt;Field,M.E.&lt;/Authors_Primary&gt;&lt;Authors_Primary&gt;Murray,K.T.&lt;/Authors_Primary&gt;&lt;Authors_Primary&gt;Sacco,R.L.&lt;/Authors_Primary&gt;&lt;Authors_Primary&gt;Stevenson,W.G.&lt;/Authors_Primary&gt;&lt;Authors_Primary&gt;Tchou,P.J.&lt;/Authors_Primary&gt;&lt;Authors_Primary&gt;Tracy,C.M.&lt;/Authors_Primary&gt;&lt;Authors_Primary&gt;Yancy,C.W.&lt;/Authors_Primary&gt;&lt;Date_Primary&gt;2014/12/1&lt;/Date_Primary&gt;&lt;Keywords&gt;Atrial Fibrillation&lt;/Keywords&gt;&lt;Keywords&gt;Guidelines&lt;/Keywords&gt;&lt;Keywords&gt;Heart&lt;/Keywords&gt;&lt;Keywords&gt;MANAGEMENT&lt;/Keywords&gt;&lt;Keywords&gt;Patients&lt;/Keywords&gt;&lt;Keywords&gt;Practice Guidelines&lt;/Keywords&gt;&lt;Reprint&gt;Not in File&lt;/Reprint&gt;&lt;Start_Page&gt;e1&lt;/Start_Page&gt;&lt;End_Page&gt;e76&lt;/End_Page&gt;&lt;Periodical&gt;J.Am.Coll.Cardiol.&lt;/Periodical&gt;&lt;Volume&gt;64&lt;/Volume&gt;&lt;Issue&gt;21&lt;/Issue&gt;&lt;Web_URL&gt;PM:24685669&lt;/Web_URL&gt;&lt;ZZ_JournalFull&gt;&lt;f name="System"&gt;Journal of the American College of Cardiology&lt;/f&gt;&lt;/ZZ_JournalFull&gt;&lt;ZZ_JournalStdAbbrev&gt;&lt;f name="System"&gt;J.Am.Coll.Cardiol.&lt;/f&gt;&lt;/ZZ_JournalStdAbbrev&gt;&lt;ZZ_WorkformID&gt;1&lt;/ZZ_WorkformID&gt;&lt;/MDL&gt;&lt;/Cite&gt;&lt;Cite&gt;&lt;Author&gt;Sticherling&lt;/Author&gt;&lt;Year&gt;2015&lt;/Year&gt;&lt;RecNum&gt;STICHERLING2015&lt;/RecNum&gt;&lt;IDText&gt;Antithrombotic management in patients undergoing electrophysiological procedures: a European Heart Rhythm Association (EHRA) position document endorsed by the ESC Working Group Thrombosis, Heart Rhythm Society (HRS), and Asia Pacific Heart Rhythm Society (APHRS)&lt;/IDText&gt;&lt;MDL Ref_Type="Journal"&gt;&lt;Ref_Type&gt;Journal&lt;/Ref_Type&gt;&lt;Ref_ID&gt;STICHERLING2015&lt;/Ref_ID&gt;&lt;Title_Primary&gt;Antithrombotic management in patients undergoing electrophysiological procedures: a European Heart Rhythm Association (EHRA) position document endorsed by the ESC Working Group Thrombosis, Heart Rhythm Society (HRS), and Asia Pacific Heart Rhythm Society (APHRS)&lt;/Title_Primary&gt;&lt;Authors_Primary&gt;Sticherling,C.&lt;/Authors_Primary&gt;&lt;Authors_Primary&gt;Marin,F.&lt;/Authors_Primary&gt;&lt;Authors_Primary&gt;Birnie,D.&lt;/Authors_Primary&gt;&lt;Authors_Primary&gt;Boriani,G.&lt;/Authors_Primary&gt;&lt;Authors_Primary&gt;Calkins,H.&lt;/Authors_Primary&gt;&lt;Authors_Primary&gt;Dan,G.A.&lt;/Authors_Primary&gt;&lt;Authors_Primary&gt;Gulizia,M.&lt;/Authors_Primary&gt;&lt;Authors_Primary&gt;Halvorsen,S.&lt;/Authors_Primary&gt;&lt;Authors_Primary&gt;Hindricks,G.&lt;/Authors_Primary&gt;&lt;Authors_Primary&gt;Kuck,K.H.&lt;/Authors_Primary&gt;&lt;Authors_Primary&gt;Moya,A.&lt;/Authors_Primary&gt;&lt;Authors_Primary&gt;Potpara,T.&lt;/Authors_Primary&gt;&lt;Authors_Primary&gt;Roldan,V.&lt;/Authors_Primary&gt;&lt;Authors_Primary&gt;Tilz,R.&lt;/Authors_Primary&gt;&lt;Authors_Primary&gt;Lip,G.Y.H.&lt;/Authors_Primary&gt;&lt;Date_Primary&gt;2015/8&lt;/Date_Primary&gt;&lt;Keywords&gt;antithrombotic&lt;/Keywords&gt;&lt;Keywords&gt;Asia&lt;/Keywords&gt;&lt;Keywords&gt;Heart&lt;/Keywords&gt;&lt;Keywords&gt;MANAGEMENT&lt;/Keywords&gt;&lt;Keywords&gt;Patients&lt;/Keywords&gt;&lt;Keywords&gt;Thrombosis&lt;/Keywords&gt;&lt;Reprint&gt;Not in File&lt;/Reprint&gt;&lt;Start_Page&gt;1197&lt;/Start_Page&gt;&lt;End_Page&gt;1214&lt;/End_Page&gt;&lt;Periodical&gt;Europace&lt;/Periodical&gt;&lt;Volume&gt;17&lt;/Volume&gt;&lt;Issue&gt;8&lt;/Issue&gt;&lt;Web_URL&gt;PM:26105732&lt;/Web_URL&gt;&lt;ZZ_JournalFull&gt;&lt;f name="System"&gt;Europace&lt;/f&gt;&lt;/ZZ_JournalFull&gt;&lt;ZZ_WorkformID&gt;1&lt;/ZZ_WorkformID&gt;&lt;/MDL&gt;&lt;/Cite&gt;&lt;Cite&gt;&lt;Author&gt;Kirchhof&lt;/Author&gt;&lt;Year&gt;2016&lt;/Year&gt;&lt;RecNum&gt;KIRCHHOF2016B&lt;/RecNum&gt;&lt;IDText&gt;2016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BB6394" w:rsidRPr="00B64398">
        <w:fldChar w:fldCharType="separate"/>
      </w:r>
      <w:r w:rsidR="00A91372" w:rsidRPr="00A91372">
        <w:rPr>
          <w:vertAlign w:val="superscript"/>
        </w:rPr>
        <w:t>2–4</w:t>
      </w:r>
      <w:r w:rsidR="00BB6394" w:rsidRPr="00B64398">
        <w:fldChar w:fldCharType="end"/>
      </w:r>
    </w:p>
    <w:p w14:paraId="1B432FDE" w14:textId="36A89F4C" w:rsidR="000522A1" w:rsidRPr="00572E41" w:rsidRDefault="00714287" w:rsidP="00241797">
      <w:pPr>
        <w:pStyle w:val="Text"/>
        <w:ind w:firstLine="567"/>
      </w:pPr>
      <w:r w:rsidRPr="00572E41">
        <w:t>Oral anticoagulation with vitamin K antagonists (VKAs</w:t>
      </w:r>
      <w:r w:rsidR="00282C6C" w:rsidRPr="00E84D1D">
        <w:t>) such as warfarin</w:t>
      </w:r>
      <w:r w:rsidRPr="00E84D1D">
        <w:t xml:space="preserve"> as part of the peri-procedural </w:t>
      </w:r>
      <w:r w:rsidR="00C81F52" w:rsidRPr="00E84D1D">
        <w:t>regimen have been the clinical standard for stroke prevention in patients with AF undergoing</w:t>
      </w:r>
      <w:r w:rsidR="00A44DA7">
        <w:t xml:space="preserve"> catheter ablation</w:t>
      </w:r>
      <w:r w:rsidR="00C81F52" w:rsidRPr="00E84D1D">
        <w:t xml:space="preserve"> </w:t>
      </w:r>
      <w:r w:rsidR="00CB7681">
        <w:t xml:space="preserve">or </w:t>
      </w:r>
      <w:r w:rsidR="00C81F52" w:rsidRPr="00E84D1D">
        <w:t>cardioversion,</w:t>
      </w:r>
      <w:r w:rsidR="00BB6394" w:rsidRPr="00B64398">
        <w:fldChar w:fldCharType="begin"/>
      </w:r>
      <w:r w:rsidR="00465856">
        <w:instrText xml:space="preserve"> ADDIN REFMGR.CITE &lt;Refman&gt;&lt;Cite&gt;&lt;Author&gt;January&lt;/Author&gt;&lt;Year&gt;2014&lt;/Year&gt;&lt;RecNum&gt;JANUARY2014&lt;/RecNum&gt;&lt;IDText&gt;2014 AHA/ACC/HRS Guideline for the management of patients with atrial fibrillation: a report of the American College of Cardiology/American Heart Association Task Force on Practice Guidelines and the Heart Rhythm Society&lt;/IDText&gt;&lt;MDL Ref_Type="Journal"&gt;&lt;Ref_Type&gt;Journal&lt;/Ref_Type&gt;&lt;Ref_ID&gt;JANUARY2014&lt;/Ref_ID&gt;&lt;Title_Primary&gt;2014 AHA/ACC/HRS Guideline for the management of patients with atrial fibrillation: a report of the American College of Cardiology/American Heart Association Task Force on Practice Guidelines and the Heart Rhythm Society&lt;/Title_Primary&gt;&lt;Authors_Primary&gt;January,C.T.&lt;/Authors_Primary&gt;&lt;Authors_Primary&gt;Wann,L.S.&lt;/Authors_Primary&gt;&lt;Authors_Primary&gt;Alpert,J.S.&lt;/Authors_Primary&gt;&lt;Authors_Primary&gt;Calkins,H.&lt;/Authors_Primary&gt;&lt;Authors_Primary&gt;Cleveland,J.C.,Jr.&lt;/Authors_Primary&gt;&lt;Authors_Primary&gt;Cigarroa,J.E.&lt;/Authors_Primary&gt;&lt;Authors_Primary&gt;Conti,J.B.&lt;/Authors_Primary&gt;&lt;Authors_Primary&gt;Ellinor,P.T.&lt;/Authors_Primary&gt;&lt;Authors_Primary&gt;Ezekowitz,M.D.&lt;/Authors_Primary&gt;&lt;Authors_Primary&gt;Field,M.E.&lt;/Authors_Primary&gt;&lt;Authors_Primary&gt;Murray,K.T.&lt;/Authors_Primary&gt;&lt;Authors_Primary&gt;Sacco,R.L.&lt;/Authors_Primary&gt;&lt;Authors_Primary&gt;Stevenson,W.G.&lt;/Authors_Primary&gt;&lt;Authors_Primary&gt;Tchou,P.J.&lt;/Authors_Primary&gt;&lt;Authors_Primary&gt;Tracy,C.M.&lt;/Authors_Primary&gt;&lt;Authors_Primary&gt;Yancy,C.W.&lt;/Authors_Primary&gt;&lt;Date_Primary&gt;2014/12/1&lt;/Date_Primary&gt;&lt;Keywords&gt;Atrial Fibrillation&lt;/Keywords&gt;&lt;Keywords&gt;Guidelines&lt;/Keywords&gt;&lt;Keywords&gt;Heart&lt;/Keywords&gt;&lt;Keywords&gt;MANAGEMENT&lt;/Keywords&gt;&lt;Keywords&gt;Patients&lt;/Keywords&gt;&lt;Keywords&gt;Practice Guidelines&lt;/Keywords&gt;&lt;Reprint&gt;Not in File&lt;/Reprint&gt;&lt;Start_Page&gt;e1&lt;/Start_Page&gt;&lt;End_Page&gt;e76&lt;/End_Page&gt;&lt;Periodical&gt;J.Am.Coll.Cardiol.&lt;/Periodical&gt;&lt;Volume&gt;64&lt;/Volume&gt;&lt;Issue&gt;21&lt;/Issue&gt;&lt;Web_URL&gt;PM:24685669&lt;/Web_URL&gt;&lt;ZZ_JournalFull&gt;&lt;f name="System"&gt;Journal of the American College of Cardiology&lt;/f&gt;&lt;/ZZ_JournalFull&gt;&lt;ZZ_JournalStdAbbrev&gt;&lt;f name="System"&gt;J.Am.Coll.Cardiol.&lt;/f&gt;&lt;/ZZ_JournalStdAbbrev&gt;&lt;ZZ_WorkformID&gt;1&lt;/ZZ_WorkformID&gt;&lt;/MDL&gt;&lt;/Cite&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BB6394" w:rsidRPr="00B64398">
        <w:fldChar w:fldCharType="separate"/>
      </w:r>
      <w:r w:rsidR="00A91372" w:rsidRPr="00A91372">
        <w:rPr>
          <w:vertAlign w:val="superscript"/>
        </w:rPr>
        <w:t>2, 3</w:t>
      </w:r>
      <w:r w:rsidR="00BB6394" w:rsidRPr="00B64398">
        <w:fldChar w:fldCharType="end"/>
      </w:r>
      <w:r w:rsidR="00C81F52" w:rsidRPr="00572E41">
        <w:t xml:space="preserve"> although </w:t>
      </w:r>
      <w:r w:rsidR="004E1687" w:rsidRPr="00572E41">
        <w:t>evidence from</w:t>
      </w:r>
      <w:r w:rsidRPr="00E84D1D">
        <w:t xml:space="preserve"> </w:t>
      </w:r>
      <w:r w:rsidR="00B35FFB" w:rsidRPr="00E84D1D">
        <w:t xml:space="preserve">randomized </w:t>
      </w:r>
      <w:r w:rsidRPr="00E84D1D">
        <w:t xml:space="preserve">controlled clinical trials is </w:t>
      </w:r>
      <w:r w:rsidR="006E7ED0" w:rsidRPr="00E84D1D">
        <w:t>limited</w:t>
      </w:r>
      <w:r w:rsidR="00A6555D" w:rsidRPr="00E84D1D">
        <w:t>.</w:t>
      </w:r>
      <w:r w:rsidR="00BB6394" w:rsidRPr="00B64398">
        <w:fldChar w:fldCharType="begin"/>
      </w:r>
      <w:r w:rsidR="00465856">
        <w:instrText xml:space="preserve"> ADDIN REFMGR.CITE &lt;Refman&gt;&lt;Cite&gt;&lt;Author&gt;Klein&lt;/Author&gt;&lt;Year&gt;2001&lt;/Year&gt;&lt;RecNum&gt;KLEIN2001&lt;/RecNum&gt;&lt;IDText&gt;Use of transesophageal echocardiography to guide cardioversion in patients with atrial fibrillation&lt;/IDText&gt;&lt;MDL Ref_Type="Journal"&gt;&lt;Ref_Type&gt;Journal&lt;/Ref_Type&gt;&lt;Ref_ID&gt;KLEIN2001&lt;/Ref_ID&gt;&lt;Title_Primary&gt;Use of transesophageal echocardiography to guide cardioversion in patients with atrial fibrillation&lt;/Title_Primary&gt;&lt;Authors_Primary&gt;Klein,A.L.&lt;/Authors_Primary&gt;&lt;Authors_Primary&gt;Grimm,R.A.&lt;/Authors_Primary&gt;&lt;Authors_Primary&gt;Murray,R.D.&lt;/Authors_Primary&gt;&lt;Authors_Primary&gt;Apperson-Hansen,C.&lt;/Authors_Primary&gt;&lt;Authors_Primary&gt;Asinger,R.W.&lt;/Authors_Primary&gt;&lt;Authors_Primary&gt;Black,I.W.&lt;/Authors_Primary&gt;&lt;Authors_Primary&gt;Davidoff,R.&lt;/Authors_Primary&gt;&lt;Authors_Primary&gt;Erbel,R.&lt;/Authors_Primary&gt;&lt;Authors_Primary&gt;Halperin,J.L.&lt;/Authors_Primary&gt;&lt;Authors_Primary&gt;Orsinelli,D.A.&lt;/Authors_Primary&gt;&lt;Authors_Primary&gt;Porter,T.R.&lt;/Authors_Primary&gt;&lt;Authors_Primary&gt;Stoddard,M.F.&lt;/Authors_Primary&gt;&lt;Authors_Primary&gt;Assessment of Cardioversion Using Transesophageal Echocardiography Investigators,.&lt;/Authors_Primary&gt;&lt;Date_Primary&gt;2001&lt;/Date_Primary&gt;&lt;Keywords&gt;Echocardiography&lt;/Keywords&gt;&lt;Keywords&gt;cardioversion&lt;/Keywords&gt;&lt;Keywords&gt;Patients&lt;/Keywords&gt;&lt;Keywords&gt;Atrial Fibrillation&lt;/Keywords&gt;&lt;Start_Page&gt;1411&lt;/Start_Page&gt;&lt;End_Page&gt;1420&lt;/End_Page&gt;&lt;Periodical&gt;N.Engl.J.Med.&lt;/Periodical&gt;&lt;Volume&gt;344&lt;/Volume&gt;&lt;Issue&gt;19&lt;/Issue&gt;&lt;ZZ_JournalFull&gt;&lt;f name="System"&gt;New England Journal of Medicine&lt;/f&gt;&lt;/ZZ_JournalFull&gt;&lt;ZZ_JournalStdAbbrev&gt;&lt;f name="System"&gt;N.Engl.J.Med.&lt;/f&gt;&lt;/ZZ_JournalStdAbbrev&gt;&lt;ZZ_WorkformID&gt;1&lt;/ZZ_WorkformID&gt;&lt;/MDL&gt;&lt;/Cite&gt;&lt;/Refman&gt;</w:instrText>
      </w:r>
      <w:r w:rsidR="00BB6394" w:rsidRPr="00B64398">
        <w:fldChar w:fldCharType="separate"/>
      </w:r>
      <w:r w:rsidR="00A91372" w:rsidRPr="00A91372">
        <w:rPr>
          <w:vertAlign w:val="superscript"/>
        </w:rPr>
        <w:t>5</w:t>
      </w:r>
      <w:r w:rsidR="00BB6394" w:rsidRPr="00B64398">
        <w:fldChar w:fldCharType="end"/>
      </w:r>
      <w:r w:rsidRPr="00572E41">
        <w:t xml:space="preserve"> </w:t>
      </w:r>
      <w:r w:rsidR="00015521" w:rsidRPr="00572E41">
        <w:t>Rivaroxaban and other non-</w:t>
      </w:r>
      <w:r w:rsidR="005C140F" w:rsidRPr="00E84D1D">
        <w:t>VKA</w:t>
      </w:r>
      <w:r w:rsidR="00015521" w:rsidRPr="00E84D1D">
        <w:t xml:space="preserve"> oral anticoagulants </w:t>
      </w:r>
      <w:r w:rsidR="00C32BF3" w:rsidRPr="00E84D1D">
        <w:t xml:space="preserve">(NOACs) </w:t>
      </w:r>
      <w:r w:rsidR="00015521" w:rsidRPr="00E84D1D">
        <w:t xml:space="preserve">are </w:t>
      </w:r>
      <w:r w:rsidR="00EC39BA" w:rsidRPr="00E84D1D">
        <w:t>an alternative</w:t>
      </w:r>
      <w:r w:rsidR="00015521" w:rsidRPr="00E84D1D">
        <w:t xml:space="preserve"> to </w:t>
      </w:r>
      <w:r w:rsidR="00C32BF3" w:rsidRPr="00E84D1D">
        <w:t>VKAs for long-</w:t>
      </w:r>
      <w:r w:rsidR="00015521" w:rsidRPr="00E84D1D">
        <w:t xml:space="preserve">term stroke </w:t>
      </w:r>
      <w:r w:rsidR="00342238" w:rsidRPr="00E84D1D">
        <w:t>prevention</w:t>
      </w:r>
      <w:r w:rsidR="00015521" w:rsidRPr="00E84D1D">
        <w:t xml:space="preserve"> in patients with AF</w:t>
      </w:r>
      <w:r w:rsidR="00ED3F73" w:rsidRPr="00E84D1D">
        <w:t>.</w:t>
      </w:r>
      <w:r w:rsidR="008847EC" w:rsidRPr="00E84D1D">
        <w:t xml:space="preserve"> </w:t>
      </w:r>
      <w:r w:rsidR="00ED3F73" w:rsidRPr="00E84D1D">
        <w:t>NOAC</w:t>
      </w:r>
      <w:r w:rsidR="004E469A" w:rsidRPr="00E84D1D">
        <w:t>s</w:t>
      </w:r>
      <w:r w:rsidR="00282C6C" w:rsidRPr="00E84D1D">
        <w:t xml:space="preserve"> </w:t>
      </w:r>
      <w:r w:rsidR="00ED3F73" w:rsidRPr="00E84D1D">
        <w:t xml:space="preserve">offer well-described benefits over VKAs, including </w:t>
      </w:r>
      <w:r w:rsidR="006C46FF" w:rsidRPr="00E84D1D">
        <w:t xml:space="preserve">fewer </w:t>
      </w:r>
      <w:r w:rsidR="00ED3F73" w:rsidRPr="00E84D1D">
        <w:t>interactions with food</w:t>
      </w:r>
      <w:r w:rsidR="006C46FF" w:rsidRPr="00E84D1D">
        <w:t xml:space="preserve"> and other drugs</w:t>
      </w:r>
      <w:r w:rsidR="00ED3F73" w:rsidRPr="00E84D1D">
        <w:t>, fixed</w:t>
      </w:r>
      <w:r w:rsidR="008D16C5" w:rsidRPr="00E84D1D">
        <w:t xml:space="preserve"> </w:t>
      </w:r>
      <w:r w:rsidR="00ED3F73" w:rsidRPr="00E84D1D">
        <w:t xml:space="preserve">dosing regimens, no requirement for routine coagulation monitoring and a lower risk of intracranial haemorrhage and </w:t>
      </w:r>
      <w:r w:rsidR="00235607" w:rsidRPr="00E84D1D">
        <w:t>death</w:t>
      </w:r>
      <w:r w:rsidR="00ED3F73" w:rsidRPr="00E84D1D">
        <w:t>.</w:t>
      </w:r>
      <w:r w:rsidR="00BB6394" w:rsidRPr="00B64398">
        <w:fldChar w:fldCharType="begin"/>
      </w:r>
      <w:r w:rsidR="00465856">
        <w:instrText xml:space="preserve"> ADDIN REFMGR.CITE &lt;Refman&gt;&lt;Cite&gt;&lt;Author&gt;Ruff&lt;/Author&gt;&lt;Year&gt;2014&lt;/Year&gt;&lt;RecNum&gt;RUFF2014&lt;/RecNum&gt;&lt;IDText&gt;Comparison of the efficacy and safety of new oral anticoagulants with warfarin in patients with atrial fibrillation: a meta-analysis of randomised trials&lt;/IDText&gt;&lt;MDL Ref_Type="Journal"&gt;&lt;Ref_Type&gt;Journal&lt;/Ref_Type&gt;&lt;Ref_ID&gt;RUFF2014&lt;/Ref_ID&gt;&lt;Title_Primary&gt;Comparison of the efficacy and safety of new oral anticoagulants with warfarin in patients with atrial fibrillation: a meta-analysis of randomised trials&lt;/Title_Primary&gt;&lt;Authors_Primary&gt;Ruff,C.T.&lt;/Authors_Primary&gt;&lt;Authors_Primary&gt;Giugliano,R.P.&lt;/Authors_Primary&gt;&lt;Authors_Primary&gt;Braunwald,E.&lt;/Authors_Primary&gt;&lt;Authors_Primary&gt;Hoffman,E.B.&lt;/Authors_Primary&gt;&lt;Authors_Primary&gt;Deenadayalu,N.&lt;/Authors_Primary&gt;&lt;Authors_Primary&gt;Ezekowitz,M.D.&lt;/Authors_Primary&gt;&lt;Authors_Primary&gt;Camm,A.J.&lt;/Authors_Primary&gt;&lt;Authors_Primary&gt;Weitz,J.I.&lt;/Authors_Primary&gt;&lt;Authors_Primary&gt;Lewis,B.S.&lt;/Authors_Primary&gt;&lt;Authors_Primary&gt;Parkhomenko,A.&lt;/Authors_Primary&gt;&lt;Authors_Primary&gt;Yamashita,T.&lt;/Authors_Primary&gt;&lt;Authors_Primary&gt;Antman,E.M.&lt;/Authors_Primary&gt;&lt;Date_Primary&gt;2014/3/15&lt;/Date_Primary&gt;&lt;Keywords&gt;Anticoagulants&lt;/Keywords&gt;&lt;Keywords&gt;Atrial Fibrillation&lt;/Keywords&gt;&lt;Keywords&gt;bleeding&lt;/Keywords&gt;&lt;Keywords&gt;Boston&lt;/Keywords&gt;&lt;Keywords&gt;clinical trial&lt;/Keywords&gt;&lt;Keywords&gt;Clinical Trials&lt;/Keywords&gt;&lt;Keywords&gt;efficacy&lt;/Keywords&gt;&lt;Keywords&gt;Infarction&lt;/Keywords&gt;&lt;Keywords&gt;Medline&lt;/Keywords&gt;&lt;Keywords&gt;meta-analysis&lt;/Keywords&gt;&lt;Keywords&gt;methods&lt;/Keywords&gt;&lt;Keywords&gt;model&lt;/Keywords&gt;&lt;Keywords&gt;mortality&lt;/Keywords&gt;&lt;Keywords&gt;Myocardial Infarction&lt;/Keywords&gt;&lt;Keywords&gt;oral anticoagulant&lt;/Keywords&gt;&lt;Keywords&gt;Patients&lt;/Keywords&gt;&lt;Keywords&gt;Population&lt;/Keywords&gt;&lt;Keywords&gt;prevention&lt;/Keywords&gt;&lt;Keywords&gt;Risk&lt;/Keywords&gt;&lt;Keywords&gt;ROCKET&lt;/Keywords&gt;&lt;Keywords&gt;ROCKET AF&lt;/Keywords&gt;&lt;Keywords&gt;Safety&lt;/Keywords&gt;&lt;Keywords&gt;secondary&lt;/Keywords&gt;&lt;Keywords&gt;Stroke&lt;/Keywords&gt;&lt;Keywords&gt;Time&lt;/Keywords&gt;&lt;Keywords&gt;TRIALS&lt;/Keywords&gt;&lt;Keywords&gt;Warfarin&lt;/Keywords&gt;&lt;Reprint&gt;Not in File&lt;/Reprint&gt;&lt;Start_Page&gt;955&lt;/Start_Page&gt;&lt;End_Page&gt;962&lt;/End_Page&gt;&lt;Periodical&gt;Lancet&lt;/Periodical&gt;&lt;Volume&gt;383&lt;/Volume&gt;&lt;Issue&gt;9921&lt;/Issue&gt;&lt;Address&gt;Brigham and Women&amp;apos;s Hospital and Harvard Medical School, Boston, MA, USA. Electronic address: cruff@partners.org&lt;/Address&gt;&lt;Web_URL&gt;PM:24315724&lt;/Web_URL&gt;&lt;ZZ_JournalFull&gt;&lt;f name="System"&gt;Lancet&lt;/f&gt;&lt;/ZZ_JournalFull&gt;&lt;ZZ_WorkformID&gt;1&lt;/ZZ_WorkformID&gt;&lt;/MDL&gt;&lt;/Cite&gt;&lt;/Refman&gt;</w:instrText>
      </w:r>
      <w:r w:rsidR="00BB6394" w:rsidRPr="00B64398">
        <w:fldChar w:fldCharType="separate"/>
      </w:r>
      <w:r w:rsidR="00A91372" w:rsidRPr="00A91372">
        <w:rPr>
          <w:vertAlign w:val="superscript"/>
        </w:rPr>
        <w:t>6</w:t>
      </w:r>
      <w:r w:rsidR="00BB6394" w:rsidRPr="00B64398">
        <w:fldChar w:fldCharType="end"/>
      </w:r>
      <w:r w:rsidR="0036666E" w:rsidRPr="00572E41">
        <w:t xml:space="preserve"> </w:t>
      </w:r>
      <w:r w:rsidR="007103F7" w:rsidRPr="00572E41">
        <w:t>G</w:t>
      </w:r>
      <w:r w:rsidR="00ED3F73" w:rsidRPr="00E84D1D">
        <w:t>rowing real-world evidence suggest</w:t>
      </w:r>
      <w:r w:rsidR="006C46FF" w:rsidRPr="00E84D1D">
        <w:t>s</w:t>
      </w:r>
      <w:r w:rsidR="00ED3F73" w:rsidRPr="00E84D1D">
        <w:t xml:space="preserve"> that the efficacy and safety profiles of these</w:t>
      </w:r>
      <w:r w:rsidR="000522A1" w:rsidRPr="00E84D1D">
        <w:t xml:space="preserve"> agents observed in</w:t>
      </w:r>
      <w:r w:rsidR="005C140F" w:rsidRPr="00E84D1D">
        <w:t xml:space="preserve"> the</w:t>
      </w:r>
      <w:r w:rsidR="00C23EA4" w:rsidRPr="00E84D1D">
        <w:t xml:space="preserve"> environment</w:t>
      </w:r>
      <w:r w:rsidR="00ED3F73" w:rsidRPr="00E84D1D">
        <w:t xml:space="preserve"> of </w:t>
      </w:r>
      <w:r w:rsidR="00136A2F" w:rsidRPr="00E84D1D">
        <w:t>p</w:t>
      </w:r>
      <w:r w:rsidR="00827C71" w:rsidRPr="00E84D1D">
        <w:t xml:space="preserve">hase </w:t>
      </w:r>
      <w:r w:rsidR="00ED3F73" w:rsidRPr="00E84D1D">
        <w:t xml:space="preserve">III randomized controlled trials translate to unselected patients treated in </w:t>
      </w:r>
      <w:r w:rsidR="004F0BB1" w:rsidRPr="00E84D1D">
        <w:t>routine</w:t>
      </w:r>
      <w:r w:rsidR="00DE3338" w:rsidRPr="00E84D1D">
        <w:t xml:space="preserve"> clinical practice</w:t>
      </w:r>
      <w:r w:rsidR="00ED3F73" w:rsidRPr="00E84D1D">
        <w:t>.</w:t>
      </w:r>
      <w:r w:rsidR="00BB6394" w:rsidRPr="00B64398">
        <w:fldChar w:fldCharType="begin"/>
      </w:r>
      <w:r w:rsidR="00465856">
        <w:instrText xml:space="preserve"> ADDIN REFMGR.CITE &lt;Refman&gt;&lt;Cite&gt;&lt;Author&gt;Beyer-Westendorf&lt;/Author&gt;&lt;Year&gt;2014&lt;/Year&gt;&lt;RecNum&gt;BEYERWESTENDORF2014D&lt;/RecNum&gt;&lt;IDText&gt;Rates, management, and outcome of rivaroxaban bleeding in daily care: results from the Dresden NOAC Registry&lt;/IDText&gt;&lt;MDL Ref_Type="Journal"&gt;&lt;Ref_Type&gt;Journal&lt;/Ref_Type&gt;&lt;Ref_ID&gt;BEYERWESTENDORF2014D&lt;/Ref_ID&gt;&lt;Title_Primary&gt;Rates, management, and outcome of rivaroxaban bleeding in daily care: results from the Dresden NOAC Registry&lt;/Title_Primary&gt;&lt;Authors_Primary&gt;Beyer-Westendorf,J.&lt;/Authors_Primary&gt;&lt;Authors_Primary&gt;F&amp;#xF6;rster,K.&lt;/Authors_Primary&gt;&lt;Authors_Primary&gt;Pannach,S.&lt;/Authors_Primary&gt;&lt;Authors_Primary&gt;Ebertz,F.&lt;/Authors_Primary&gt;&lt;Authors_Primary&gt;Gelbricht,V.&lt;/Authors_Primary&gt;&lt;Authors_Primary&gt;Thieme,C.&lt;/Authors_Primary&gt;&lt;Authors_Primary&gt;Michalski,F.&lt;/Authors_Primary&gt;&lt;Authors_Primary&gt;Kohler,C.&lt;/Authors_Primary&gt;&lt;Authors_Primary&gt;Werth,S.&lt;/Authors_Primary&gt;&lt;Authors_Primary&gt;Sahin,K.&lt;/Authors_Primary&gt;&lt;Authors_Primary&gt;Tittl,L.&lt;/Authors_Primary&gt;&lt;Authors_Primary&gt;H&amp;#xE4;nsel,U.&lt;/Authors_Primary&gt;&lt;Authors_Primary&gt;Weiss,N.&lt;/Authors_Primary&gt;&lt;Date_Primary&gt;2014/8/7&lt;/Date_Primary&gt;&lt;Keywords&gt;analysis&lt;/Keywords&gt;&lt;Keywords&gt;anticoagulation&lt;/Keywords&gt;&lt;Keywords&gt;Atrial Fibrillation&lt;/Keywords&gt;&lt;Keywords&gt;bleeding&lt;/Keywords&gt;&lt;Keywords&gt;complications&lt;/Keywords&gt;&lt;Keywords&gt;Gastroenterology&lt;/Keywords&gt;&lt;Keywords&gt;Germany&lt;/Keywords&gt;&lt;Keywords&gt;Hospitalization&lt;/Keywords&gt;&lt;Keywords&gt;MANAGEMENT&lt;/Keywords&gt;&lt;Keywords&gt;Medicine&lt;/Keywords&gt;&lt;Keywords&gt;Patients&lt;/Keywords&gt;&lt;Keywords&gt;prevention&lt;/Keywords&gt;&lt;Keywords&gt;Prothrombin&lt;/Keywords&gt;&lt;Keywords&gt;Registries&lt;/Keywords&gt;&lt;Keywords&gt;Research&lt;/Keywords&gt;&lt;Keywords&gt;rivaroxaban&lt;/Keywords&gt;&lt;Keywords&gt;Statistics&lt;/Keywords&gt;&lt;Keywords&gt;Stroke&lt;/Keywords&gt;&lt;Keywords&gt;Thromboembolism&lt;/Keywords&gt;&lt;Keywords&gt;Thrombosis&lt;/Keywords&gt;&lt;Keywords&gt;Universities&lt;/Keywords&gt;&lt;Keywords&gt;venous thromboembolism&lt;/Keywords&gt;&lt;Keywords&gt;Vitamin K&lt;/Keywords&gt;&lt;Reprint&gt;Not in File&lt;/Reprint&gt;&lt;Start_Page&gt;955&lt;/Start_Page&gt;&lt;End_Page&gt;962&lt;/End_Page&gt;&lt;Periodical&gt;Blood&lt;/Periodical&gt;&lt;Volume&gt;124&lt;/Volume&gt;&lt;Issue&gt;6&lt;/Issue&gt;&lt;Address&gt;Center for Vascular Medicine and Department of Medicine III, Division of Angiology, and&amp;#xA;Center for Vascular Medicine and Department of Medicine III, Division of Angiology, and&amp;#xA;Department of Medicine I, Division of Gastroenterology, University Hospital &amp;quot;Carl Gustav Carus&amp;quot; Dresden, Dresden, Germany; and&amp;#xA;Center for Vascular Medicine and Department of Medicine III, Division of Angiology, and&amp;#xA;Center for Vascular Medicine and Department of Medicine III, Division of Angiology, and&amp;#xA;Center for Vascular Medicine and Department of Medicine III, Division of Angiology, and&amp;#xA;Center for Vascular Medicine and Department of Medicine III, Division of Angiology, and&amp;#xA;Center for Vascular Medicine and Department of Medicine III, Division of Angiology, and&amp;#xA;Center for Vascular Medicine and Department of Medicine III, Division of Angiology, and&amp;#xA;ClinStat GmbH, Institute for Clinical Research and Statistics, Cologne, Germany&amp;#xA;Center for Vascular Medicine and Department of Medicine III, Division of Angiology, and&amp;#xA;Center for Vascular Medicine and Department of Medicine III, Division of Angiology, and&amp;#xA;Center for Vascular Medicine and Department of Medicine III, Division of Angiology, and&lt;/Address&gt;&lt;Web_URL&gt;PM:24859362&lt;/Web_URL&gt;&lt;ZZ_JournalFull&gt;&lt;f name="System"&gt;Blood&lt;/f&gt;&lt;/ZZ_JournalFull&gt;&lt;ZZ_WorkformID&gt;1&lt;/ZZ_WorkformID&gt;&lt;/MDL&gt;&lt;/Cite&gt;&lt;Cite&gt;&lt;Author&gt;Beyer-Westendorf&lt;/Author&gt;&lt;Year&gt;2015&lt;/Year&gt;&lt;RecNum&gt;BEYERWESTENDORF2015A&lt;/RecNum&gt;&lt;IDText&gt;Effectiveness and safety of dabigatran therapy in daily-care patients with atrial fibrillation. Results from the Dresden NOAC Registry&lt;/IDText&gt;&lt;MDL Ref_Type="Journal"&gt;&lt;Ref_Type&gt;Journal&lt;/Ref_Type&gt;&lt;Ref_ID&gt;BEYERWESTENDORF2015A&lt;/Ref_ID&gt;&lt;Title_Primary&gt;Effectiveness and safety of dabigatran therapy in daily-care patients with atrial fibrillation. Results from the Dresden NOAC Registry&lt;/Title_Primary&gt;&lt;Authors_Primary&gt;Beyer-Westendorf,J.&lt;/Authors_Primary&gt;&lt;Authors_Primary&gt;Ebertz,F.&lt;/Authors_Primary&gt;&lt;Authors_Primary&gt;F&amp;#xF6;rster,K.&lt;/Authors_Primary&gt;&lt;Authors_Primary&gt;Gelbricht,V.&lt;/Authors_Primary&gt;&lt;Authors_Primary&gt;Michalski,F.&lt;/Authors_Primary&gt;&lt;Authors_Primary&gt;K&amp;#xF6;hler,C.&lt;/Authors_Primary&gt;&lt;Authors_Primary&gt;Werth,S.&lt;/Authors_Primary&gt;&lt;Authors_Primary&gt;Endig,H.&lt;/Authors_Primary&gt;&lt;Authors_Primary&gt;Pannach,S.&lt;/Authors_Primary&gt;&lt;Authors_Primary&gt;Tittl,L.&lt;/Authors_Primary&gt;&lt;Authors_Primary&gt;Sahin,K.&lt;/Authors_Primary&gt;&lt;Authors_Primary&gt;Daschkow,K.&lt;/Authors_Primary&gt;&lt;Authors_Primary&gt;Weiss,N.&lt;/Authors_Primary&gt;&lt;Date_Primary&gt;2015/5/26&lt;/Date_Primary&gt;&lt;Keywords&gt;analysis&lt;/Keywords&gt;&lt;Keywords&gt;Anticoagulants&lt;/Keywords&gt;&lt;Keywords&gt;Atrial Fibrillation&lt;/Keywords&gt;&lt;Keywords&gt;bleeding&lt;/Keywords&gt;&lt;Keywords&gt;dabigatran&lt;/Keywords&gt;&lt;Keywords&gt;Embolism&lt;/Keywords&gt;&lt;Keywords&gt;FOLLOW-UP&lt;/Keywords&gt;&lt;Keywords&gt;Germany&lt;/Keywords&gt;&lt;Keywords&gt;Intention to Treat Analysis&lt;/Keywords&gt;&lt;Keywords&gt;Medicine&lt;/Keywords&gt;&lt;Keywords&gt;oral anticoagulant&lt;/Keywords&gt;&lt;Keywords&gt;Patients&lt;/Keywords&gt;&lt;Keywords&gt;prevention&lt;/Keywords&gt;&lt;Keywords&gt;Registries&lt;/Keywords&gt;&lt;Keywords&gt;Safety&lt;/Keywords&gt;&lt;Keywords&gt;Stroke&lt;/Keywords&gt;&lt;Keywords&gt;therapy&lt;/Keywords&gt;&lt;Keywords&gt;Universities&lt;/Keywords&gt;&lt;Keywords&gt;Vitamin K&lt;/Keywords&gt;&lt;Reprint&gt;Not in File&lt;/Reprint&gt;&lt;Start_Page&gt;1247&lt;/Start_Page&gt;&lt;End_Page&gt;1257&lt;/End_Page&gt;&lt;Periodical&gt;Thromb.Haemost.&lt;/Periodical&gt;&lt;Volume&gt;113&lt;/Volume&gt;&lt;Issue&gt;6&lt;/Issue&gt;&lt;Address&gt;Jan Beyer-Westendorf, MD, Center for Vascular Medicine, University Hospital &amp;quot;Carl Gustav Carus&amp;quot;, Technical University Dresden, Fetscherstrasse 74; 01307 Dresden, Germany, Tel.: +49 351 4583659; Fax +49 531 4584359, E-mail: jan.beyer@uniklinikum-dresden.de&lt;/Address&gt;&lt;Web_URL&gt;PM:25739533&lt;/Web_URL&gt;&lt;ZZ_JournalFull&gt;&lt;f name="System"&gt;Thrombosis and Haemostasis&lt;/f&gt;&lt;/ZZ_JournalFull&gt;&lt;ZZ_JournalStdAbbrev&gt;&lt;f name="System"&gt;Thromb.Haemost.&lt;/f&gt;&lt;/ZZ_JournalStdAbbrev&gt;&lt;ZZ_WorkformID&gt;1&lt;/ZZ_WorkformID&gt;&lt;/MDL&gt;&lt;/Cite&gt;&lt;Cite&gt;&lt;Author&gt;Tamayo&lt;/Author&gt;&lt;Year&gt;2015&lt;/Year&gt;&lt;RecNum&gt;TAMAYO2015&lt;/RecNum&gt;&lt;IDText&gt;Characterizing major bleeding in patients with nonvalvular atrial fibrillation: a pharmacovigilance study of 27 467 patients taking rivaroxaban&lt;/IDText&gt;&lt;MDL Ref_Type="Journal"&gt;&lt;Ref_Type&gt;Journal&lt;/Ref_Type&gt;&lt;Ref_ID&gt;TAMAYO2015&lt;/Ref_ID&gt;&lt;Title_Primary&gt;Characterizing major bleeding in patients with nonvalvular atrial fibrillation: a pharmacovigilance study of 27 467 patients taking rivaroxaban&lt;/Title_Primary&gt;&lt;Authors_Primary&gt;Tamayo,S.&lt;/Authors_Primary&gt;&lt;Authors_Primary&gt;Peacock,F.W.&lt;/Authors_Primary&gt;&lt;Authors_Primary&gt;Patel,M.&lt;/Authors_Primary&gt;&lt;Authors_Primary&gt;Sicignano,N.&lt;/Authors_Primary&gt;&lt;Authors_Primary&gt;Hopf,K.P.&lt;/Authors_Primary&gt;&lt;Authors_Primary&gt;Fields,L.E.&lt;/Authors_Primary&gt;&lt;Authors_Primary&gt;Sarich,T.&lt;/Authors_Primary&gt;&lt;Authors_Primary&gt;Wu,S.&lt;/Authors_Primary&gt;&lt;Authors_Primary&gt;Yannicelli,D.&lt;/Authors_Primary&gt;&lt;Authors_Primary&gt;Yuan,Z.&lt;/Authors_Primary&gt;&lt;Date_Primary&gt;2015/1/14&lt;/Date_Primary&gt;&lt;Keywords&gt;Arteries&lt;/Keywords&gt;&lt;Keywords&gt;ARTERY-DISEASE&lt;/Keywords&gt;&lt;Keywords&gt;Atrial Fibrillation&lt;/Keywords&gt;&lt;Keywords&gt;bleeding&lt;/Keywords&gt;&lt;Keywords&gt;Cardiology&lt;/Keywords&gt;&lt;Keywords&gt;Coronary Artery Disease&lt;/Keywords&gt;&lt;Keywords&gt;Death&lt;/Keywords&gt;&lt;Keywords&gt;Disease&lt;/Keywords&gt;&lt;Keywords&gt;Embolism&lt;/Keywords&gt;&lt;Keywords&gt;Health&lt;/Keywords&gt;&lt;Keywords&gt;Heart&lt;/Keywords&gt;&lt;Keywords&gt;Heart Failure&lt;/Keywords&gt;&lt;Keywords&gt;Hospitalization&lt;/Keywords&gt;&lt;Keywords&gt;Hypertension&lt;/Keywords&gt;&lt;Keywords&gt;Incidence&lt;/Keywords&gt;&lt;Keywords&gt;methods&lt;/Keywords&gt;&lt;Keywords&gt;Patients&lt;/Keywords&gt;&lt;Keywords&gt;rivaroxaban&lt;/Keywords&gt;&lt;Keywords&gt;Stroke&lt;/Keywords&gt;&lt;Keywords&gt;Virginia&lt;/Keywords&gt;&lt;Keywords&gt;Warfarin&lt;/Keywords&gt;&lt;Reprint&gt;Not in File&lt;/Reprint&gt;&lt;Start_Page&gt;63&lt;/Start_Page&gt;&lt;End_Page&gt;68&lt;/End_Page&gt;&lt;Periodical&gt;Clin.Cardiol.&lt;/Periodical&gt;&lt;Volume&gt;38&lt;/Volume&gt;&lt;Issue&gt;2&lt;/Issue&gt;&lt;Address&gt;Department of Cardiology, Naval Medical Center, Portsmouth, Virginia&lt;/Address&gt;&lt;Web_URL&gt;PM:25588595&lt;/Web_URL&gt;&lt;ZZ_JournalFull&gt;&lt;f name="System"&gt;Clinical Cardiology&lt;/f&gt;&lt;/ZZ_JournalFull&gt;&lt;ZZ_JournalStdAbbrev&gt;&lt;f name="System"&gt;Clin.Cardiol.&lt;/f&gt;&lt;/ZZ_JournalStdAbbrev&gt;&lt;ZZ_WorkformID&gt;1&lt;/ZZ_WorkformID&gt;&lt;/MDL&gt;&lt;/Cite&gt;&lt;Cite&gt;&lt;Author&gt;Graham&lt;/Author&gt;&lt;Year&gt;2015&lt;/Year&gt;&lt;RecNum&gt;GRAHAM2015&lt;/RecNum&gt;&lt;IDText&gt;Cardiovascular, bleeding, and mortality risks in elderly Medicare patients treated with dabigatran or warfarin for non-valvular atrial fibrillation&lt;/IDText&gt;&lt;MDL Ref_Type="Journal"&gt;&lt;Ref_Type&gt;Journal&lt;/Ref_Type&gt;&lt;Ref_ID&gt;GRAHAM2015&lt;/Ref_ID&gt;&lt;Title_Primary&gt;Cardiovascular, bleeding, and mortality risks in elderly Medicare patients treated with dabigatran or warfarin for non-valvular atrial fibrillation&lt;/Title_Primary&gt;&lt;Authors_Primary&gt;Graham,D.J.&lt;/Authors_Primary&gt;&lt;Authors_Primary&gt;Reichman,M.E.&lt;/Authors_Primary&gt;&lt;Authors_Primary&gt;Wernecke,M.&lt;/Authors_Primary&gt;&lt;Authors_Primary&gt;Zhang,R.&lt;/Authors_Primary&gt;&lt;Authors_Primary&gt;Southworth,M.R.&lt;/Authors_Primary&gt;&lt;Authors_Primary&gt;Levenson,M.&lt;/Authors_Primary&gt;&lt;Authors_Primary&gt;Sheu,T.C.&lt;/Authors_Primary&gt;&lt;Authors_Primary&gt;Mott,K.&lt;/Authors_Primary&gt;&lt;Authors_Primary&gt;Goulding,M.R.&lt;/Authors_Primary&gt;&lt;Authors_Primary&gt;Houstoun,M.&lt;/Authors_Primary&gt;&lt;Authors_Primary&gt;MaCurdy,T.E.&lt;/Authors_Primary&gt;&lt;Authors_Primary&gt;Worrall,C.&lt;/Authors_Primary&gt;&lt;Authors_Primary&gt;Kelman,J.A.&lt;/Authors_Primary&gt;&lt;Date_Primary&gt;2015/1&lt;/Date_Primary&gt;&lt;Keywords&gt;analysis&lt;/Keywords&gt;&lt;Keywords&gt;Atrial Fibrillation&lt;/Keywords&gt;&lt;Keywords&gt;bleeding&lt;/Keywords&gt;&lt;Keywords&gt;Confidence Intervals&lt;/Keywords&gt;&lt;Keywords&gt;dabigatran&lt;/Keywords&gt;&lt;Keywords&gt;Death&lt;/Keywords&gt;&lt;Keywords&gt;Drug Evaluation&lt;/Keywords&gt;&lt;Keywords&gt;FOLLOW-UP&lt;/Keywords&gt;&lt;Keywords&gt;Food&lt;/Keywords&gt;&lt;Keywords&gt;Gastrointestinal Hemorrhage&lt;/Keywords&gt;&lt;Keywords&gt;General Practice&lt;/Keywords&gt;&lt;Keywords&gt;Hemorrhage&lt;/Keywords&gt;&lt;Keywords&gt;Infarction&lt;/Keywords&gt;&lt;Keywords&gt;Medicaid&lt;/Keywords&gt;&lt;Keywords&gt;Medicare&lt;/Keywords&gt;&lt;Keywords&gt;methods&lt;/Keywords&gt;&lt;Keywords&gt;mortality&lt;/Keywords&gt;&lt;Keywords&gt;Myocardial Infarction&lt;/Keywords&gt;&lt;Keywords&gt;Patients&lt;/Keywords&gt;&lt;Keywords&gt;Population&lt;/Keywords&gt;&lt;Keywords&gt;Propensity Score&lt;/Keywords&gt;&lt;Keywords&gt;Research&lt;/Keywords&gt;&lt;Keywords&gt;Risk&lt;/Keywords&gt;&lt;Keywords&gt;Safety&lt;/Keywords&gt;&lt;Keywords&gt;Stroke&lt;/Keywords&gt;&lt;Keywords&gt;Universities&lt;/Keywords&gt;&lt;Keywords&gt;Warfarin&lt;/Keywords&gt;&lt;Keywords&gt;Washington&lt;/Keywords&gt;&lt;Reprint&gt;Not in File&lt;/Reprint&gt;&lt;Start_Page&gt;157&lt;/Start_Page&gt;&lt;End_Page&gt;164&lt;/End_Page&gt;&lt;Periodical&gt;Circulation&lt;/Periodical&gt;&lt;Volume&gt;131&lt;/Volume&gt;&lt;Issue&gt;2&lt;/Issue&gt;&lt;Address&gt;Center for Drug Evaluation and Research, Food and Drug Administration, Silver Spring, MD david.graham1@fda.hhs.gov&amp;#xA;Center for Drug Evaluation and Research, Food and Drug Administration, Silver Spring, MD&amp;#xA;Acumen LLC, Burlingame, CA&amp;#xA;Center for Drug Evaluation and Research, Food and Drug Administration, Silver Spring, MD&amp;#xA;Center for Drug Evaluation and Research, Food and Drug Administration, Silver Spring, MD&amp;#xA;Center for Drug Evaluation and Research, Food and Drug Administration, Silver Spring, MD&amp;#xA;Acumen LLC, Burlingame, CA&amp;#xA;Center for Drug Evaluation and Research, Food and Drug Administration, Silver Spring, MD&amp;#xA;Center for Drug Evaluation and Research, Food and Drug Administration, Silver Spring, MD&amp;#xA;Center for Drug Evaluation and Research, Food and Drug Administration, Silver Spring, MD&amp;#xA;Acumen LLC, Burlingame, CA &amp;amp; Stanford University, Stanford, CA&amp;#xA;Centers for Medicare &amp;amp; Medicaid Services, Washington, DC&amp;#xA;Centers for Medicare &amp;amp; Medicaid Services, Washington, DC&lt;/Address&gt;&lt;Web_URL&gt;PM:25359164&lt;/Web_URL&gt;&lt;ZZ_JournalFull&gt;&lt;f name="System"&gt;Circulation&lt;/f&gt;&lt;/ZZ_JournalFull&gt;&lt;ZZ_WorkformID&gt;1&lt;/ZZ_WorkformID&gt;&lt;/MDL&gt;&lt;/Cite&gt;&lt;Cite&gt;&lt;Author&gt;Camm&lt;/Author&gt;&lt;Year&gt;2016&lt;/Year&gt;&lt;RecNum&gt;CAMM2016&lt;/RecNum&gt;&lt;IDText&gt;XANTUS: a real-world, prospective, observational study of patients treated with rivaroxaban for stroke prevention in atrial fibrillation&lt;/IDText&gt;&lt;MDL Ref_Type="Journal"&gt;&lt;Ref_Type&gt;Journal&lt;/Ref_Type&gt;&lt;Ref_ID&gt;CAMM2016&lt;/Ref_ID&gt;&lt;Title_Primary&gt;XANTUS: a real-world, prospective, observational study of patients treated with rivaroxaban for stroke prevention in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Kuhls,S.&lt;/Authors_Primary&gt;&lt;Authors_Primary&gt;van Eickels,M.&lt;/Authors_Primary&gt;&lt;Authors_Primary&gt;Turpie,A.G.G.&lt;/Authors_Primary&gt;&lt;Date_Primary&gt;2016/4/7&lt;/Date_Primary&gt;&lt;Keywords&gt;analysis&lt;/Keywords&gt;&lt;Keywords&gt;anticoagulant&lt;/Keywords&gt;&lt;Keywords&gt;Anticoagulants&lt;/Keywords&gt;&lt;Keywords&gt;Atrial Fibrillation&lt;/Keywords&gt;&lt;Keywords&gt;Berlin&lt;/Keywords&gt;&lt;Keywords&gt;bleeding&lt;/Keywords&gt;&lt;Keywords&gt;Canada&lt;/Keywords&gt;&lt;Keywords&gt;clinical trial&lt;/Keywords&gt;&lt;Keywords&gt;Creatinine&lt;/Keywords&gt;&lt;Keywords&gt;Death&lt;/Keywords&gt;&lt;Keywords&gt;efficacy&lt;/Keywords&gt;&lt;Keywords&gt;Embolism&lt;/Keywords&gt;&lt;Keywords&gt;Europe&lt;/Keywords&gt;&lt;Keywords&gt;Factor Xa&lt;/Keywords&gt;&lt;Keywords&gt;Factor Xa inhibitor&lt;/Keywords&gt;&lt;Keywords&gt;Female&lt;/Keywords&gt;&lt;Keywords&gt;France&lt;/Keywords&gt;&lt;Keywords&gt;Germany&lt;/Keywords&gt;&lt;Keywords&gt;Hospitals&lt;/Keywords&gt;&lt;Keywords&gt;Israel&lt;/Keywords&gt;&lt;Keywords&gt;London&lt;/Keywords&gt;&lt;Keywords&gt;Medicine&lt;/Keywords&gt;&lt;Keywords&gt;methods&lt;/Keywords&gt;&lt;Keywords&gt;Neurology&lt;/Keywords&gt;&lt;Keywords&gt;oral anticoagulant&lt;/Keywords&gt;&lt;Keywords&gt;outcomes&lt;/Keywords&gt;&lt;Keywords&gt;Paris&lt;/Keywords&gt;&lt;Keywords&gt;Patients&lt;/Keywords&gt;&lt;Keywords&gt;Population&lt;/Keywords&gt;&lt;Keywords&gt;prevention&lt;/Keywords&gt;&lt;Keywords&gt;renal impairment&lt;/Keywords&gt;&lt;Keywords&gt;Research&lt;/Keywords&gt;&lt;Keywords&gt;rivaroxaban&lt;/Keywords&gt;&lt;Keywords&gt;Safety&lt;/Keywords&gt;&lt;Keywords&gt;Science&lt;/Keywords&gt;&lt;Keywords&gt;Stroke&lt;/Keywords&gt;&lt;Keywords&gt;treatment&lt;/Keywords&gt;&lt;Keywords&gt;Trust&lt;/Keywords&gt;&lt;Keywords&gt;Universities&lt;/Keywords&gt;&lt;Reprint&gt;Not in File&lt;/Reprint&gt;&lt;Start_Page&gt;1145&lt;/Start_Page&gt;&lt;End_Page&gt;1153&lt;/End_Page&gt;&lt;Periodical&gt;Eur.Heart J.&lt;/Periodical&gt;&lt;Volume&gt;37&lt;/Volume&gt;&lt;Issue&gt;14&lt;/Issue&gt;&lt;Address&gt;Cardiovascular and Cell Sciences Research Institute, St George&amp;apos;s, University of London, Cranmer Terrace, SW170RE London, UK jcamm@sgul.ac.uk&amp;#xA;Department of Neurology and Stroke Center, Paris-Diderot-Sorbonne University, Paris, France&amp;#xA;Vascular Center, Munich, Germany&amp;#xA;Global Medical Affairs, Bayer HealthCare Pharmaceuticals, Berlin, Germany&amp;#xA;Centre for Cardiovascular Sciences, University of Birmingham and Sandwell &amp;amp; West Birmingham Hospitals NHS Trust, Birmingham, UK Department of Cardiovascular Medicine, University of Munster, Munster, Germany&amp;#xA;Global Integrated Analysis, Bayer HealthCare Pharmaceuticals, Wuppertal, Germany&amp;#xA;Global Medical Affairs, Bayer HealthCare Pharmaceuticals, Berlin, Germany&amp;#xA;Department of Medicine, McMaster University, Hamilton, ON, Canada&lt;/Address&gt;&lt;Web_URL&gt;PM:26330425&lt;/Web_URL&gt;&lt;ZZ_JournalFull&gt;&lt;f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7–11</w:t>
      </w:r>
      <w:r w:rsidR="00BB6394" w:rsidRPr="00B64398">
        <w:fldChar w:fldCharType="end"/>
      </w:r>
    </w:p>
    <w:p w14:paraId="7B900CB2" w14:textId="4E821C08" w:rsidR="00010DFF" w:rsidRPr="00E84D1D" w:rsidRDefault="009636DD" w:rsidP="00241797">
      <w:pPr>
        <w:pStyle w:val="Text"/>
        <w:ind w:firstLine="567"/>
      </w:pPr>
      <w:r w:rsidRPr="00572E41">
        <w:t xml:space="preserve">In addition to </w:t>
      </w:r>
      <w:r w:rsidR="0036666E" w:rsidRPr="00E84D1D">
        <w:t>the benefits of NOACs</w:t>
      </w:r>
      <w:r w:rsidR="00DE3338" w:rsidRPr="00E84D1D">
        <w:t xml:space="preserve"> in patients with AF</w:t>
      </w:r>
      <w:r w:rsidR="00ED3F73" w:rsidRPr="00E84D1D">
        <w:t xml:space="preserve">, </w:t>
      </w:r>
      <w:r w:rsidRPr="00E84D1D">
        <w:t xml:space="preserve">evidence is </w:t>
      </w:r>
      <w:r w:rsidR="00B160C5" w:rsidRPr="00E84D1D">
        <w:t>now</w:t>
      </w:r>
      <w:r w:rsidRPr="00E84D1D">
        <w:t xml:space="preserve"> </w:t>
      </w:r>
      <w:r w:rsidR="00B160C5" w:rsidRPr="00E84D1D">
        <w:t xml:space="preserve">emerging </w:t>
      </w:r>
      <w:r w:rsidR="0036666E" w:rsidRPr="00E84D1D">
        <w:t>for</w:t>
      </w:r>
      <w:r w:rsidR="00ED3F73" w:rsidRPr="00E84D1D">
        <w:t xml:space="preserve"> the use of the</w:t>
      </w:r>
      <w:r w:rsidR="00DE3338" w:rsidRPr="00E84D1D">
        <w:t xml:space="preserve">se agents </w:t>
      </w:r>
      <w:r w:rsidR="00ED3F73" w:rsidRPr="00E84D1D">
        <w:t>in patients undergoing catheter ablation</w:t>
      </w:r>
      <w:r w:rsidR="0036666E" w:rsidRPr="00E84D1D">
        <w:t xml:space="preserve"> or cardioversion</w:t>
      </w:r>
      <w:r w:rsidR="00ED3F73" w:rsidRPr="00E84D1D">
        <w:t xml:space="preserve">. </w:t>
      </w:r>
      <w:r w:rsidR="00465856">
        <w:t>Consequently, t</w:t>
      </w:r>
      <w:r w:rsidR="00E30AD5" w:rsidRPr="00E84D1D">
        <w:t xml:space="preserve">he 2016 </w:t>
      </w:r>
      <w:r w:rsidR="00524736" w:rsidRPr="00E84D1D">
        <w:t>European Society of Cardiology (ESC)</w:t>
      </w:r>
      <w:r w:rsidR="00E30AD5" w:rsidRPr="00E84D1D">
        <w:t xml:space="preserve"> guidelines on AF</w:t>
      </w:r>
      <w:r w:rsidRPr="00E84D1D">
        <w:t xml:space="preserve"> management</w:t>
      </w:r>
      <w:r w:rsidR="00E30AD5" w:rsidRPr="00E84D1D">
        <w:t xml:space="preserve"> recommend </w:t>
      </w:r>
      <w:r w:rsidR="00235607" w:rsidRPr="00E84D1D">
        <w:t xml:space="preserve">continuous </w:t>
      </w:r>
      <w:r w:rsidR="00E30AD5" w:rsidRPr="00E84D1D">
        <w:t xml:space="preserve">anticoagulation with NOACs as an alternative to </w:t>
      </w:r>
      <w:r w:rsidR="00E30AD5" w:rsidRPr="00E84D1D">
        <w:lastRenderedPageBreak/>
        <w:t>warfarin</w:t>
      </w:r>
      <w:r w:rsidRPr="00E84D1D">
        <w:t xml:space="preserve"> in patients undergoing catheter ablation</w:t>
      </w:r>
      <w:r w:rsidR="000C7905">
        <w:t>,</w:t>
      </w:r>
      <w:r w:rsidR="008668AF" w:rsidRPr="00B64398">
        <w:fldChar w:fldCharType="begin"/>
      </w:r>
      <w:r w:rsidR="008668AF">
        <w:instrText xml:space="preserve"> ADDIN REFMGR.CITE &lt;Refman&gt;&lt;Cite&gt;&lt;Author&gt;Kirchhof&lt;/Author&gt;&lt;Year&gt;2016&lt;/Year&gt;&lt;RecNum&gt;KIRCHHOF2016B&lt;/RecNum&gt;&lt;IDText&gt;2016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8668AF" w:rsidRPr="00B64398">
        <w:fldChar w:fldCharType="separate"/>
      </w:r>
      <w:r w:rsidR="008668AF" w:rsidRPr="00A91372">
        <w:rPr>
          <w:vertAlign w:val="superscript"/>
        </w:rPr>
        <w:t>3</w:t>
      </w:r>
      <w:r w:rsidR="008668AF" w:rsidRPr="00B64398">
        <w:fldChar w:fldCharType="end"/>
      </w:r>
      <w:r w:rsidR="00F33255" w:rsidRPr="00F33255">
        <w:t xml:space="preserve"> </w:t>
      </w:r>
      <w:r w:rsidR="00F33255" w:rsidRPr="00E84D1D">
        <w:t>based on data from the COMPARE</w:t>
      </w:r>
      <w:r w:rsidR="00F33255">
        <w:fldChar w:fldCharType="begin"/>
      </w:r>
      <w:r w:rsidR="00465856">
        <w:instrText xml:space="preserve"> ADDIN REFMGR.CITE &lt;Refman&gt;&lt;Cite&gt;&lt;Author&gt;Di Biase&lt;/Author&gt;&lt;Year&gt;2014&lt;/Year&gt;&lt;RecNum&gt;DIBIASE2014&lt;/RecNum&gt;&lt;IDText&gt;Periprocedural stroke and bleeding complications in patients undergoing catheter ablation of atrial fibrillation with different anticoagulation management: results from the Role of Coumadin in Preventing Thromboembolism in Atrial Fibrillation (AF) Patients Undergoing Catheter Ablation (COMPARE) randomized trial&lt;/IDText&gt;&lt;MDL Ref_Type="Journal"&gt;&lt;Ref_Type&gt;Journal&lt;/Ref_Type&gt;&lt;Ref_ID&gt;DIBIASE2014&lt;/Ref_ID&gt;&lt;Title_Primary&gt;Periprocedural stroke and bleeding complications in patients undergoing catheter ablation of atrial fibrillation with different anticoagulation management: results from the Role of Coumadin in Preventing Thromboembolism in Atrial Fibrillation (AF) Patients Undergoing Catheter Ablation (COMPARE) randomized trial&lt;/Title_Primary&gt;&lt;Authors_Primary&gt;Di Biase,L.&lt;/Authors_Primary&gt;&lt;Authors_Primary&gt;Burkhardt,J.D.&lt;/Authors_Primary&gt;&lt;Authors_Primary&gt;Santangeli,P.&lt;/Authors_Primary&gt;&lt;Authors_Primary&gt;Mohanty,P.&lt;/Authors_Primary&gt;&lt;Authors_Primary&gt;Sanchez,J.E.&lt;/Authors_Primary&gt;&lt;Authors_Primary&gt;Horton,R.&lt;/Authors_Primary&gt;&lt;Authors_Primary&gt;Gallinghouse,G.J.&lt;/Authors_Primary&gt;&lt;Authors_Primary&gt;Themistoclakis,S.&lt;/Authors_Primary&gt;&lt;Authors_Primary&gt;Rossillo,A.&lt;/Authors_Primary&gt;&lt;Authors_Primary&gt;Lakkireddy,D.&lt;/Authors_Primary&gt;&lt;Authors_Primary&gt;Reddy,M.&lt;/Authors_Primary&gt;&lt;Authors_Primary&gt;Hao,S.&lt;/Authors_Primary&gt;&lt;Authors_Primary&gt;Hongo,R.&lt;/Authors_Primary&gt;&lt;Authors_Primary&gt;Beheiry,S.&lt;/Authors_Primary&gt;&lt;Authors_Primary&gt;Zagrodzky,J.&lt;/Authors_Primary&gt;&lt;Authors_Primary&gt;Rong,B.&lt;/Authors_Primary&gt;&lt;Authors_Primary&gt;Mohanty,S.&lt;/Authors_Primary&gt;&lt;Authors_Primary&gt;Elayi,C.S.&lt;/Authors_Primary&gt;&lt;Authors_Primary&gt;Forleo,G.&lt;/Authors_Primary&gt;&lt;Authors_Primary&gt;Pelargonio,G.&lt;/Authors_Primary&gt;&lt;Authors_Primary&gt;Narducci,M.L.&lt;/Authors_Primary&gt;&lt;Authors_Primary&gt;Dello Russo,A.&lt;/Authors_Primary&gt;&lt;Authors_Primary&gt;Casella,M.&lt;/Authors_Primary&gt;&lt;Authors_Primary&gt;Fassini,G.&lt;/Authors_Primary&gt;&lt;Authors_Primary&gt;Tondo,C.&lt;/Authors_Primary&gt;&lt;Authors_Primary&gt;Schweikert,R.A.&lt;/Authors_Primary&gt;&lt;Authors_Primary&gt;Natale,A.&lt;/Authors_Primary&gt;&lt;Date_Primary&gt;2014/6/24&lt;/Date_Primary&gt;&lt;Keywords&gt;ablation&lt;/Keywords&gt;&lt;Keywords&gt;adverse effects&lt;/Keywords&gt;&lt;Keywords&gt;Aged&lt;/Keywords&gt;&lt;Keywords&gt;Anticoagulants&lt;/Keywords&gt;&lt;Keywords&gt;anticoagulation&lt;/Keywords&gt;&lt;Keywords&gt;Arm&lt;/Keywords&gt;&lt;Keywords&gt;Arrhythmia&lt;/Keywords&gt;&lt;Keywords&gt;Atrial Fibrillation&lt;/Keywords&gt;&lt;Keywords&gt;bleeding&lt;/Keywords&gt;&lt;Keywords&gt;California&lt;/Keywords&gt;&lt;Keywords&gt;Cardiology&lt;/Keywords&gt;&lt;Keywords&gt;Catheter Ablation&lt;/Keywords&gt;&lt;Keywords&gt;Cities&lt;/Keywords&gt;&lt;Keywords&gt;clinical trial&lt;/Keywords&gt;&lt;Keywords&gt;complications&lt;/Keywords&gt;&lt;Keywords&gt;Electrophysiology&lt;/Keywords&gt;&lt;Keywords&gt;epidemiology&lt;/Keywords&gt;&lt;Keywords&gt;Female&lt;/Keywords&gt;&lt;Keywords&gt;Heart&lt;/Keywords&gt;&lt;Keywords&gt;Hemorrhage&lt;/Keywords&gt;&lt;Keywords&gt;Heparin&lt;/Keywords&gt;&lt;Keywords&gt;Humans&lt;/Keywords&gt;&lt;Keywords&gt;Incidence&lt;/Keywords&gt;&lt;Keywords&gt;Italy&lt;/Keywords&gt;&lt;Keywords&gt;Kentucky&lt;/Keywords&gt;&lt;Keywords&gt;Male&lt;/Keywords&gt;&lt;Keywords&gt;MANAGEMENT&lt;/Keywords&gt;&lt;Keywords&gt;Medicine&lt;/Keywords&gt;&lt;Keywords&gt;methods&lt;/Keywords&gt;&lt;Keywords&gt;Middle Aged&lt;/Keywords&gt;&lt;Keywords&gt;Multicenter Studies&lt;/Keywords&gt;&lt;Keywords&gt;New York&lt;/Keywords&gt;&lt;Keywords&gt;Odds Ratio&lt;/Keywords&gt;&lt;Keywords&gt;Patients&lt;/Keywords&gt;&lt;Keywords&gt;Perioperative Period&lt;/Keywords&gt;&lt;Keywords&gt;prevention &amp;amp; control&lt;/Keywords&gt;&lt;Keywords&gt;Prospective Studies&lt;/Keywords&gt;&lt;Keywords&gt;randomized controlled trial&lt;/Keywords&gt;&lt;Keywords&gt;RANDOMIZED-TRIAL&lt;/Keywords&gt;&lt;Keywords&gt;Research&lt;/Keywords&gt;&lt;Keywords&gt;Risk&lt;/Keywords&gt;&lt;Keywords&gt;Risk Factors&lt;/Keywords&gt;&lt;Keywords&gt;Role&lt;/Keywords&gt;&lt;Keywords&gt;Stroke&lt;/Keywords&gt;&lt;Keywords&gt;surgery&lt;/Keywords&gt;&lt;Keywords&gt;Texas&lt;/Keywords&gt;&lt;Keywords&gt;therapeutic use&lt;/Keywords&gt;&lt;Keywords&gt;therapy&lt;/Keywords&gt;&lt;Keywords&gt;Thromboembolism&lt;/Keywords&gt;&lt;Keywords&gt;Time Factors&lt;/Keywords&gt;&lt;Keywords&gt;Treatment Outcome&lt;/Keywords&gt;&lt;Keywords&gt;Universities&lt;/Keywords&gt;&lt;Keywords&gt;Warfarin&lt;/Keywords&gt;&lt;Keywords&gt;Withholding Treatment&lt;/Keywords&gt;&lt;Reprint&gt;Not in File&lt;/Reprint&gt;&lt;Start_Page&gt;2638&lt;/Start_Page&gt;&lt;End_Page&gt;2644&lt;/End_Page&gt;&lt;Periodical&gt;Circulation&lt;/Periodical&gt;&lt;Volume&gt;129&lt;/Volume&gt;&lt;Issue&gt;25&lt;/Issue&gt;&lt;Address&gt;From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(A.N.)&amp;#xA;From the Texas Cardiac Arrhythmia Institute, St. David&amp;apos;s Medical Center, Austin (L.D.B., J.D.B., P.S., P.M., J.E.S., R. Horton, G.J.G., J.Z., B.R., S.M., A.N.); Albert Einstein College of Medicine, Montefiore Hospital, New York, NY (L.D.B.); Department of Biomedical Engineering, University of Texas, Austin (L.D.B., A.N.); Department of Cardiology, University of Foggia, Foggia, Italy (L.D.B., P.S.); Ospedale dell&amp;apos;Angelo, Mestre Venice, Italy (S.T., A.R.); University of Kansas, Kansas City (D.L., M.R.); California Pacific Medical Center, San Francisco (S.H., R. Hongo, S.B., A.N.); University of Kentucky, Lexington (C.S.E.); University of Tor Vergata, Rome, Italy (G. Forleo); University of Sacred Heart, Rome, Italy (G.P., M.L.N.); Cardiac Arrhythmia Research Centre, Centro Cardiologico Monzino IRCCS, Milan, Italy (A.D.R., M.C., G. Fassini, C.T.); Akron General Hospital, Akron, OH (R.A.S.); Division of Cardiology, Stanford University, CA (A.N.); Case Western Reserve University, Cleveland, OH (A.N.); and Interventional Electrophysiology, Scripps Clinic, La Jolla, CA (A.N.). dr.natale@gmail.com&lt;/Address&gt;&lt;Web_URL&gt;PM:24744272&lt;/Web_URL&gt;&lt;ZZ_JournalFull&gt;&lt;f name="System"&gt;Circulation&lt;/f&gt;&lt;/ZZ_JournalFull&gt;&lt;ZZ_WorkformID&gt;1&lt;/ZZ_WorkformID&gt;&lt;/MDL&gt;&lt;/Cite&gt;&lt;/Refman&gt;</w:instrText>
      </w:r>
      <w:r w:rsidR="00F33255">
        <w:fldChar w:fldCharType="separate"/>
      </w:r>
      <w:r w:rsidR="00F33255" w:rsidRPr="00F33255">
        <w:rPr>
          <w:vertAlign w:val="superscript"/>
        </w:rPr>
        <w:t>12</w:t>
      </w:r>
      <w:r w:rsidR="00F33255">
        <w:fldChar w:fldCharType="end"/>
      </w:r>
      <w:r w:rsidR="00F33255" w:rsidRPr="00572E41">
        <w:t xml:space="preserve"> and </w:t>
      </w:r>
      <w:r w:rsidR="00F33255" w:rsidRPr="00E84D1D">
        <w:t>phase IIIb VENTURE-AF</w:t>
      </w:r>
      <w:r w:rsidR="00F33255" w:rsidRPr="00B64398">
        <w:fldChar w:fldCharType="begin"/>
      </w:r>
      <w:r w:rsidR="00465856">
        <w:instrText xml:space="preserve"> ADDIN REFMGR.CITE &lt;Refman&gt;&lt;Cite&gt;&lt;Author&gt;Cappato&lt;/Author&gt;&lt;Year&gt;2015&lt;/Year&gt;&lt;RecNum&gt;CAPPATO2015&lt;/RecNum&gt;&lt;IDText&gt;Uninterrupted rivaroxaban vs. uninterrupted vitamin K antagonists for catheter ablation in non-valvular atrial fibrillation&lt;/IDText&gt;&lt;MDL Ref_Type="Journal"&gt;&lt;Ref_Type&gt;Journal&lt;/Ref_Type&gt;&lt;Ref_ID&gt;CAPPATO2015&lt;/Ref_ID&gt;&lt;Title_Primary&gt;Uninterrupted rivaroxaban vs. uninterrupted vitamin K antagonists for catheter ablation in non-valvular atrial fibrillation&lt;/Title_Primary&gt;&lt;Authors_Primary&gt;Cappato,R.&lt;/Authors_Primary&gt;&lt;Authors_Primary&gt;Marchlinski,F.E.&lt;/Authors_Primary&gt;&lt;Authors_Primary&gt;Hohnloser,S.H.&lt;/Authors_Primary&gt;&lt;Authors_Primary&gt;Naccarelli,G.V.&lt;/Authors_Primary&gt;&lt;Authors_Primary&gt;Xiang,J.&lt;/Authors_Primary&gt;&lt;Authors_Primary&gt;Wilber,D.J.&lt;/Authors_Primary&gt;&lt;Authors_Primary&gt;Ma,C.S.&lt;/Authors_Primary&gt;&lt;Authors_Primary&gt;Hess,S.&lt;/Authors_Primary&gt;&lt;Authors_Primary&gt;Wells,D.S.&lt;/Authors_Primary&gt;&lt;Authors_Primary&gt;Juang,G.&lt;/Authors_Primary&gt;&lt;Authors_Primary&gt;Vijgen,J.&lt;/Authors_Primary&gt;&lt;Authors_Primary&gt;Huegl,B.J.&lt;/Authors_Primary&gt;&lt;Authors_Primary&gt;Balasubramaniam,R.&lt;/Authors_Primary&gt;&lt;Authors_Primary&gt;De Chillou,C.&lt;/Authors_Primary&gt;&lt;Authors_Primary&gt;Wyn Davies,D.&lt;/Authors_Primary&gt;&lt;Authors_Primary&gt;Fields,L.E.&lt;/Authors_Primary&gt;&lt;Authors_Primary&gt;Natale,A.&lt;/Authors_Primary&gt;&lt;Authors_Primary&gt;on behalf of the VENTURE-AF Investigators,.&lt;/Authors_Primary&gt;&lt;Date_Primary&gt;2015/7/21&lt;/Date_Primary&gt;&lt;Keywords&gt;rivaroxaban&lt;/Keywords&gt;&lt;Keywords&gt;Vitamin K&lt;/Keywords&gt;&lt;Keywords&gt;Catheter Ablation&lt;/Keywords&gt;&lt;Keywords&gt;ablation&lt;/Keywords&gt;&lt;Keywords&gt;Atrial Fibrillation&lt;/Keywords&gt;&lt;Start_Page&gt;1805&lt;/Start_Page&gt;&lt;End_Page&gt;1811&lt;/End_Page&gt;&lt;Periodical&gt;Eur.Heart J.&lt;/Periodical&gt;&lt;Volume&gt;36&lt;/Volume&gt;&lt;Issue&gt;28&lt;/Issue&gt;&lt;Web_URL_Link1&gt;&lt;u&gt;http://eurheartj.oxfordjournals.org/content/ehj/early/2015/05/07/eurheartj.ehv177.full.pdf&lt;/u&gt;&lt;/Web_URL_Link1&gt;&lt;ZZ_JournalFull&gt;&lt;f name="System"&gt;European Heart Journal&lt;/f&gt;&lt;/ZZ_JournalFull&gt;&lt;ZZ_JournalStdAbbrev&gt;&lt;f name="System"&gt;Eur.Heart J.&lt;/f&gt;&lt;/ZZ_JournalStdAbbrev&gt;&lt;ZZ_WorkformID&gt;1&lt;/ZZ_WorkformID&gt;&lt;/MDL&gt;&lt;/Cite&gt;&lt;/Refman&gt;</w:instrText>
      </w:r>
      <w:r w:rsidR="00F33255" w:rsidRPr="00B64398">
        <w:fldChar w:fldCharType="separate"/>
      </w:r>
      <w:r w:rsidR="00F33255" w:rsidRPr="00F33255">
        <w:rPr>
          <w:vertAlign w:val="superscript"/>
        </w:rPr>
        <w:t>13</w:t>
      </w:r>
      <w:r w:rsidR="00F33255" w:rsidRPr="00B64398">
        <w:fldChar w:fldCharType="end"/>
      </w:r>
      <w:r w:rsidR="00F33255" w:rsidRPr="00572E41">
        <w:t xml:space="preserve"> </w:t>
      </w:r>
      <w:r w:rsidR="00F33255">
        <w:t>studies</w:t>
      </w:r>
      <w:r w:rsidR="00F11E86">
        <w:t>. Additionally, t</w:t>
      </w:r>
      <w:r w:rsidR="000C7905">
        <w:t xml:space="preserve">he </w:t>
      </w:r>
      <w:r w:rsidR="000C7905" w:rsidRPr="00E84D1D">
        <w:t>2016 ESC guidelines and the 2014 American Heart Association/American College of Cardiology (AHA/ACC) guidelines include a recommendation for the use of the NOACs apixaban, dabigatran and rivaroxaban in patients undergoing cardioversion</w:t>
      </w:r>
      <w:r w:rsidR="00F33255">
        <w:t>,</w:t>
      </w:r>
      <w:r w:rsidR="00F33255" w:rsidRPr="00B64398">
        <w:fldChar w:fldCharType="begin"/>
      </w:r>
      <w:r w:rsidR="00465856">
        <w:instrText xml:space="preserve"> ADDIN REFMGR.CITE &lt;Refman&gt;&lt;Cite&gt;&lt;Author&gt;January&lt;/Author&gt;&lt;Year&gt;2014&lt;/Year&gt;&lt;RecNum&gt;JANUARY2014&lt;/RecNum&gt;&lt;IDText&gt;2014 AHA/ACC/HRS Guideline for the management of patients with atrial fibrillation: a report of the American College of Cardiology/American Heart Association Task Force on Practice Guidelines and the Heart Rhythm Society&lt;/IDText&gt;&lt;MDL Ref_Type="Journal"&gt;&lt;Ref_Type&gt;Journal&lt;/Ref_Type&gt;&lt;Ref_ID&gt;JANUARY2014&lt;/Ref_ID&gt;&lt;Title_Primary&gt;2014 AHA/ACC/HRS Guideline for the management of patients with atrial fibrillation: a report of the American College of Cardiology/American Heart Association Task Force on Practice Guidelines and the Heart Rhythm Society&lt;/Title_Primary&gt;&lt;Authors_Primary&gt;January,C.T.&lt;/Authors_Primary&gt;&lt;Authors_Primary&gt;Wann,L.S.&lt;/Authors_Primary&gt;&lt;Authors_Primary&gt;Alpert,J.S.&lt;/Authors_Primary&gt;&lt;Authors_Primary&gt;Calkins,H.&lt;/Authors_Primary&gt;&lt;Authors_Primary&gt;Cleveland,J.C.,Jr.&lt;/Authors_Primary&gt;&lt;Authors_Primary&gt;Cigarroa,J.E.&lt;/Authors_Primary&gt;&lt;Authors_Primary&gt;Conti,J.B.&lt;/Authors_Primary&gt;&lt;Authors_Primary&gt;Ellinor,P.T.&lt;/Authors_Primary&gt;&lt;Authors_Primary&gt;Ezekowitz,M.D.&lt;/Authors_Primary&gt;&lt;Authors_Primary&gt;Field,M.E.&lt;/Authors_Primary&gt;&lt;Authors_Primary&gt;Murray,K.T.&lt;/Authors_Primary&gt;&lt;Authors_Primary&gt;Sacco,R.L.&lt;/Authors_Primary&gt;&lt;Authors_Primary&gt;Stevenson,W.G.&lt;/Authors_Primary&gt;&lt;Authors_Primary&gt;Tchou,P.J.&lt;/Authors_Primary&gt;&lt;Authors_Primary&gt;Tracy,C.M.&lt;/Authors_Primary&gt;&lt;Authors_Primary&gt;Yancy,C.W.&lt;/Authors_Primary&gt;&lt;Date_Primary&gt;2014/12/1&lt;/Date_Primary&gt;&lt;Keywords&gt;Atrial Fibrillation&lt;/Keywords&gt;&lt;Keywords&gt;Guidelines&lt;/Keywords&gt;&lt;Keywords&gt;Heart&lt;/Keywords&gt;&lt;Keywords&gt;MANAGEMENT&lt;/Keywords&gt;&lt;Keywords&gt;Patients&lt;/Keywords&gt;&lt;Keywords&gt;Practice Guidelines&lt;/Keywords&gt;&lt;Reprint&gt;Not in File&lt;/Reprint&gt;&lt;Start_Page&gt;e1&lt;/Start_Page&gt;&lt;End_Page&gt;e76&lt;/End_Page&gt;&lt;Periodical&gt;J.Am.Coll.Cardiol.&lt;/Periodical&gt;&lt;Volume&gt;64&lt;/Volume&gt;&lt;Issue&gt;21&lt;/Issue&gt;&lt;Web_URL&gt;PM:24685669&lt;/Web_URL&gt;&lt;ZZ_JournalFull&gt;&lt;f name="System"&gt;Journal of the American College of Cardiology&lt;/f&gt;&lt;/ZZ_JournalFull&gt;&lt;ZZ_JournalStdAbbrev&gt;&lt;f name="System"&gt;J.Am.Coll.Cardiol.&lt;/f&gt;&lt;/ZZ_JournalStdAbbrev&gt;&lt;ZZ_WorkformID&gt;1&lt;/ZZ_WorkformID&gt;&lt;/MDL&gt;&lt;/Cite&gt;&lt;/Refman&gt;</w:instrText>
      </w:r>
      <w:r w:rsidR="00F33255" w:rsidRPr="00B64398">
        <w:fldChar w:fldCharType="separate"/>
      </w:r>
      <w:r w:rsidR="00F33255" w:rsidRPr="00A91372">
        <w:rPr>
          <w:vertAlign w:val="superscript"/>
        </w:rPr>
        <w:t>2</w:t>
      </w:r>
      <w:r w:rsidR="00F33255" w:rsidRPr="00B64398">
        <w:fldChar w:fldCharType="end"/>
      </w:r>
      <w:r w:rsidR="00F33255">
        <w:t xml:space="preserve"> based on </w:t>
      </w:r>
      <w:r w:rsidR="00F33255">
        <w:rPr>
          <w:i/>
        </w:rPr>
        <w:t xml:space="preserve">post hoc </w:t>
      </w:r>
      <w:r w:rsidR="00F33255">
        <w:t>analyses of phase III clinical trials</w:t>
      </w:r>
      <w:r w:rsidR="00465856">
        <w:fldChar w:fldCharType="begin"/>
      </w:r>
      <w:r w:rsidR="00465856">
        <w:instrText xml:space="preserve"> ADDIN REFMGR.CITE &lt;Refman&gt;&lt;Cite&gt;&lt;Author&gt;Flaker&lt;/Author&gt;&lt;Year&gt;2014&lt;/Year&gt;&lt;RecNum&gt;FLAKER2014&lt;/RecNum&gt;&lt;IDText&gt;Efficacy and safety of apixaban in patients after cardioversion for atrial fibrillation: insights from the ARISTOTLE trial (Apixaban for Reduction in Stroke and Other Thromboembolic Events in Atrial Fibrillation)&lt;/IDText&gt;&lt;MDL Ref_Type="Journal"&gt;&lt;Ref_Type&gt;Journal&lt;/Ref_Type&gt;&lt;Ref_ID&gt;FLAKER2014&lt;/Ref_ID&gt;&lt;Title_Primary&gt;Efficacy and safety of apixaban in patients after cardioversion for atrial fibrillation: insights from the ARISTOTLE trial (Apixaban for Reduction in Stroke and Other Thromboembolic Events in Atrial Fibrillation)&lt;/Title_Primary&gt;&lt;Authors_Primary&gt;Flaker,G.&lt;/Authors_Primary&gt;&lt;Authors_Primary&gt;Lopes,R.D.&lt;/Authors_Primary&gt;&lt;Authors_Primary&gt;Al Khatib,S.M.&lt;/Authors_Primary&gt;&lt;Authors_Primary&gt;Hermosillo,A.G.&lt;/Authors_Primary&gt;&lt;Authors_Primary&gt;Hohnloser,S.H.&lt;/Authors_Primary&gt;&lt;Authors_Primary&gt;tinga,B.&lt;/Authors_Primary&gt;&lt;Authors_Primary&gt;Zhu,J.&lt;/Authors_Primary&gt;&lt;Authors_Primary&gt;Mohan,P.&lt;/Authors_Primary&gt;&lt;Authors_Primary&gt;Garcia,D.&lt;/Authors_Primary&gt;&lt;Authors_Primary&gt;Bartunek,J.&lt;/Authors_Primary&gt;&lt;Authors_Primary&gt;Vinereanu,D.&lt;/Authors_Primary&gt;&lt;Authors_Primary&gt;Husted,S.&lt;/Authors_Primary&gt;&lt;Authors_Primary&gt;Harjola,V.P.&lt;/Authors_Primary&gt;&lt;Authors_Primary&gt;Rosenqvist,M.&lt;/Authors_Primary&gt;&lt;Authors_Primary&gt;Alexander,J.H.&lt;/Authors_Primary&gt;&lt;Authors_Primary&gt;Granger,C.B.&lt;/Authors_Primary&gt;&lt;Authors_Primary&gt;ARISTOTLE Committees and Investigators,.&lt;/Authors_Primary&gt;&lt;Date_Primary&gt;2014/3/25&lt;/Date_Primary&gt;&lt;Keywords&gt;adverse effects&lt;/Keywords&gt;&lt;Keywords&gt;Aged&lt;/Keywords&gt;&lt;Keywords&gt;analysis&lt;/Keywords&gt;&lt;Keywords&gt;Anticoagulants&lt;/Keywords&gt;&lt;Keywords&gt;apixaban&lt;/Keywords&gt;&lt;Keywords&gt;Atrial Fibrillation&lt;/Keywords&gt;&lt;Keywords&gt;Belgium&lt;/Keywords&gt;&lt;Keywords&gt;bleeding&lt;/Keywords&gt;&lt;Keywords&gt;Cardiology&lt;/Keywords&gt;&lt;Keywords&gt;cardioversion&lt;/Keywords&gt;&lt;Keywords&gt;China&lt;/Keywords&gt;&lt;Keywords&gt;Comparative Study&lt;/Keywords&gt;&lt;Keywords&gt;dabigatran&lt;/Keywords&gt;&lt;Keywords&gt;Death&lt;/Keywords&gt;&lt;Keywords&gt;Denmark&lt;/Keywords&gt;&lt;Keywords&gt;diagnosis&lt;/Keywords&gt;&lt;Keywords&gt;Dose-Response Relationship,Drug&lt;/Keywords&gt;&lt;Keywords&gt;Drug Administration Schedule&lt;/Keywords&gt;&lt;Keywords&gt;drug therapy&lt;/Keywords&gt;&lt;Keywords&gt;Echocardiography,Transesophageal&lt;/Keywords&gt;&lt;Keywords&gt;Education&lt;/Keywords&gt;&lt;Keywords&gt;efficacy&lt;/Keywords&gt;&lt;Keywords&gt;Electric Countershock&lt;/Keywords&gt;&lt;Keywords&gt;Electrocardiography&lt;/Keywords&gt;&lt;Keywords&gt;Emergencies&lt;/Keywords&gt;&lt;Keywords&gt;Factor Xa&lt;/Keywords&gt;&lt;Keywords&gt;Factor Xa inhibitor&lt;/Keywords&gt;&lt;Keywords&gt;Female&lt;/Keywords&gt;&lt;Keywords&gt;Finland&lt;/Keywords&gt;&lt;Keywords&gt;FOLLOW-UP&lt;/Keywords&gt;&lt;Keywords&gt;Follow-Up Studies&lt;/Keywords&gt;&lt;Keywords&gt;Germany&lt;/Keywords&gt;&lt;Keywords&gt;Hemorrhage&lt;/Keywords&gt;&lt;Keywords&gt;Humans&lt;/Keywords&gt;&lt;Keywords&gt;Infarction&lt;/Keywords&gt;&lt;Keywords&gt;Internal Medicine&lt;/Keywords&gt;&lt;Keywords&gt;Male&lt;/Keywords&gt;&lt;Keywords&gt;Medicine&lt;/Keywords&gt;&lt;Keywords&gt;methods&lt;/Keywords&gt;&lt;Keywords&gt;Mexico&lt;/Keywords&gt;&lt;Keywords&gt;Middle Aged&lt;/Keywords&gt;&lt;Keywords&gt;mortality&lt;/Keywords&gt;&lt;Keywords&gt;Myocardial Infarction&lt;/Keywords&gt;&lt;Keywords&gt;New Jersey&lt;/Keywords&gt;&lt;Keywords&gt;New Mexico&lt;/Keywords&gt;&lt;Keywords&gt;North Carolina&lt;/Keywords&gt;&lt;Keywords&gt;Patient Safety&lt;/Keywords&gt;&lt;Keywords&gt;Patients&lt;/Keywords&gt;&lt;Keywords&gt;Pharmacies&lt;/Keywords&gt;&lt;Keywords&gt;prevention &amp;amp; control&lt;/Keywords&gt;&lt;Keywords&gt;Pyrazoles&lt;/Keywords&gt;&lt;Keywords&gt;Pyridones&lt;/Keywords&gt;&lt;Keywords&gt;randomized controlled trial&lt;/Keywords&gt;&lt;Keywords&gt;Research&lt;/Keywords&gt;&lt;Keywords&gt;Risk&lt;/Keywords&gt;&lt;Keywords&gt;Risk Assessment&lt;/Keywords&gt;&lt;Keywords&gt;Safety&lt;/Keywords&gt;&lt;Keywords&gt;Severity of Illness Index&lt;/Keywords&gt;&lt;Keywords&gt;Stroke&lt;/Keywords&gt;&lt;Keywords&gt;Survival Rate&lt;/Keywords&gt;&lt;Keywords&gt;Sweden&lt;/Keywords&gt;&lt;Keywords&gt;therapeutic use&lt;/Keywords&gt;&lt;Keywords&gt;therapy&lt;/Keywords&gt;&lt;Keywords&gt;Thromboembolism&lt;/Keywords&gt;&lt;Keywords&gt;Time&lt;/Keywords&gt;&lt;Keywords&gt;Treatment Outcome&lt;/Keywords&gt;&lt;Keywords&gt;Universities&lt;/Keywords&gt;&lt;Keywords&gt;Vitamin K&lt;/Keywords&gt;&lt;Keywords&gt;Warfarin&lt;/Keywords&gt;&lt;Reprint&gt;Not in File&lt;/Reprint&gt;&lt;Start_Page&gt;1082&lt;/Start_Page&gt;&lt;End_Page&gt;1087&lt;/End_Page&gt;&lt;Periodical&gt;J.Am.Coll.Cardiol.&lt;/Periodical&gt;&lt;Volume&gt;63&lt;/Volume&gt;&lt;Issue&gt;11&lt;/Issue&gt;&lt;Address&gt;Division of Cardiovascular Medicine, Department of Internal Medicine, University of Missouri, Columbia, Missouri. Electronic address: flakerg@missouri.edu&amp;#xA;Division of Cardiology, Department of Medicine, Duke Clinical Research Institute, Duke University Medical Center, Durham, North Carolina&amp;#xA;Division of Cardiology, Department of Medicine, Duke Clinical Research Institute, Duke University Medical Center, Durham, North Carolina&amp;#xA;Department of Electrocardiology, Instituto Nacional de Cardiologia, &amp;quot;Ignacio Chavez,&amp;quot; Juan Badiano #1, Seccion XVI, Tlalpan, Mexico&amp;#xA;J.W. Goethe-University, Frankfurt, Germany&amp;#xA;Division of Cardiology, Department of Medicine, Duke Clinical Research Institute, Duke University Medical Center, Durham, North Carolina&amp;#xA;Fuwai Hospital, Chinese Academy of Medical Sciences, Beijing, China&amp;#xA;Bristol-Myers Squibb, Princeton, New Jersey&amp;#xA;University of New Mexico, Albuquerque, New Mexico&amp;#xA;Cardiologisch Centrum, OLV Zienkenhuis, Aalst, Belgium&amp;#xA;University of Medicine and Pharmacy Carol Davila, Bucharest, Romania&amp;#xA;Department of Cardiology, Arhus University Hospital, Arhus, Denmark&amp;#xA;Division of Emergency Care, Department of Medicine, Helsinki University Central Hospital, Helsinki, Finland&amp;#xA;Department of Clinical Science and Education, Karolinska Institutet, Stockholm, Sweden&amp;#xA;Division of Cardiology, Department of Medicine, Duke Clinical Research Institute, Duke University Medical Center, Durham, North Carolina&amp;#xA;Division of Cardiology, Department of Medicine, Duke Clinical Research Institute, Duke University Medical Center, Durham, North Carolina&lt;/Address&gt;&lt;Web_URL&gt;PM:24211508&lt;/Web_URL&gt;&lt;ZZ_JournalFull&gt;&lt;f name="System"&gt;Journal of the American College of Cardiology&lt;/f&gt;&lt;/ZZ_JournalFull&gt;&lt;ZZ_JournalStdAbbrev&gt;&lt;f name="System"&gt;J.Am.Coll.Cardiol.&lt;/f&gt;&lt;/ZZ_JournalStdAbbrev&gt;&lt;ZZ_WorkformID&gt;1&lt;/ZZ_WorkformID&gt;&lt;/MDL&gt;&lt;/Cite&gt;&lt;Cite&gt;&lt;Author&gt;Nagarakanti&lt;/Author&gt;&lt;Year&gt;2011&lt;/Year&gt;&lt;RecNum&gt;NAGARAKANTI2011A&lt;/RecNum&gt;&lt;IDText&gt;Dabigatran versus warfarin in patients with atrial fibrillation: an analysis of patients undergoing cardioversion&lt;/IDText&gt;&lt;MDL Ref_Type="Journal"&gt;&lt;Ref_Type&gt;Journal&lt;/Ref_Type&gt;&lt;Ref_ID&gt;NAGARAKANTI2011A&lt;/Ref_ID&gt;&lt;Title_Primary&gt;Dabigatran versus warfarin in patients with atrial fibrillation: an analysis of patients undergoing cardioversion&lt;/Title_Primary&gt;&lt;Authors_Primary&gt;Nagarakanti,R.&lt;/Authors_Primary&gt;&lt;Authors_Primary&gt;Ezekowitz,M.D.&lt;/Authors_Primary&gt;&lt;Authors_Primary&gt;Oldgren,J.&lt;/Authors_Primary&gt;&lt;Authors_Primary&gt;Yang,S.&lt;/Authors_Primary&gt;&lt;Authors_Primary&gt;Chernick,M.&lt;/Authors_Primary&gt;&lt;Authors_Primary&gt;Aikens,T.H.&lt;/Authors_Primary&gt;&lt;Authors_Primary&gt;Flaker,G.&lt;/Authors_Primary&gt;&lt;Authors_Primary&gt;Brugada,J.&lt;/Authors_Primary&gt;&lt;Authors_Primary&gt;Kamensky,G.&lt;/Authors_Primary&gt;&lt;Authors_Primary&gt;Parekh,A.&lt;/Authors_Primary&gt;&lt;Authors_Primary&gt;Reilly,P.A.&lt;/Authors_Primary&gt;&lt;Authors_Primary&gt;Yusuf,S.&lt;/Authors_Primary&gt;&lt;Authors_Primary&gt;Connolly,S.J.&lt;/Authors_Primary&gt;&lt;Date_Primary&gt;2011/1/18&lt;/Date_Primary&gt;&lt;Keywords&gt;Anticoagulants&lt;/Keywords&gt;&lt;Keywords&gt;adverse effects&lt;/Keywords&gt;&lt;Keywords&gt;therapeutic use&lt;/Keywords&gt;&lt;Keywords&gt;Atrial Fibrillation&lt;/Keywords&gt;&lt;Keywords&gt;physiopathology&lt;/Keywords&gt;&lt;Keywords&gt;therapy&lt;/Keywords&gt;&lt;Keywords&gt;Benzimidazoles&lt;/Keywords&gt;&lt;Keywords&gt;dabigatran&lt;/Keywords&gt;&lt;Keywords&gt;Echocardiography,Transesophageal&lt;/Keywords&gt;&lt;Keywords&gt;Electric Countershock&lt;/Keywords&gt;&lt;Keywords&gt;Electric Stimulation Therapy&lt;/Keywords&gt;&lt;Keywords&gt;Hemorrhage&lt;/Keywords&gt;&lt;Keywords&gt;chemically induced&lt;/Keywords&gt;&lt;Keywords&gt;epidemiology&lt;/Keywords&gt;&lt;Keywords&gt;Humans&lt;/Keywords&gt;&lt;Keywords&gt;Incidence&lt;/Keywords&gt;&lt;Keywords&gt;Retrospective Studies&lt;/Keywords&gt;&lt;Keywords&gt;Stroke&lt;/Keywords&gt;&lt;Keywords&gt;prevention &amp;amp; control&lt;/Keywords&gt;&lt;Keywords&gt;Warfarin&lt;/Keywords&gt;&lt;Keywords&gt;beta-Alanine&lt;/Keywords&gt;&lt;Keywords&gt;analogs &amp;amp; derivatives&lt;/Keywords&gt;&lt;Reprint&gt;Not in File&lt;/Reprint&gt;&lt;Start_Page&gt;131&lt;/Start_Page&gt;&lt;End_Page&gt;136&lt;/End_Page&gt;&lt;Periodical&gt;Circulation&lt;/Periodical&gt;&lt;Volume&gt;123&lt;/Volume&gt;&lt;Issue&gt;2&lt;/Issue&gt;&lt;Address&gt;Louisiana State University School of Medicine, New Orleans, LA, USA&lt;/Address&gt;&lt;Web_URL&gt;PM:21200007&lt;/Web_URL&gt;&lt;ZZ_JournalFull&gt;&lt;f name="System"&gt;Circulation&lt;/f&gt;&lt;/ZZ_JournalFull&gt;&lt;ZZ_WorkformID&gt;1&lt;/ZZ_WorkformID&gt;&lt;/MDL&gt;&lt;/Cite&gt;&lt;Cite&gt;&lt;Author&gt;Piccini&lt;/Author&gt;&lt;Year&gt;2013&lt;/Year&gt;&lt;RecNum&gt;PICCINI2013A&lt;/RecNum&gt;&lt;IDText&gt;Outcomes following cardioversion and atrial fibrillation ablation in patients treated with rivaroxaban and warfarin in the ROCKET AF trial&lt;/IDText&gt;&lt;MDL Ref_Type="Journal"&gt;&lt;Ref_Type&gt;Journal&lt;/Ref_Type&gt;&lt;Ref_ID&gt;PICCINI2013A&lt;/Ref_ID&gt;&lt;Title_Primary&gt;Outcomes following cardioversion and atrial fibrillation ablation in patients treated with rivaroxaban and warfarin in the ROCKET AF trial&lt;/Title_Primary&gt;&lt;Authors_Primary&gt;Piccini,J.P.&lt;/Authors_Primary&gt;&lt;Authors_Primary&gt;Stevens,S.R.&lt;/Authors_Primary&gt;&lt;Authors_Primary&gt;Lokhnygina,Y.&lt;/Authors_Primary&gt;&lt;Authors_Primary&gt;Patel,M.R.&lt;/Authors_Primary&gt;&lt;Authors_Primary&gt;Halperin,J.L.&lt;/Authors_Primary&gt;&lt;Authors_Primary&gt;Singer,D.E.&lt;/Authors_Primary&gt;&lt;Authors_Primary&gt;Hankey,G.J.&lt;/Authors_Primary&gt;&lt;Authors_Primary&gt;Hacke,W.&lt;/Authors_Primary&gt;&lt;Authors_Primary&gt;Becker,R.C.&lt;/Authors_Primary&gt;&lt;Authors_Primary&gt;Nessel,C.C.&lt;/Authors_Primary&gt;&lt;Authors_Primary&gt;Mahaffey,K.W.&lt;/Authors_Primary&gt;&lt;Authors_Primary&gt;Fox,K.A.A.&lt;/Authors_Primary&gt;&lt;Authors_Primary&gt;Califf,R.M.&lt;/Authors_Primary&gt;&lt;Authors_Primary&gt;Breithardt,G.&lt;/Authors_Primary&gt;&lt;Authors_Primary&gt;ROCKET AF Steering Committee &amp;amp; Investigators,.&lt;/Authors_Primary&gt;&lt;Date_Primary&gt;2013/3/13&lt;/Date_Primary&gt;&lt;Keywords&gt;ablation&lt;/Keywords&gt;&lt;Keywords&gt;analysis&lt;/Keywords&gt;&lt;Keywords&gt;Arm&lt;/Keywords&gt;&lt;Keywords&gt;Atrial Fibrillation&lt;/Keywords&gt;&lt;Keywords&gt;cardioversion&lt;/Keywords&gt;&lt;Keywords&gt;Catheter Ablation&lt;/Keywords&gt;&lt;Keywords&gt;Death&lt;/Keywords&gt;&lt;Keywords&gt;Embolism&lt;/Keywords&gt;&lt;Keywords&gt;Factor Xa&lt;/Keywords&gt;&lt;Keywords&gt;Factor Xa inhibitor&lt;/Keywords&gt;&lt;Keywords&gt;Hospitalization&lt;/Keywords&gt;&lt;Keywords&gt;Incidence&lt;/Keywords&gt;&lt;Keywords&gt;inhibitors&lt;/Keywords&gt;&lt;Keywords&gt;methods&lt;/Keywords&gt;&lt;Keywords&gt;Patients&lt;/Keywords&gt;&lt;Keywords&gt;Research&lt;/Keywords&gt;&lt;Keywords&gt;rivaroxaban&lt;/Keywords&gt;&lt;Keywords&gt;ROCKET&lt;/Keywords&gt;&lt;Keywords&gt;ROCKET AF&lt;/Keywords&gt;&lt;Keywords&gt;Stroke&lt;/Keywords&gt;&lt;Keywords&gt;Survival&lt;/Keywords&gt;&lt;Keywords&gt;Universities&lt;/Keywords&gt;&lt;Keywords&gt;Warfarin&lt;/Keywords&gt;&lt;Reprint&gt;Not in File&lt;/Reprint&gt;&lt;Start_Page&gt;1998&lt;/Start_Page&gt;&lt;End_Page&gt;2006&lt;/End_Page&gt;&lt;Periodical&gt;J.Am.Coll.Cardiol.&lt;/Periodical&gt;&lt;Volume&gt;61&lt;/Volume&gt;&lt;Issue&gt;19&lt;/Issue&gt;&lt;Address&gt;Duke Clinical Research Institute, Duke University Medical Center, Durham, NC. Electronic address: jonathan.piccini@duke.edu&lt;/Address&gt;&lt;Web_URL&gt;PM:23500298&lt;/Web_URL&gt;&lt;ZZ_JournalFull&gt;&lt;f name="System"&gt;Journal of the American College of Cardiology&lt;/f&gt;&lt;/ZZ_JournalFull&gt;&lt;ZZ_JournalStdAbbrev&gt;&lt;f name="System"&gt;J.Am.Coll.Cardiol.&lt;/f&gt;&lt;/ZZ_JournalStdAbbrev&gt;&lt;ZZ_WorkformID&gt;1&lt;/ZZ_WorkformID&gt;&lt;/MDL&gt;&lt;/Cite&gt;&lt;/Refman&gt;</w:instrText>
      </w:r>
      <w:r w:rsidR="00465856">
        <w:fldChar w:fldCharType="separate"/>
      </w:r>
      <w:r w:rsidR="00465856" w:rsidRPr="00465856">
        <w:rPr>
          <w:vertAlign w:val="superscript"/>
        </w:rPr>
        <w:t>14–16</w:t>
      </w:r>
      <w:r w:rsidR="00465856">
        <w:fldChar w:fldCharType="end"/>
      </w:r>
      <w:r w:rsidR="00F33255">
        <w:t xml:space="preserve"> and the phase IIIb X-VeRT study</w:t>
      </w:r>
      <w:r w:rsidR="000C7905">
        <w:t>.</w:t>
      </w:r>
      <w:r w:rsidR="00465856">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465856">
        <w:fldChar w:fldCharType="separate"/>
      </w:r>
      <w:r w:rsidR="00465856" w:rsidRPr="00465856">
        <w:rPr>
          <w:vertAlign w:val="superscript"/>
        </w:rPr>
        <w:t>17</w:t>
      </w:r>
      <w:r w:rsidR="00465856">
        <w:fldChar w:fldCharType="end"/>
      </w:r>
      <w:r w:rsidR="00524736" w:rsidRPr="00572E41">
        <w:t xml:space="preserve"> </w:t>
      </w:r>
    </w:p>
    <w:p w14:paraId="6043F994" w14:textId="10C35394" w:rsidR="002521F9" w:rsidRPr="00E84D1D" w:rsidRDefault="00D710A8" w:rsidP="00241797">
      <w:pPr>
        <w:pStyle w:val="Text"/>
        <w:ind w:firstLine="567"/>
      </w:pPr>
      <w:r w:rsidRPr="00E84D1D">
        <w:t>XANTUS was a prospective</w:t>
      </w:r>
      <w:r w:rsidR="00EE4A54" w:rsidRPr="00E84D1D">
        <w:t>,</w:t>
      </w:r>
      <w:r w:rsidRPr="00E84D1D">
        <w:t xml:space="preserve"> </w:t>
      </w:r>
      <w:r w:rsidR="00EC39BA" w:rsidRPr="00E84D1D">
        <w:t>observational</w:t>
      </w:r>
      <w:r w:rsidRPr="00E84D1D">
        <w:t xml:space="preserve"> study assessing the safety and </w:t>
      </w:r>
      <w:r w:rsidR="004E2A65" w:rsidRPr="00E84D1D">
        <w:t>effectiveness</w:t>
      </w:r>
      <w:r w:rsidR="00282C6C" w:rsidRPr="00E84D1D">
        <w:t xml:space="preserve"> of rivaroxaban in routine, real-world</w:t>
      </w:r>
      <w:r w:rsidRPr="00E84D1D">
        <w:t xml:space="preserve"> clinical practice in </w:t>
      </w:r>
      <w:r w:rsidR="005C140F" w:rsidRPr="00E84D1D">
        <w:t xml:space="preserve">6784 </w:t>
      </w:r>
      <w:r w:rsidRPr="00E84D1D">
        <w:t>patients with non-valvular AF</w:t>
      </w:r>
      <w:r w:rsidR="000522A1" w:rsidRPr="00E84D1D">
        <w:t>.</w:t>
      </w:r>
      <w:r w:rsidR="00BB6394" w:rsidRPr="00B64398">
        <w:fldChar w:fldCharType="begin"/>
      </w:r>
      <w:r w:rsidR="00465856">
        <w:instrText xml:space="preserve"> ADDIN REFMGR.CITE &lt;Refman&gt;&lt;Cite&gt;&lt;Author&gt;Camm&lt;/Author&gt;&lt;Year&gt;2016&lt;/Year&gt;&lt;RecNum&gt;CAMM2016&lt;/RecNum&gt;&lt;IDText&gt;XANTUS: a real-world, prospective, observational study of patients treated with rivaroxaban for stroke prevention in atrial fibrillation&lt;/IDText&gt;&lt;MDL Ref_Type="Journal"&gt;&lt;Ref_Type&gt;Journal&lt;/Ref_Type&gt;&lt;Ref_ID&gt;CAMM2016&lt;/Ref_ID&gt;&lt;Title_Primary&gt;XANTUS: a real-world, prospective, observational study of patients treated with rivaroxaban for stroke prevention in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Kuhls,S.&lt;/Authors_Primary&gt;&lt;Authors_Primary&gt;van Eickels,M.&lt;/Authors_Primary&gt;&lt;Authors_Primary&gt;Turpie,A.G.G.&lt;/Authors_Primary&gt;&lt;Date_Primary&gt;2016/4/7&lt;/Date_Primary&gt;&lt;Keywords&gt;analysis&lt;/Keywords&gt;&lt;Keywords&gt;anticoagulant&lt;/Keywords&gt;&lt;Keywords&gt;Anticoagulants&lt;/Keywords&gt;&lt;Keywords&gt;Atrial Fibrillation&lt;/Keywords&gt;&lt;Keywords&gt;Berlin&lt;/Keywords&gt;&lt;Keywords&gt;bleeding&lt;/Keywords&gt;&lt;Keywords&gt;Canada&lt;/Keywords&gt;&lt;Keywords&gt;clinical trial&lt;/Keywords&gt;&lt;Keywords&gt;Creatinine&lt;/Keywords&gt;&lt;Keywords&gt;Death&lt;/Keywords&gt;&lt;Keywords&gt;efficacy&lt;/Keywords&gt;&lt;Keywords&gt;Embolism&lt;/Keywords&gt;&lt;Keywords&gt;Europe&lt;/Keywords&gt;&lt;Keywords&gt;Factor Xa&lt;/Keywords&gt;&lt;Keywords&gt;Factor Xa inhibitor&lt;/Keywords&gt;&lt;Keywords&gt;Female&lt;/Keywords&gt;&lt;Keywords&gt;France&lt;/Keywords&gt;&lt;Keywords&gt;Germany&lt;/Keywords&gt;&lt;Keywords&gt;Hospitals&lt;/Keywords&gt;&lt;Keywords&gt;Israel&lt;/Keywords&gt;&lt;Keywords&gt;London&lt;/Keywords&gt;&lt;Keywords&gt;Medicine&lt;/Keywords&gt;&lt;Keywords&gt;methods&lt;/Keywords&gt;&lt;Keywords&gt;Neurology&lt;/Keywords&gt;&lt;Keywords&gt;oral anticoagulant&lt;/Keywords&gt;&lt;Keywords&gt;outcomes&lt;/Keywords&gt;&lt;Keywords&gt;Paris&lt;/Keywords&gt;&lt;Keywords&gt;Patients&lt;/Keywords&gt;&lt;Keywords&gt;Population&lt;/Keywords&gt;&lt;Keywords&gt;prevention&lt;/Keywords&gt;&lt;Keywords&gt;renal impairment&lt;/Keywords&gt;&lt;Keywords&gt;Research&lt;/Keywords&gt;&lt;Keywords&gt;rivaroxaban&lt;/Keywords&gt;&lt;Keywords&gt;Safety&lt;/Keywords&gt;&lt;Keywords&gt;Science&lt;/Keywords&gt;&lt;Keywords&gt;Stroke&lt;/Keywords&gt;&lt;Keywords&gt;treatment&lt;/Keywords&gt;&lt;Keywords&gt;Trust&lt;/Keywords&gt;&lt;Keywords&gt;Universities&lt;/Keywords&gt;&lt;Reprint&gt;Not in File&lt;/Reprint&gt;&lt;Start_Page&gt;1145&lt;/Start_Page&gt;&lt;End_Page&gt;1153&lt;/End_Page&gt;&lt;Periodical&gt;Eur.Heart J.&lt;/Periodical&gt;&lt;Volume&gt;37&lt;/Volume&gt;&lt;Issue&gt;14&lt;/Issue&gt;&lt;Address&gt;Cardiovascular and Cell Sciences Research Institute, St George&amp;apos;s, University of London, Cranmer Terrace, SW170RE London, UK jcamm@sgul.ac.uk&amp;#xA;Department of Neurology and Stroke Center, Paris-Diderot-Sorbonne University, Paris, France&amp;#xA;Vascular Center, Munich, Germany&amp;#xA;Global Medical Affairs, Bayer HealthCare Pharmaceuticals, Berlin, Germany&amp;#xA;Centre for Cardiovascular Sciences, University of Birmingham and Sandwell &amp;amp; West Birmingham Hospitals NHS Trust, Birmingham, UK Department of Cardiovascular Medicine, University of Munster, Munster, Germany&amp;#xA;Global Integrated Analysis, Bayer HealthCare Pharmaceuticals, Wuppertal, Germany&amp;#xA;Global Medical Affairs, Bayer HealthCare Pharmaceuticals, Berlin, Germany&amp;#xA;Department of Medicine, McMaster University, Hamilton, ON, Canada&lt;/Address&gt;&lt;Web_URL&gt;PM:26330425&lt;/Web_URL&gt;&lt;ZZ_JournalFull&gt;&lt;f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11</w:t>
      </w:r>
      <w:r w:rsidR="00BB6394" w:rsidRPr="00B64398">
        <w:fldChar w:fldCharType="end"/>
      </w:r>
      <w:r w:rsidR="005C140F" w:rsidRPr="00572E41">
        <w:t xml:space="preserve"> XANTUS showed that</w:t>
      </w:r>
      <w:r w:rsidR="00BB26C2" w:rsidRPr="00572E41">
        <w:t>,</w:t>
      </w:r>
      <w:r w:rsidR="005C140F" w:rsidRPr="00E84D1D">
        <w:t xml:space="preserve"> in a broad, unselected patient population, </w:t>
      </w:r>
      <w:r w:rsidR="00A4491B" w:rsidRPr="00E84D1D">
        <w:t xml:space="preserve">the </w:t>
      </w:r>
      <w:r w:rsidR="005C140F" w:rsidRPr="00E84D1D">
        <w:t>rates of stroke (0.6%) and major bleeding (1.9%) were low in patients receiving rivaroxaban in routine clinical practice.</w:t>
      </w:r>
      <w:r w:rsidR="00BB6394" w:rsidRPr="00B64398">
        <w:fldChar w:fldCharType="begin"/>
      </w:r>
      <w:r w:rsidR="00465856">
        <w:instrText xml:space="preserve"> ADDIN REFMGR.CITE &lt;Refman&gt;&lt;Cite&gt;&lt;Author&gt;Camm&lt;/Author&gt;&lt;Year&gt;2016&lt;/Year&gt;&lt;RecNum&gt;CAMM2016&lt;/RecNum&gt;&lt;IDText&gt;XANTUS: a real-world, prospective, observational study of patients treated with rivaroxaban for stroke prevention in atrial fibrillation&lt;/IDText&gt;&lt;MDL Ref_Type="Journal"&gt;&lt;Ref_Type&gt;Journal&lt;/Ref_Type&gt;&lt;Ref_ID&gt;CAMM2016&lt;/Ref_ID&gt;&lt;Title_Primary&gt;XANTUS: a real-world, prospective, observational study of patients treated with rivaroxaban for stroke prevention in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Kuhls,S.&lt;/Authors_Primary&gt;&lt;Authors_Primary&gt;van Eickels,M.&lt;/Authors_Primary&gt;&lt;Authors_Primary&gt;Turpie,A.G.G.&lt;/Authors_Primary&gt;&lt;Date_Primary&gt;2016/4/7&lt;/Date_Primary&gt;&lt;Keywords&gt;analysis&lt;/Keywords&gt;&lt;Keywords&gt;anticoagulant&lt;/Keywords&gt;&lt;Keywords&gt;Anticoagulants&lt;/Keywords&gt;&lt;Keywords&gt;Atrial Fibrillation&lt;/Keywords&gt;&lt;Keywords&gt;Berlin&lt;/Keywords&gt;&lt;Keywords&gt;bleeding&lt;/Keywords&gt;&lt;Keywords&gt;Canada&lt;/Keywords&gt;&lt;Keywords&gt;clinical trial&lt;/Keywords&gt;&lt;Keywords&gt;Creatinine&lt;/Keywords&gt;&lt;Keywords&gt;Death&lt;/Keywords&gt;&lt;Keywords&gt;efficacy&lt;/Keywords&gt;&lt;Keywords&gt;Embolism&lt;/Keywords&gt;&lt;Keywords&gt;Europe&lt;/Keywords&gt;&lt;Keywords&gt;Factor Xa&lt;/Keywords&gt;&lt;Keywords&gt;Factor Xa inhibitor&lt;/Keywords&gt;&lt;Keywords&gt;Female&lt;/Keywords&gt;&lt;Keywords&gt;France&lt;/Keywords&gt;&lt;Keywords&gt;Germany&lt;/Keywords&gt;&lt;Keywords&gt;Hospitals&lt;/Keywords&gt;&lt;Keywords&gt;Israel&lt;/Keywords&gt;&lt;Keywords&gt;London&lt;/Keywords&gt;&lt;Keywords&gt;Medicine&lt;/Keywords&gt;&lt;Keywords&gt;methods&lt;/Keywords&gt;&lt;Keywords&gt;Neurology&lt;/Keywords&gt;&lt;Keywords&gt;oral anticoagulant&lt;/Keywords&gt;&lt;Keywords&gt;outcomes&lt;/Keywords&gt;&lt;Keywords&gt;Paris&lt;/Keywords&gt;&lt;Keywords&gt;Patients&lt;/Keywords&gt;&lt;Keywords&gt;Population&lt;/Keywords&gt;&lt;Keywords&gt;prevention&lt;/Keywords&gt;&lt;Keywords&gt;renal impairment&lt;/Keywords&gt;&lt;Keywords&gt;Research&lt;/Keywords&gt;&lt;Keywords&gt;rivaroxaban&lt;/Keywords&gt;&lt;Keywords&gt;Safety&lt;/Keywords&gt;&lt;Keywords&gt;Science&lt;/Keywords&gt;&lt;Keywords&gt;Stroke&lt;/Keywords&gt;&lt;Keywords&gt;treatment&lt;/Keywords&gt;&lt;Keywords&gt;Trust&lt;/Keywords&gt;&lt;Keywords&gt;Universities&lt;/Keywords&gt;&lt;Reprint&gt;Not in File&lt;/Reprint&gt;&lt;Start_Page&gt;1145&lt;/Start_Page&gt;&lt;End_Page&gt;1153&lt;/End_Page&gt;&lt;Periodical&gt;Eur.Heart J.&lt;/Periodical&gt;&lt;Volume&gt;37&lt;/Volume&gt;&lt;Issue&gt;14&lt;/Issue&gt;&lt;Address&gt;Cardiovascular and Cell Sciences Research Institute, St George&amp;apos;s, University of London, Cranmer Terrace, SW170RE London, UK jcamm@sgul.ac.uk&amp;#xA;Department of Neurology and Stroke Center, Paris-Diderot-Sorbonne University, Paris, France&amp;#xA;Vascular Center, Munich, Germany&amp;#xA;Global Medical Affairs, Bayer HealthCare Pharmaceuticals, Berlin, Germany&amp;#xA;Centre for Cardiovascular Sciences, University of Birmingham and Sandwell &amp;amp; West Birmingham Hospitals NHS Trust, Birmingham, UK Department of Cardiovascular Medicine, University of Munster, Munster, Germany&amp;#xA;Global Integrated Analysis, Bayer HealthCare Pharmaceuticals, Wuppertal, Germany&amp;#xA;Global Medical Affairs, Bayer HealthCare Pharmaceuticals, Berlin, Germany&amp;#xA;Department of Medicine, McMaster University, Hamilton, ON, Canada&lt;/Address&gt;&lt;Web_URL&gt;PM:26330425&lt;/Web_URL&gt;&lt;ZZ_JournalFull&gt;&lt;f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11</w:t>
      </w:r>
      <w:r w:rsidR="00BB6394" w:rsidRPr="00B64398">
        <w:fldChar w:fldCharType="end"/>
      </w:r>
      <w:r w:rsidR="005C140F" w:rsidRPr="00572E41">
        <w:t xml:space="preserve"> Here</w:t>
      </w:r>
      <w:r w:rsidR="0004691E" w:rsidRPr="00572E41">
        <w:t>,</w:t>
      </w:r>
      <w:r w:rsidR="005C140F" w:rsidRPr="00E84D1D">
        <w:t xml:space="preserve"> w</w:t>
      </w:r>
      <w:r w:rsidR="002521F9" w:rsidRPr="00E84D1D">
        <w:t>e report the baseline demographics and clinical characteristics of patients</w:t>
      </w:r>
      <w:r w:rsidR="00740192" w:rsidRPr="00E84D1D">
        <w:t xml:space="preserve"> enrolled</w:t>
      </w:r>
      <w:r w:rsidR="002521F9" w:rsidRPr="00E84D1D">
        <w:t xml:space="preserve"> in </w:t>
      </w:r>
      <w:r w:rsidR="00740192" w:rsidRPr="00E84D1D">
        <w:t xml:space="preserve">the </w:t>
      </w:r>
      <w:r w:rsidR="002521F9" w:rsidRPr="00E84D1D">
        <w:t xml:space="preserve">XANTUS </w:t>
      </w:r>
      <w:r w:rsidR="00740192" w:rsidRPr="00E84D1D">
        <w:t xml:space="preserve">study </w:t>
      </w:r>
      <w:r w:rsidR="002521F9" w:rsidRPr="00E84D1D">
        <w:t xml:space="preserve">who underwent </w:t>
      </w:r>
      <w:r w:rsidR="00DC49AC" w:rsidRPr="00E84D1D">
        <w:t xml:space="preserve">catheter </w:t>
      </w:r>
      <w:r w:rsidR="002521F9" w:rsidRPr="00E84D1D">
        <w:t>ablation</w:t>
      </w:r>
      <w:r w:rsidR="002668AF" w:rsidRPr="00E84D1D">
        <w:t xml:space="preserve"> or cardioversion</w:t>
      </w:r>
      <w:r w:rsidR="005C140F" w:rsidRPr="00E84D1D">
        <w:t>,</w:t>
      </w:r>
      <w:r w:rsidR="002521F9" w:rsidRPr="00E84D1D">
        <w:t xml:space="preserve"> and the outcomes </w:t>
      </w:r>
      <w:r w:rsidR="000461A2" w:rsidRPr="00E84D1D">
        <w:t>observed in patien</w:t>
      </w:r>
      <w:r w:rsidR="005C140F" w:rsidRPr="00E84D1D">
        <w:t>ts treated with rivaroxaban for</w:t>
      </w:r>
      <w:r w:rsidR="000461A2" w:rsidRPr="00E84D1D">
        <w:t xml:space="preserve"> each of these interventions</w:t>
      </w:r>
      <w:r w:rsidR="005C140F" w:rsidRPr="00E84D1D">
        <w:t>.</w:t>
      </w:r>
    </w:p>
    <w:p w14:paraId="2ACA98C8" w14:textId="1F5AEAFD" w:rsidR="0091779D" w:rsidRPr="00E84D1D" w:rsidRDefault="0091779D" w:rsidP="00241797">
      <w:pPr>
        <w:pStyle w:val="Text"/>
      </w:pPr>
    </w:p>
    <w:p w14:paraId="3953E75B" w14:textId="77777777" w:rsidR="005D72D0" w:rsidRPr="00E84D1D" w:rsidRDefault="00F836E6" w:rsidP="00241797">
      <w:pPr>
        <w:pStyle w:val="Manuscriptheading2"/>
        <w:spacing w:before="0" w:after="0"/>
        <w:rPr>
          <w:lang w:val="en-GB"/>
        </w:rPr>
      </w:pPr>
      <w:r w:rsidRPr="00E84D1D">
        <w:rPr>
          <w:lang w:val="en-GB"/>
        </w:rPr>
        <w:t>Methods</w:t>
      </w:r>
    </w:p>
    <w:p w14:paraId="62DF5876" w14:textId="4C36A3F5" w:rsidR="005957B0" w:rsidRPr="00572E41" w:rsidRDefault="005957B0" w:rsidP="00241797">
      <w:pPr>
        <w:pStyle w:val="Text"/>
      </w:pPr>
      <w:r w:rsidRPr="00E84D1D">
        <w:t xml:space="preserve">The design of the international, non-interventional, observational XANTUS study was </w:t>
      </w:r>
      <w:r w:rsidR="008331FA" w:rsidRPr="00E84D1D">
        <w:t>approved by the European Medicines</w:t>
      </w:r>
      <w:r w:rsidR="00F836E6" w:rsidRPr="00E84D1D">
        <w:t xml:space="preserve"> Agency (EMA)</w:t>
      </w:r>
      <w:r w:rsidR="008331FA" w:rsidRPr="00E84D1D">
        <w:t xml:space="preserve"> and </w:t>
      </w:r>
      <w:r w:rsidR="00331E80" w:rsidRPr="00E84D1D">
        <w:t xml:space="preserve">the </w:t>
      </w:r>
      <w:r w:rsidR="00906FAD">
        <w:t>study</w:t>
      </w:r>
      <w:r w:rsidR="00906FAD" w:rsidRPr="00E84D1D">
        <w:t xml:space="preserve"> </w:t>
      </w:r>
      <w:r w:rsidR="00331E80" w:rsidRPr="00E84D1D">
        <w:t>design and</w:t>
      </w:r>
      <w:r w:rsidR="00894423" w:rsidRPr="00E84D1D">
        <w:t xml:space="preserve"> main</w:t>
      </w:r>
      <w:r w:rsidR="00331E80" w:rsidRPr="00E84D1D">
        <w:t xml:space="preserve"> results </w:t>
      </w:r>
      <w:r w:rsidR="008331FA" w:rsidRPr="00E84D1D">
        <w:t xml:space="preserve">have been published </w:t>
      </w:r>
      <w:r w:rsidRPr="00E84D1D">
        <w:t>previously</w:t>
      </w:r>
      <w:r w:rsidR="007A5F02" w:rsidRPr="00E84D1D">
        <w:t>.</w:t>
      </w:r>
      <w:r w:rsidR="00BB6394" w:rsidRPr="00B64398">
        <w:fldChar w:fldCharType="begin"/>
      </w:r>
      <w:r w:rsidR="00465856">
        <w:instrText xml:space="preserve"> ADDIN REFMGR.CITE &lt;Refman&gt;&lt;Cite&gt;&lt;Author&gt;Camm&lt;/Author&gt;&lt;Year&gt;2014&lt;/Year&gt;&lt;RecNum&gt;CAMM2014&lt;/RecNum&gt;&lt;IDText&gt;XANTUS: rationale and design of a noninterventional study of rivaroxaban for the prevention of stroke in patients with atrial fibrillation&lt;/IDText&gt;&lt;MDL Ref_Type="Journal"&gt;&lt;Ref_Type&gt;Journal&lt;/Ref_Type&gt;&lt;Ref_ID&gt;CAMM2014&lt;/Ref_ID&gt;&lt;Title_Primary&gt;XANTUS: rationale and design of a noninterventional study of rivaroxaban for the prevention of stroke in patients with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van Eickels,M.&lt;/Authors_Primary&gt;&lt;Authors_Primary&gt;Turpie,A.G.G.&lt;/Authors_Primary&gt;&lt;Date_Primary&gt;2014&lt;/Date_Primary&gt;&lt;Keywords&gt;rivaroxaban&lt;/Keywords&gt;&lt;Keywords&gt;prevention&lt;/Keywords&gt;&lt;Keywords&gt;Stroke&lt;/Keywords&gt;&lt;Keywords&gt;Patients&lt;/Keywords&gt;&lt;Keywords&gt;Atrial Fibrillation&lt;/Keywords&gt;&lt;Start_Page&gt;425&lt;/Start_Page&gt;&lt;End_Page&gt;434&lt;/End_Page&gt;&lt;Periodical&gt;Vasc.Health Risk Manag.&lt;/Periodical&gt;&lt;Volume&gt;10&lt;/Volume&gt;&lt;ZZ_JournalFull&gt;&lt;f name="System"&gt;Vascular Health and Risk Management&lt;/f&gt;&lt;/ZZ_JournalFull&gt;&lt;ZZ_JournalStdAbbrev&gt;&lt;f name="System"&gt;Vasc.Health Risk Manag.&lt;/f&gt;&lt;/ZZ_JournalStdAbbrev&gt;&lt;ZZ_WorkformID&gt;1&lt;/ZZ_WorkformID&gt;&lt;/MDL&gt;&lt;/Cite&gt;&lt;Cite&gt;&lt;Author&gt;Camm&lt;/Author&gt;&lt;Year&gt;2016&lt;/Year&gt;&lt;RecNum&gt;CAMM2016&lt;/RecNum&gt;&lt;IDText&gt;XANTUS: a real-world, prospective, observational study of patients treated with rivaroxaban for stroke prevention in atrial fibrillation&lt;/IDText&gt;&lt;MDL Ref_Type="Journal"&gt;&lt;Ref_Type&gt;Journal&lt;/Ref_Type&gt;&lt;Ref_ID&gt;CAMM2016&lt;/Ref_ID&gt;&lt;Title_Primary&gt;XANTUS: a real-world, prospective, observational study of patients treated with rivaroxaban for stroke prevention in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Kuhls,S.&lt;/Authors_Primary&gt;&lt;Authors_Primary&gt;van Eickels,M.&lt;/Authors_Primary&gt;&lt;Authors_Primary&gt;Turpie,A.G.G.&lt;/Authors_Primary&gt;&lt;Date_Primary&gt;2016/4/7&lt;/Date_Primary&gt;&lt;Keywords&gt;analysis&lt;/Keywords&gt;&lt;Keywords&gt;anticoagulant&lt;/Keywords&gt;&lt;Keywords&gt;Anticoagulants&lt;/Keywords&gt;&lt;Keywords&gt;Atrial Fibrillation&lt;/Keywords&gt;&lt;Keywords&gt;Berlin&lt;/Keywords&gt;&lt;Keywords&gt;bleeding&lt;/Keywords&gt;&lt;Keywords&gt;Canada&lt;/Keywords&gt;&lt;Keywords&gt;clinical trial&lt;/Keywords&gt;&lt;Keywords&gt;Creatinine&lt;/Keywords&gt;&lt;Keywords&gt;Death&lt;/Keywords&gt;&lt;Keywords&gt;efficacy&lt;/Keywords&gt;&lt;Keywords&gt;Embolism&lt;/Keywords&gt;&lt;Keywords&gt;Europe&lt;/Keywords&gt;&lt;Keywords&gt;Factor Xa&lt;/Keywords&gt;&lt;Keywords&gt;Factor Xa inhibitor&lt;/Keywords&gt;&lt;Keywords&gt;Female&lt;/Keywords&gt;&lt;Keywords&gt;France&lt;/Keywords&gt;&lt;Keywords&gt;Germany&lt;/Keywords&gt;&lt;Keywords&gt;Hospitals&lt;/Keywords&gt;&lt;Keywords&gt;Israel&lt;/Keywords&gt;&lt;Keywords&gt;London&lt;/Keywords&gt;&lt;Keywords&gt;Medicine&lt;/Keywords&gt;&lt;Keywords&gt;methods&lt;/Keywords&gt;&lt;Keywords&gt;Neurology&lt;/Keywords&gt;&lt;Keywords&gt;oral anticoagulant&lt;/Keywords&gt;&lt;Keywords&gt;outcomes&lt;/Keywords&gt;&lt;Keywords&gt;Paris&lt;/Keywords&gt;&lt;Keywords&gt;Patients&lt;/Keywords&gt;&lt;Keywords&gt;Population&lt;/Keywords&gt;&lt;Keywords&gt;prevention&lt;/Keywords&gt;&lt;Keywords&gt;renal impairment&lt;/Keywords&gt;&lt;Keywords&gt;Research&lt;/Keywords&gt;&lt;Keywords&gt;rivaroxaban&lt;/Keywords&gt;&lt;Keywords&gt;Safety&lt;/Keywords&gt;&lt;Keywords&gt;Science&lt;/Keywords&gt;&lt;Keywords&gt;Stroke&lt;/Keywords&gt;&lt;Keywords&gt;treatment&lt;/Keywords&gt;&lt;Keywords&gt;Trust&lt;/Keywords&gt;&lt;Keywords&gt;Universities&lt;/Keywords&gt;&lt;Reprint&gt;Not in File&lt;/Reprint&gt;&lt;Start_Page&gt;1145&lt;/Start_Page&gt;&lt;End_Page&gt;1153&lt;/End_Page&gt;&lt;Periodical&gt;Eur.Heart J.&lt;/Periodical&gt;&lt;Volume&gt;37&lt;/Volume&gt;&lt;Issue&gt;14&lt;/Issue&gt;&lt;Address&gt;Cardiovascular and Cell Sciences Research Institute, St George&amp;apos;s, University of London, Cranmer Terrace, SW170RE London, UK jcamm@sgul.ac.uk&amp;#xA;Department of Neurology and Stroke Center, Paris-Diderot-Sorbonne University, Paris, France&amp;#xA;Vascular Center, Munich, Germany&amp;#xA;Global Medical Affairs, Bayer HealthCare Pharmaceuticals, Berlin, Germany&amp;#xA;Centre for Cardiovascular Sciences, University of Birmingham and Sandwell &amp;amp; West Birmingham Hospitals NHS Trust, Birmingham, UK Department of Cardiovascular Medicine, University of Munster, Munster, Germany&amp;#xA;Global Integrated Analysis, Bayer HealthCare Pharmaceuticals, Wuppertal, Germany&amp;#xA;Global Medical Affairs, Bayer HealthCare Pharmaceuticals, Berlin, Germany&amp;#xA;Department of Medicine, McMaster University, Hamilton, ON, Canada&lt;/Address&gt;&lt;Web_URL&gt;PM:26330425&lt;/Web_URL&gt;&lt;ZZ_JournalFull&gt;&lt;f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11, 18</w:t>
      </w:r>
      <w:r w:rsidR="00BB6394" w:rsidRPr="00B64398">
        <w:fldChar w:fldCharType="end"/>
      </w:r>
    </w:p>
    <w:p w14:paraId="2D518EDE" w14:textId="77777777" w:rsidR="0091779D" w:rsidRPr="00572E41" w:rsidRDefault="0091779D" w:rsidP="00241797">
      <w:pPr>
        <w:pStyle w:val="Text"/>
      </w:pPr>
    </w:p>
    <w:p w14:paraId="2CE2B8FC" w14:textId="0BC1FE0E" w:rsidR="008331FA" w:rsidRPr="00E84D1D" w:rsidRDefault="008331FA" w:rsidP="00241797">
      <w:pPr>
        <w:pStyle w:val="Manuscriptheading3"/>
        <w:spacing w:before="0" w:after="0"/>
        <w:rPr>
          <w:lang w:val="en-GB"/>
        </w:rPr>
      </w:pPr>
      <w:r w:rsidRPr="00572E41">
        <w:rPr>
          <w:lang w:val="en-GB"/>
        </w:rPr>
        <w:t xml:space="preserve">Study population and </w:t>
      </w:r>
      <w:r w:rsidR="00030FA7" w:rsidRPr="00E84D1D">
        <w:rPr>
          <w:lang w:val="en-GB"/>
        </w:rPr>
        <w:t>data collection</w:t>
      </w:r>
    </w:p>
    <w:p w14:paraId="10DF6953" w14:textId="3074D3C5" w:rsidR="000F1CAD" w:rsidRPr="00E84D1D" w:rsidRDefault="00030FA7" w:rsidP="00241797">
      <w:pPr>
        <w:pStyle w:val="Text"/>
      </w:pPr>
      <w:r w:rsidRPr="00E84D1D">
        <w:t xml:space="preserve">Participating investigators were asked to screen all AF patients receiving pharmacological treatment for stroke prevention regardless of the prescribed treatment. This screening documentation occurred before eligible and consenting patients signed the informed consent forms and no patient-related data were </w:t>
      </w:r>
      <w:r w:rsidR="003228D2">
        <w:t>permitted</w:t>
      </w:r>
      <w:r w:rsidR="003228D2" w:rsidRPr="00E84D1D">
        <w:t xml:space="preserve"> </w:t>
      </w:r>
      <w:r w:rsidRPr="00E84D1D">
        <w:t xml:space="preserve">to be collected from the remaining patients. </w:t>
      </w:r>
      <w:r w:rsidR="007757A3" w:rsidRPr="00E84D1D">
        <w:t>Eligible</w:t>
      </w:r>
      <w:r w:rsidR="00282C6C" w:rsidRPr="00E84D1D">
        <w:t xml:space="preserve"> patients had a diagnosis of non-valvular </w:t>
      </w:r>
      <w:r w:rsidR="007757A3" w:rsidRPr="00E84D1D">
        <w:t xml:space="preserve">AF, were aged ≥18 years, started rivaroxaban therapy </w:t>
      </w:r>
      <w:r w:rsidR="00942085" w:rsidRPr="00E84D1D">
        <w:t>for the prevention</w:t>
      </w:r>
      <w:r w:rsidR="007757A3" w:rsidRPr="00E84D1D">
        <w:t xml:space="preserve"> of stroke/</w:t>
      </w:r>
      <w:r w:rsidR="009902D4" w:rsidRPr="00E84D1D">
        <w:t xml:space="preserve">non-central nervous system (CNS) </w:t>
      </w:r>
      <w:r w:rsidR="00750AE3" w:rsidRPr="00E84D1D">
        <w:t xml:space="preserve">systemic </w:t>
      </w:r>
      <w:r w:rsidR="00750AE3" w:rsidRPr="00E84D1D">
        <w:lastRenderedPageBreak/>
        <w:t>embolism (</w:t>
      </w:r>
      <w:r w:rsidR="007757A3" w:rsidRPr="00E84D1D">
        <w:t>SE</w:t>
      </w:r>
      <w:r w:rsidR="00750AE3" w:rsidRPr="00E84D1D">
        <w:t>)</w:t>
      </w:r>
      <w:r w:rsidR="007757A3" w:rsidRPr="00E84D1D">
        <w:t xml:space="preserve"> and provided written informed consent.</w:t>
      </w:r>
      <w:r w:rsidR="00BB6394" w:rsidRPr="00B64398">
        <w:fldChar w:fldCharType="begin"/>
      </w:r>
      <w:r w:rsidR="00465856">
        <w:instrText xml:space="preserve"> ADDIN REFMGR.CITE &lt;Refman&gt;&lt;Cite&gt;&lt;Author&gt;Camm&lt;/Author&gt;&lt;Year&gt;2014&lt;/Year&gt;&lt;RecNum&gt;CAMM2014&lt;/RecNum&gt;&lt;IDText&gt;XANTUS: rationale and design of a noninterventional study of rivaroxaban for the prevention of stroke in patients with atrial fibrillation&lt;/IDText&gt;&lt;MDL Ref_Type="Journal"&gt;&lt;Ref_Type&gt;Journal&lt;/Ref_Type&gt;&lt;Ref_ID&gt;CAMM2014&lt;/Ref_ID&gt;&lt;Title_Primary&gt;XANTUS: rationale and design of a noninterventional study of rivaroxaban for the prevention of stroke in patients with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van Eickels,M.&lt;/Authors_Primary&gt;&lt;Authors_Primary&gt;Turpie,A.G.G.&lt;/Authors_Primary&gt;&lt;Date_Primary&gt;2014&lt;/Date_Primary&gt;&lt;Keywords&gt;rivaroxaban&lt;/Keywords&gt;&lt;Keywords&gt;prevention&lt;/Keywords&gt;&lt;Keywords&gt;Stroke&lt;/Keywords&gt;&lt;Keywords&gt;Patients&lt;/Keywords&gt;&lt;Keywords&gt;Atrial Fibrillation&lt;/Keywords&gt;&lt;Start_Page&gt;425&lt;/Start_Page&gt;&lt;End_Page&gt;434&lt;/End_Page&gt;&lt;Periodical&gt;Vasc.Health Risk Manag.&lt;/Periodical&gt;&lt;Volume&gt;10&lt;/Volume&gt;&lt;ZZ_JournalFull&gt;&lt;f name="System"&gt;Vascular Health and Risk Management&lt;/f&gt;&lt;/ZZ_JournalFull&gt;&lt;ZZ_JournalStdAbbrev&gt;&lt;f name="System"&gt;Vasc.Health Risk Manag.&lt;/f&gt;&lt;/ZZ_JournalStdAbbrev&gt;&lt;ZZ_WorkformID&gt;1&lt;/ZZ_WorkformID&gt;&lt;/MDL&gt;&lt;/Cite&gt;&lt;/Refman&gt;</w:instrText>
      </w:r>
      <w:r w:rsidR="00BB6394" w:rsidRPr="00B64398">
        <w:fldChar w:fldCharType="separate"/>
      </w:r>
      <w:r w:rsidR="00A91372" w:rsidRPr="00A91372">
        <w:rPr>
          <w:vertAlign w:val="superscript"/>
        </w:rPr>
        <w:t>18</w:t>
      </w:r>
      <w:r w:rsidR="00BB6394" w:rsidRPr="00B64398">
        <w:fldChar w:fldCharType="end"/>
      </w:r>
      <w:r w:rsidR="007757A3" w:rsidRPr="00572E41">
        <w:t xml:space="preserve"> </w:t>
      </w:r>
      <w:r w:rsidR="00ED2AC5" w:rsidRPr="00572E41">
        <w:t>Patients undergoing these procedures were followed for up to</w:t>
      </w:r>
      <w:r w:rsidR="0005083F" w:rsidRPr="00E84D1D">
        <w:t xml:space="preserve"> </w:t>
      </w:r>
      <w:r w:rsidR="00ED2AC5" w:rsidRPr="00E84D1D">
        <w:t xml:space="preserve">1 year or for 30 days after the end of rivaroxaban therapy. </w:t>
      </w:r>
      <w:r w:rsidR="000F1CAD" w:rsidRPr="00E84D1D">
        <w:t>Investigators were asked to collect patient data every 3 months</w:t>
      </w:r>
      <w:r w:rsidR="00310525" w:rsidRPr="00E84D1D">
        <w:t>,</w:t>
      </w:r>
      <w:r w:rsidR="000F1CAD" w:rsidRPr="00E84D1D">
        <w:t xml:space="preserve"> includ</w:t>
      </w:r>
      <w:r w:rsidR="00310525" w:rsidRPr="00E84D1D">
        <w:t>ing</w:t>
      </w:r>
      <w:r w:rsidR="000F1CAD" w:rsidRPr="00E84D1D">
        <w:t xml:space="preserve"> information on </w:t>
      </w:r>
      <w:r w:rsidR="00310525" w:rsidRPr="00E84D1D">
        <w:t xml:space="preserve">AF-related </w:t>
      </w:r>
      <w:r w:rsidR="000F1CAD" w:rsidRPr="00E84D1D">
        <w:t xml:space="preserve">procedures such as </w:t>
      </w:r>
      <w:r w:rsidR="00206D4F" w:rsidRPr="00E84D1D">
        <w:t xml:space="preserve">catheter ablation, </w:t>
      </w:r>
      <w:r w:rsidR="000F1CAD" w:rsidRPr="00E84D1D">
        <w:t>synchronized electrica</w:t>
      </w:r>
      <w:r w:rsidR="00206D4F" w:rsidRPr="00E84D1D">
        <w:t>l cardioversion and</w:t>
      </w:r>
      <w:r w:rsidR="000F1CAD" w:rsidRPr="00E84D1D">
        <w:t xml:space="preserve"> pharmacological cardioversion</w:t>
      </w:r>
      <w:r w:rsidR="00F836E6" w:rsidRPr="00E84D1D">
        <w:t>,</w:t>
      </w:r>
      <w:r w:rsidR="000F1CAD" w:rsidRPr="00E84D1D">
        <w:t xml:space="preserve"> along with all adverse </w:t>
      </w:r>
      <w:r w:rsidR="004051A7" w:rsidRPr="00E84D1D">
        <w:t>outcome</w:t>
      </w:r>
      <w:r w:rsidR="000F1CAD" w:rsidRPr="00E84D1D">
        <w:t>s</w:t>
      </w:r>
      <w:r w:rsidR="00310525" w:rsidRPr="00E84D1D">
        <w:t>.</w:t>
      </w:r>
      <w:r w:rsidR="00BB6394" w:rsidRPr="00B64398">
        <w:fldChar w:fldCharType="begin"/>
      </w:r>
      <w:r w:rsidR="00465856">
        <w:instrText xml:space="preserve"> ADDIN REFMGR.CITE &lt;Refman&gt;&lt;Cite&gt;&lt;Author&gt;Camm&lt;/Author&gt;&lt;Year&gt;2014&lt;/Year&gt;&lt;RecNum&gt;CAMM2014&lt;/RecNum&gt;&lt;IDText&gt;XANTUS: rationale and design of a noninterventional study of rivaroxaban for the prevention of stroke in patients with atrial fibrillation&lt;/IDText&gt;&lt;MDL Ref_Type="Journal"&gt;&lt;Ref_Type&gt;Journal&lt;/Ref_Type&gt;&lt;Ref_ID&gt;CAMM2014&lt;/Ref_ID&gt;&lt;Title_Primary&gt;XANTUS: rationale and design of a noninterventional study of rivaroxaban for the prevention of stroke in patients with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van Eickels,M.&lt;/Authors_Primary&gt;&lt;Authors_Primary&gt;Turpie,A.G.G.&lt;/Authors_Primary&gt;&lt;Date_Primary&gt;2014&lt;/Date_Primary&gt;&lt;Keywords&gt;rivaroxaban&lt;/Keywords&gt;&lt;Keywords&gt;prevention&lt;/Keywords&gt;&lt;Keywords&gt;Stroke&lt;/Keywords&gt;&lt;Keywords&gt;Patients&lt;/Keywords&gt;&lt;Keywords&gt;Atrial Fibrillation&lt;/Keywords&gt;&lt;Start_Page&gt;425&lt;/Start_Page&gt;&lt;End_Page&gt;434&lt;/End_Page&gt;&lt;Periodical&gt;Vasc.Health Risk Manag.&lt;/Periodical&gt;&lt;Volume&gt;10&lt;/Volume&gt;&lt;ZZ_JournalFull&gt;&lt;f name="System"&gt;Vascular Health and Risk Management&lt;/f&gt;&lt;/ZZ_JournalFull&gt;&lt;ZZ_JournalStdAbbrev&gt;&lt;f name="System"&gt;Vasc.Health Risk Manag.&lt;/f&gt;&lt;/ZZ_JournalStdAbbrev&gt;&lt;ZZ_WorkformID&gt;1&lt;/ZZ_WorkformID&gt;&lt;/MDL&gt;&lt;/Cite&gt;&lt;/Refman&gt;</w:instrText>
      </w:r>
      <w:r w:rsidR="00BB6394" w:rsidRPr="00B64398">
        <w:fldChar w:fldCharType="separate"/>
      </w:r>
      <w:r w:rsidR="00A91372" w:rsidRPr="00A91372">
        <w:rPr>
          <w:vertAlign w:val="superscript"/>
        </w:rPr>
        <w:t>18</w:t>
      </w:r>
      <w:r w:rsidR="00BB6394" w:rsidRPr="00B64398">
        <w:fldChar w:fldCharType="end"/>
      </w:r>
      <w:r w:rsidR="00FC040D" w:rsidRPr="00572E41">
        <w:t xml:space="preserve"> In this real-world study, the procedures were carried out at the sole discretion of the </w:t>
      </w:r>
      <w:r w:rsidR="00206D4F" w:rsidRPr="00572E41">
        <w:t>participating investigators</w:t>
      </w:r>
      <w:r w:rsidR="00FC040D" w:rsidRPr="00E84D1D">
        <w:t xml:space="preserve"> and no protocol recommendations existed.</w:t>
      </w:r>
    </w:p>
    <w:p w14:paraId="65D85D75" w14:textId="77777777" w:rsidR="0091779D" w:rsidRPr="00E84D1D" w:rsidRDefault="0091779D" w:rsidP="00241797">
      <w:pPr>
        <w:pStyle w:val="Text"/>
      </w:pPr>
    </w:p>
    <w:p w14:paraId="38863635" w14:textId="77777777" w:rsidR="008331FA" w:rsidRPr="00E84D1D" w:rsidRDefault="008331FA" w:rsidP="00241797">
      <w:pPr>
        <w:pStyle w:val="Manuscriptheading3"/>
        <w:spacing w:before="0" w:after="0"/>
        <w:rPr>
          <w:lang w:val="en-GB"/>
        </w:rPr>
      </w:pPr>
      <w:r w:rsidRPr="00E84D1D">
        <w:rPr>
          <w:lang w:val="en-GB"/>
        </w:rPr>
        <w:t>Study outcomes</w:t>
      </w:r>
    </w:p>
    <w:p w14:paraId="0FDA6DE4" w14:textId="5D6CDC34" w:rsidR="00F836E6" w:rsidRPr="00E84D1D" w:rsidRDefault="00871A68" w:rsidP="00241797">
      <w:pPr>
        <w:pStyle w:val="Text"/>
      </w:pPr>
      <w:r w:rsidRPr="00E84D1D">
        <w:t xml:space="preserve">The </w:t>
      </w:r>
      <w:r w:rsidR="00894423" w:rsidRPr="00E84D1D">
        <w:t xml:space="preserve">data </w:t>
      </w:r>
      <w:r w:rsidR="00E53D63" w:rsidRPr="00E84D1D">
        <w:t xml:space="preserve">reported in this </w:t>
      </w:r>
      <w:r w:rsidRPr="00E84D1D">
        <w:t>analysis w</w:t>
      </w:r>
      <w:r w:rsidR="00E53D63" w:rsidRPr="00E84D1D">
        <w:t>ere</w:t>
      </w:r>
      <w:r w:rsidRPr="00E84D1D">
        <w:t xml:space="preserve"> the</w:t>
      </w:r>
      <w:r w:rsidR="00282C6C" w:rsidRPr="00E84D1D">
        <w:t xml:space="preserve"> </w:t>
      </w:r>
      <w:r w:rsidR="00310525" w:rsidRPr="00E84D1D">
        <w:t xml:space="preserve">following </w:t>
      </w:r>
      <w:r w:rsidR="00282C6C" w:rsidRPr="00E84D1D">
        <w:t xml:space="preserve">adverse </w:t>
      </w:r>
      <w:r w:rsidR="004051A7" w:rsidRPr="00E84D1D">
        <w:t>outcome</w:t>
      </w:r>
      <w:r w:rsidR="00282C6C" w:rsidRPr="00E84D1D">
        <w:t xml:space="preserve">s </w:t>
      </w:r>
      <w:r w:rsidR="00942085" w:rsidRPr="00E84D1D">
        <w:t xml:space="preserve">occurring </w:t>
      </w:r>
      <w:r w:rsidR="00282C6C" w:rsidRPr="00E84D1D">
        <w:t xml:space="preserve">within 30 days of </w:t>
      </w:r>
      <w:r w:rsidR="00942085" w:rsidRPr="00E84D1D">
        <w:t>a catheter ablation</w:t>
      </w:r>
      <w:r w:rsidR="00A31858" w:rsidRPr="00E84D1D">
        <w:t xml:space="preserve"> </w:t>
      </w:r>
      <w:r w:rsidR="00F249FA" w:rsidRPr="00E84D1D">
        <w:t>(as in the VENTURE-AF study</w:t>
      </w:r>
      <w:r w:rsidR="00BB6394" w:rsidRPr="00B64398">
        <w:fldChar w:fldCharType="begin"/>
      </w:r>
      <w:r w:rsidR="00465856">
        <w:instrText xml:space="preserve"> ADDIN REFMGR.CITE &lt;Refman&gt;&lt;Cite&gt;&lt;Author&gt;Cappato&lt;/Author&gt;&lt;Year&gt;2015&lt;/Year&gt;&lt;RecNum&gt;CAPPATO2015&lt;/RecNum&gt;&lt;IDText&gt;Uninterrupted rivaroxaban vs. uninterrupted vitamin K antagonists for catheter ablation in non-valvular atrial fibrillation&lt;/IDText&gt;&lt;MDL Ref_Type="Journal"&gt;&lt;Ref_Type&gt;Journal&lt;/Ref_Type&gt;&lt;Ref_ID&gt;CAPPATO2015&lt;/Ref_ID&gt;&lt;Title_Primary&gt;Uninterrupted rivaroxaban vs. uninterrupted vitamin K antagonists for catheter ablation in non-valvular atrial fibrillation&lt;/Title_Primary&gt;&lt;Authors_Primary&gt;Cappato,R.&lt;/Authors_Primary&gt;&lt;Authors_Primary&gt;Marchlinski,F.E.&lt;/Authors_Primary&gt;&lt;Authors_Primary&gt;Hohnloser,S.H.&lt;/Authors_Primary&gt;&lt;Authors_Primary&gt;Naccarelli,G.V.&lt;/Authors_Primary&gt;&lt;Authors_Primary&gt;Xiang,J.&lt;/Authors_Primary&gt;&lt;Authors_Primary&gt;Wilber,D.J.&lt;/Authors_Primary&gt;&lt;Authors_Primary&gt;Ma,C.S.&lt;/Authors_Primary&gt;&lt;Authors_Primary&gt;Hess,S.&lt;/Authors_Primary&gt;&lt;Authors_Primary&gt;Wells,D.S.&lt;/Authors_Primary&gt;&lt;Authors_Primary&gt;Juang,G.&lt;/Authors_Primary&gt;&lt;Authors_Primary&gt;Vijgen,J.&lt;/Authors_Primary&gt;&lt;Authors_Primary&gt;Huegl,B.J.&lt;/Authors_Primary&gt;&lt;Authors_Primary&gt;Balasubramaniam,R.&lt;/Authors_Primary&gt;&lt;Authors_Primary&gt;De Chillou,C.&lt;/Authors_Primary&gt;&lt;Authors_Primary&gt;Wyn Davies,D.&lt;/Authors_Primary&gt;&lt;Authors_Primary&gt;Fields,L.E.&lt;/Authors_Primary&gt;&lt;Authors_Primary&gt;Natale,A.&lt;/Authors_Primary&gt;&lt;Authors_Primary&gt;on behalf of the VENTURE-AF Investigators,.&lt;/Authors_Primary&gt;&lt;Date_Primary&gt;2015/7/21&lt;/Date_Primary&gt;&lt;Keywords&gt;rivaroxaban&lt;/Keywords&gt;&lt;Keywords&gt;Vitamin K&lt;/Keywords&gt;&lt;Keywords&gt;Catheter Ablation&lt;/Keywords&gt;&lt;Keywords&gt;ablation&lt;/Keywords&gt;&lt;Keywords&gt;Atrial Fibrillation&lt;/Keywords&gt;&lt;Start_Page&gt;1805&lt;/Start_Page&gt;&lt;End_Page&gt;1811&lt;/End_Page&gt;&lt;Periodical&gt;Eur.Heart J.&lt;/Periodical&gt;&lt;Volume&gt;36&lt;/Volume&gt;&lt;Issue&gt;28&lt;/Issue&gt;&lt;Web_URL_Link1&gt;&lt;u&gt;http://eurheartj.oxfordjournals.org/content/ehj/early/2015/05/07/eurheartj.ehv177.full.pdf&lt;/u&gt;&lt;/Web_URL_Link1&gt;&lt;ZZ_JournalFull&gt;&lt;f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F33255" w:rsidRPr="00F33255">
        <w:rPr>
          <w:vertAlign w:val="superscript"/>
        </w:rPr>
        <w:t>13</w:t>
      </w:r>
      <w:r w:rsidR="00BB6394" w:rsidRPr="00B64398">
        <w:fldChar w:fldCharType="end"/>
      </w:r>
      <w:r w:rsidR="00F249FA" w:rsidRPr="00572E41">
        <w:t xml:space="preserve">) </w:t>
      </w:r>
      <w:r w:rsidR="00A31858" w:rsidRPr="00572E41">
        <w:t>or cardioversion</w:t>
      </w:r>
      <w:r w:rsidR="00942085" w:rsidRPr="00E84D1D">
        <w:t xml:space="preserve"> procedure</w:t>
      </w:r>
      <w:r w:rsidR="00282C6C" w:rsidRPr="00E84D1D">
        <w:t xml:space="preserve">: </w:t>
      </w:r>
      <w:r w:rsidRPr="00E84D1D">
        <w:t xml:space="preserve">incidence of </w:t>
      </w:r>
      <w:r w:rsidR="00B06B14" w:rsidRPr="00E84D1D">
        <w:t xml:space="preserve">treatment-emergent </w:t>
      </w:r>
      <w:r w:rsidRPr="00E84D1D">
        <w:t>adjudicated symptomatic thromboembolic events</w:t>
      </w:r>
      <w:r w:rsidR="00E53D63" w:rsidRPr="00E84D1D">
        <w:t xml:space="preserve"> (stroke,</w:t>
      </w:r>
      <w:r w:rsidR="009902D4" w:rsidRPr="00E84D1D">
        <w:t xml:space="preserve"> non-CNS</w:t>
      </w:r>
      <w:r w:rsidR="00F836E6" w:rsidRPr="00E84D1D">
        <w:t xml:space="preserve"> </w:t>
      </w:r>
      <w:r w:rsidR="00E53D63" w:rsidRPr="00E84D1D">
        <w:t>SE, transient ischaemic attack [TIA] and myocardial infarction [MI]) and major bleeding</w:t>
      </w:r>
      <w:r w:rsidR="006D3974" w:rsidRPr="00E84D1D">
        <w:t xml:space="preserve"> (</w:t>
      </w:r>
      <w:r w:rsidR="00F836E6" w:rsidRPr="00E84D1D">
        <w:t>International Society on Thrombosis and Haemostasis [</w:t>
      </w:r>
      <w:r w:rsidR="006D3974" w:rsidRPr="00E84D1D">
        <w:t>ISTH</w:t>
      </w:r>
      <w:r w:rsidR="00F836E6" w:rsidRPr="00E84D1D">
        <w:t>]</w:t>
      </w:r>
      <w:r w:rsidR="006D3974" w:rsidRPr="00E84D1D">
        <w:t xml:space="preserve"> definition)</w:t>
      </w:r>
      <w:r w:rsidR="00282C6C" w:rsidRPr="00E84D1D">
        <w:t xml:space="preserve">; </w:t>
      </w:r>
      <w:r w:rsidR="00E53D63" w:rsidRPr="00E84D1D">
        <w:t>cardiovascular d</w:t>
      </w:r>
      <w:r w:rsidRPr="00E84D1D">
        <w:t xml:space="preserve">eath </w:t>
      </w:r>
      <w:r w:rsidR="00331E80" w:rsidRPr="00E84D1D">
        <w:t>(independ</w:t>
      </w:r>
      <w:r w:rsidR="00B06DFF" w:rsidRPr="00E84D1D">
        <w:t>ent</w:t>
      </w:r>
      <w:r w:rsidR="00331E80" w:rsidRPr="00E84D1D">
        <w:t>ly</w:t>
      </w:r>
      <w:r w:rsidR="00E53D63" w:rsidRPr="00E84D1D">
        <w:t xml:space="preserve"> a</w:t>
      </w:r>
      <w:r w:rsidRPr="00E84D1D">
        <w:t xml:space="preserve">djudicated </w:t>
      </w:r>
      <w:r w:rsidR="00E53D63" w:rsidRPr="00E84D1D">
        <w:t>c</w:t>
      </w:r>
      <w:r w:rsidRPr="00E84D1D">
        <w:t>ause</w:t>
      </w:r>
      <w:r w:rsidR="00331E80" w:rsidRPr="00E84D1D">
        <w:t>)</w:t>
      </w:r>
      <w:r w:rsidR="00282C6C" w:rsidRPr="00E84D1D">
        <w:t>;</w:t>
      </w:r>
      <w:r w:rsidRPr="00E84D1D">
        <w:t xml:space="preserve"> and </w:t>
      </w:r>
      <w:r w:rsidR="00310525" w:rsidRPr="00E84D1D">
        <w:t xml:space="preserve">all-cause </w:t>
      </w:r>
      <w:r w:rsidR="00E53D63" w:rsidRPr="00E84D1D">
        <w:t>d</w:t>
      </w:r>
      <w:r w:rsidRPr="00E84D1D">
        <w:t>eath</w:t>
      </w:r>
      <w:r w:rsidR="00F836E6" w:rsidRPr="00E84D1D">
        <w:t>.</w:t>
      </w:r>
      <w:r w:rsidR="00857D67" w:rsidRPr="00E84D1D">
        <w:t xml:space="preserve"> In addition, the same adverse </w:t>
      </w:r>
      <w:r w:rsidR="004051A7" w:rsidRPr="00E84D1D">
        <w:t>outcome</w:t>
      </w:r>
      <w:r w:rsidR="00857D67" w:rsidRPr="00E84D1D">
        <w:t xml:space="preserve">s occurring within 42 days </w:t>
      </w:r>
      <w:r w:rsidR="006F56F6" w:rsidRPr="00E84D1D">
        <w:t xml:space="preserve">after the procedure </w:t>
      </w:r>
      <w:r w:rsidR="00857D67" w:rsidRPr="00E84D1D">
        <w:t>were reported in patients undergoing cardioversion</w:t>
      </w:r>
      <w:r w:rsidR="00C26A07" w:rsidRPr="00E84D1D">
        <w:t xml:space="preserve">, as in the </w:t>
      </w:r>
      <w:r w:rsidR="00F249FA" w:rsidRPr="00E84D1D">
        <w:t>X-VeRT study.</w:t>
      </w:r>
      <w:r w:rsidR="00BB6394" w:rsidRPr="00B64398">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17</w:t>
      </w:r>
      <w:r w:rsidR="00BB6394" w:rsidRPr="00B64398">
        <w:fldChar w:fldCharType="end"/>
      </w:r>
      <w:r w:rsidR="00391604" w:rsidRPr="00572E41">
        <w:t xml:space="preserve"> Data</w:t>
      </w:r>
      <w:r w:rsidR="001230E5" w:rsidRPr="00572E41">
        <w:t xml:space="preserve"> on success of interventions were</w:t>
      </w:r>
      <w:r w:rsidR="00391604" w:rsidRPr="00E84D1D">
        <w:t xml:space="preserve"> not collected.</w:t>
      </w:r>
    </w:p>
    <w:p w14:paraId="49B6871D" w14:textId="77777777" w:rsidR="0091779D" w:rsidRPr="00E84D1D" w:rsidRDefault="0091779D" w:rsidP="00241797">
      <w:pPr>
        <w:pStyle w:val="Text"/>
      </w:pPr>
    </w:p>
    <w:p w14:paraId="7A6A41B7" w14:textId="77777777" w:rsidR="00F836E6" w:rsidRPr="00E84D1D" w:rsidRDefault="00F836E6" w:rsidP="00241797">
      <w:pPr>
        <w:pStyle w:val="Manuscriptheading3"/>
        <w:spacing w:before="0" w:after="0"/>
        <w:rPr>
          <w:lang w:val="en-GB"/>
        </w:rPr>
      </w:pPr>
      <w:r w:rsidRPr="00E84D1D">
        <w:rPr>
          <w:lang w:val="en-GB"/>
        </w:rPr>
        <w:t>Study governance</w:t>
      </w:r>
    </w:p>
    <w:p w14:paraId="5968160B" w14:textId="04DF95B7" w:rsidR="00F836E6" w:rsidRPr="00E84D1D" w:rsidRDefault="00F836E6" w:rsidP="00241797">
      <w:pPr>
        <w:pStyle w:val="Text"/>
      </w:pPr>
      <w:r w:rsidRPr="00E84D1D">
        <w:t xml:space="preserve">The study complied with the Declaration of Helsinki and was approved by the appropriate </w:t>
      </w:r>
      <w:r w:rsidR="002E1835" w:rsidRPr="00E84D1D">
        <w:t>health authorities</w:t>
      </w:r>
      <w:r w:rsidRPr="00E84D1D">
        <w:t xml:space="preserve">, independent </w:t>
      </w:r>
      <w:r w:rsidR="002E1835" w:rsidRPr="00E84D1D">
        <w:t>ethics committees</w:t>
      </w:r>
      <w:r w:rsidRPr="00E84D1D">
        <w:t xml:space="preserve"> and </w:t>
      </w:r>
      <w:r w:rsidR="002E1835" w:rsidRPr="00E84D1D">
        <w:t xml:space="preserve">independent review boards </w:t>
      </w:r>
      <w:r w:rsidRPr="00E84D1D">
        <w:t>as required.</w:t>
      </w:r>
      <w:r w:rsidR="00BB6394" w:rsidRPr="00B64398">
        <w:fldChar w:fldCharType="begin"/>
      </w:r>
      <w:r w:rsidR="00465856">
        <w:instrText xml:space="preserve"> ADDIN REFMGR.CITE &lt;Refman&gt;&lt;Cite&gt;&lt;Author&gt;Camm&lt;/Author&gt;&lt;Year&gt;2014&lt;/Year&gt;&lt;RecNum&gt;CAMM2014&lt;/RecNum&gt;&lt;IDText&gt;XANTUS: rationale and design of a noninterventional study of rivaroxaban for the prevention of stroke in patients with atrial fibrillation&lt;/IDText&gt;&lt;MDL Ref_Type="Journal"&gt;&lt;Ref_Type&gt;Journal&lt;/Ref_Type&gt;&lt;Ref_ID&gt;CAMM2014&lt;/Ref_ID&gt;&lt;Title_Primary&gt;XANTUS: rationale and design of a noninterventional study of rivaroxaban for the prevention of stroke in patients with atrial fibrillation&lt;/Title_Primary&gt;&lt;Authors_Primary&gt;Camm,A.J.&lt;/Authors_Primary&gt;&lt;Authors_Primary&gt;Amarenco,P.&lt;/Authors_Primary&gt;&lt;Authors_Primary&gt;Haas,S.&lt;/Authors_Primary&gt;&lt;Authors_Primary&gt;Hess,S.&lt;/Authors_Primary&gt;&lt;Authors_Primary&gt;Kirchhof,P.&lt;/Authors_Primary&gt;&lt;Authors_Primary&gt;van Eickels,M.&lt;/Authors_Primary&gt;&lt;Authors_Primary&gt;Turpie,A.G.G.&lt;/Authors_Primary&gt;&lt;Date_Primary&gt;2014&lt;/Date_Primary&gt;&lt;Keywords&gt;rivaroxaban&lt;/Keywords&gt;&lt;Keywords&gt;prevention&lt;/Keywords&gt;&lt;Keywords&gt;Stroke&lt;/Keywords&gt;&lt;Keywords&gt;Patients&lt;/Keywords&gt;&lt;Keywords&gt;Atrial Fibrillation&lt;/Keywords&gt;&lt;Start_Page&gt;425&lt;/Start_Page&gt;&lt;End_Page&gt;434&lt;/End_Page&gt;&lt;Periodical&gt;Vasc.Health Risk Manag.&lt;/Periodical&gt;&lt;Volume&gt;10&lt;/Volume&gt;&lt;ZZ_JournalFull&gt;&lt;f name="System"&gt;Vascular Health and Risk Management&lt;/f&gt;&lt;/ZZ_JournalFull&gt;&lt;ZZ_JournalStdAbbrev&gt;&lt;f name="System"&gt;Vasc.Health Risk Manag.&lt;/f&gt;&lt;/ZZ_JournalStdAbbrev&gt;&lt;ZZ_WorkformID&gt;1&lt;/ZZ_WorkformID&gt;&lt;/MDL&gt;&lt;/Cite&gt;&lt;/Refman&gt;</w:instrText>
      </w:r>
      <w:r w:rsidR="00BB6394" w:rsidRPr="00B64398">
        <w:fldChar w:fldCharType="separate"/>
      </w:r>
      <w:r w:rsidR="00A91372" w:rsidRPr="00A91372">
        <w:rPr>
          <w:vertAlign w:val="superscript"/>
        </w:rPr>
        <w:t>18</w:t>
      </w:r>
      <w:r w:rsidR="00BB6394" w:rsidRPr="00B64398">
        <w:fldChar w:fldCharType="end"/>
      </w:r>
      <w:r w:rsidRPr="00572E41">
        <w:t xml:space="preserve"> The study was conducted in accordance with </w:t>
      </w:r>
      <w:r w:rsidR="002E1835" w:rsidRPr="00572E41">
        <w:t>good pharmaco</w:t>
      </w:r>
      <w:r w:rsidR="00E40B3A">
        <w:t>-</w:t>
      </w:r>
      <w:r w:rsidR="002E1835" w:rsidRPr="00572E41">
        <w:t xml:space="preserve">epidemiology practice </w:t>
      </w:r>
      <w:r w:rsidRPr="00E84D1D">
        <w:t xml:space="preserve">(GPP). An independent academic </w:t>
      </w:r>
      <w:r w:rsidR="002E1835" w:rsidRPr="00E84D1D">
        <w:t xml:space="preserve">steering committee </w:t>
      </w:r>
      <w:r w:rsidRPr="00E84D1D">
        <w:t xml:space="preserve">oversaw the design and conduct of the study. In addition, </w:t>
      </w:r>
      <w:r w:rsidR="00A54CE5" w:rsidRPr="00E84D1D">
        <w:t xml:space="preserve">the committee </w:t>
      </w:r>
      <w:r w:rsidRPr="00E84D1D">
        <w:t>was responsible for manuscript development, had full access to all data and approved all versions of the manuscript.</w:t>
      </w:r>
    </w:p>
    <w:p w14:paraId="09229AE9" w14:textId="125D58F4" w:rsidR="00F836E6" w:rsidRPr="00E84D1D" w:rsidRDefault="00331E80" w:rsidP="00241797">
      <w:pPr>
        <w:pStyle w:val="Text"/>
        <w:ind w:firstLine="567"/>
      </w:pPr>
      <w:r w:rsidRPr="00E84D1D">
        <w:lastRenderedPageBreak/>
        <w:t xml:space="preserve">Informed </w:t>
      </w:r>
      <w:r w:rsidR="00F836E6" w:rsidRPr="00E84D1D">
        <w:t xml:space="preserve">consent </w:t>
      </w:r>
      <w:r w:rsidRPr="00E84D1D">
        <w:t xml:space="preserve">from the patient </w:t>
      </w:r>
      <w:r w:rsidR="00F836E6" w:rsidRPr="00E84D1D">
        <w:t>included the permission for data collection and analysis. To minimize the risk of loss to follow-up, patients could voluntarily provide an alternative contact to the investigator/independent patient management team</w:t>
      </w:r>
      <w:r w:rsidR="00B00BB7" w:rsidRPr="00E84D1D">
        <w:t xml:space="preserve"> in countries where this </w:t>
      </w:r>
      <w:r w:rsidR="00A54CE5" w:rsidRPr="00E84D1D">
        <w:t>wa</w:t>
      </w:r>
      <w:r w:rsidR="00B00BB7" w:rsidRPr="00E84D1D">
        <w:t>s permitted.</w:t>
      </w:r>
      <w:r w:rsidR="00F836E6" w:rsidRPr="00E84D1D">
        <w:t xml:space="preserve"> </w:t>
      </w:r>
      <w:r w:rsidR="00B00BB7" w:rsidRPr="00E84D1D">
        <w:t>D</w:t>
      </w:r>
      <w:r w:rsidR="00F836E6" w:rsidRPr="00E84D1D">
        <w:t>ata management and statistical analyses were overseen by the sponsor</w:t>
      </w:r>
      <w:r w:rsidR="00B00BB7" w:rsidRPr="00E84D1D">
        <w:t xml:space="preserve">, in compliance with </w:t>
      </w:r>
      <w:r w:rsidR="002E1835" w:rsidRPr="00E84D1D">
        <w:t xml:space="preserve">good clinical practice </w:t>
      </w:r>
      <w:r w:rsidR="00B00BB7" w:rsidRPr="00E84D1D">
        <w:t>(GCP) standards</w:t>
      </w:r>
      <w:r w:rsidR="00F836E6" w:rsidRPr="00E84D1D">
        <w:t>. The lead statistician oversaw programming and validation of the statistical analyses.</w:t>
      </w:r>
    </w:p>
    <w:p w14:paraId="0F9D9A3D" w14:textId="77777777" w:rsidR="0091779D" w:rsidRPr="00E84D1D" w:rsidRDefault="0091779D" w:rsidP="00241797">
      <w:pPr>
        <w:pStyle w:val="Text"/>
      </w:pPr>
    </w:p>
    <w:p w14:paraId="2C32D57A" w14:textId="77777777" w:rsidR="00F836E6" w:rsidRPr="00E84D1D" w:rsidRDefault="00F836E6" w:rsidP="00241797">
      <w:pPr>
        <w:pStyle w:val="Manuscriptheading3"/>
        <w:spacing w:before="0" w:after="0"/>
        <w:rPr>
          <w:lang w:val="en-GB"/>
        </w:rPr>
      </w:pPr>
      <w:r w:rsidRPr="00E84D1D">
        <w:rPr>
          <w:lang w:val="en-GB"/>
        </w:rPr>
        <w:t>Statistical analysis</w:t>
      </w:r>
    </w:p>
    <w:p w14:paraId="35346F74" w14:textId="0F9CEC19" w:rsidR="00212EDE" w:rsidRPr="00E84D1D" w:rsidRDefault="00FA77CF" w:rsidP="00241797">
      <w:pPr>
        <w:pStyle w:val="Text"/>
      </w:pPr>
      <w:r w:rsidRPr="00E84D1D">
        <w:t xml:space="preserve">This </w:t>
      </w:r>
      <w:r w:rsidR="008E50F7" w:rsidRPr="00E84D1D">
        <w:rPr>
          <w:i/>
        </w:rPr>
        <w:t>post hoc</w:t>
      </w:r>
      <w:r w:rsidR="00763D58" w:rsidRPr="00E84D1D">
        <w:t xml:space="preserve"> </w:t>
      </w:r>
      <w:r w:rsidR="003B6CF0" w:rsidRPr="00E84D1D">
        <w:t xml:space="preserve">analysis of cardioversion and ablation outcomes and demographics </w:t>
      </w:r>
      <w:r w:rsidR="00E83D7A" w:rsidRPr="00E84D1D">
        <w:t xml:space="preserve">was </w:t>
      </w:r>
      <w:r w:rsidR="003B6CF0" w:rsidRPr="00E84D1D">
        <w:t>of an exploratory, descriptive nature</w:t>
      </w:r>
      <w:r w:rsidR="004F6777" w:rsidRPr="00E84D1D">
        <w:t>.</w:t>
      </w:r>
      <w:r w:rsidR="003B6CF0" w:rsidRPr="00E84D1D">
        <w:t xml:space="preserve"> </w:t>
      </w:r>
      <w:r w:rsidR="004F6777" w:rsidRPr="00E84D1D">
        <w:rPr>
          <w:i/>
        </w:rPr>
        <w:t>P</w:t>
      </w:r>
      <w:r w:rsidR="003B6CF0" w:rsidRPr="00E84D1D">
        <w:t xml:space="preserve">-values </w:t>
      </w:r>
      <w:r w:rsidR="004F6777" w:rsidRPr="00E84D1D">
        <w:t xml:space="preserve">were determined based on </w:t>
      </w:r>
      <w:r w:rsidR="00A54CE5" w:rsidRPr="00E84D1D">
        <w:t xml:space="preserve">the </w:t>
      </w:r>
      <w:r w:rsidR="002E1835" w:rsidRPr="00E84D1D">
        <w:t>chi</w:t>
      </w:r>
      <w:r w:rsidR="004F6777" w:rsidRPr="00E84D1D">
        <w:t xml:space="preserve">-square test for categorical variables and </w:t>
      </w:r>
      <w:r w:rsidR="004F6777" w:rsidRPr="00E84D1D">
        <w:rPr>
          <w:i/>
        </w:rPr>
        <w:t>F</w:t>
      </w:r>
      <w:r w:rsidR="004F6777" w:rsidRPr="00E84D1D">
        <w:t>-test for continuous variables.</w:t>
      </w:r>
    </w:p>
    <w:p w14:paraId="37A48F94" w14:textId="64A06174" w:rsidR="0091779D" w:rsidRPr="00E84D1D" w:rsidRDefault="0091779D" w:rsidP="00241797">
      <w:pPr>
        <w:pStyle w:val="Text"/>
      </w:pPr>
    </w:p>
    <w:p w14:paraId="3F2503D2" w14:textId="77777777" w:rsidR="005D72D0" w:rsidRPr="00E84D1D" w:rsidRDefault="005D72D0" w:rsidP="00241797">
      <w:pPr>
        <w:pStyle w:val="Manuscriptheading2"/>
        <w:spacing w:before="0" w:after="0"/>
        <w:rPr>
          <w:lang w:val="en-GB"/>
        </w:rPr>
      </w:pPr>
      <w:r w:rsidRPr="00E84D1D">
        <w:rPr>
          <w:lang w:val="en-GB"/>
        </w:rPr>
        <w:t>Results</w:t>
      </w:r>
    </w:p>
    <w:p w14:paraId="0A106E14" w14:textId="20DC0847" w:rsidR="00FF7C3B" w:rsidRPr="00E84D1D" w:rsidRDefault="00FF7C3B" w:rsidP="00241797">
      <w:pPr>
        <w:pStyle w:val="Manuscriptheading3"/>
        <w:spacing w:before="0" w:after="0"/>
        <w:rPr>
          <w:lang w:val="en-GB"/>
        </w:rPr>
      </w:pPr>
      <w:r w:rsidRPr="00E84D1D">
        <w:rPr>
          <w:lang w:val="en-GB"/>
        </w:rPr>
        <w:t>Patient population</w:t>
      </w:r>
      <w:r w:rsidR="0022461D" w:rsidRPr="00E84D1D">
        <w:rPr>
          <w:lang w:val="en-GB"/>
        </w:rPr>
        <w:t xml:space="preserve"> and</w:t>
      </w:r>
      <w:r w:rsidR="00FA77CF" w:rsidRPr="00E84D1D">
        <w:rPr>
          <w:lang w:val="en-GB"/>
        </w:rPr>
        <w:t xml:space="preserve"> ablation </w:t>
      </w:r>
      <w:r w:rsidR="002668AF" w:rsidRPr="00E84D1D">
        <w:rPr>
          <w:lang w:val="en-GB"/>
        </w:rPr>
        <w:t xml:space="preserve">and cardioversion </w:t>
      </w:r>
      <w:r w:rsidR="00FA77CF" w:rsidRPr="00E84D1D">
        <w:rPr>
          <w:lang w:val="en-GB"/>
        </w:rPr>
        <w:t>procedures</w:t>
      </w:r>
    </w:p>
    <w:p w14:paraId="335BA020" w14:textId="6A92EE4D" w:rsidR="00FA77CF" w:rsidRPr="00E84D1D" w:rsidRDefault="0036519E" w:rsidP="00241797">
      <w:pPr>
        <w:pStyle w:val="Text"/>
      </w:pPr>
      <w:r w:rsidRPr="00E84D1D">
        <w:t xml:space="preserve">The overall XANTUS safety population </w:t>
      </w:r>
      <w:r w:rsidR="000378F8" w:rsidRPr="00E84D1D">
        <w:t xml:space="preserve">included </w:t>
      </w:r>
      <w:r w:rsidRPr="00E84D1D">
        <w:t xml:space="preserve">6784 </w:t>
      </w:r>
      <w:r w:rsidR="00A31858" w:rsidRPr="00E84D1D">
        <w:t xml:space="preserve">non-selected </w:t>
      </w:r>
      <w:r w:rsidRPr="00E84D1D">
        <w:t>patients</w:t>
      </w:r>
      <w:r w:rsidR="004112A6" w:rsidRPr="00E84D1D">
        <w:t>,</w:t>
      </w:r>
      <w:r w:rsidR="000378F8" w:rsidRPr="00E84D1D">
        <w:t xml:space="preserve"> of whom </w:t>
      </w:r>
      <w:r w:rsidR="00212EDE" w:rsidRPr="00E84D1D">
        <w:t>17</w:t>
      </w:r>
      <w:r w:rsidR="009E0899" w:rsidRPr="00E84D1D">
        <w:t>3</w:t>
      </w:r>
      <w:r w:rsidR="00212EDE" w:rsidRPr="00E84D1D">
        <w:t xml:space="preserve"> underwent </w:t>
      </w:r>
      <w:r w:rsidR="00C00B61" w:rsidRPr="00E84D1D">
        <w:t xml:space="preserve">catheter </w:t>
      </w:r>
      <w:r w:rsidR="004112A6" w:rsidRPr="00E84D1D">
        <w:t>ablation</w:t>
      </w:r>
      <w:r w:rsidR="002668AF" w:rsidRPr="00E84D1D">
        <w:t xml:space="preserve"> and 502 underwent cardioversion</w:t>
      </w:r>
      <w:r w:rsidR="00A31858" w:rsidRPr="00E84D1D">
        <w:t>.</w:t>
      </w:r>
      <w:r w:rsidR="00331E80" w:rsidRPr="00E84D1D">
        <w:t xml:space="preserve"> Forty</w:t>
      </w:r>
      <w:r w:rsidR="00B06DFF" w:rsidRPr="00E84D1D">
        <w:t>-</w:t>
      </w:r>
      <w:r w:rsidR="00331E80" w:rsidRPr="00E84D1D">
        <w:t xml:space="preserve">nine </w:t>
      </w:r>
      <w:r w:rsidR="00212EDE" w:rsidRPr="00E84D1D">
        <w:t>patients underwent both procedures</w:t>
      </w:r>
      <w:r w:rsidR="004112A6" w:rsidRPr="00E84D1D">
        <w:t>,</w:t>
      </w:r>
      <w:r w:rsidR="00212EDE" w:rsidRPr="00E84D1D">
        <w:t xml:space="preserve"> </w:t>
      </w:r>
      <w:r w:rsidR="004112A6" w:rsidRPr="00E84D1D">
        <w:t xml:space="preserve">bringing the number of patients who </w:t>
      </w:r>
      <w:r w:rsidR="00B02227" w:rsidRPr="00E84D1D">
        <w:t>had</w:t>
      </w:r>
      <w:r w:rsidR="004112A6" w:rsidRPr="00E84D1D">
        <w:t xml:space="preserve"> a</w:t>
      </w:r>
      <w:r w:rsidR="00857D67" w:rsidRPr="00E84D1D">
        <w:t>t least one</w:t>
      </w:r>
      <w:r w:rsidR="004112A6" w:rsidRPr="00E84D1D">
        <w:t xml:space="preserve"> intervention to </w:t>
      </w:r>
      <w:r w:rsidR="00212EDE" w:rsidRPr="00E84D1D">
        <w:t>6</w:t>
      </w:r>
      <w:r w:rsidR="004112A6" w:rsidRPr="00E84D1D">
        <w:t xml:space="preserve">26. </w:t>
      </w:r>
      <w:r w:rsidR="008E50F7" w:rsidRPr="00E84D1D">
        <w:rPr>
          <w:i/>
        </w:rPr>
        <w:t>Figure 1</w:t>
      </w:r>
      <w:r w:rsidRPr="00E84D1D">
        <w:t xml:space="preserve"> </w:t>
      </w:r>
      <w:r w:rsidR="004112A6" w:rsidRPr="00E84D1D">
        <w:t xml:space="preserve">shows </w:t>
      </w:r>
      <w:r w:rsidRPr="00E84D1D">
        <w:t>patient disposition</w:t>
      </w:r>
      <w:r w:rsidR="00487D78" w:rsidRPr="00E84D1D">
        <w:t xml:space="preserve"> during the study</w:t>
      </w:r>
      <w:r w:rsidR="004112A6" w:rsidRPr="00E84D1D">
        <w:t>, with</w:t>
      </w:r>
      <w:r w:rsidRPr="00E84D1D">
        <w:t xml:space="preserve"> numbers </w:t>
      </w:r>
      <w:r w:rsidR="004112A6" w:rsidRPr="00E84D1D">
        <w:t xml:space="preserve">of patients </w:t>
      </w:r>
      <w:r w:rsidRPr="00E84D1D">
        <w:t xml:space="preserve">undergoing each </w:t>
      </w:r>
      <w:r w:rsidR="00487D78" w:rsidRPr="00E84D1D">
        <w:t xml:space="preserve">of the </w:t>
      </w:r>
      <w:r w:rsidRPr="00E84D1D">
        <w:t>procedure</w:t>
      </w:r>
      <w:r w:rsidR="00487D78" w:rsidRPr="00E84D1D">
        <w:t>s</w:t>
      </w:r>
      <w:r w:rsidR="004112A6" w:rsidRPr="00E84D1D">
        <w:t>.</w:t>
      </w:r>
      <w:r w:rsidRPr="00E84D1D">
        <w:t xml:space="preserve"> </w:t>
      </w:r>
      <w:r w:rsidR="004F3F1B" w:rsidRPr="00E84D1D">
        <w:t xml:space="preserve">Of </w:t>
      </w:r>
      <w:r w:rsidR="00465868" w:rsidRPr="00E84D1D">
        <w:t>the 502 patients who underwent cardioversion</w:t>
      </w:r>
      <w:r w:rsidR="0003068E" w:rsidRPr="00E84D1D">
        <w:t>, 391 underwent electrical cardioversion and 151 pharmacological cardioversion</w:t>
      </w:r>
      <w:r w:rsidR="00744621" w:rsidRPr="00E84D1D">
        <w:t>;</w:t>
      </w:r>
      <w:r w:rsidR="00E30AD5" w:rsidRPr="00E84D1D">
        <w:t xml:space="preserve"> 40 </w:t>
      </w:r>
      <w:r w:rsidR="00F25AE9" w:rsidRPr="00E84D1D">
        <w:t xml:space="preserve">of these patients </w:t>
      </w:r>
      <w:r w:rsidR="00E30AD5" w:rsidRPr="00E84D1D">
        <w:t>underwent both</w:t>
      </w:r>
      <w:r w:rsidR="00C927DE" w:rsidRPr="00E84D1D">
        <w:t xml:space="preserve"> types of cardioversion</w:t>
      </w:r>
      <w:r w:rsidR="000337D6" w:rsidRPr="00E84D1D">
        <w:t>.</w:t>
      </w:r>
      <w:r w:rsidR="00B621C3" w:rsidRPr="00E84D1D">
        <w:t xml:space="preserve"> In total, </w:t>
      </w:r>
      <w:r w:rsidR="00E35AA3" w:rsidRPr="00E84D1D">
        <w:t>71</w:t>
      </w:r>
      <w:r w:rsidR="00B02227" w:rsidRPr="00E84D1D">
        <w:t>/173</w:t>
      </w:r>
      <w:r w:rsidR="00E35AA3" w:rsidRPr="00E84D1D">
        <w:t xml:space="preserve"> </w:t>
      </w:r>
      <w:r w:rsidR="00B621C3" w:rsidRPr="00E84D1D">
        <w:t>(</w:t>
      </w:r>
      <w:r w:rsidR="00E35AA3" w:rsidRPr="00E84D1D">
        <w:t>41</w:t>
      </w:r>
      <w:r w:rsidR="00B621C3" w:rsidRPr="00E84D1D">
        <w:t xml:space="preserve">%) patients undergoing catheter ablation and </w:t>
      </w:r>
      <w:r w:rsidR="00E35AA3" w:rsidRPr="00E84D1D">
        <w:t>201</w:t>
      </w:r>
      <w:r w:rsidR="00B02227" w:rsidRPr="00E84D1D">
        <w:t>/502</w:t>
      </w:r>
      <w:r w:rsidR="00B621C3" w:rsidRPr="00E84D1D">
        <w:t xml:space="preserve"> (</w:t>
      </w:r>
      <w:r w:rsidR="00E35AA3" w:rsidRPr="00E84D1D">
        <w:t>40</w:t>
      </w:r>
      <w:r w:rsidR="00B621C3" w:rsidRPr="00E84D1D">
        <w:t xml:space="preserve">%) of those undergoing cardioversion </w:t>
      </w:r>
      <w:r w:rsidR="00FC040D" w:rsidRPr="00E84D1D">
        <w:t>did not receive rivaroxaban on the day of the procedure</w:t>
      </w:r>
      <w:r w:rsidR="00B621C3" w:rsidRPr="00E84D1D">
        <w:t xml:space="preserve">. </w:t>
      </w:r>
    </w:p>
    <w:p w14:paraId="5D1AC191" w14:textId="77777777" w:rsidR="0091779D" w:rsidRPr="00E84D1D" w:rsidRDefault="0091779D" w:rsidP="00241797">
      <w:pPr>
        <w:pStyle w:val="Text"/>
      </w:pPr>
    </w:p>
    <w:p w14:paraId="6680BEA0" w14:textId="77777777" w:rsidR="00FF7C3B" w:rsidRPr="00E84D1D" w:rsidRDefault="00FF7C3B" w:rsidP="00241797">
      <w:pPr>
        <w:pStyle w:val="Manuscriptheading3"/>
        <w:spacing w:before="0" w:after="0"/>
        <w:rPr>
          <w:lang w:val="en-GB"/>
        </w:rPr>
      </w:pPr>
      <w:r w:rsidRPr="00E84D1D">
        <w:rPr>
          <w:lang w:val="en-GB"/>
        </w:rPr>
        <w:t>Patient demographics and clinical characteristics</w:t>
      </w:r>
    </w:p>
    <w:p w14:paraId="3B8CC462" w14:textId="2C7051EC" w:rsidR="00FA77CF" w:rsidRPr="00E84D1D" w:rsidRDefault="008F3E30" w:rsidP="00241797">
      <w:pPr>
        <w:pStyle w:val="Text"/>
      </w:pPr>
      <w:r w:rsidRPr="00E84D1D">
        <w:t>P</w:t>
      </w:r>
      <w:r w:rsidR="00871A68" w:rsidRPr="00E84D1D">
        <w:t xml:space="preserve">atients </w:t>
      </w:r>
      <w:r w:rsidRPr="00E84D1D">
        <w:t>who underwent</w:t>
      </w:r>
      <w:r w:rsidR="00C00B61" w:rsidRPr="00E84D1D">
        <w:t xml:space="preserve"> catheter</w:t>
      </w:r>
      <w:r w:rsidRPr="00E84D1D">
        <w:t xml:space="preserve"> ablation </w:t>
      </w:r>
      <w:r w:rsidR="00871A68" w:rsidRPr="00E84D1D">
        <w:t xml:space="preserve">tended to be </w:t>
      </w:r>
      <w:r w:rsidR="00325444" w:rsidRPr="00E84D1D">
        <w:t xml:space="preserve">significantly </w:t>
      </w:r>
      <w:r w:rsidR="00871A68" w:rsidRPr="00E84D1D">
        <w:t>younger than those who did not (</w:t>
      </w:r>
      <w:r w:rsidR="00C4547B" w:rsidRPr="00E84D1D">
        <w:t>mea</w:t>
      </w:r>
      <w:r w:rsidR="00E83D7A" w:rsidRPr="00E84D1D">
        <w:t>n</w:t>
      </w:r>
      <w:r w:rsidR="00C4547B" w:rsidRPr="00E84D1D">
        <w:t xml:space="preserve"> age </w:t>
      </w:r>
      <w:r w:rsidR="00871A68" w:rsidRPr="00E84D1D">
        <w:t xml:space="preserve">64.1 </w:t>
      </w:r>
      <w:r w:rsidR="003726CA" w:rsidRPr="00E84D1D">
        <w:t xml:space="preserve">years </w:t>
      </w:r>
      <w:r w:rsidR="00871A68" w:rsidRPr="00E84D1D">
        <w:t>vs</w:t>
      </w:r>
      <w:r w:rsidR="0022461D" w:rsidRPr="00E84D1D">
        <w:t>.</w:t>
      </w:r>
      <w:r w:rsidR="00871A68" w:rsidRPr="00E84D1D">
        <w:t xml:space="preserve"> 71.7 year</w:t>
      </w:r>
      <w:r w:rsidR="000D4358" w:rsidRPr="00E84D1D">
        <w:t>s</w:t>
      </w:r>
      <w:r w:rsidR="00871A68" w:rsidRPr="00E84D1D">
        <w:t>)</w:t>
      </w:r>
      <w:r w:rsidR="00C4547B" w:rsidRPr="00E84D1D">
        <w:t>,</w:t>
      </w:r>
      <w:r w:rsidR="00871A68" w:rsidRPr="00E84D1D">
        <w:t xml:space="preserve"> with </w:t>
      </w:r>
      <w:r w:rsidRPr="00E84D1D">
        <w:t xml:space="preserve">higher rates of </w:t>
      </w:r>
      <w:r w:rsidR="00FC2678" w:rsidRPr="00E84D1D">
        <w:t xml:space="preserve">paroxysmal (52.0% </w:t>
      </w:r>
      <w:r w:rsidR="0022461D" w:rsidRPr="00E84D1D">
        <w:t xml:space="preserve">vs. </w:t>
      </w:r>
      <w:r w:rsidR="00FC2678" w:rsidRPr="00E84D1D">
        <w:lastRenderedPageBreak/>
        <w:t>40</w:t>
      </w:r>
      <w:r w:rsidRPr="00E84D1D">
        <w:t>.</w:t>
      </w:r>
      <w:r w:rsidR="00FC2678" w:rsidRPr="00E84D1D">
        <w:t>3%) or persistent (19.7% vs</w:t>
      </w:r>
      <w:r w:rsidR="0022461D" w:rsidRPr="00E84D1D">
        <w:t>.</w:t>
      </w:r>
      <w:r w:rsidR="00FC2678" w:rsidRPr="00E84D1D">
        <w:t xml:space="preserve"> 13.4%) AF</w:t>
      </w:r>
      <w:r w:rsidR="004E0651" w:rsidRPr="00E84D1D">
        <w:t xml:space="preserve"> rather than</w:t>
      </w:r>
      <w:r w:rsidR="00906FAD">
        <w:t xml:space="preserve"> </w:t>
      </w:r>
      <w:r w:rsidR="001D7528">
        <w:t xml:space="preserve">an </w:t>
      </w:r>
      <w:r w:rsidR="00906FAD">
        <w:t>initial diagnosis of</w:t>
      </w:r>
      <w:r w:rsidR="004E0651" w:rsidRPr="00E84D1D">
        <w:t xml:space="preserve"> permanent</w:t>
      </w:r>
      <w:r w:rsidR="00B8634C" w:rsidRPr="00E84D1D">
        <w:t xml:space="preserve"> AF</w:t>
      </w:r>
      <w:r w:rsidR="00B06DFF" w:rsidRPr="00E84D1D">
        <w:t>,</w:t>
      </w:r>
      <w:r w:rsidR="00FC2678" w:rsidRPr="00E84D1D">
        <w:t xml:space="preserve"> and </w:t>
      </w:r>
      <w:r w:rsidR="00871A68" w:rsidRPr="00E84D1D">
        <w:t>fewer co</w:t>
      </w:r>
      <w:r w:rsidR="00857089" w:rsidRPr="00E84D1D">
        <w:t>-</w:t>
      </w:r>
      <w:r w:rsidR="00871A68" w:rsidRPr="00E84D1D">
        <w:t>mor</w:t>
      </w:r>
      <w:r w:rsidR="00FC2678" w:rsidRPr="00E84D1D">
        <w:t>bidities such as hypertension,</w:t>
      </w:r>
      <w:r w:rsidR="00871A68" w:rsidRPr="00E84D1D">
        <w:t xml:space="preserve"> diabetes</w:t>
      </w:r>
      <w:r w:rsidR="00FC2678" w:rsidRPr="00E84D1D">
        <w:t xml:space="preserve"> mellitus or </w:t>
      </w:r>
      <w:r w:rsidR="00A54CE5" w:rsidRPr="00E84D1D">
        <w:t>congestive heart failure (</w:t>
      </w:r>
      <w:r w:rsidR="00FC2678" w:rsidRPr="00E84D1D">
        <w:t>CHF</w:t>
      </w:r>
      <w:r w:rsidR="00A54CE5" w:rsidRPr="00E84D1D">
        <w:t>)</w:t>
      </w:r>
      <w:r w:rsidR="00FC2678" w:rsidRPr="00E84D1D">
        <w:t xml:space="preserve"> (</w:t>
      </w:r>
      <w:r w:rsidR="002668AF" w:rsidRPr="00E84D1D">
        <w:rPr>
          <w:i/>
        </w:rPr>
        <w:t>Table 1</w:t>
      </w:r>
      <w:r w:rsidR="00FC2678" w:rsidRPr="00E84D1D">
        <w:t>). In addition, they had</w:t>
      </w:r>
      <w:r w:rsidR="00871A68" w:rsidRPr="00E84D1D">
        <w:t xml:space="preserve"> </w:t>
      </w:r>
      <w:r w:rsidRPr="00E84D1D">
        <w:t xml:space="preserve">a significantly </w:t>
      </w:r>
      <w:r w:rsidR="00871A68" w:rsidRPr="00E84D1D">
        <w:t xml:space="preserve">lower </w:t>
      </w:r>
      <w:r w:rsidR="004F6777" w:rsidRPr="00E84D1D">
        <w:t xml:space="preserve">mean </w:t>
      </w:r>
      <w:r w:rsidR="00871A68" w:rsidRPr="00E84D1D">
        <w:t>CHA</w:t>
      </w:r>
      <w:r w:rsidR="00871A68" w:rsidRPr="00E84D1D">
        <w:rPr>
          <w:vertAlign w:val="subscript"/>
        </w:rPr>
        <w:t>2</w:t>
      </w:r>
      <w:r w:rsidR="00871A68" w:rsidRPr="00E84D1D">
        <w:t>DS</w:t>
      </w:r>
      <w:r w:rsidR="00871A68" w:rsidRPr="00E84D1D">
        <w:rPr>
          <w:vertAlign w:val="subscript"/>
        </w:rPr>
        <w:t>2</w:t>
      </w:r>
      <w:r w:rsidR="00871A68" w:rsidRPr="00E84D1D">
        <w:t xml:space="preserve">-VASc score (2.4 </w:t>
      </w:r>
      <w:r w:rsidR="0022461D" w:rsidRPr="00E84D1D">
        <w:t xml:space="preserve">vs. </w:t>
      </w:r>
      <w:r w:rsidR="00871A68" w:rsidRPr="00E84D1D">
        <w:t>3.4)</w:t>
      </w:r>
      <w:r w:rsidR="00325444" w:rsidRPr="00E84D1D">
        <w:t xml:space="preserve"> and </w:t>
      </w:r>
      <w:r w:rsidR="004F6777" w:rsidRPr="00E84D1D">
        <w:t xml:space="preserve">a </w:t>
      </w:r>
      <w:r w:rsidR="00871A68" w:rsidRPr="00E84D1D">
        <w:t xml:space="preserve">lower </w:t>
      </w:r>
      <w:r w:rsidR="004F6777" w:rsidRPr="00E84D1D">
        <w:t xml:space="preserve">mean </w:t>
      </w:r>
      <w:r w:rsidR="00871A68" w:rsidRPr="00E84D1D">
        <w:t xml:space="preserve">HAS-BLED score (1.6 </w:t>
      </w:r>
      <w:r w:rsidR="0022461D" w:rsidRPr="00E84D1D">
        <w:t xml:space="preserve">vs. </w:t>
      </w:r>
      <w:r w:rsidR="00871A68" w:rsidRPr="00E84D1D">
        <w:t>2.0)</w:t>
      </w:r>
      <w:r w:rsidR="00FC2678" w:rsidRPr="00E84D1D">
        <w:t>,</w:t>
      </w:r>
      <w:r w:rsidR="00871A68" w:rsidRPr="00E84D1D">
        <w:t xml:space="preserve"> and were more frequently hospitalized at</w:t>
      </w:r>
      <w:r w:rsidR="00E30AD5" w:rsidRPr="00E84D1D">
        <w:t xml:space="preserve"> study</w:t>
      </w:r>
      <w:r w:rsidR="00871A68" w:rsidRPr="00E84D1D">
        <w:t xml:space="preserve"> baseline</w:t>
      </w:r>
      <w:r w:rsidRPr="00E84D1D">
        <w:t xml:space="preserve"> </w:t>
      </w:r>
      <w:r w:rsidR="00FA77CF" w:rsidRPr="00E84D1D">
        <w:t>(</w:t>
      </w:r>
      <w:r w:rsidR="002668AF" w:rsidRPr="00E84D1D">
        <w:rPr>
          <w:i/>
        </w:rPr>
        <w:t>Table 1</w:t>
      </w:r>
      <w:r w:rsidR="00FA77CF" w:rsidRPr="00E84D1D">
        <w:t>)</w:t>
      </w:r>
      <w:r w:rsidR="00C4547B" w:rsidRPr="00E84D1D">
        <w:t>.</w:t>
      </w:r>
    </w:p>
    <w:p w14:paraId="0C687BF8" w14:textId="2B97E9C3" w:rsidR="002668AF" w:rsidRPr="00E84D1D" w:rsidRDefault="002668AF" w:rsidP="00241797">
      <w:pPr>
        <w:pStyle w:val="Text"/>
        <w:ind w:firstLine="357"/>
      </w:pPr>
      <w:r w:rsidRPr="00E84D1D">
        <w:t>When compared with patients who did not undergo cardioversion (electrical or pharmacological), patients undergoing cardioversion were significantly younger (mean age 67.4</w:t>
      </w:r>
      <w:r w:rsidR="003726CA" w:rsidRPr="00E84D1D">
        <w:t xml:space="preserve"> years</w:t>
      </w:r>
      <w:r w:rsidRPr="00E84D1D">
        <w:t xml:space="preserve"> </w:t>
      </w:r>
      <w:r w:rsidR="0022461D" w:rsidRPr="00E84D1D">
        <w:t xml:space="preserve">vs. </w:t>
      </w:r>
      <w:r w:rsidRPr="00E84D1D">
        <w:t>71.8 years</w:t>
      </w:r>
      <w:r w:rsidR="000D4358" w:rsidRPr="00E84D1D">
        <w:t>)</w:t>
      </w:r>
      <w:r w:rsidRPr="00E84D1D">
        <w:t xml:space="preserve">, with a greater likelihood of having newly diagnosed (32.1% </w:t>
      </w:r>
      <w:r w:rsidR="0022461D" w:rsidRPr="00E84D1D">
        <w:t xml:space="preserve">vs. </w:t>
      </w:r>
      <w:r w:rsidRPr="00E84D1D">
        <w:t xml:space="preserve">17.4%) or persistent (23.9% </w:t>
      </w:r>
      <w:r w:rsidR="0022461D" w:rsidRPr="00E84D1D">
        <w:t xml:space="preserve">vs. </w:t>
      </w:r>
      <w:r w:rsidRPr="00E84D1D">
        <w:t xml:space="preserve">12.8%) AF rather than </w:t>
      </w:r>
      <w:r w:rsidR="00906FAD">
        <w:t xml:space="preserve">initial diagnosis of </w:t>
      </w:r>
      <w:r w:rsidRPr="00E84D1D">
        <w:t>permanent AF, and fewer co</w:t>
      </w:r>
      <w:r w:rsidR="00A54CE5" w:rsidRPr="00E84D1D">
        <w:t>-</w:t>
      </w:r>
      <w:r w:rsidRPr="00E84D1D">
        <w:t>morbidities such as hypertension, diabetes mellitus, prior stroke/</w:t>
      </w:r>
      <w:r w:rsidR="004A7269" w:rsidRPr="00E84D1D">
        <w:t xml:space="preserve">non-CNS </w:t>
      </w:r>
      <w:r w:rsidRPr="00E84D1D">
        <w:t>SE/TIA or CHF (</w:t>
      </w:r>
      <w:r w:rsidRPr="00E84D1D">
        <w:rPr>
          <w:i/>
        </w:rPr>
        <w:t>Table 2</w:t>
      </w:r>
      <w:r w:rsidRPr="00E84D1D">
        <w:t>). This was reflected in the significantly lower mean CHA</w:t>
      </w:r>
      <w:r w:rsidRPr="00E84D1D">
        <w:rPr>
          <w:vertAlign w:val="subscript"/>
        </w:rPr>
        <w:t>2</w:t>
      </w:r>
      <w:r w:rsidRPr="00E84D1D">
        <w:t>DS</w:t>
      </w:r>
      <w:r w:rsidRPr="00E84D1D">
        <w:rPr>
          <w:vertAlign w:val="subscript"/>
        </w:rPr>
        <w:t>2</w:t>
      </w:r>
      <w:r w:rsidRPr="00E84D1D">
        <w:t xml:space="preserve">-VASc score (2.7 </w:t>
      </w:r>
      <w:r w:rsidR="0022461D" w:rsidRPr="00E84D1D">
        <w:t xml:space="preserve">vs. </w:t>
      </w:r>
      <w:r w:rsidRPr="00E84D1D">
        <w:t xml:space="preserve">3.4) and lower HAS-BLED score (1.7 </w:t>
      </w:r>
      <w:r w:rsidR="0022461D" w:rsidRPr="00E84D1D">
        <w:t xml:space="preserve">vs. </w:t>
      </w:r>
      <w:r w:rsidRPr="00E84D1D">
        <w:t xml:space="preserve">2.0) </w:t>
      </w:r>
      <w:r w:rsidR="00A54CE5" w:rsidRPr="00E84D1D">
        <w:t xml:space="preserve">of </w:t>
      </w:r>
      <w:r w:rsidRPr="00E84D1D">
        <w:t>patients</w:t>
      </w:r>
      <w:r w:rsidR="00A54CE5" w:rsidRPr="00E84D1D">
        <w:t xml:space="preserve"> undergoing cardioversion</w:t>
      </w:r>
      <w:r w:rsidRPr="00E84D1D">
        <w:t>. The</w:t>
      </w:r>
      <w:r w:rsidR="00A54CE5" w:rsidRPr="00E84D1D">
        <w:t>se patients</w:t>
      </w:r>
      <w:r w:rsidRPr="00E84D1D">
        <w:t xml:space="preserve"> were also more frequently hospitalized at study baseline, i.e. before enrolment in XANTUS, than patients</w:t>
      </w:r>
      <w:r w:rsidR="00F25AE9" w:rsidRPr="00E84D1D">
        <w:t xml:space="preserve"> who did not undergo cardioversion</w:t>
      </w:r>
      <w:r w:rsidRPr="00E84D1D">
        <w:t xml:space="preserve"> (</w:t>
      </w:r>
      <w:r w:rsidRPr="00E84D1D">
        <w:rPr>
          <w:i/>
        </w:rPr>
        <w:t>Table 2</w:t>
      </w:r>
      <w:r w:rsidRPr="00E84D1D">
        <w:t>).</w:t>
      </w:r>
    </w:p>
    <w:p w14:paraId="2256A6AA" w14:textId="77777777" w:rsidR="0091779D" w:rsidRPr="00E84D1D" w:rsidRDefault="0091779D" w:rsidP="00241797">
      <w:pPr>
        <w:pStyle w:val="Text"/>
      </w:pPr>
    </w:p>
    <w:p w14:paraId="71449109" w14:textId="77777777" w:rsidR="000F1CAD" w:rsidRPr="00E84D1D" w:rsidRDefault="00FA77CF" w:rsidP="00241797">
      <w:pPr>
        <w:pStyle w:val="Manuscriptheading3"/>
        <w:spacing w:before="0" w:after="0"/>
        <w:rPr>
          <w:lang w:val="en-GB"/>
        </w:rPr>
      </w:pPr>
      <w:r w:rsidRPr="00E84D1D">
        <w:rPr>
          <w:lang w:val="en-GB"/>
        </w:rPr>
        <w:t>Outcomes</w:t>
      </w:r>
    </w:p>
    <w:p w14:paraId="6E7CF8D5" w14:textId="0B762824" w:rsidR="003B6CF0" w:rsidRPr="00E84D1D" w:rsidRDefault="0073194D" w:rsidP="00241797">
      <w:pPr>
        <w:pStyle w:val="Text"/>
      </w:pPr>
      <w:r w:rsidRPr="00E84D1D">
        <w:t xml:space="preserve">Within a period of </w:t>
      </w:r>
      <w:r w:rsidR="00323A0B" w:rsidRPr="00E84D1D">
        <w:t xml:space="preserve">30 days after the </w:t>
      </w:r>
      <w:r w:rsidR="00B869C9" w:rsidRPr="00E84D1D">
        <w:t>procedure</w:t>
      </w:r>
      <w:r w:rsidR="00FF7C3B" w:rsidRPr="00E84D1D">
        <w:t>,</w:t>
      </w:r>
      <w:r w:rsidR="00323A0B" w:rsidRPr="00E84D1D">
        <w:t xml:space="preserve"> symptomatic thromboembolic events </w:t>
      </w:r>
      <w:r w:rsidR="004F6777" w:rsidRPr="00E84D1D">
        <w:t>were reported</w:t>
      </w:r>
      <w:r w:rsidR="00A23243" w:rsidRPr="00E84D1D">
        <w:t xml:space="preserve"> </w:t>
      </w:r>
      <w:r w:rsidR="00C312D3" w:rsidRPr="00E84D1D">
        <w:t xml:space="preserve">in </w:t>
      </w:r>
      <w:r w:rsidR="00A23243" w:rsidRPr="00E84D1D">
        <w:t xml:space="preserve">2/173 (1.2%) </w:t>
      </w:r>
      <w:r w:rsidR="009154C2" w:rsidRPr="00E84D1D">
        <w:t>patients</w:t>
      </w:r>
      <w:r w:rsidR="00A775F3" w:rsidRPr="00E84D1D">
        <w:t xml:space="preserve"> undergoing catheter ablation </w:t>
      </w:r>
      <w:r w:rsidR="00A23243" w:rsidRPr="00E84D1D">
        <w:t>(two events</w:t>
      </w:r>
      <w:r w:rsidR="009E011A" w:rsidRPr="00E84D1D">
        <w:t xml:space="preserve"> adjudicated as stroke</w:t>
      </w:r>
      <w:r w:rsidR="00A23243" w:rsidRPr="00E84D1D">
        <w:t xml:space="preserve">) </w:t>
      </w:r>
      <w:r w:rsidR="00A775F3" w:rsidRPr="00E84D1D">
        <w:t xml:space="preserve">and </w:t>
      </w:r>
      <w:r w:rsidR="00A23243" w:rsidRPr="00E84D1D">
        <w:t>3/502 (</w:t>
      </w:r>
      <w:r w:rsidR="00006031" w:rsidRPr="00E84D1D">
        <w:t>0.6%</w:t>
      </w:r>
      <w:r w:rsidR="00A23243" w:rsidRPr="00E84D1D">
        <w:t>)</w:t>
      </w:r>
      <w:r w:rsidR="00006031" w:rsidRPr="00E84D1D">
        <w:t xml:space="preserve"> of </w:t>
      </w:r>
      <w:r w:rsidR="009154C2" w:rsidRPr="00E84D1D">
        <w:t>those</w:t>
      </w:r>
      <w:r w:rsidR="00323A0B" w:rsidRPr="00E84D1D">
        <w:t xml:space="preserve"> undergoing cardioversion</w:t>
      </w:r>
      <w:r w:rsidR="00A23243" w:rsidRPr="00E84D1D">
        <w:t xml:space="preserve"> (three events</w:t>
      </w:r>
      <w:r w:rsidR="00C312D3" w:rsidRPr="00E84D1D">
        <w:t xml:space="preserve"> adjudicated as</w:t>
      </w:r>
      <w:r w:rsidR="00FB3064" w:rsidRPr="00E84D1D">
        <w:t xml:space="preserve"> TIA</w:t>
      </w:r>
      <w:r w:rsidR="00A23243" w:rsidRPr="00E84D1D">
        <w:t>)</w:t>
      </w:r>
      <w:r w:rsidR="00323A0B" w:rsidRPr="00E84D1D">
        <w:t xml:space="preserve"> </w:t>
      </w:r>
      <w:r w:rsidR="00E22C8E" w:rsidRPr="00E84D1D">
        <w:t>(</w:t>
      </w:r>
      <w:r w:rsidR="008E50F7" w:rsidRPr="00E84D1D">
        <w:rPr>
          <w:i/>
        </w:rPr>
        <w:t>Table 3</w:t>
      </w:r>
      <w:r w:rsidR="00E22C8E" w:rsidRPr="00E84D1D">
        <w:t>)</w:t>
      </w:r>
      <w:r w:rsidRPr="00E84D1D">
        <w:t>.</w:t>
      </w:r>
      <w:r w:rsidR="003F1B81" w:rsidRPr="00E84D1D">
        <w:t xml:space="preserve"> </w:t>
      </w:r>
      <w:r w:rsidR="008A167C" w:rsidRPr="00E84D1D">
        <w:t xml:space="preserve">All </w:t>
      </w:r>
      <w:r w:rsidR="00B869C9" w:rsidRPr="00E84D1D">
        <w:t xml:space="preserve">three </w:t>
      </w:r>
      <w:r w:rsidR="008A167C" w:rsidRPr="00E84D1D">
        <w:t>symptomatic thromboembolic events in patients undergoing cardioversion oc</w:t>
      </w:r>
      <w:r w:rsidR="004F1E36" w:rsidRPr="00E84D1D">
        <w:t>c</w:t>
      </w:r>
      <w:r w:rsidR="008A167C" w:rsidRPr="00E84D1D">
        <w:t>urred in those undergoing electrical cardioversion</w:t>
      </w:r>
      <w:r w:rsidR="00E54511" w:rsidRPr="00E84D1D">
        <w:t xml:space="preserve">. </w:t>
      </w:r>
      <w:r w:rsidR="00D06113" w:rsidRPr="00E84D1D">
        <w:t xml:space="preserve">Within 42 days </w:t>
      </w:r>
      <w:r w:rsidR="00B56FB8">
        <w:t>of</w:t>
      </w:r>
      <w:r w:rsidR="00B56FB8" w:rsidRPr="00E84D1D">
        <w:t xml:space="preserve"> </w:t>
      </w:r>
      <w:r w:rsidR="00D06113" w:rsidRPr="00E84D1D">
        <w:t>cardioversion</w:t>
      </w:r>
      <w:r w:rsidR="00E54511" w:rsidRPr="00E84D1D">
        <w:t>,</w:t>
      </w:r>
      <w:r w:rsidR="003B6CF0" w:rsidRPr="00E84D1D">
        <w:t xml:space="preserve"> the</w:t>
      </w:r>
      <w:r w:rsidR="00AE1802" w:rsidRPr="00E84D1D">
        <w:t xml:space="preserve">re </w:t>
      </w:r>
      <w:r w:rsidR="00ED2AC5" w:rsidRPr="00E84D1D">
        <w:t xml:space="preserve">were two </w:t>
      </w:r>
      <w:r w:rsidR="00744621" w:rsidRPr="00E84D1D">
        <w:t xml:space="preserve">additional </w:t>
      </w:r>
      <w:r w:rsidR="003B6CF0" w:rsidRPr="00E84D1D">
        <w:t>symptomatic thromboembolic event</w:t>
      </w:r>
      <w:r w:rsidR="00ED2AC5" w:rsidRPr="00E84D1D">
        <w:t>s</w:t>
      </w:r>
      <w:r w:rsidR="003B6CF0" w:rsidRPr="00E84D1D">
        <w:t xml:space="preserve"> </w:t>
      </w:r>
      <w:r w:rsidR="00DF0A5B" w:rsidRPr="00E84D1D">
        <w:t>adjudicated as stroke</w:t>
      </w:r>
      <w:r w:rsidR="001F77F5" w:rsidRPr="00E84D1D">
        <w:t xml:space="preserve"> </w:t>
      </w:r>
      <w:r w:rsidRPr="00E84D1D">
        <w:t>in</w:t>
      </w:r>
      <w:r w:rsidR="00C312D3" w:rsidRPr="00E84D1D">
        <w:t xml:space="preserve"> </w:t>
      </w:r>
      <w:r w:rsidR="00493498" w:rsidRPr="00E84D1D">
        <w:t xml:space="preserve">one </w:t>
      </w:r>
      <w:r w:rsidR="00ED2AC5" w:rsidRPr="00E84D1D">
        <w:t xml:space="preserve">patient </w:t>
      </w:r>
      <w:r w:rsidRPr="00E84D1D">
        <w:t>who ha</w:t>
      </w:r>
      <w:r w:rsidR="001F77F5" w:rsidRPr="00E84D1D">
        <w:t>d undergone cardioversion</w:t>
      </w:r>
      <w:r w:rsidR="0091779D" w:rsidRPr="00E84D1D">
        <w:t>.</w:t>
      </w:r>
      <w:r w:rsidR="0099627B" w:rsidRPr="00E84D1D">
        <w:t xml:space="preserve"> This patient </w:t>
      </w:r>
      <w:r w:rsidR="00430135" w:rsidRPr="00E84D1D">
        <w:t xml:space="preserve">first underwent </w:t>
      </w:r>
      <w:r w:rsidR="00DD0631" w:rsidRPr="00E84D1D">
        <w:t xml:space="preserve">electric </w:t>
      </w:r>
      <w:r w:rsidR="00430135" w:rsidRPr="00E84D1D">
        <w:t>cardioversion</w:t>
      </w:r>
      <w:r w:rsidR="00C312D3" w:rsidRPr="00E84D1D">
        <w:t>,</w:t>
      </w:r>
      <w:r w:rsidR="00B70E3C" w:rsidRPr="00E84D1D">
        <w:t xml:space="preserve"> and then catheter ablation</w:t>
      </w:r>
      <w:r w:rsidR="0012136E" w:rsidRPr="00E84D1D">
        <w:t xml:space="preserve"> 40</w:t>
      </w:r>
      <w:r w:rsidR="00D77474" w:rsidRPr="00E84D1D">
        <w:t xml:space="preserve"> days </w:t>
      </w:r>
      <w:r w:rsidR="00C312D3" w:rsidRPr="00E84D1D">
        <w:t>later.</w:t>
      </w:r>
      <w:r w:rsidR="00D77474" w:rsidRPr="00E84D1D">
        <w:t xml:space="preserve"> She</w:t>
      </w:r>
      <w:r w:rsidR="00430135" w:rsidRPr="00E84D1D">
        <w:t xml:space="preserve"> </w:t>
      </w:r>
      <w:r w:rsidR="0099627B" w:rsidRPr="00E84D1D">
        <w:t>experienced a primary ischaemic stroke with haemorrhagi</w:t>
      </w:r>
      <w:r w:rsidR="00816550" w:rsidRPr="00E84D1D">
        <w:t>c</w:t>
      </w:r>
      <w:r w:rsidR="0099627B" w:rsidRPr="00E84D1D">
        <w:t xml:space="preserve"> transformation </w:t>
      </w:r>
      <w:r w:rsidR="00ED2AC5" w:rsidRPr="00E84D1D">
        <w:t xml:space="preserve">within 42 </w:t>
      </w:r>
      <w:r w:rsidR="00430135" w:rsidRPr="00E84D1D">
        <w:t>day</w:t>
      </w:r>
      <w:r w:rsidR="002668AF" w:rsidRPr="00E84D1D">
        <w:t>s</w:t>
      </w:r>
      <w:r w:rsidR="00430135" w:rsidRPr="00E84D1D">
        <w:t xml:space="preserve"> </w:t>
      </w:r>
      <w:r w:rsidR="00ED2AC5" w:rsidRPr="00E84D1D">
        <w:t xml:space="preserve">of </w:t>
      </w:r>
      <w:r w:rsidR="00D06113" w:rsidRPr="00E84D1D">
        <w:t xml:space="preserve">electric </w:t>
      </w:r>
      <w:r w:rsidR="00D77474" w:rsidRPr="00E84D1D">
        <w:t>cardioversion</w:t>
      </w:r>
      <w:r w:rsidR="0099627B" w:rsidRPr="00E84D1D">
        <w:t>, which was adjudicated as both stroke and major bleeding</w:t>
      </w:r>
      <w:r w:rsidR="00442F6F" w:rsidRPr="00E84D1D">
        <w:t>.</w:t>
      </w:r>
      <w:r w:rsidR="00DB12A1" w:rsidRPr="00E84D1D">
        <w:t xml:space="preserve"> </w:t>
      </w:r>
      <w:r w:rsidR="00C312D3" w:rsidRPr="00E84D1D">
        <w:t xml:space="preserve">Two days later, </w:t>
      </w:r>
      <w:r w:rsidR="00F876D3" w:rsidRPr="00E84D1D">
        <w:t xml:space="preserve">on the day of catheter ablation, </w:t>
      </w:r>
      <w:r w:rsidR="00C312D3" w:rsidRPr="00E84D1D">
        <w:t>s</w:t>
      </w:r>
      <w:r w:rsidR="00430135" w:rsidRPr="00E84D1D">
        <w:t xml:space="preserve">he </w:t>
      </w:r>
      <w:r w:rsidR="002E439F" w:rsidRPr="00E84D1D">
        <w:t xml:space="preserve">also </w:t>
      </w:r>
      <w:r w:rsidR="00430135" w:rsidRPr="00E84D1D">
        <w:t>experienced brain ischaemia</w:t>
      </w:r>
      <w:r w:rsidR="00E5720C" w:rsidRPr="00E84D1D">
        <w:t>, which</w:t>
      </w:r>
      <w:r w:rsidR="00D77474" w:rsidRPr="00E84D1D">
        <w:t xml:space="preserve"> </w:t>
      </w:r>
      <w:r w:rsidR="00430135" w:rsidRPr="00E84D1D">
        <w:t xml:space="preserve">was also counted for the cardioversion group </w:t>
      </w:r>
      <w:r w:rsidR="004E6C37" w:rsidRPr="00E84D1D">
        <w:t xml:space="preserve">because </w:t>
      </w:r>
      <w:r w:rsidR="00430135" w:rsidRPr="00E84D1D">
        <w:t>it occurred within 42 days of cardioversion.</w:t>
      </w:r>
    </w:p>
    <w:p w14:paraId="66FF130E" w14:textId="77777777" w:rsidR="00914EAF" w:rsidRDefault="00E54511" w:rsidP="00C02B6E">
      <w:pPr>
        <w:pStyle w:val="Text"/>
        <w:ind w:firstLine="567"/>
      </w:pPr>
      <w:r w:rsidRPr="00E84D1D">
        <w:lastRenderedPageBreak/>
        <w:t>Major bleeding event</w:t>
      </w:r>
      <w:r w:rsidR="00B66586" w:rsidRPr="00E84D1D">
        <w:t>s</w:t>
      </w:r>
      <w:r w:rsidR="00006031" w:rsidRPr="00E84D1D">
        <w:t xml:space="preserve"> </w:t>
      </w:r>
      <w:r w:rsidRPr="00E84D1D">
        <w:t>at 30 days after</w:t>
      </w:r>
      <w:r w:rsidR="00B66586" w:rsidRPr="00E84D1D">
        <w:t xml:space="preserve"> </w:t>
      </w:r>
      <w:r w:rsidRPr="00E84D1D">
        <w:t xml:space="preserve">intervention </w:t>
      </w:r>
      <w:r w:rsidR="00430135" w:rsidRPr="00E84D1D">
        <w:t>occurr</w:t>
      </w:r>
      <w:r w:rsidR="00B66586" w:rsidRPr="00E84D1D">
        <w:t xml:space="preserve">ed </w:t>
      </w:r>
      <w:r w:rsidR="00C312D3" w:rsidRPr="00E84D1D">
        <w:t xml:space="preserve">in </w:t>
      </w:r>
      <w:r w:rsidR="00430135" w:rsidRPr="00E84D1D">
        <w:t>5/173</w:t>
      </w:r>
      <w:r w:rsidR="00C312D3" w:rsidRPr="00E84D1D">
        <w:t xml:space="preserve"> (2.9%</w:t>
      </w:r>
      <w:r w:rsidR="006D139D" w:rsidRPr="00E84D1D">
        <w:t xml:space="preserve">) </w:t>
      </w:r>
      <w:r w:rsidRPr="00E84D1D">
        <w:t>patients who had undergone</w:t>
      </w:r>
      <w:r w:rsidR="00C00B61" w:rsidRPr="00E84D1D">
        <w:t xml:space="preserve"> catheter</w:t>
      </w:r>
      <w:r w:rsidRPr="00E84D1D">
        <w:t xml:space="preserve"> ablation</w:t>
      </w:r>
      <w:r w:rsidR="00430135" w:rsidRPr="00E84D1D">
        <w:t xml:space="preserve"> (five events)</w:t>
      </w:r>
      <w:r w:rsidR="0099627B" w:rsidRPr="00E84D1D">
        <w:t xml:space="preserve"> and</w:t>
      </w:r>
      <w:r w:rsidR="00744621" w:rsidRPr="00E84D1D">
        <w:t xml:space="preserve"> </w:t>
      </w:r>
      <w:r w:rsidR="00430135" w:rsidRPr="00E84D1D">
        <w:t>2/502</w:t>
      </w:r>
      <w:r w:rsidR="006D139D" w:rsidRPr="00E84D1D">
        <w:t xml:space="preserve"> (0.4%</w:t>
      </w:r>
      <w:r w:rsidR="00430135" w:rsidRPr="00E84D1D">
        <w:t xml:space="preserve">) of </w:t>
      </w:r>
      <w:r w:rsidRPr="00E84D1D">
        <w:t xml:space="preserve">those who had </w:t>
      </w:r>
      <w:r w:rsidR="00006031" w:rsidRPr="00E84D1D">
        <w:t xml:space="preserve">undergone </w:t>
      </w:r>
      <w:r w:rsidRPr="00E84D1D">
        <w:t>cardioversion</w:t>
      </w:r>
      <w:r w:rsidR="00430135" w:rsidRPr="00E84D1D">
        <w:t xml:space="preserve"> (four events)</w:t>
      </w:r>
      <w:r w:rsidRPr="00E84D1D">
        <w:t xml:space="preserve"> (</w:t>
      </w:r>
      <w:r w:rsidR="008E50F7" w:rsidRPr="00E84D1D">
        <w:rPr>
          <w:i/>
        </w:rPr>
        <w:t>Table 3</w:t>
      </w:r>
      <w:r w:rsidRPr="00E84D1D">
        <w:t>).</w:t>
      </w:r>
      <w:r w:rsidR="009643E0" w:rsidRPr="00E84D1D">
        <w:t xml:space="preserve"> </w:t>
      </w:r>
      <w:r w:rsidR="002609F3" w:rsidRPr="00E84D1D">
        <w:t xml:space="preserve">These </w:t>
      </w:r>
      <w:r w:rsidR="00197A8B" w:rsidRPr="00E84D1D">
        <w:t xml:space="preserve">major bleeding </w:t>
      </w:r>
      <w:r w:rsidR="002609F3" w:rsidRPr="00E84D1D">
        <w:t xml:space="preserve">events were: </w:t>
      </w:r>
      <w:r w:rsidR="00E72F4A" w:rsidRPr="00E84D1D">
        <w:t xml:space="preserve">one </w:t>
      </w:r>
      <w:r w:rsidR="00580717" w:rsidRPr="00E84D1D">
        <w:t xml:space="preserve">ruptured </w:t>
      </w:r>
      <w:r w:rsidR="00E72F4A" w:rsidRPr="00E84D1D">
        <w:t xml:space="preserve">aortic aneurysm; </w:t>
      </w:r>
      <w:r w:rsidR="002609F3" w:rsidRPr="00E84D1D">
        <w:t xml:space="preserve">one haemorrhagic transformation; two pericardial haemorrhages; </w:t>
      </w:r>
      <w:r w:rsidR="00115693" w:rsidRPr="00E84D1D">
        <w:t xml:space="preserve">one pericardial effusion; </w:t>
      </w:r>
      <w:r w:rsidR="002609F3" w:rsidRPr="00E84D1D">
        <w:t>one anaemia; one groin haematoma; and one haemoptysis</w:t>
      </w:r>
      <w:r w:rsidR="00E72F4A" w:rsidRPr="00E84D1D">
        <w:t xml:space="preserve"> with haemoglobin drop</w:t>
      </w:r>
      <w:r w:rsidR="002609F3" w:rsidRPr="00E84D1D">
        <w:t xml:space="preserve">. </w:t>
      </w:r>
      <w:r w:rsidRPr="00E84D1D">
        <w:t xml:space="preserve">The number of </w:t>
      </w:r>
      <w:r w:rsidR="00A23243" w:rsidRPr="00E84D1D">
        <w:t xml:space="preserve">patients who experienced </w:t>
      </w:r>
      <w:r w:rsidR="008A167C" w:rsidRPr="00E84D1D">
        <w:t xml:space="preserve">major bleeding </w:t>
      </w:r>
      <w:r w:rsidRPr="00E84D1D">
        <w:t xml:space="preserve">events remained low </w:t>
      </w:r>
      <w:r w:rsidR="00A23243" w:rsidRPr="00E84D1D">
        <w:t xml:space="preserve">(3/502; 0.6%) </w:t>
      </w:r>
      <w:r w:rsidRPr="00E84D1D">
        <w:t>at 42 days after intervention in the cardioversion group</w:t>
      </w:r>
      <w:r w:rsidR="00A23243" w:rsidRPr="00E84D1D">
        <w:t xml:space="preserve"> (five events</w:t>
      </w:r>
      <w:r w:rsidR="0099627B" w:rsidRPr="00E84D1D">
        <w:t>)</w:t>
      </w:r>
      <w:r w:rsidR="00442F6F" w:rsidRPr="00E84D1D">
        <w:t>.</w:t>
      </w:r>
      <w:r w:rsidR="00744621" w:rsidRPr="00E84D1D">
        <w:t xml:space="preserve"> </w:t>
      </w:r>
      <w:r w:rsidRPr="00E84D1D">
        <w:t>No patient</w:t>
      </w:r>
      <w:r w:rsidR="00B00F1D" w:rsidRPr="00E84D1D">
        <w:t>s</w:t>
      </w:r>
      <w:r w:rsidRPr="00E84D1D">
        <w:t xml:space="preserve"> suffered cardiovascular death or</w:t>
      </w:r>
      <w:r w:rsidR="005B332D" w:rsidRPr="00E84D1D">
        <w:t xml:space="preserve"> all-cause </w:t>
      </w:r>
      <w:r w:rsidRPr="00E84D1D">
        <w:t xml:space="preserve">death in either group at 30 days after the intervention. </w:t>
      </w:r>
      <w:r w:rsidR="00DA78E6" w:rsidRPr="00E84D1D">
        <w:t xml:space="preserve">Individual data for patients who had a </w:t>
      </w:r>
      <w:r w:rsidR="004E6C37" w:rsidRPr="00E84D1D">
        <w:t xml:space="preserve">symptomatic </w:t>
      </w:r>
      <w:r w:rsidR="00DA78E6" w:rsidRPr="00E84D1D">
        <w:t xml:space="preserve">thromboembolic or major bleeding event are summarized in </w:t>
      </w:r>
      <w:r w:rsidR="008E50F7" w:rsidRPr="00E84D1D">
        <w:rPr>
          <w:i/>
        </w:rPr>
        <w:t>Table 4</w:t>
      </w:r>
      <w:r w:rsidR="00DA78E6" w:rsidRPr="00E84D1D">
        <w:t>.</w:t>
      </w:r>
      <w:r w:rsidR="000B4D35">
        <w:t xml:space="preserve"> </w:t>
      </w:r>
    </w:p>
    <w:p w14:paraId="4B62F93E" w14:textId="61488D66" w:rsidR="00C9622D" w:rsidRPr="000B4D35" w:rsidRDefault="00CB28CA" w:rsidP="00C02B6E">
      <w:pPr>
        <w:pStyle w:val="Text"/>
        <w:ind w:firstLine="567"/>
      </w:pPr>
      <w:r>
        <w:t>O</w:t>
      </w:r>
      <w:r w:rsidR="000B4D35">
        <w:t xml:space="preserve">utcomes </w:t>
      </w:r>
      <w:r w:rsidR="00C02B6E">
        <w:t xml:space="preserve">at 30 days </w:t>
      </w:r>
      <w:r w:rsidR="000B4D35">
        <w:t xml:space="preserve">in patients </w:t>
      </w:r>
      <w:r w:rsidR="00C02B6E">
        <w:t xml:space="preserve">who </w:t>
      </w:r>
      <w:r w:rsidR="000B4D35">
        <w:t xml:space="preserve">received rivaroxaban on the day of the </w:t>
      </w:r>
      <w:r w:rsidR="00C02B6E">
        <w:t>intervention</w:t>
      </w:r>
      <w:r w:rsidR="000B4D35">
        <w:t xml:space="preserve"> </w:t>
      </w:r>
      <w:r w:rsidR="00927F0B">
        <w:t xml:space="preserve">versus patients </w:t>
      </w:r>
      <w:r w:rsidR="000B4D35">
        <w:t>who did not</w:t>
      </w:r>
      <w:r>
        <w:t xml:space="preserve"> receive the medication</w:t>
      </w:r>
      <w:r w:rsidR="000B4D35">
        <w:t xml:space="preserve"> are detailed in </w:t>
      </w:r>
      <w:r w:rsidR="00927F0B">
        <w:t xml:space="preserve">the </w:t>
      </w:r>
      <w:r w:rsidR="000B4D35">
        <w:rPr>
          <w:i/>
        </w:rPr>
        <w:t xml:space="preserve">Supplementary Table </w:t>
      </w:r>
      <w:r w:rsidR="00914EAF">
        <w:rPr>
          <w:i/>
        </w:rPr>
        <w:t>S</w:t>
      </w:r>
      <w:r w:rsidR="000B4D35">
        <w:rPr>
          <w:i/>
        </w:rPr>
        <w:t xml:space="preserve">1. </w:t>
      </w:r>
    </w:p>
    <w:p w14:paraId="2F008EB9" w14:textId="77777777" w:rsidR="0091779D" w:rsidRPr="00E84D1D" w:rsidRDefault="0091779D" w:rsidP="00241797">
      <w:pPr>
        <w:pStyle w:val="Text"/>
      </w:pPr>
    </w:p>
    <w:p w14:paraId="437028D2" w14:textId="77777777" w:rsidR="00280758" w:rsidRPr="00E84D1D" w:rsidRDefault="005D72D0" w:rsidP="00241797">
      <w:pPr>
        <w:pStyle w:val="Manuscriptheading2"/>
        <w:spacing w:before="0" w:after="0"/>
        <w:rPr>
          <w:lang w:val="en-GB"/>
        </w:rPr>
      </w:pPr>
      <w:r w:rsidRPr="00E84D1D">
        <w:rPr>
          <w:lang w:val="en-GB"/>
        </w:rPr>
        <w:t>D</w:t>
      </w:r>
      <w:r w:rsidR="00280758" w:rsidRPr="00E84D1D">
        <w:rPr>
          <w:lang w:val="en-GB"/>
        </w:rPr>
        <w:t>iscuss</w:t>
      </w:r>
      <w:r w:rsidR="0091779D" w:rsidRPr="00E84D1D">
        <w:rPr>
          <w:lang w:val="en-GB"/>
        </w:rPr>
        <w:t>ion</w:t>
      </w:r>
    </w:p>
    <w:p w14:paraId="40DAE36B" w14:textId="0C9FD956" w:rsidR="0080759C" w:rsidRPr="00E84D1D" w:rsidRDefault="005F50A3" w:rsidP="00241797">
      <w:pPr>
        <w:pStyle w:val="Text"/>
      </w:pPr>
      <w:r w:rsidRPr="00E84D1D">
        <w:t xml:space="preserve">This </w:t>
      </w:r>
      <w:r w:rsidR="008E50F7" w:rsidRPr="00E84D1D">
        <w:rPr>
          <w:i/>
        </w:rPr>
        <w:t>post hoc</w:t>
      </w:r>
      <w:r w:rsidRPr="00E84D1D">
        <w:t xml:space="preserve"> analysis of the </w:t>
      </w:r>
      <w:r w:rsidR="005C140F" w:rsidRPr="00E84D1D">
        <w:t xml:space="preserve">XANTUS </w:t>
      </w:r>
      <w:r w:rsidRPr="00E84D1D">
        <w:t xml:space="preserve">study </w:t>
      </w:r>
      <w:r w:rsidR="00006031" w:rsidRPr="00E84D1D">
        <w:t xml:space="preserve">provides </w:t>
      </w:r>
      <w:r w:rsidR="005C140F" w:rsidRPr="00E84D1D">
        <w:t>insight</w:t>
      </w:r>
      <w:r w:rsidRPr="00E84D1D">
        <w:t>s</w:t>
      </w:r>
      <w:r w:rsidR="005C140F" w:rsidRPr="00E84D1D">
        <w:t xml:space="preserve"> into current treatment patterns</w:t>
      </w:r>
      <w:r w:rsidR="00006031" w:rsidRPr="00E84D1D">
        <w:t>, as well as</w:t>
      </w:r>
      <w:r w:rsidR="005C140F" w:rsidRPr="00E84D1D">
        <w:t xml:space="preserve"> </w:t>
      </w:r>
      <w:r w:rsidR="00006031" w:rsidRPr="00E84D1D">
        <w:t xml:space="preserve">thromboembolic and bleeding events, among </w:t>
      </w:r>
      <w:r w:rsidR="00A37B7A" w:rsidRPr="00E84D1D">
        <w:t xml:space="preserve">non-selected </w:t>
      </w:r>
      <w:r w:rsidR="005C140F" w:rsidRPr="00E84D1D">
        <w:t xml:space="preserve">patients undergoing </w:t>
      </w:r>
      <w:r w:rsidR="00C00B61" w:rsidRPr="00E84D1D">
        <w:t>catheter</w:t>
      </w:r>
      <w:r w:rsidR="005C140F" w:rsidRPr="00E84D1D">
        <w:t xml:space="preserve"> ablation</w:t>
      </w:r>
      <w:r w:rsidR="00C00B61" w:rsidRPr="00E84D1D">
        <w:t xml:space="preserve"> or cardioversion</w:t>
      </w:r>
      <w:r w:rsidR="001F7CA2" w:rsidRPr="00E84D1D">
        <w:t xml:space="preserve"> who we</w:t>
      </w:r>
      <w:r w:rsidR="005C140F" w:rsidRPr="00E84D1D">
        <w:t>re treated with rivaroxaban</w:t>
      </w:r>
      <w:r w:rsidR="00042D42" w:rsidRPr="00E84D1D">
        <w:t xml:space="preserve"> for stroke prevention</w:t>
      </w:r>
      <w:r w:rsidR="004F2E25" w:rsidRPr="00E84D1D">
        <w:t xml:space="preserve">. </w:t>
      </w:r>
      <w:r w:rsidR="00C43F58" w:rsidRPr="00E84D1D">
        <w:t>Of the overall patient cohort (</w:t>
      </w:r>
      <w:r w:rsidR="007E3879" w:rsidRPr="00E84D1D">
        <w:rPr>
          <w:i/>
        </w:rPr>
        <w:t>N</w:t>
      </w:r>
      <w:r w:rsidR="00C43F58" w:rsidRPr="00E84D1D">
        <w:rPr>
          <w:i/>
        </w:rPr>
        <w:t xml:space="preserve"> </w:t>
      </w:r>
      <w:r w:rsidR="00C43F58" w:rsidRPr="00E84D1D">
        <w:t xml:space="preserve">= 6784), </w:t>
      </w:r>
      <w:r w:rsidR="00A5680E" w:rsidRPr="00E84D1D">
        <w:t>9</w:t>
      </w:r>
      <w:r w:rsidR="00C43F58" w:rsidRPr="00E84D1D">
        <w:t xml:space="preserve">% of patients underwent </w:t>
      </w:r>
      <w:r w:rsidR="008A167C" w:rsidRPr="00E84D1D">
        <w:t>catheter</w:t>
      </w:r>
      <w:r w:rsidR="00C43F58" w:rsidRPr="00E84D1D">
        <w:t xml:space="preserve"> ablation</w:t>
      </w:r>
      <w:r w:rsidR="008A167C" w:rsidRPr="00E84D1D">
        <w:t xml:space="preserve"> or cardioversion</w:t>
      </w:r>
      <w:r w:rsidR="00C43F58" w:rsidRPr="00E84D1D">
        <w:t xml:space="preserve">, with 8% of these </w:t>
      </w:r>
      <w:r w:rsidR="008A167C" w:rsidRPr="00E84D1D">
        <w:t xml:space="preserve">patients </w:t>
      </w:r>
      <w:r w:rsidR="00C43F58" w:rsidRPr="00E84D1D">
        <w:t xml:space="preserve">undergoing both procedures. </w:t>
      </w:r>
      <w:r w:rsidR="00123AD8" w:rsidRPr="00E84D1D">
        <w:t>A</w:t>
      </w:r>
      <w:r w:rsidR="004701DE" w:rsidRPr="00E84D1D">
        <w:t>nalysis of the demographics and clinical characteristics showed that</w:t>
      </w:r>
      <w:r w:rsidR="00C927DE" w:rsidRPr="00E84D1D">
        <w:t>, as expected,</w:t>
      </w:r>
      <w:r w:rsidR="004701DE" w:rsidRPr="00E84D1D">
        <w:t xml:space="preserve"> patients who underwent a</w:t>
      </w:r>
      <w:r w:rsidR="001F7CA2" w:rsidRPr="00E84D1D">
        <w:t xml:space="preserve"> procedure</w:t>
      </w:r>
      <w:r w:rsidR="004701DE" w:rsidRPr="00E84D1D">
        <w:t xml:space="preserve"> were generally younger than those who did not, </w:t>
      </w:r>
      <w:r w:rsidR="00876129" w:rsidRPr="00E84D1D">
        <w:t xml:space="preserve">and </w:t>
      </w:r>
      <w:r w:rsidR="004701DE" w:rsidRPr="00E84D1D">
        <w:t>had fewer co</w:t>
      </w:r>
      <w:r w:rsidR="00857089" w:rsidRPr="00E84D1D">
        <w:t>-</w:t>
      </w:r>
      <w:r w:rsidR="004701DE" w:rsidRPr="00E84D1D">
        <w:t>morbidities</w:t>
      </w:r>
      <w:r w:rsidR="00876129" w:rsidRPr="00E84D1D">
        <w:t xml:space="preserve"> and lower CHA</w:t>
      </w:r>
      <w:r w:rsidR="00876129" w:rsidRPr="00E84D1D">
        <w:rPr>
          <w:vertAlign w:val="subscript"/>
        </w:rPr>
        <w:t>2</w:t>
      </w:r>
      <w:r w:rsidR="00876129" w:rsidRPr="00E84D1D">
        <w:t>DS</w:t>
      </w:r>
      <w:r w:rsidR="00876129" w:rsidRPr="00E84D1D">
        <w:rPr>
          <w:vertAlign w:val="subscript"/>
        </w:rPr>
        <w:t>2</w:t>
      </w:r>
      <w:r w:rsidR="00876129" w:rsidRPr="00E84D1D">
        <w:t>-VASc and HAS-BLED scores</w:t>
      </w:r>
      <w:r w:rsidR="004701DE" w:rsidRPr="00E84D1D">
        <w:t xml:space="preserve">. </w:t>
      </w:r>
    </w:p>
    <w:p w14:paraId="1306C738" w14:textId="6AFE2039" w:rsidR="000C7905" w:rsidRDefault="00EF50D5" w:rsidP="00465856">
      <w:pPr>
        <w:pStyle w:val="Text"/>
        <w:ind w:firstLine="567"/>
      </w:pPr>
      <w:r w:rsidRPr="00E84D1D">
        <w:t xml:space="preserve">In line with the overall </w:t>
      </w:r>
      <w:r w:rsidR="004F2E25" w:rsidRPr="00E84D1D">
        <w:t>XANTUS cohort,</w:t>
      </w:r>
      <w:r w:rsidR="00876129" w:rsidRPr="00E84D1D">
        <w:t xml:space="preserve"> the numbers</w:t>
      </w:r>
      <w:r w:rsidR="004F2E25" w:rsidRPr="00E84D1D">
        <w:t xml:space="preserve"> of </w:t>
      </w:r>
      <w:r w:rsidR="00876129" w:rsidRPr="00E84D1D">
        <w:t xml:space="preserve">symptomatic </w:t>
      </w:r>
      <w:r w:rsidR="004F2E25" w:rsidRPr="00E84D1D">
        <w:t>thromboembolic</w:t>
      </w:r>
      <w:r w:rsidR="008A167C" w:rsidRPr="00E84D1D">
        <w:t xml:space="preserve"> events,</w:t>
      </w:r>
      <w:r w:rsidR="00A73713" w:rsidRPr="00E84D1D">
        <w:t xml:space="preserve"> major bleeding</w:t>
      </w:r>
      <w:r w:rsidR="004F2E25" w:rsidRPr="00E84D1D">
        <w:t xml:space="preserve"> </w:t>
      </w:r>
      <w:r w:rsidR="00123AD8" w:rsidRPr="00E84D1D">
        <w:t xml:space="preserve">events </w:t>
      </w:r>
      <w:r w:rsidR="004F2E25" w:rsidRPr="00E84D1D">
        <w:t>and deaths</w:t>
      </w:r>
      <w:r w:rsidR="00876129" w:rsidRPr="00E84D1D">
        <w:t xml:space="preserve"> (cardiovascular and all-cause)</w:t>
      </w:r>
      <w:r w:rsidR="004F2E25" w:rsidRPr="00E84D1D">
        <w:t xml:space="preserve"> in this </w:t>
      </w:r>
      <w:r w:rsidR="008E50F7" w:rsidRPr="00E84D1D">
        <w:rPr>
          <w:i/>
        </w:rPr>
        <w:t>post hoc</w:t>
      </w:r>
      <w:r w:rsidR="004F2E25" w:rsidRPr="00E84D1D">
        <w:t xml:space="preserve"> analysis of patients undergoing </w:t>
      </w:r>
      <w:r w:rsidR="008A167C" w:rsidRPr="00E84D1D">
        <w:t xml:space="preserve">catheter </w:t>
      </w:r>
      <w:r w:rsidR="004F2E25" w:rsidRPr="00E84D1D">
        <w:t>ablation</w:t>
      </w:r>
      <w:r w:rsidR="008A167C" w:rsidRPr="00E84D1D">
        <w:t xml:space="preserve"> or cardioversion</w:t>
      </w:r>
      <w:r w:rsidR="004F2E25" w:rsidRPr="00E84D1D">
        <w:t xml:space="preserve"> remained low</w:t>
      </w:r>
      <w:r w:rsidR="008A167C" w:rsidRPr="00E84D1D">
        <w:t>, and m</w:t>
      </w:r>
      <w:r w:rsidR="004F2E25" w:rsidRPr="00E84D1D">
        <w:t xml:space="preserve">ost patients undergoing an intervention did not experience an adverse </w:t>
      </w:r>
      <w:r w:rsidR="004051A7" w:rsidRPr="00E84D1D">
        <w:t>outcome</w:t>
      </w:r>
      <w:r w:rsidR="004F2E25" w:rsidRPr="00E84D1D">
        <w:t>.</w:t>
      </w:r>
      <w:r w:rsidR="008A167C" w:rsidRPr="00E84D1D">
        <w:t xml:space="preserve"> All symptomatic </w:t>
      </w:r>
      <w:r w:rsidR="008A167C" w:rsidRPr="00E84D1D">
        <w:lastRenderedPageBreak/>
        <w:t xml:space="preserve">thromboembolic events in patients undergoing cardioversion </w:t>
      </w:r>
      <w:r w:rsidR="00E0617D" w:rsidRPr="00E84D1D">
        <w:t>occurred</w:t>
      </w:r>
      <w:r w:rsidR="008A167C" w:rsidRPr="00E84D1D">
        <w:t xml:space="preserve"> in those undergoing electrical cardioversion, both </w:t>
      </w:r>
      <w:r w:rsidR="005612D0" w:rsidRPr="00E84D1D">
        <w:t>within</w:t>
      </w:r>
      <w:r w:rsidR="008A167C" w:rsidRPr="00E84D1D">
        <w:t xml:space="preserve"> 30 and 42 days</w:t>
      </w:r>
      <w:r w:rsidR="00876129" w:rsidRPr="00E84D1D">
        <w:t xml:space="preserve"> of the procedure</w:t>
      </w:r>
      <w:r w:rsidR="008A167C" w:rsidRPr="00E84D1D">
        <w:t>; however, the low number of events in both groups preclude</w:t>
      </w:r>
      <w:r w:rsidR="00123AD8" w:rsidRPr="00E84D1D">
        <w:t>d</w:t>
      </w:r>
      <w:r w:rsidR="008A167C" w:rsidRPr="00E84D1D">
        <w:t xml:space="preserve"> comparison between the two approaches to cardioversion. </w:t>
      </w:r>
      <w:r w:rsidR="00BD6574" w:rsidRPr="00E84D1D">
        <w:t xml:space="preserve">Although </w:t>
      </w:r>
      <w:r w:rsidR="00744621" w:rsidRPr="00E84D1D">
        <w:t>curren</w:t>
      </w:r>
      <w:r w:rsidR="00BD6574" w:rsidRPr="00E84D1D">
        <w:t>t ESC guidelines recommend uninterrupted treatment in patients undergoing catheter ablation,</w:t>
      </w:r>
      <w:r w:rsidR="00BB6394" w:rsidRPr="00B64398">
        <w:fldChar w:fldCharType="begin"/>
      </w:r>
      <w:r w:rsidR="00465856">
        <w:instrText xml:space="preserve"> ADDIN REFMGR.CITE &lt;Refman&gt;&lt;Cite&gt;&lt;Author&gt;Kirchhof&lt;/Author&gt;&lt;Year&gt;2016&lt;/Year&gt;&lt;RecNum&gt;KIRCHHOF2016B&lt;/RecNum&gt;&lt;IDText&gt;2016 ESC Guidelines for the management of atrial fibrillation developed in collaboration with EACTS&lt;/IDText&gt;&lt;MDL Ref_Type="Journal"&gt;&lt;Ref_Type&gt;Journal&lt;/Ref_Type&gt;&lt;Ref_ID&gt;KIRCHHOF2016B&lt;/Ref_ID&gt;&lt;Title_Primary&gt;2016 ESC Guidelines for the management of atrial fibrillation developed in collaboration with EACTS&lt;/Title_Primary&gt;&lt;Authors_Primary&gt;Kirchhof,P.&lt;/Authors_Primary&gt;&lt;Authors_Primary&gt;Benussi,S.&lt;/Authors_Primary&gt;&lt;Authors_Primary&gt;Kotecha,D.&lt;/Authors_Primary&gt;&lt;Authors_Primary&gt;Ahlsson,A.&lt;/Authors_Primary&gt;&lt;Authors_Primary&gt;Atar,D.&lt;/Authors_Primary&gt;&lt;Authors_Primary&gt;Casadei,B.&lt;/Authors_Primary&gt;&lt;Authors_Primary&gt;Castella,M.&lt;/Authors_Primary&gt;&lt;Authors_Primary&gt;Diener,H.C.&lt;/Authors_Primary&gt;&lt;Authors_Primary&gt;Heidbuchel,H.&lt;/Authors_Primary&gt;&lt;Authors_Primary&gt;Hendriks,J.&lt;/Authors_Primary&gt;&lt;Authors_Primary&gt;Hindricks,G.&lt;/Authors_Primary&gt;&lt;Authors_Primary&gt;Manolis,A.S.&lt;/Authors_Primary&gt;&lt;Authors_Primary&gt;Oldgren,J.&lt;/Authors_Primary&gt;&lt;Authors_Primary&gt;Popescu,B.A.&lt;/Authors_Primary&gt;&lt;Authors_Primary&gt;Schotten,U.&lt;/Authors_Primary&gt;&lt;Authors_Primary&gt;Van Putte,B.&lt;/Authors_Primary&gt;&lt;Authors_Primary&gt;Vardas,P.&lt;/Authors_Primary&gt;&lt;Date_Primary&gt;2016/11&lt;/Date_Primary&gt;&lt;Keywords&gt;Atrial Fibrillation&lt;/Keywords&gt;&lt;Keywords&gt;Cardiology&lt;/Keywords&gt;&lt;Keywords&gt;guideline&lt;/Keywords&gt;&lt;Keywords&gt;Guidelines&lt;/Keywords&gt;&lt;Keywords&gt;Heart&lt;/Keywords&gt;&lt;Keywords&gt;MANAGEMENT&lt;/Keywords&gt;&lt;Keywords&gt;Stroke&lt;/Keywords&gt;&lt;Reprint&gt;Not in File&lt;/Reprint&gt;&lt;Start_Page&gt;1609&lt;/Start_Page&gt;&lt;End_Page&gt;1678&lt;/End_Page&gt;&lt;Periodical&gt;Europace&lt;/Periodical&gt;&lt;Volume&gt;18&lt;/Volume&gt;&lt;Web_URL&gt;PM:27567465&lt;/Web_URL&gt;&lt;ZZ_JournalFull&gt;&lt;f name="System"&gt;Europace&lt;/f&gt;&lt;/ZZ_JournalFull&gt;&lt;ZZ_WorkformID&gt;1&lt;/ZZ_WorkformID&gt;&lt;/MDL&gt;&lt;/Cite&gt;&lt;/Refman&gt;</w:instrText>
      </w:r>
      <w:r w:rsidR="00BB6394" w:rsidRPr="00B64398">
        <w:fldChar w:fldCharType="separate"/>
      </w:r>
      <w:r w:rsidR="00A91372" w:rsidRPr="00A91372">
        <w:rPr>
          <w:vertAlign w:val="superscript"/>
        </w:rPr>
        <w:t>3</w:t>
      </w:r>
      <w:r w:rsidR="00BB6394" w:rsidRPr="00B64398">
        <w:fldChar w:fldCharType="end"/>
      </w:r>
      <w:r w:rsidR="00744621" w:rsidRPr="00572E41">
        <w:t xml:space="preserve"> </w:t>
      </w:r>
      <w:r w:rsidR="001B5A4A" w:rsidRPr="00572E41">
        <w:t xml:space="preserve">41% of patients </w:t>
      </w:r>
      <w:r w:rsidR="00BD6574" w:rsidRPr="00E84D1D">
        <w:t>were recorded as having had treatment interruption on the day of procedure in the observational XANTUS study</w:t>
      </w:r>
      <w:r w:rsidR="007B6C73" w:rsidRPr="00E84D1D">
        <w:t>, which reflects the non-interventional design of the study</w:t>
      </w:r>
      <w:r w:rsidR="00BD6574" w:rsidRPr="00E84D1D">
        <w:t xml:space="preserve">. </w:t>
      </w:r>
      <w:r w:rsidR="007E3879" w:rsidRPr="00E84D1D">
        <w:t>An</w:t>
      </w:r>
      <w:r w:rsidR="002E2CD5" w:rsidRPr="00E84D1D">
        <w:t xml:space="preserve"> uninterrupted treatment strategy</w:t>
      </w:r>
      <w:r w:rsidR="00A37B7A" w:rsidRPr="00E84D1D">
        <w:t xml:space="preserve"> </w:t>
      </w:r>
      <w:r w:rsidR="007E3879" w:rsidRPr="00E84D1D">
        <w:t xml:space="preserve">was used </w:t>
      </w:r>
      <w:r w:rsidR="002E2CD5" w:rsidRPr="00E84D1D">
        <w:t xml:space="preserve">in the </w:t>
      </w:r>
      <w:r w:rsidR="00136A2F" w:rsidRPr="00E84D1D">
        <w:t>p</w:t>
      </w:r>
      <w:r w:rsidR="002E2CD5" w:rsidRPr="00E84D1D">
        <w:t>hase IIIb VENTURE-AF study</w:t>
      </w:r>
      <w:r w:rsidR="00A37B7A" w:rsidRPr="00E84D1D">
        <w:t xml:space="preserve">, which showed that in patients undergoing </w:t>
      </w:r>
      <w:r w:rsidR="00C00B61" w:rsidRPr="00E84D1D">
        <w:t>catheter</w:t>
      </w:r>
      <w:r w:rsidR="00A37B7A" w:rsidRPr="00E84D1D">
        <w:t xml:space="preserve"> ablation, use of uninterrupted oral rivaroxaban was feasible, with low rates of thromboembolic events and major bleeding reported</w:t>
      </w:r>
      <w:r w:rsidR="007654DA" w:rsidRPr="00E84D1D">
        <w:t>.</w:t>
      </w:r>
      <w:r w:rsidR="002E2CD5" w:rsidRPr="00E84D1D">
        <w:t xml:space="preserve"> </w:t>
      </w:r>
      <w:r w:rsidR="00744621" w:rsidRPr="00E84D1D">
        <w:t xml:space="preserve">The </w:t>
      </w:r>
      <w:r w:rsidR="007E3879" w:rsidRPr="00E84D1D">
        <w:t xml:space="preserve">risk of </w:t>
      </w:r>
      <w:r w:rsidR="00744621" w:rsidRPr="00E84D1D">
        <w:t xml:space="preserve">bleeding and stroke </w:t>
      </w:r>
      <w:r w:rsidR="007E3879" w:rsidRPr="00E84D1D">
        <w:t xml:space="preserve">in patients undergoing catheter ablation or cardioversion in XANTUS </w:t>
      </w:r>
      <w:r w:rsidR="00744621" w:rsidRPr="00E84D1D">
        <w:t xml:space="preserve">appeared numerically higher in patients undergoing </w:t>
      </w:r>
      <w:r w:rsidR="001B5A4A" w:rsidRPr="00E84D1D">
        <w:t xml:space="preserve">catheter </w:t>
      </w:r>
      <w:r w:rsidR="00744621" w:rsidRPr="00E84D1D">
        <w:t xml:space="preserve">ablation compared with cardioversion, most likely owing to the more invasive character of </w:t>
      </w:r>
      <w:r w:rsidR="001B5A4A" w:rsidRPr="00E84D1D">
        <w:t xml:space="preserve">catheter </w:t>
      </w:r>
      <w:r w:rsidR="00744621" w:rsidRPr="00E84D1D">
        <w:t>ablation.</w:t>
      </w:r>
    </w:p>
    <w:p w14:paraId="226E783A" w14:textId="1A34D496" w:rsidR="004A5A1B" w:rsidRPr="00E84D1D" w:rsidRDefault="004F2E25" w:rsidP="00241797">
      <w:pPr>
        <w:pStyle w:val="Text"/>
        <w:ind w:firstLine="567"/>
      </w:pPr>
      <w:r w:rsidRPr="00E84D1D">
        <w:t xml:space="preserve">The </w:t>
      </w:r>
      <w:r w:rsidR="00136A2F" w:rsidRPr="00E84D1D">
        <w:t>p</w:t>
      </w:r>
      <w:r w:rsidR="00827C71" w:rsidRPr="00E84D1D">
        <w:t xml:space="preserve">hase </w:t>
      </w:r>
      <w:r w:rsidR="007D159A" w:rsidRPr="00E84D1D">
        <w:t>III</w:t>
      </w:r>
      <w:r w:rsidR="007E3879" w:rsidRPr="00E84D1D">
        <w:t>,</w:t>
      </w:r>
      <w:r w:rsidR="00EE4A54" w:rsidRPr="00E84D1D">
        <w:t xml:space="preserve"> randomized, double-blind</w:t>
      </w:r>
      <w:r w:rsidR="007D159A" w:rsidRPr="00E84D1D">
        <w:t xml:space="preserve"> </w:t>
      </w:r>
      <w:r w:rsidR="000522A1" w:rsidRPr="00E84D1D">
        <w:t>ROCKET AF</w:t>
      </w:r>
      <w:r w:rsidR="007D159A" w:rsidRPr="00E84D1D">
        <w:t xml:space="preserve"> study</w:t>
      </w:r>
      <w:r w:rsidR="00A37B7A" w:rsidRPr="00E84D1D">
        <w:t>,</w:t>
      </w:r>
      <w:r w:rsidR="00BB6394" w:rsidRPr="00B64398">
        <w:fldChar w:fldCharType="begin"/>
      </w:r>
      <w:r w:rsidR="00465856">
        <w:instrText xml:space="preserve"> ADDIN REFMGR.CITE &lt;Refman&gt;&lt;Cite&gt;&lt;Author&gt;Piccini&lt;/Author&gt;&lt;Year&gt;2013&lt;/Year&gt;&lt;RecNum&gt;PICCINI2013A&lt;/RecNum&gt;&lt;IDText&gt;Outcomes following cardioversion and atrial fibrillation ablation in patients treated with rivaroxaban and warfarin in the ROCKET AF trial&lt;/IDText&gt;&lt;MDL Ref_Type="Journal"&gt;&lt;Ref_Type&gt;Journal&lt;/Ref_Type&gt;&lt;Ref_ID&gt;PICCINI2013A&lt;/Ref_ID&gt;&lt;Title_Primary&gt;Outcomes following cardioversion and atrial fibrillation ablation in patients treated with rivaroxaban and warfarin in the ROCKET AF trial&lt;/Title_Primary&gt;&lt;Authors_Primary&gt;Piccini,J.P.&lt;/Authors_Primary&gt;&lt;Authors_Primary&gt;Stevens,S.R.&lt;/Authors_Primary&gt;&lt;Authors_Primary&gt;Lokhnygina,Y.&lt;/Authors_Primary&gt;&lt;Authors_Primary&gt;Patel,M.R.&lt;/Authors_Primary&gt;&lt;Authors_Primary&gt;Halperin,J.L.&lt;/Authors_Primary&gt;&lt;Authors_Primary&gt;Singer,D.E.&lt;/Authors_Primary&gt;&lt;Authors_Primary&gt;Hankey,G.J.&lt;/Authors_Primary&gt;&lt;Authors_Primary&gt;Hacke,W.&lt;/Authors_Primary&gt;&lt;Authors_Primary&gt;Becker,R.C.&lt;/Authors_Primary&gt;&lt;Authors_Primary&gt;Nessel,C.C.&lt;/Authors_Primary&gt;&lt;Authors_Primary&gt;Mahaffey,K.W.&lt;/Authors_Primary&gt;&lt;Authors_Primary&gt;Fox,K.A.A.&lt;/Authors_Primary&gt;&lt;Authors_Primary&gt;Califf,R.M.&lt;/Authors_Primary&gt;&lt;Authors_Primary&gt;Breithardt,G.&lt;/Authors_Primary&gt;&lt;Authors_Primary&gt;ROCKET AF Steering Committee &amp;amp; Investigators,.&lt;/Authors_Primary&gt;&lt;Date_Primary&gt;2013/3/13&lt;/Date_Primary&gt;&lt;Keywords&gt;ablation&lt;/Keywords&gt;&lt;Keywords&gt;analysis&lt;/Keywords&gt;&lt;Keywords&gt;Arm&lt;/Keywords&gt;&lt;Keywords&gt;Atrial Fibrillation&lt;/Keywords&gt;&lt;Keywords&gt;cardioversion&lt;/Keywords&gt;&lt;Keywords&gt;Catheter Ablation&lt;/Keywords&gt;&lt;Keywords&gt;Death&lt;/Keywords&gt;&lt;Keywords&gt;Embolism&lt;/Keywords&gt;&lt;Keywords&gt;Factor Xa&lt;/Keywords&gt;&lt;Keywords&gt;Factor Xa inhibitor&lt;/Keywords&gt;&lt;Keywords&gt;Hospitalization&lt;/Keywords&gt;&lt;Keywords&gt;Incidence&lt;/Keywords&gt;&lt;Keywords&gt;inhibitors&lt;/Keywords&gt;&lt;Keywords&gt;methods&lt;/Keywords&gt;&lt;Keywords&gt;Patients&lt;/Keywords&gt;&lt;Keywords&gt;Research&lt;/Keywords&gt;&lt;Keywords&gt;rivaroxaban&lt;/Keywords&gt;&lt;Keywords&gt;ROCKET&lt;/Keywords&gt;&lt;Keywords&gt;ROCKET AF&lt;/Keywords&gt;&lt;Keywords&gt;Stroke&lt;/Keywords&gt;&lt;Keywords&gt;Survival&lt;/Keywords&gt;&lt;Keywords&gt;Universities&lt;/Keywords&gt;&lt;Keywords&gt;Warfarin&lt;/Keywords&gt;&lt;Reprint&gt;Not in File&lt;/Reprint&gt;&lt;Start_Page&gt;1998&lt;/Start_Page&gt;&lt;End_Page&gt;2006&lt;/End_Page&gt;&lt;Periodical&gt;J.Am.Coll.Cardiol.&lt;/Periodical&gt;&lt;Volume&gt;61&lt;/Volume&gt;&lt;Issue&gt;19&lt;/Issue&gt;&lt;Address&gt;Duke Clinical Research Institute, Duke University Medical Center, Durham, NC. Electronic address: jonathan.piccini@duke.edu&lt;/Address&gt;&lt;Web_URL&gt;PM:23500298&lt;/Web_URL&gt;&lt;ZZ_JournalFull&gt;&lt;f name="System"&gt;Journal of the American College of Cardiology&lt;/f&gt;&lt;/ZZ_JournalFull&gt;&lt;ZZ_JournalStdAbbrev&gt;&lt;f name="System"&gt;J.Am.Coll.Cardiol.&lt;/f&gt;&lt;/ZZ_JournalStdAbbrev&gt;&lt;ZZ_WorkformID&gt;1&lt;/ZZ_WorkformID&gt;&lt;/MDL&gt;&lt;/Cite&gt;&lt;/Refman&gt;</w:instrText>
      </w:r>
      <w:r w:rsidR="00BB6394" w:rsidRPr="00B64398">
        <w:fldChar w:fldCharType="separate"/>
      </w:r>
      <w:r w:rsidR="00A91372" w:rsidRPr="00A91372">
        <w:rPr>
          <w:vertAlign w:val="superscript"/>
        </w:rPr>
        <w:t>16</w:t>
      </w:r>
      <w:r w:rsidR="00BB6394" w:rsidRPr="00B64398">
        <w:fldChar w:fldCharType="end"/>
      </w:r>
      <w:r w:rsidR="007D159A" w:rsidRPr="00572E41">
        <w:t xml:space="preserve"> as well as the </w:t>
      </w:r>
      <w:r w:rsidR="00136A2F" w:rsidRPr="00572E41">
        <w:t>p</w:t>
      </w:r>
      <w:r w:rsidR="00827C71" w:rsidRPr="00E84D1D">
        <w:t xml:space="preserve">hase </w:t>
      </w:r>
      <w:r w:rsidR="007D159A" w:rsidRPr="00E84D1D">
        <w:t>IIIb</w:t>
      </w:r>
      <w:r w:rsidR="00FD3879" w:rsidRPr="00E84D1D">
        <w:t xml:space="preserve"> studies</w:t>
      </w:r>
      <w:r w:rsidR="004A5A1B" w:rsidRPr="00E84D1D">
        <w:t xml:space="preserve"> </w:t>
      </w:r>
      <w:r w:rsidR="000522A1" w:rsidRPr="00E84D1D">
        <w:t>VENTURE</w:t>
      </w:r>
      <w:r w:rsidR="002E2CD5" w:rsidRPr="00E84D1D">
        <w:t>-AF</w:t>
      </w:r>
      <w:r w:rsidR="00BB6394" w:rsidRPr="00B64398">
        <w:fldChar w:fldCharType="begin"/>
      </w:r>
      <w:r w:rsidR="00465856">
        <w:instrText xml:space="preserve"> ADDIN REFMGR.CITE &lt;Refman&gt;&lt;Cite&gt;&lt;Author&gt;Cappato&lt;/Author&gt;&lt;Year&gt;2015&lt;/Year&gt;&lt;RecNum&gt;CAPPATO2015&lt;/RecNum&gt;&lt;IDText&gt;Uninterrupted rivaroxaban vs. uninterrupted vitamin K antagonists for catheter ablation in non-valvular atrial fibrillation&lt;/IDText&gt;&lt;MDL Ref_Type="Journal"&gt;&lt;Ref_Type&gt;Journal&lt;/Ref_Type&gt;&lt;Ref_ID&gt;CAPPATO2015&lt;/Ref_ID&gt;&lt;Title_Primary&gt;Uninterrupted rivaroxaban vs. uninterrupted vitamin K antagonists for catheter ablation in non-valvular atrial fibrillation&lt;/Title_Primary&gt;&lt;Authors_Primary&gt;Cappato,R.&lt;/Authors_Primary&gt;&lt;Authors_Primary&gt;Marchlinski,F.E.&lt;/Authors_Primary&gt;&lt;Authors_Primary&gt;Hohnloser,S.H.&lt;/Authors_Primary&gt;&lt;Authors_Primary&gt;Naccarelli,G.V.&lt;/Authors_Primary&gt;&lt;Authors_Primary&gt;Xiang,J.&lt;/Authors_Primary&gt;&lt;Authors_Primary&gt;Wilber,D.J.&lt;/Authors_Primary&gt;&lt;Authors_Primary&gt;Ma,C.S.&lt;/Authors_Primary&gt;&lt;Authors_Primary&gt;Hess,S.&lt;/Authors_Primary&gt;&lt;Authors_Primary&gt;Wells,D.S.&lt;/Authors_Primary&gt;&lt;Authors_Primary&gt;Juang,G.&lt;/Authors_Primary&gt;&lt;Authors_Primary&gt;Vijgen,J.&lt;/Authors_Primary&gt;&lt;Authors_Primary&gt;Huegl,B.J.&lt;/Authors_Primary&gt;&lt;Authors_Primary&gt;Balasubramaniam,R.&lt;/Authors_Primary&gt;&lt;Authors_Primary&gt;De Chillou,C.&lt;/Authors_Primary&gt;&lt;Authors_Primary&gt;Wyn Davies,D.&lt;/Authors_Primary&gt;&lt;Authors_Primary&gt;Fields,L.E.&lt;/Authors_Primary&gt;&lt;Authors_Primary&gt;Natale,A.&lt;/Authors_Primary&gt;&lt;Authors_Primary&gt;on behalf of the VENTURE-AF Investigators,.&lt;/Authors_Primary&gt;&lt;Date_Primary&gt;2015/7/21&lt;/Date_Primary&gt;&lt;Keywords&gt;rivaroxaban&lt;/Keywords&gt;&lt;Keywords&gt;Vitamin K&lt;/Keywords&gt;&lt;Keywords&gt;Catheter Ablation&lt;/Keywords&gt;&lt;Keywords&gt;ablation&lt;/Keywords&gt;&lt;Keywords&gt;Atrial Fibrillation&lt;/Keywords&gt;&lt;Start_Page&gt;1805&lt;/Start_Page&gt;&lt;End_Page&gt;1811&lt;/End_Page&gt;&lt;Periodical&gt;Eur.Heart J.&lt;/Periodical&gt;&lt;Volume&gt;36&lt;/Volume&gt;&lt;Issue&gt;28&lt;/Issue&gt;&lt;Web_URL_Link1&gt;&lt;u&gt;http://eurheartj.oxfordjournals.org/content/ehj/early/2015/05/07/eurheartj.ehv177.full.pdf&lt;/u&gt;&lt;/Web_URL_Link1&gt;&lt;ZZ_JournalFull&gt;&lt;f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F33255" w:rsidRPr="00F33255">
        <w:rPr>
          <w:vertAlign w:val="superscript"/>
        </w:rPr>
        <w:t>13</w:t>
      </w:r>
      <w:r w:rsidR="00BB6394" w:rsidRPr="00B64398">
        <w:fldChar w:fldCharType="end"/>
      </w:r>
      <w:r w:rsidR="000522A1" w:rsidRPr="00572E41">
        <w:t xml:space="preserve"> </w:t>
      </w:r>
      <w:r w:rsidR="00FD3879" w:rsidRPr="00572E41">
        <w:t>and X-VeRT,</w:t>
      </w:r>
      <w:r w:rsidR="00BB6394" w:rsidRPr="00B64398">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17</w:t>
      </w:r>
      <w:r w:rsidR="00BB6394" w:rsidRPr="00B64398">
        <w:fldChar w:fldCharType="end"/>
      </w:r>
      <w:r w:rsidRPr="00572E41">
        <w:t xml:space="preserve"> </w:t>
      </w:r>
      <w:r w:rsidR="00BD3629" w:rsidRPr="00572E41">
        <w:t xml:space="preserve">compared rivaroxaban with dose-adjusted VKAs in patients with non-valvular AF. These studies </w:t>
      </w:r>
      <w:r w:rsidR="000522A1" w:rsidRPr="00E84D1D">
        <w:t xml:space="preserve">have provided information on outcomes </w:t>
      </w:r>
      <w:r w:rsidR="00644764" w:rsidRPr="00E84D1D">
        <w:t xml:space="preserve">after </w:t>
      </w:r>
      <w:r w:rsidR="000522A1" w:rsidRPr="00E84D1D">
        <w:t>cathe</w:t>
      </w:r>
      <w:r w:rsidR="00EE4A54" w:rsidRPr="00E84D1D">
        <w:t>ter ablation</w:t>
      </w:r>
      <w:r w:rsidR="00C00B61" w:rsidRPr="00E84D1D">
        <w:t xml:space="preserve"> or cardioversion</w:t>
      </w:r>
      <w:r w:rsidR="00EE4A54" w:rsidRPr="00E84D1D">
        <w:t xml:space="preserve"> in patients with non-valvular </w:t>
      </w:r>
      <w:r w:rsidR="000522A1" w:rsidRPr="00E84D1D">
        <w:t>AF treated</w:t>
      </w:r>
      <w:r w:rsidR="00EE4A54" w:rsidRPr="00E84D1D">
        <w:t xml:space="preserve"> with rivaroxaban.</w:t>
      </w:r>
      <w:r w:rsidR="000522A1" w:rsidRPr="00E84D1D">
        <w:t xml:space="preserve"> </w:t>
      </w:r>
      <w:r w:rsidR="004A5A1B" w:rsidRPr="00E84D1D">
        <w:t>The studies had</w:t>
      </w:r>
      <w:r w:rsidR="000522A1" w:rsidRPr="00E84D1D">
        <w:t xml:space="preserve"> very different designs and populations</w:t>
      </w:r>
      <w:r w:rsidR="004A5A1B" w:rsidRPr="00E84D1D">
        <w:t>;</w:t>
      </w:r>
      <w:r w:rsidR="00EE4A54" w:rsidRPr="00E84D1D">
        <w:t xml:space="preserve"> in contrast to the prospective, non-interventional XANTUS study, the</w:t>
      </w:r>
      <w:r w:rsidR="00FD3879" w:rsidRPr="00E84D1D">
        <w:t xml:space="preserve">y were </w:t>
      </w:r>
      <w:r w:rsidR="00EE4A54" w:rsidRPr="00E84D1D">
        <w:t xml:space="preserve">performed in selected patients </w:t>
      </w:r>
      <w:r w:rsidR="00EF50D5" w:rsidRPr="00E84D1D">
        <w:t>across a limited number of</w:t>
      </w:r>
      <w:r w:rsidR="00EE4A54" w:rsidRPr="00E84D1D">
        <w:t xml:space="preserve"> centre</w:t>
      </w:r>
      <w:r w:rsidR="00BD3629" w:rsidRPr="00E84D1D">
        <w:t>s and with standard procedures</w:t>
      </w:r>
      <w:r w:rsidR="005612D0" w:rsidRPr="00E84D1D">
        <w:t>, as for any randomized controlled trial</w:t>
      </w:r>
      <w:r w:rsidR="004A5A1B" w:rsidRPr="00E84D1D">
        <w:t>.</w:t>
      </w:r>
      <w:r w:rsidR="00BD3629" w:rsidRPr="00E84D1D">
        <w:t xml:space="preserve"> </w:t>
      </w:r>
      <w:r w:rsidR="004A5A1B" w:rsidRPr="00E84D1D">
        <w:t>However, despite these limitations</w:t>
      </w:r>
      <w:r w:rsidR="00E743F6">
        <w:t xml:space="preserve"> in terms of different </w:t>
      </w:r>
      <w:r w:rsidR="0052557E">
        <w:t>designs and populations</w:t>
      </w:r>
      <w:r w:rsidR="004A5A1B" w:rsidRPr="00E84D1D">
        <w:t xml:space="preserve">, </w:t>
      </w:r>
      <w:r w:rsidR="000522A1" w:rsidRPr="00E84D1D">
        <w:t xml:space="preserve">a common finding was that the incidence of </w:t>
      </w:r>
      <w:r w:rsidR="00BD3629" w:rsidRPr="00E84D1D">
        <w:t>thromboembolic events</w:t>
      </w:r>
      <w:r w:rsidR="000522A1" w:rsidRPr="00E84D1D">
        <w:t xml:space="preserve"> after </w:t>
      </w:r>
      <w:r w:rsidR="00C00B61" w:rsidRPr="00E84D1D">
        <w:t xml:space="preserve">catheter </w:t>
      </w:r>
      <w:r w:rsidR="000522A1" w:rsidRPr="00E84D1D">
        <w:t xml:space="preserve">ablation </w:t>
      </w:r>
      <w:r w:rsidR="00C00B61" w:rsidRPr="00E84D1D">
        <w:t xml:space="preserve">or cardioversion </w:t>
      </w:r>
      <w:r w:rsidR="000522A1" w:rsidRPr="00E84D1D">
        <w:t>was low</w:t>
      </w:r>
      <w:r w:rsidR="00BD3629" w:rsidRPr="00E84D1D">
        <w:t>,</w:t>
      </w:r>
      <w:r w:rsidR="00A73713" w:rsidRPr="00E84D1D">
        <w:t xml:space="preserve"> as w</w:t>
      </w:r>
      <w:r w:rsidR="00A37B7A" w:rsidRPr="00E84D1D">
        <w:t xml:space="preserve">as the incidence of </w:t>
      </w:r>
      <w:r w:rsidR="000522A1" w:rsidRPr="00E84D1D">
        <w:t>major bleeding</w:t>
      </w:r>
      <w:r w:rsidR="00A73713" w:rsidRPr="00E84D1D">
        <w:t xml:space="preserve"> events</w:t>
      </w:r>
      <w:r w:rsidR="000522A1" w:rsidRPr="00E84D1D">
        <w:t xml:space="preserve">. </w:t>
      </w:r>
      <w:r w:rsidR="00A01F40" w:rsidRPr="00E84D1D">
        <w:t>In the</w:t>
      </w:r>
      <w:r w:rsidR="007B6C73" w:rsidRPr="00E84D1D">
        <w:t>se</w:t>
      </w:r>
      <w:r w:rsidR="00A01F40" w:rsidRPr="00E84D1D">
        <w:t xml:space="preserve"> studies</w:t>
      </w:r>
      <w:r w:rsidR="007B6C73" w:rsidRPr="00E84D1D">
        <w:t>,</w:t>
      </w:r>
      <w:r w:rsidR="00A01F40" w:rsidRPr="00E84D1D">
        <w:t xml:space="preserve"> where a VKA co</w:t>
      </w:r>
      <w:r w:rsidR="00B06DFF" w:rsidRPr="00E84D1D">
        <w:t>m</w:t>
      </w:r>
      <w:r w:rsidR="00A01F40" w:rsidRPr="00E84D1D">
        <w:t>parator arm was included</w:t>
      </w:r>
      <w:r w:rsidR="00B06DFF" w:rsidRPr="00E84D1D">
        <w:t>,</w:t>
      </w:r>
      <w:r w:rsidR="007B6C73" w:rsidRPr="00E84D1D">
        <w:t xml:space="preserve"> the</w:t>
      </w:r>
      <w:r w:rsidR="00A01F40" w:rsidRPr="00E84D1D">
        <w:t xml:space="preserve"> </w:t>
      </w:r>
      <w:r w:rsidR="000522A1" w:rsidRPr="00E84D1D">
        <w:t>rates were similar in both the riv</w:t>
      </w:r>
      <w:r w:rsidR="00EE4A54" w:rsidRPr="00E84D1D">
        <w:t>aroxaban</w:t>
      </w:r>
      <w:r w:rsidR="004D44B6" w:rsidRPr="00E84D1D">
        <w:t>-</w:t>
      </w:r>
      <w:r w:rsidR="00EE4A54" w:rsidRPr="00E84D1D">
        <w:t xml:space="preserve"> and </w:t>
      </w:r>
      <w:r w:rsidR="004D44B6" w:rsidRPr="00E84D1D">
        <w:t>VKA-</w:t>
      </w:r>
      <w:r w:rsidR="0091779D" w:rsidRPr="00E84D1D">
        <w:t>treated groups.</w:t>
      </w:r>
    </w:p>
    <w:p w14:paraId="4F8C0719" w14:textId="64141E84" w:rsidR="00A7436A" w:rsidRPr="00572E41" w:rsidRDefault="00A7436A" w:rsidP="00241797">
      <w:pPr>
        <w:pStyle w:val="Text"/>
        <w:ind w:firstLine="567"/>
      </w:pPr>
      <w:r w:rsidRPr="00E84D1D">
        <w:t xml:space="preserve">A </w:t>
      </w:r>
      <w:r w:rsidRPr="00E84D1D">
        <w:rPr>
          <w:i/>
        </w:rPr>
        <w:t>post hoc</w:t>
      </w:r>
      <w:r w:rsidRPr="00E84D1D">
        <w:t xml:space="preserve"> analysis of the ROCKET AF data showed that the rates of stroke/non-CNS SE </w:t>
      </w:r>
      <w:r w:rsidR="00F25AE9" w:rsidRPr="00E84D1D">
        <w:t xml:space="preserve">(0.93%) </w:t>
      </w:r>
      <w:r w:rsidRPr="00E84D1D">
        <w:t>or death (cardiovascular or all-cause</w:t>
      </w:r>
      <w:r w:rsidR="00F25AE9" w:rsidRPr="00E84D1D">
        <w:t>: 1.25% for both</w:t>
      </w:r>
      <w:r w:rsidRPr="00E84D1D">
        <w:t>)</w:t>
      </w:r>
      <w:r w:rsidR="00F25AE9" w:rsidRPr="00E84D1D">
        <w:t xml:space="preserve"> were low</w:t>
      </w:r>
      <w:r w:rsidRPr="00E84D1D">
        <w:t xml:space="preserve"> in the first 30 days after catheter ablation or cardioversion i</w:t>
      </w:r>
      <w:r w:rsidR="006F398A" w:rsidRPr="00E84D1D">
        <w:t xml:space="preserve">n </w:t>
      </w:r>
      <w:r w:rsidR="00F25AE9" w:rsidRPr="00E84D1D">
        <w:t xml:space="preserve">a pooled analysis of </w:t>
      </w:r>
      <w:r w:rsidR="006F398A" w:rsidRPr="00E84D1D">
        <w:t xml:space="preserve">patients treated with </w:t>
      </w:r>
      <w:r w:rsidRPr="00E84D1D">
        <w:lastRenderedPageBreak/>
        <w:t>rivaroxaban</w:t>
      </w:r>
      <w:r w:rsidR="006F398A" w:rsidRPr="00E84D1D">
        <w:t xml:space="preserve"> or warfarin</w:t>
      </w:r>
      <w:r w:rsidRPr="00E84D1D">
        <w:t xml:space="preserve">. Over a median follow-up </w:t>
      </w:r>
      <w:r w:rsidR="007B6C73" w:rsidRPr="00E84D1D">
        <w:t xml:space="preserve">period </w:t>
      </w:r>
      <w:r w:rsidRPr="00E84D1D">
        <w:t>of 2.1 years, rates</w:t>
      </w:r>
      <w:r w:rsidR="00321CFA" w:rsidRPr="00E84D1D">
        <w:t xml:space="preserve"> of stroke/non-CNS SE </w:t>
      </w:r>
      <w:r w:rsidRPr="00E84D1D">
        <w:t xml:space="preserve">were </w:t>
      </w:r>
      <w:r w:rsidR="00800F94" w:rsidRPr="00E84D1D">
        <w:t>similar</w:t>
      </w:r>
      <w:r w:rsidRPr="00E84D1D">
        <w:t xml:space="preserve"> in patients treated with rivaroxaban </w:t>
      </w:r>
      <w:r w:rsidR="006F398A" w:rsidRPr="00E84D1D">
        <w:t>or</w:t>
      </w:r>
      <w:r w:rsidRPr="00E84D1D">
        <w:t xml:space="preserve"> warfarin</w:t>
      </w:r>
      <w:r w:rsidR="00321CFA" w:rsidRPr="00E84D1D">
        <w:t xml:space="preserve"> (1.88% </w:t>
      </w:r>
      <w:r w:rsidR="0022461D" w:rsidRPr="00E84D1D">
        <w:t xml:space="preserve">vs. </w:t>
      </w:r>
      <w:r w:rsidR="00321CFA" w:rsidRPr="00E84D1D">
        <w:t>1.86%)</w:t>
      </w:r>
      <w:r w:rsidRPr="00E84D1D">
        <w:t xml:space="preserve">; </w:t>
      </w:r>
      <w:r w:rsidR="005A29A2" w:rsidRPr="00E84D1D">
        <w:t xml:space="preserve">the </w:t>
      </w:r>
      <w:r w:rsidR="00A8429D" w:rsidRPr="00E84D1D">
        <w:t>rates</w:t>
      </w:r>
      <w:r w:rsidR="00667E11" w:rsidRPr="00E84D1D">
        <w:t xml:space="preserve"> of </w:t>
      </w:r>
      <w:r w:rsidRPr="00E84D1D">
        <w:t xml:space="preserve">cardiovascular death </w:t>
      </w:r>
      <w:r w:rsidR="00A8429D" w:rsidRPr="00E84D1D">
        <w:t>were</w:t>
      </w:r>
      <w:r w:rsidR="00667E11" w:rsidRPr="00E84D1D">
        <w:t xml:space="preserve"> </w:t>
      </w:r>
      <w:r w:rsidRPr="00E84D1D">
        <w:t xml:space="preserve">1.25% </w:t>
      </w:r>
      <w:r w:rsidR="0022461D" w:rsidRPr="00E84D1D">
        <w:t xml:space="preserve">vs. </w:t>
      </w:r>
      <w:r w:rsidRPr="00E84D1D">
        <w:t>2.48%</w:t>
      </w:r>
      <w:r w:rsidR="00667E11" w:rsidRPr="00E84D1D">
        <w:t>, respectively</w:t>
      </w:r>
      <w:r w:rsidRPr="00E84D1D">
        <w:t xml:space="preserve"> (all-ca</w:t>
      </w:r>
      <w:r w:rsidR="00667E11" w:rsidRPr="00E84D1D">
        <w:t xml:space="preserve">use death: 1.88% </w:t>
      </w:r>
      <w:r w:rsidR="0022461D" w:rsidRPr="00E84D1D">
        <w:t xml:space="preserve">vs. </w:t>
      </w:r>
      <w:r w:rsidR="00667E11" w:rsidRPr="00E84D1D">
        <w:t>3.73%)</w:t>
      </w:r>
      <w:r w:rsidR="002469B2" w:rsidRPr="00E84D1D">
        <w:t xml:space="preserve"> (</w:t>
      </w:r>
      <w:r w:rsidR="002469B2" w:rsidRPr="00E84D1D">
        <w:rPr>
          <w:i/>
        </w:rPr>
        <w:t>Table 5</w:t>
      </w:r>
      <w:r w:rsidR="002469B2" w:rsidRPr="00E84D1D">
        <w:t>)</w:t>
      </w:r>
      <w:r w:rsidRPr="00E84D1D">
        <w:t>.</w:t>
      </w:r>
      <w:r w:rsidR="00BB6394" w:rsidRPr="00B64398">
        <w:fldChar w:fldCharType="begin"/>
      </w:r>
      <w:r w:rsidR="00465856">
        <w:instrText xml:space="preserve"> ADDIN REFMGR.CITE &lt;Refman&gt;&lt;Cite&gt;&lt;Author&gt;Piccini&lt;/Author&gt;&lt;Year&gt;2013&lt;/Year&gt;&lt;RecNum&gt;PICCINI2013A&lt;/RecNum&gt;&lt;IDText&gt;Outcomes following cardioversion and atrial fibrillation ablation in patients treated with rivaroxaban and warfarin in the ROCKET AF trial&lt;/IDText&gt;&lt;MDL Ref_Type="Journal"&gt;&lt;Ref_Type&gt;Journal&lt;/Ref_Type&gt;&lt;Ref_ID&gt;PICCINI2013A&lt;/Ref_ID&gt;&lt;Title_Primary&gt;Outcomes following cardioversion and atrial fibrillation ablation in patients treated with rivaroxaban and warfarin in the ROCKET AF trial&lt;/Title_Primary&gt;&lt;Authors_Primary&gt;Piccini,J.P.&lt;/Authors_Primary&gt;&lt;Authors_Primary&gt;Stevens,S.R.&lt;/Authors_Primary&gt;&lt;Authors_Primary&gt;Lokhnygina,Y.&lt;/Authors_Primary&gt;&lt;Authors_Primary&gt;Patel,M.R.&lt;/Authors_Primary&gt;&lt;Authors_Primary&gt;Halperin,J.L.&lt;/Authors_Primary&gt;&lt;Authors_Primary&gt;Singer,D.E.&lt;/Authors_Primary&gt;&lt;Authors_Primary&gt;Hankey,G.J.&lt;/Authors_Primary&gt;&lt;Authors_Primary&gt;Hacke,W.&lt;/Authors_Primary&gt;&lt;Authors_Primary&gt;Becker,R.C.&lt;/Authors_Primary&gt;&lt;Authors_Primary&gt;Nessel,C.C.&lt;/Authors_Primary&gt;&lt;Authors_Primary&gt;Mahaffey,K.W.&lt;/Authors_Primary&gt;&lt;Authors_Primary&gt;Fox,K.A.A.&lt;/Authors_Primary&gt;&lt;Authors_Primary&gt;Califf,R.M.&lt;/Authors_Primary&gt;&lt;Authors_Primary&gt;Breithardt,G.&lt;/Authors_Primary&gt;&lt;Authors_Primary&gt;ROCKET AF Steering Committee &amp;amp; Investigators,.&lt;/Authors_Primary&gt;&lt;Date_Primary&gt;2013/3/13&lt;/Date_Primary&gt;&lt;Keywords&gt;ablation&lt;/Keywords&gt;&lt;Keywords&gt;analysis&lt;/Keywords&gt;&lt;Keywords&gt;Arm&lt;/Keywords&gt;&lt;Keywords&gt;Atrial Fibrillation&lt;/Keywords&gt;&lt;Keywords&gt;cardioversion&lt;/Keywords&gt;&lt;Keywords&gt;Catheter Ablation&lt;/Keywords&gt;&lt;Keywords&gt;Death&lt;/Keywords&gt;&lt;Keywords&gt;Embolism&lt;/Keywords&gt;&lt;Keywords&gt;Factor Xa&lt;/Keywords&gt;&lt;Keywords&gt;Factor Xa inhibitor&lt;/Keywords&gt;&lt;Keywords&gt;Hospitalization&lt;/Keywords&gt;&lt;Keywords&gt;Incidence&lt;/Keywords&gt;&lt;Keywords&gt;inhibitors&lt;/Keywords&gt;&lt;Keywords&gt;methods&lt;/Keywords&gt;&lt;Keywords&gt;Patients&lt;/Keywords&gt;&lt;Keywords&gt;Research&lt;/Keywords&gt;&lt;Keywords&gt;rivaroxaban&lt;/Keywords&gt;&lt;Keywords&gt;ROCKET&lt;/Keywords&gt;&lt;Keywords&gt;ROCKET AF&lt;/Keywords&gt;&lt;Keywords&gt;Stroke&lt;/Keywords&gt;&lt;Keywords&gt;Survival&lt;/Keywords&gt;&lt;Keywords&gt;Universities&lt;/Keywords&gt;&lt;Keywords&gt;Warfarin&lt;/Keywords&gt;&lt;Reprint&gt;Not in File&lt;/Reprint&gt;&lt;Start_Page&gt;1998&lt;/Start_Page&gt;&lt;End_Page&gt;2006&lt;/End_Page&gt;&lt;Periodical&gt;J.Am.Coll.Cardiol.&lt;/Periodical&gt;&lt;Volume&gt;61&lt;/Volume&gt;&lt;Issue&gt;19&lt;/Issue&gt;&lt;Address&gt;Duke Clinical Research Institute, Duke University Medical Center, Durham, NC. Electronic address: jonathan.piccini@duke.edu&lt;/Address&gt;&lt;Web_URL&gt;PM:23500298&lt;/Web_URL&gt;&lt;ZZ_JournalFull&gt;&lt;f name="System"&gt;Journal of the American College of Cardiology&lt;/f&gt;&lt;/ZZ_JournalFull&gt;&lt;ZZ_JournalStdAbbrev&gt;&lt;f name="System"&gt;J.Am.Coll.Cardiol.&lt;/f&gt;&lt;/ZZ_JournalStdAbbrev&gt;&lt;ZZ_WorkformID&gt;1&lt;/ZZ_WorkformID&gt;&lt;/MDL&gt;&lt;/Cite&gt;&lt;/Refman&gt;</w:instrText>
      </w:r>
      <w:r w:rsidR="00BB6394" w:rsidRPr="00B64398">
        <w:fldChar w:fldCharType="separate"/>
      </w:r>
      <w:r w:rsidR="00A91372" w:rsidRPr="00A91372">
        <w:rPr>
          <w:vertAlign w:val="superscript"/>
        </w:rPr>
        <w:t>16</w:t>
      </w:r>
      <w:r w:rsidR="00BB6394" w:rsidRPr="00B64398">
        <w:fldChar w:fldCharType="end"/>
      </w:r>
      <w:r w:rsidRPr="00572E41">
        <w:t xml:space="preserve"> I</w:t>
      </w:r>
      <w:r w:rsidR="00075760" w:rsidRPr="00572E41">
        <w:t>nterrupted and uninterrupted rivaroxaban strategies were associated with similar outcomes</w:t>
      </w:r>
      <w:r w:rsidR="00CB28CA">
        <w:rPr>
          <w:i/>
        </w:rPr>
        <w:t xml:space="preserve">. </w:t>
      </w:r>
      <w:r w:rsidR="00CB28CA">
        <w:t xml:space="preserve">In XANTUS, </w:t>
      </w:r>
      <w:r w:rsidR="00E130D7">
        <w:t>similar outcomes were also observed</w:t>
      </w:r>
      <w:r w:rsidR="00CB28CA">
        <w:t xml:space="preserve"> </w:t>
      </w:r>
      <w:r w:rsidR="00927F0B">
        <w:t>between</w:t>
      </w:r>
      <w:r w:rsidR="00CB28CA">
        <w:t xml:space="preserve"> patients who received rivaroxaban on the day of the intervention and those who did not (</w:t>
      </w:r>
      <w:r w:rsidR="00CB28CA">
        <w:rPr>
          <w:i/>
        </w:rPr>
        <w:t xml:space="preserve">Supplementary Table </w:t>
      </w:r>
      <w:r w:rsidR="00914EAF">
        <w:rPr>
          <w:i/>
        </w:rPr>
        <w:t>S</w:t>
      </w:r>
      <w:r w:rsidR="00CB28CA">
        <w:rPr>
          <w:i/>
        </w:rPr>
        <w:t>1</w:t>
      </w:r>
      <w:r w:rsidR="00CB28CA">
        <w:t>).</w:t>
      </w:r>
      <w:r w:rsidRPr="00E84D1D">
        <w:t xml:space="preserve"> Similar </w:t>
      </w:r>
      <w:r w:rsidRPr="00E84D1D">
        <w:rPr>
          <w:i/>
        </w:rPr>
        <w:t>post hoc</w:t>
      </w:r>
      <w:r w:rsidRPr="00E84D1D">
        <w:t xml:space="preserve"> analyses of the </w:t>
      </w:r>
      <w:r w:rsidR="00136A2F" w:rsidRPr="00E84D1D">
        <w:t>p</w:t>
      </w:r>
      <w:r w:rsidRPr="00E84D1D">
        <w:t>hase III studies for apixaban (ARISTOTLE)</w:t>
      </w:r>
      <w:r w:rsidR="00BB6394" w:rsidRPr="00B64398">
        <w:fldChar w:fldCharType="begin"/>
      </w:r>
      <w:r w:rsidR="00465856">
        <w:instrText xml:space="preserve"> ADDIN REFMGR.CITE &lt;Refman&gt;&lt;Cite&gt;&lt;Author&gt;Flaker&lt;/Author&gt;&lt;Year&gt;2014&lt;/Year&gt;&lt;RecNum&gt;FLAKER2014&lt;/RecNum&gt;&lt;IDText&gt;Efficacy and safety of apixaban in patients after cardioversion for atrial fibrillation: insights from the ARISTOTLE trial (Apixaban for Reduction in Stroke and Other Thromboembolic Events in Atrial Fibrillation)&lt;/IDText&gt;&lt;MDL Ref_Type="Journal"&gt;&lt;Ref_Type&gt;Journal&lt;/Ref_Type&gt;&lt;Ref_ID&gt;FLAKER2014&lt;/Ref_ID&gt;&lt;Title_Primary&gt;Efficacy and safety of apixaban in patients after cardioversion for atrial fibrillation: insights from the ARISTOTLE trial (Apixaban for Reduction in Stroke and Other Thromboembolic Events in Atrial Fibrillation)&lt;/Title_Primary&gt;&lt;Authors_Primary&gt;Flaker,G.&lt;/Authors_Primary&gt;&lt;Authors_Primary&gt;Lopes,R.D.&lt;/Authors_Primary&gt;&lt;Authors_Primary&gt;Al Khatib,S.M.&lt;/Authors_Primary&gt;&lt;Authors_Primary&gt;Hermosillo,A.G.&lt;/Authors_Primary&gt;&lt;Authors_Primary&gt;Hohnloser,S.H.&lt;/Authors_Primary&gt;&lt;Authors_Primary&gt;tinga,B.&lt;/Authors_Primary&gt;&lt;Authors_Primary&gt;Zhu,J.&lt;/Authors_Primary&gt;&lt;Authors_Primary&gt;Mohan,P.&lt;/Authors_Primary&gt;&lt;Authors_Primary&gt;Garcia,D.&lt;/Authors_Primary&gt;&lt;Authors_Primary&gt;Bartunek,J.&lt;/Authors_Primary&gt;&lt;Authors_Primary&gt;Vinereanu,D.&lt;/Authors_Primary&gt;&lt;Authors_Primary&gt;Husted,S.&lt;/Authors_Primary&gt;&lt;Authors_Primary&gt;Harjola,V.P.&lt;/Authors_Primary&gt;&lt;Authors_Primary&gt;Rosenqvist,M.&lt;/Authors_Primary&gt;&lt;Authors_Primary&gt;Alexander,J.H.&lt;/Authors_Primary&gt;&lt;Authors_Primary&gt;Granger,C.B.&lt;/Authors_Primary&gt;&lt;Authors_Primary&gt;ARISTOTLE Committees and Investigators,.&lt;/Authors_Primary&gt;&lt;Date_Primary&gt;2014/3/25&lt;/Date_Primary&gt;&lt;Keywords&gt;adverse effects&lt;/Keywords&gt;&lt;Keywords&gt;Aged&lt;/Keywords&gt;&lt;Keywords&gt;analysis&lt;/Keywords&gt;&lt;Keywords&gt;Anticoagulants&lt;/Keywords&gt;&lt;Keywords&gt;apixaban&lt;/Keywords&gt;&lt;Keywords&gt;Atrial Fibrillation&lt;/Keywords&gt;&lt;Keywords&gt;Belgium&lt;/Keywords&gt;&lt;Keywords&gt;bleeding&lt;/Keywords&gt;&lt;Keywords&gt;Cardiology&lt;/Keywords&gt;&lt;Keywords&gt;cardioversion&lt;/Keywords&gt;&lt;Keywords&gt;China&lt;/Keywords&gt;&lt;Keywords&gt;Comparative Study&lt;/Keywords&gt;&lt;Keywords&gt;dabigatran&lt;/Keywords&gt;&lt;Keywords&gt;Death&lt;/Keywords&gt;&lt;Keywords&gt;Denmark&lt;/Keywords&gt;&lt;Keywords&gt;diagnosis&lt;/Keywords&gt;&lt;Keywords&gt;Dose-Response Relationship,Drug&lt;/Keywords&gt;&lt;Keywords&gt;Drug Administration Schedule&lt;/Keywords&gt;&lt;Keywords&gt;drug therapy&lt;/Keywords&gt;&lt;Keywords&gt;Echocardiography,Transesophageal&lt;/Keywords&gt;&lt;Keywords&gt;Education&lt;/Keywords&gt;&lt;Keywords&gt;efficacy&lt;/Keywords&gt;&lt;Keywords&gt;Electric Countershock&lt;/Keywords&gt;&lt;Keywords&gt;Electrocardiography&lt;/Keywords&gt;&lt;Keywords&gt;Emergencies&lt;/Keywords&gt;&lt;Keywords&gt;Factor Xa&lt;/Keywords&gt;&lt;Keywords&gt;Factor Xa inhibitor&lt;/Keywords&gt;&lt;Keywords&gt;Female&lt;/Keywords&gt;&lt;Keywords&gt;Finland&lt;/Keywords&gt;&lt;Keywords&gt;FOLLOW-UP&lt;/Keywords&gt;&lt;Keywords&gt;Follow-Up Studies&lt;/Keywords&gt;&lt;Keywords&gt;Germany&lt;/Keywords&gt;&lt;Keywords&gt;Hemorrhage&lt;/Keywords&gt;&lt;Keywords&gt;Humans&lt;/Keywords&gt;&lt;Keywords&gt;Infarction&lt;/Keywords&gt;&lt;Keywords&gt;Internal Medicine&lt;/Keywords&gt;&lt;Keywords&gt;Male&lt;/Keywords&gt;&lt;Keywords&gt;Medicine&lt;/Keywords&gt;&lt;Keywords&gt;methods&lt;/Keywords&gt;&lt;Keywords&gt;Mexico&lt;/Keywords&gt;&lt;Keywords&gt;Middle Aged&lt;/Keywords&gt;&lt;Keywords&gt;mortality&lt;/Keywords&gt;&lt;Keywords&gt;Myocardial Infarction&lt;/Keywords&gt;&lt;Keywords&gt;New Jersey&lt;/Keywords&gt;&lt;Keywords&gt;New Mexico&lt;/Keywords&gt;&lt;Keywords&gt;North Carolina&lt;/Keywords&gt;&lt;Keywords&gt;Patient Safety&lt;/Keywords&gt;&lt;Keywords&gt;Patients&lt;/Keywords&gt;&lt;Keywords&gt;Pharmacies&lt;/Keywords&gt;&lt;Keywords&gt;prevention &amp;amp; control&lt;/Keywords&gt;&lt;Keywords&gt;Pyrazoles&lt;/Keywords&gt;&lt;Keywords&gt;Pyridones&lt;/Keywords&gt;&lt;Keywords&gt;randomized controlled trial&lt;/Keywords&gt;&lt;Keywords&gt;Research&lt;/Keywords&gt;&lt;Keywords&gt;Risk&lt;/Keywords&gt;&lt;Keywords&gt;Risk Assessment&lt;/Keywords&gt;&lt;Keywords&gt;Safety&lt;/Keywords&gt;&lt;Keywords&gt;Severity of Illness Index&lt;/Keywords&gt;&lt;Keywords&gt;Stroke&lt;/Keywords&gt;&lt;Keywords&gt;Survival Rate&lt;/Keywords&gt;&lt;Keywords&gt;Sweden&lt;/Keywords&gt;&lt;Keywords&gt;therapeutic use&lt;/Keywords&gt;&lt;Keywords&gt;therapy&lt;/Keywords&gt;&lt;Keywords&gt;Thromboembolism&lt;/Keywords&gt;&lt;Keywords&gt;Time&lt;/Keywords&gt;&lt;Keywords&gt;Treatment Outcome&lt;/Keywords&gt;&lt;Keywords&gt;Universities&lt;/Keywords&gt;&lt;Keywords&gt;Vitamin K&lt;/Keywords&gt;&lt;Keywords&gt;Warfarin&lt;/Keywords&gt;&lt;Reprint&gt;Not in File&lt;/Reprint&gt;&lt;Start_Page&gt;1082&lt;/Start_Page&gt;&lt;End_Page&gt;1087&lt;/End_Page&gt;&lt;Periodical&gt;J.Am.Coll.Cardiol.&lt;/Periodical&gt;&lt;Volume&gt;63&lt;/Volume&gt;&lt;Issue&gt;11&lt;/Issue&gt;&lt;Address&gt;Division of Cardiovascular Medicine, Department of Internal Medicine, University of Missouri, Columbia, Missouri. Electronic address: flakerg@missouri.edu&amp;#xA;Division of Cardiology, Department of Medicine, Duke Clinical Research Institute, Duke University Medical Center, Durham, North Carolina&amp;#xA;Division of Cardiology, Department of Medicine, Duke Clinical Research Institute, Duke University Medical Center, Durham, North Carolina&amp;#xA;Department of Electrocardiology, Instituto Nacional de Cardiologia, &amp;quot;Ignacio Chavez,&amp;quot; Juan Badiano #1, Seccion XVI, Tlalpan, Mexico&amp;#xA;J.W. Goethe-University, Frankfurt, Germany&amp;#xA;Division of Cardiology, Department of Medicine, Duke Clinical Research Institute, Duke University Medical Center, Durham, North Carolina&amp;#xA;Fuwai Hospital, Chinese Academy of Medical Sciences, Beijing, China&amp;#xA;Bristol-Myers Squibb, Princeton, New Jersey&amp;#xA;University of New Mexico, Albuquerque, New Mexico&amp;#xA;Cardiologisch Centrum, OLV Zienkenhuis, Aalst, Belgium&amp;#xA;University of Medicine and Pharmacy Carol Davila, Bucharest, Romania&amp;#xA;Department of Cardiology, Arhus University Hospital, Arhus, Denmark&amp;#xA;Division of Emergency Care, Department of Medicine, Helsinki University Central Hospital, Helsinki, Finland&amp;#xA;Department of Clinical Science and Education, Karolinska Institutet, Stockholm, Sweden&amp;#xA;Division of Cardiology, Department of Medicine, Duke Clinical Research Institute, Duke University Medical Center, Durham, North Carolina&amp;#xA;Division of Cardiology, Department of Medicine, Duke Clinical Research Institute, Duke University Medical Center, Durham, North Carolina&lt;/Address&gt;&lt;Web_URL&gt;PM:24211508&lt;/Web_URL&gt;&lt;ZZ_JournalFull&gt;&lt;f name="System"&gt;Journal of the American College of Cardiology&lt;/f&gt;&lt;/ZZ_JournalFull&gt;&lt;ZZ_JournalStdAbbrev&gt;&lt;f name="System"&gt;J.Am.Coll.Cardiol.&lt;/f&gt;&lt;/ZZ_JournalStdAbbrev&gt;&lt;ZZ_WorkformID&gt;1&lt;/ZZ_WorkformID&gt;&lt;/MDL&gt;&lt;/Cite&gt;&lt;/Refman&gt;</w:instrText>
      </w:r>
      <w:r w:rsidR="00BB6394" w:rsidRPr="00B64398">
        <w:fldChar w:fldCharType="separate"/>
      </w:r>
      <w:r w:rsidR="00A91372" w:rsidRPr="00A91372">
        <w:rPr>
          <w:vertAlign w:val="superscript"/>
        </w:rPr>
        <w:t>14</w:t>
      </w:r>
      <w:r w:rsidR="00BB6394" w:rsidRPr="00B64398">
        <w:fldChar w:fldCharType="end"/>
      </w:r>
      <w:r w:rsidRPr="00572E41">
        <w:t xml:space="preserve"> and dabigatran (RE-LY)</w:t>
      </w:r>
      <w:r w:rsidR="00BB6394" w:rsidRPr="00B64398">
        <w:fldChar w:fldCharType="begin"/>
      </w:r>
      <w:r w:rsidR="00465856">
        <w:instrText xml:space="preserve"> ADDIN REFMGR.CITE &lt;Refman&gt;&lt;Cite&gt;&lt;Author&gt;Nagarakanti&lt;/Author&gt;&lt;Year&gt;2011&lt;/Year&gt;&lt;RecNum&gt;NAGARAKANTI2011A&lt;/RecNum&gt;&lt;IDText&gt;Dabigatran versus warfarin in patients with atrial fibrillation: an analysis of patients undergoing cardioversion&lt;/IDText&gt;&lt;MDL Ref_Type="Journal"&gt;&lt;Ref_Type&gt;Journal&lt;/Ref_Type&gt;&lt;Ref_ID&gt;NAGARAKANTI2011A&lt;/Ref_ID&gt;&lt;Title_Primary&gt;Dabigatran versus warfarin in patients with atrial fibrillation: an analysis of patients undergoing cardioversion&lt;/Title_Primary&gt;&lt;Authors_Primary&gt;Nagarakanti,R.&lt;/Authors_Primary&gt;&lt;Authors_Primary&gt;Ezekowitz,M.D.&lt;/Authors_Primary&gt;&lt;Authors_Primary&gt;Oldgren,J.&lt;/Authors_Primary&gt;&lt;Authors_Primary&gt;Yang,S.&lt;/Authors_Primary&gt;&lt;Authors_Primary&gt;Chernick,M.&lt;/Authors_Primary&gt;&lt;Authors_Primary&gt;Aikens,T.H.&lt;/Authors_Primary&gt;&lt;Authors_Primary&gt;Flaker,G.&lt;/Authors_Primary&gt;&lt;Authors_Primary&gt;Brugada,J.&lt;/Authors_Primary&gt;&lt;Authors_Primary&gt;Kamensky,G.&lt;/Authors_Primary&gt;&lt;Authors_Primary&gt;Parekh,A.&lt;/Authors_Primary&gt;&lt;Authors_Primary&gt;Reilly,P.A.&lt;/Authors_Primary&gt;&lt;Authors_Primary&gt;Yusuf,S.&lt;/Authors_Primary&gt;&lt;Authors_Primary&gt;Connolly,S.J.&lt;/Authors_Primary&gt;&lt;Date_Primary&gt;2011/1/18&lt;/Date_Primary&gt;&lt;Keywords&gt;Anticoagulants&lt;/Keywords&gt;&lt;Keywords&gt;adverse effects&lt;/Keywords&gt;&lt;Keywords&gt;therapeutic use&lt;/Keywords&gt;&lt;Keywords&gt;Atrial Fibrillation&lt;/Keywords&gt;&lt;Keywords&gt;physiopathology&lt;/Keywords&gt;&lt;Keywords&gt;therapy&lt;/Keywords&gt;&lt;Keywords&gt;Benzimidazoles&lt;/Keywords&gt;&lt;Keywords&gt;dabigatran&lt;/Keywords&gt;&lt;Keywords&gt;Echocardiography,Transesophageal&lt;/Keywords&gt;&lt;Keywords&gt;Electric Countershock&lt;/Keywords&gt;&lt;Keywords&gt;Electric Stimulation Therapy&lt;/Keywords&gt;&lt;Keywords&gt;Hemorrhage&lt;/Keywords&gt;&lt;Keywords&gt;chemically induced&lt;/Keywords&gt;&lt;Keywords&gt;epidemiology&lt;/Keywords&gt;&lt;Keywords&gt;Humans&lt;/Keywords&gt;&lt;Keywords&gt;Incidence&lt;/Keywords&gt;&lt;Keywords&gt;Retrospective Studies&lt;/Keywords&gt;&lt;Keywords&gt;Stroke&lt;/Keywords&gt;&lt;Keywords&gt;prevention &amp;amp; control&lt;/Keywords&gt;&lt;Keywords&gt;Warfarin&lt;/Keywords&gt;&lt;Keywords&gt;beta-Alanine&lt;/Keywords&gt;&lt;Keywords&gt;analogs &amp;amp; derivatives&lt;/Keywords&gt;&lt;Reprint&gt;Not in File&lt;/Reprint&gt;&lt;Start_Page&gt;131&lt;/Start_Page&gt;&lt;End_Page&gt;136&lt;/End_Page&gt;&lt;Periodical&gt;Circulation&lt;/Periodical&gt;&lt;Volume&gt;123&lt;/Volume&gt;&lt;Issue&gt;2&lt;/Issue&gt;&lt;Address&gt;Louisiana State University School of Medicine, New Orleans, LA, USA&lt;/Address&gt;&lt;Web_URL&gt;PM:21200007&lt;/Web_URL&gt;&lt;ZZ_JournalFull&gt;&lt;f name="System"&gt;Circulation&lt;/f&gt;&lt;/ZZ_JournalFull&gt;&lt;ZZ_WorkformID&gt;1&lt;/ZZ_WorkformID&gt;&lt;/MDL&gt;&lt;/Cite&gt;&lt;/Refman&gt;</w:instrText>
      </w:r>
      <w:r w:rsidR="00BB6394" w:rsidRPr="00B64398">
        <w:fldChar w:fldCharType="separate"/>
      </w:r>
      <w:r w:rsidR="00A91372" w:rsidRPr="00A91372">
        <w:rPr>
          <w:vertAlign w:val="superscript"/>
        </w:rPr>
        <w:t>15</w:t>
      </w:r>
      <w:r w:rsidR="00BB6394" w:rsidRPr="00B64398">
        <w:fldChar w:fldCharType="end"/>
      </w:r>
      <w:r w:rsidRPr="00572E41">
        <w:t xml:space="preserve"> also showed low rates of thromboembolic events (0% for apixaban, 0.8% </w:t>
      </w:r>
      <w:r w:rsidR="00C14C04">
        <w:t xml:space="preserve">[5/647] </w:t>
      </w:r>
      <w:r w:rsidRPr="00572E41">
        <w:t xml:space="preserve">for dabigatran 110 mg </w:t>
      </w:r>
      <w:r w:rsidR="00670A50">
        <w:t>twice daily [</w:t>
      </w:r>
      <w:r w:rsidR="000B1B88">
        <w:t>bid</w:t>
      </w:r>
      <w:r w:rsidR="00670A50">
        <w:t>]</w:t>
      </w:r>
      <w:r w:rsidR="000B1B88">
        <w:t xml:space="preserve"> </w:t>
      </w:r>
      <w:r w:rsidRPr="00572E41">
        <w:t xml:space="preserve">and 0.3% </w:t>
      </w:r>
      <w:r w:rsidR="00C14C04">
        <w:t xml:space="preserve">[2/672] </w:t>
      </w:r>
      <w:r w:rsidRPr="00572E41">
        <w:t xml:space="preserve">for dabigatran 150 mg </w:t>
      </w:r>
      <w:r w:rsidR="000B1B88">
        <w:t xml:space="preserve">bid </w:t>
      </w:r>
      <w:r w:rsidRPr="00572E41">
        <w:t xml:space="preserve">for stroke/non-CNS SE) and major bleeding </w:t>
      </w:r>
      <w:r w:rsidR="00791D52">
        <w:t xml:space="preserve">events </w:t>
      </w:r>
      <w:r w:rsidRPr="00572E41">
        <w:t xml:space="preserve">(0.3% </w:t>
      </w:r>
      <w:r w:rsidR="00C14C04">
        <w:t xml:space="preserve">[1/331] </w:t>
      </w:r>
      <w:r w:rsidRPr="00572E41">
        <w:t xml:space="preserve">for apixaban, 1.7% </w:t>
      </w:r>
      <w:r w:rsidR="00C14C04">
        <w:t xml:space="preserve">[11/647] </w:t>
      </w:r>
      <w:r w:rsidRPr="00572E41">
        <w:t xml:space="preserve">for dabigatran 110 mg </w:t>
      </w:r>
      <w:r w:rsidR="000B1B88">
        <w:t xml:space="preserve">bid </w:t>
      </w:r>
      <w:r w:rsidRPr="00572E41">
        <w:t xml:space="preserve">and 0.6% </w:t>
      </w:r>
      <w:r w:rsidR="00C14C04">
        <w:t xml:space="preserve">[4/672] </w:t>
      </w:r>
      <w:r w:rsidRPr="00572E41">
        <w:t>for dabigatran 150 mg</w:t>
      </w:r>
      <w:r w:rsidR="000B1B88">
        <w:t xml:space="preserve"> bid</w:t>
      </w:r>
      <w:r w:rsidRPr="00572E41">
        <w:t xml:space="preserve">) in patients undergoing cardioversion at 30 days after the intervention, similar to those observed in XANTUS (0.6% </w:t>
      </w:r>
      <w:r w:rsidR="00C14C04">
        <w:t xml:space="preserve">[3/502] </w:t>
      </w:r>
      <w:r w:rsidRPr="00572E41">
        <w:t>and 0.4%</w:t>
      </w:r>
      <w:r w:rsidR="00C14C04">
        <w:t xml:space="preserve"> [2/502]</w:t>
      </w:r>
      <w:r w:rsidRPr="00572E41">
        <w:t>, respectively).</w:t>
      </w:r>
    </w:p>
    <w:p w14:paraId="15FD7F49" w14:textId="4D91CE13" w:rsidR="006139A1" w:rsidRPr="00E84D1D" w:rsidRDefault="002469B2" w:rsidP="00241797">
      <w:pPr>
        <w:pStyle w:val="Text"/>
        <w:ind w:firstLine="567"/>
      </w:pPr>
      <w:r w:rsidRPr="00E84D1D">
        <w:t>The</w:t>
      </w:r>
      <w:r w:rsidR="006139A1" w:rsidRPr="00E84D1D">
        <w:t xml:space="preserve"> multinational, randomized, open-label, parallel-group </w:t>
      </w:r>
      <w:r w:rsidR="00136A2F" w:rsidRPr="00E84D1D">
        <w:t>p</w:t>
      </w:r>
      <w:r w:rsidR="006139A1" w:rsidRPr="00E84D1D">
        <w:t xml:space="preserve">hase IIIb </w:t>
      </w:r>
      <w:r w:rsidRPr="00E84D1D">
        <w:t>VENTURE-AF study</w:t>
      </w:r>
      <w:r w:rsidR="006139A1" w:rsidRPr="00E84D1D">
        <w:t xml:space="preserve"> evaluated the safety of uninterrupted rivaroxaban or VKAs in 248 patients with non-valvular AF undergoing catheter ablation.</w:t>
      </w:r>
      <w:r w:rsidR="00BD6574" w:rsidRPr="00E84D1D">
        <w:t xml:space="preserve"> </w:t>
      </w:r>
      <w:r w:rsidR="00EF06D3" w:rsidRPr="00E84D1D">
        <w:t>Rates of major bleeding at 30 days after intervention were low in this study, with no thromboembolic events or major bleeding observed in rivaroxaban-treated patients</w:t>
      </w:r>
      <w:r w:rsidR="003B57DE" w:rsidRPr="00E84D1D">
        <w:t xml:space="preserve"> (</w:t>
      </w:r>
      <w:r w:rsidR="003B57DE" w:rsidRPr="00E84D1D">
        <w:rPr>
          <w:i/>
        </w:rPr>
        <w:t>Table 5</w:t>
      </w:r>
      <w:r w:rsidR="003B57DE" w:rsidRPr="00E84D1D">
        <w:t>)</w:t>
      </w:r>
      <w:r w:rsidR="00EF06D3" w:rsidRPr="00E84D1D">
        <w:t xml:space="preserve">, while rates of 1.6% (2/124) and 0.8% (1/121) were seen in VKA-treated patients, </w:t>
      </w:r>
      <w:r w:rsidR="006139A1" w:rsidRPr="00E84D1D">
        <w:t xml:space="preserve">respectively. A meta-analysis of multiple observational studies assessing adverse outcomes at 30 days (and up to 11–18 months in one study) reported fewer thromboembolic events in patients treated with rivaroxaban compared with those receiving VKA (4/1954 [0.2%] </w:t>
      </w:r>
      <w:r w:rsidR="0022461D" w:rsidRPr="00E84D1D">
        <w:t xml:space="preserve">vs. </w:t>
      </w:r>
      <w:r w:rsidR="006139A1" w:rsidRPr="00E84D1D">
        <w:t>19/5219 [0.4%]). For major bleeding after catheter ablation, rates of 1.2% (23/1994) were reported in patients treated with rivaroxaban, compared with 1.7% (90/5406) in those receiving VKA.</w:t>
      </w:r>
      <w:r w:rsidR="00BB6394" w:rsidRPr="00B64398">
        <w:fldChar w:fldCharType="begin"/>
      </w:r>
      <w:r w:rsidR="00465856">
        <w:instrText xml:space="preserve"> ADDIN REFMGR.CITE &lt;Refman&gt;&lt;Cite&gt;&lt;Author&gt;Vamos&lt;/Author&gt;&lt;Year&gt;2016&lt;/Year&gt;&lt;RecNum&gt;VAMOS2016&lt;/RecNum&gt;&lt;IDText&gt;Efficacy and safety of rivaroxaban compared with vitamin K antagonists for peri-procedural anticoagulation in catheter ablation of atrial fibrillation: a systematic review and meta-analysis&lt;/IDText&gt;&lt;MDL Ref_Type="Journal"&gt;&lt;Ref_Type&gt;Journal&lt;/Ref_Type&gt;&lt;Ref_ID&gt;VAMOS2016&lt;/Ref_ID&gt;&lt;Title_Primary&gt;Efficacy and safety of rivaroxaban compared with vitamin K antagonists for peri-procedural anticoagulation in catheter ablation of atrial fibrillation: a systematic review and meta-analysis&lt;/Title_Primary&gt;&lt;Authors_Primary&gt;Vamos,M.&lt;/Authors_Primary&gt;&lt;Authors_Primary&gt;Cappato,R.&lt;/Authors_Primary&gt;&lt;Authors_Primary&gt;Marchlinski,F.E.&lt;/Authors_Primary&gt;&lt;Authors_Primary&gt;Natale,A.&lt;/Authors_Primary&gt;&lt;Authors_Primary&gt;Hohnloser,S.H.&lt;/Authors_Primary&gt;&lt;Date_Primary&gt;2016/1/20&lt;/Date_Primary&gt;&lt;Keywords&gt;ablation&lt;/Keywords&gt;&lt;Keywords&gt;analysis&lt;/Keywords&gt;&lt;Keywords&gt;anticoagulation&lt;/Keywords&gt;&lt;Keywords&gt;Arrhythmia&lt;/Keywords&gt;&lt;Keywords&gt;Atrial Fibrillation&lt;/Keywords&gt;&lt;Keywords&gt;bleeding&lt;/Keywords&gt;&lt;Keywords&gt;Cardiology&lt;/Keywords&gt;&lt;Keywords&gt;Catheter Ablation&lt;/Keywords&gt;&lt;Keywords&gt;complications&lt;/Keywords&gt;&lt;Keywords&gt;efficacy&lt;/Keywords&gt;&lt;Keywords&gt;Electrophysiology&lt;/Keywords&gt;&lt;Keywords&gt;Germany&lt;/Keywords&gt;&lt;Keywords&gt;Italy&lt;/Keywords&gt;&lt;Keywords&gt;Language&lt;/Keywords&gt;&lt;Keywords&gt;meta-analysis&lt;/Keywords&gt;&lt;Keywords&gt;Odds Ratio&lt;/Keywords&gt;&lt;Keywords&gt;outcomes&lt;/Keywords&gt;&lt;Keywords&gt;Patients&lt;/Keywords&gt;&lt;Keywords&gt;Pennsylvania&lt;/Keywords&gt;&lt;Keywords&gt;Philadelphia&lt;/Keywords&gt;&lt;Keywords&gt;review&lt;/Keywords&gt;&lt;Keywords&gt;Risk&lt;/Keywords&gt;&lt;Keywords&gt;rivaroxaban&lt;/Keywords&gt;&lt;Keywords&gt;Safety&lt;/Keywords&gt;&lt;Keywords&gt;Texas&lt;/Keywords&gt;&lt;Keywords&gt;therapy&lt;/Keywords&gt;&lt;Keywords&gt;Thromboembolism&lt;/Keywords&gt;&lt;Keywords&gt;TRIALS&lt;/Keywords&gt;&lt;Keywords&gt;Universities&lt;/Keywords&gt;&lt;Keywords&gt;Vitamin K&lt;/Keywords&gt;&lt;Reprint&gt;Not in File&lt;/Reprint&gt;&lt;Start_Page&gt;doi:10.1093/europace/euv408&lt;/Start_Page&gt;&lt;Periodical&gt;Europace&lt;/Periodical&gt;&lt;Address&gt;Department of Cardiology, Division of Clinical Electrophysiology, J.W. Goethe University, Theodor-Stern-Kai 7, Frankfurt am Main D 60590, Germany&amp;#xA;Arrhythmia and Electrophysiology Center, IRCCS Humanitas, Rozzano, Milan, and Cliniche Gavazzeni, Bergamo, Italy&amp;#xA;Section of Cardiac Electrophysiology, Hospital of the University of Pennsylvania, Philadelphia, PA, USA&amp;#xA;Texas Cardiac Arrhythmia Institute at St. David&amp;apos;s Medical Center, Austin, TX, USA&amp;#xA;Department of Cardiology, Division of Clinical Electrophysiology, J.W. Goethe University, Theodor-Stern-Kai 7, Frankfurt am Main D 60590, Germany hohnloser@em.uni-frankfurt.de&lt;/Address&gt;&lt;Web_URL&gt;PM:26797248&lt;/Web_URL&gt;&lt;ZZ_JournalFull&gt;&lt;f name="System"&gt;Europace&lt;/f&gt;&lt;/ZZ_JournalFull&gt;&lt;ZZ_WorkformID&gt;1&lt;/ZZ_WorkformID&gt;&lt;/MDL&gt;&lt;/Cite&gt;&lt;/Refman&gt;</w:instrText>
      </w:r>
      <w:r w:rsidR="00BB6394" w:rsidRPr="00B64398">
        <w:fldChar w:fldCharType="separate"/>
      </w:r>
      <w:r w:rsidR="00A91372" w:rsidRPr="00A91372">
        <w:rPr>
          <w:vertAlign w:val="superscript"/>
        </w:rPr>
        <w:t>19</w:t>
      </w:r>
      <w:r w:rsidR="00BB6394" w:rsidRPr="00B64398">
        <w:fldChar w:fldCharType="end"/>
      </w:r>
      <w:r w:rsidR="006139A1" w:rsidRPr="00572E41">
        <w:t xml:space="preserve"> In the XANTUS study, the</w:t>
      </w:r>
      <w:r w:rsidR="00280123" w:rsidRPr="00572E41">
        <w:t xml:space="preserve"> proportio</w:t>
      </w:r>
      <w:r w:rsidR="00280123" w:rsidRPr="00E84D1D">
        <w:t>n</w:t>
      </w:r>
      <w:r w:rsidR="00BB0FE1" w:rsidRPr="00E84D1D">
        <w:t>s</w:t>
      </w:r>
      <w:r w:rsidR="00280123" w:rsidRPr="00E84D1D">
        <w:t xml:space="preserve"> of patients treated with rivaroxaban who experienced a</w:t>
      </w:r>
      <w:r w:rsidR="006139A1" w:rsidRPr="00E84D1D">
        <w:t xml:space="preserve"> </w:t>
      </w:r>
      <w:r w:rsidR="002D3858" w:rsidRPr="00E84D1D">
        <w:t>symptomatic thromboembolic event</w:t>
      </w:r>
      <w:r w:rsidR="006139A1" w:rsidRPr="00E84D1D">
        <w:t xml:space="preserve"> </w:t>
      </w:r>
      <w:r w:rsidR="00280123" w:rsidRPr="00E84D1D">
        <w:t xml:space="preserve">or a major bleeding event at 30 days after catheter ablation </w:t>
      </w:r>
      <w:r w:rsidR="00BB0FE1" w:rsidRPr="00E84D1D">
        <w:t xml:space="preserve">were </w:t>
      </w:r>
      <w:r w:rsidR="006139A1" w:rsidRPr="00E84D1D">
        <w:t>1.2% and 2.9%</w:t>
      </w:r>
      <w:r w:rsidR="00280123" w:rsidRPr="00E84D1D">
        <w:t>, respectively</w:t>
      </w:r>
      <w:r w:rsidR="006139A1" w:rsidRPr="00E84D1D">
        <w:t xml:space="preserve">, which </w:t>
      </w:r>
      <w:r w:rsidR="00BB0FE1" w:rsidRPr="00E84D1D">
        <w:t xml:space="preserve">were </w:t>
      </w:r>
      <w:r w:rsidR="006139A1" w:rsidRPr="00E84D1D">
        <w:t xml:space="preserve">higher than the rates observed in VENTURE-AF </w:t>
      </w:r>
      <w:r w:rsidR="00CD240D" w:rsidRPr="00E84D1D">
        <w:t>(</w:t>
      </w:r>
      <w:r w:rsidR="00CD240D" w:rsidRPr="00E84D1D">
        <w:rPr>
          <w:i/>
        </w:rPr>
        <w:t xml:space="preserve">Table 5) </w:t>
      </w:r>
      <w:r w:rsidR="006139A1" w:rsidRPr="00E84D1D">
        <w:t xml:space="preserve">and in the meta-analysis. The slightly higher event rates observed in this </w:t>
      </w:r>
      <w:r w:rsidR="006139A1" w:rsidRPr="00E84D1D">
        <w:rPr>
          <w:i/>
        </w:rPr>
        <w:t>post hoc</w:t>
      </w:r>
      <w:r w:rsidR="006139A1" w:rsidRPr="00E84D1D">
        <w:t xml:space="preserve"> </w:t>
      </w:r>
      <w:r w:rsidR="006139A1" w:rsidRPr="00E84D1D">
        <w:lastRenderedPageBreak/>
        <w:t>XANTUS analysis compared with other datasets may be accounted for by the specific procedures used in</w:t>
      </w:r>
      <w:r w:rsidR="000F41CC" w:rsidRPr="00E84D1D">
        <w:t xml:space="preserve"> the patients enrolled in</w:t>
      </w:r>
      <w:r w:rsidR="006139A1" w:rsidRPr="00E84D1D">
        <w:t xml:space="preserve"> the XANTUS st</w:t>
      </w:r>
      <w:r w:rsidR="000F41CC" w:rsidRPr="00E84D1D">
        <w:t>udy, which were not defined in a</w:t>
      </w:r>
      <w:r w:rsidR="006139A1" w:rsidRPr="00E84D1D">
        <w:t xml:space="preserve"> protocol </w:t>
      </w:r>
      <w:r w:rsidR="000F41CC" w:rsidRPr="00E84D1D">
        <w:t xml:space="preserve">as they were in these other studies </w:t>
      </w:r>
      <w:r w:rsidR="006139A1" w:rsidRPr="00E84D1D">
        <w:t xml:space="preserve">because XANTUS </w:t>
      </w:r>
      <w:r w:rsidR="00BB0FE1" w:rsidRPr="00E84D1D">
        <w:t>wa</w:t>
      </w:r>
      <w:r w:rsidR="006139A1" w:rsidRPr="00E84D1D">
        <w:t>s a</w:t>
      </w:r>
      <w:r w:rsidR="00BF619E">
        <w:t xml:space="preserve"> </w:t>
      </w:r>
      <w:r w:rsidR="006139A1" w:rsidRPr="00E84D1D">
        <w:t>n</w:t>
      </w:r>
      <w:r w:rsidR="00BF619E">
        <w:t>on-interventional,</w:t>
      </w:r>
      <w:r w:rsidR="006139A1" w:rsidRPr="00E84D1D">
        <w:t xml:space="preserve"> study.</w:t>
      </w:r>
      <w:r w:rsidR="004C2459" w:rsidRPr="00E84D1D">
        <w:t xml:space="preserve"> Additionally, some patients in XANTUS did not receive treatment on the day of the procedure.</w:t>
      </w:r>
      <w:r w:rsidR="00465856">
        <w:t xml:space="preserve"> </w:t>
      </w:r>
      <w:r w:rsidR="00465856" w:rsidRPr="00E84D1D">
        <w:t xml:space="preserve">Further studies, </w:t>
      </w:r>
      <w:r w:rsidR="000B1B88">
        <w:t>such as</w:t>
      </w:r>
      <w:r w:rsidR="00465856" w:rsidRPr="00E84D1D">
        <w:t xml:space="preserve"> RE-CIRCUIT (NCT02348723) and AXAFA-AFNET 5 (</w:t>
      </w:r>
      <w:r w:rsidR="00465856" w:rsidRPr="00E84D1D">
        <w:rPr>
          <w:rFonts w:cs="Arial"/>
          <w:color w:val="000000"/>
          <w:shd w:val="clear" w:color="auto" w:fill="FFFFFF"/>
        </w:rPr>
        <w:t>NCT02227550)</w:t>
      </w:r>
      <w:r w:rsidR="00465856" w:rsidRPr="00E84D1D">
        <w:t>, will evaluate other NOACs in patients undergoing catheter ablation.</w:t>
      </w:r>
    </w:p>
    <w:p w14:paraId="434BFC65" w14:textId="24DA7A5C" w:rsidR="004A5A1B" w:rsidRPr="00572E41" w:rsidRDefault="00740192" w:rsidP="00241797">
      <w:pPr>
        <w:pStyle w:val="Text"/>
        <w:ind w:firstLine="567"/>
      </w:pPr>
      <w:r w:rsidRPr="00E84D1D">
        <w:t xml:space="preserve">The X-VeRT trial, </w:t>
      </w:r>
      <w:r w:rsidR="004A5A1B" w:rsidRPr="00E84D1D">
        <w:t>a prospective, open</w:t>
      </w:r>
      <w:r w:rsidR="00BB0FE1" w:rsidRPr="00E84D1D">
        <w:t>-</w:t>
      </w:r>
      <w:r w:rsidR="004A5A1B" w:rsidRPr="00E84D1D">
        <w:t xml:space="preserve">label, multinational, randomized </w:t>
      </w:r>
      <w:r w:rsidR="00136A2F" w:rsidRPr="00E84D1D">
        <w:t>p</w:t>
      </w:r>
      <w:r w:rsidR="00827C71" w:rsidRPr="00E84D1D">
        <w:t xml:space="preserve">hase </w:t>
      </w:r>
      <w:r w:rsidR="004A5A1B" w:rsidRPr="00E84D1D">
        <w:t xml:space="preserve">IIIb study </w:t>
      </w:r>
      <w:r w:rsidRPr="00E84D1D">
        <w:t xml:space="preserve">investigating rivaroxaban </w:t>
      </w:r>
      <w:r w:rsidR="0022461D" w:rsidRPr="00E84D1D">
        <w:t xml:space="preserve">vs. </w:t>
      </w:r>
      <w:r w:rsidRPr="00E84D1D">
        <w:t>VKA treatment in the cardioversion setting</w:t>
      </w:r>
      <w:r w:rsidR="004A5A1B" w:rsidRPr="00E84D1D">
        <w:t xml:space="preserve"> in patients with haemodynamically stable non-valvular AF of 48 h</w:t>
      </w:r>
      <w:r w:rsidR="009811CC" w:rsidRPr="00E84D1D">
        <w:t>ours</w:t>
      </w:r>
      <w:r w:rsidR="004A5A1B" w:rsidRPr="00E84D1D">
        <w:t xml:space="preserve"> or unknown duration</w:t>
      </w:r>
      <w:r w:rsidRPr="00E84D1D">
        <w:t>, showed that rivaroxaban-treated patients had low thromboembolic</w:t>
      </w:r>
      <w:r w:rsidR="00EE4A54" w:rsidRPr="00E84D1D">
        <w:t xml:space="preserve"> </w:t>
      </w:r>
      <w:r w:rsidRPr="00E84D1D">
        <w:t>and bleeding</w:t>
      </w:r>
      <w:r w:rsidR="00AF0A00" w:rsidRPr="00E84D1D">
        <w:t xml:space="preserve"> </w:t>
      </w:r>
      <w:r w:rsidRPr="00E84D1D">
        <w:t>risks</w:t>
      </w:r>
      <w:r w:rsidR="002C2888" w:rsidRPr="00E84D1D">
        <w:t xml:space="preserve"> </w:t>
      </w:r>
      <w:r w:rsidR="00A37B7A" w:rsidRPr="00E84D1D">
        <w:t xml:space="preserve">at </w:t>
      </w:r>
      <w:r w:rsidR="00E80CFB" w:rsidRPr="00E84D1D">
        <w:t>42</w:t>
      </w:r>
      <w:r w:rsidR="00A37B7A" w:rsidRPr="00E84D1D">
        <w:t xml:space="preserve"> days</w:t>
      </w:r>
      <w:r w:rsidR="00644764" w:rsidRPr="00E84D1D">
        <w:t xml:space="preserve"> </w:t>
      </w:r>
      <w:r w:rsidR="002C2888" w:rsidRPr="00E84D1D">
        <w:t>after cardioversion</w:t>
      </w:r>
      <w:r w:rsidRPr="00E84D1D">
        <w:t>, similar to those observed in the VKA study arm.</w:t>
      </w:r>
      <w:r w:rsidR="00BB6394" w:rsidRPr="00B64398">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17</w:t>
      </w:r>
      <w:r w:rsidR="00BB6394" w:rsidRPr="00B64398">
        <w:fldChar w:fldCharType="end"/>
      </w:r>
      <w:r w:rsidR="004A5A1B" w:rsidRPr="00572E41">
        <w:t xml:space="preserve"> </w:t>
      </w:r>
      <w:r w:rsidR="00E80CFB" w:rsidRPr="00572E41">
        <w:t xml:space="preserve">In </w:t>
      </w:r>
      <w:r w:rsidR="004A5A1B" w:rsidRPr="00E84D1D">
        <w:t>X-VeRT</w:t>
      </w:r>
      <w:r w:rsidR="00E80CFB" w:rsidRPr="00E84D1D">
        <w:t>,</w:t>
      </w:r>
      <w:r w:rsidR="00A37B7A" w:rsidRPr="00E84D1D">
        <w:t xml:space="preserve"> </w:t>
      </w:r>
      <w:r w:rsidR="00675132" w:rsidRPr="00E84D1D">
        <w:t>2/978</w:t>
      </w:r>
      <w:r w:rsidR="00A37B7A" w:rsidRPr="00E84D1D">
        <w:t xml:space="preserve"> </w:t>
      </w:r>
      <w:r w:rsidR="00675132" w:rsidRPr="00E84D1D">
        <w:t>(0.2%)</w:t>
      </w:r>
      <w:r w:rsidR="00A37B7A" w:rsidRPr="00E84D1D">
        <w:t xml:space="preserve"> patients treat</w:t>
      </w:r>
      <w:r w:rsidR="008F729A" w:rsidRPr="00E84D1D">
        <w:t>ed with rivaroxaban</w:t>
      </w:r>
      <w:r w:rsidR="00675132" w:rsidRPr="00E84D1D">
        <w:t xml:space="preserve"> had a stroke</w:t>
      </w:r>
      <w:r w:rsidR="008F729A" w:rsidRPr="00E84D1D">
        <w:t xml:space="preserve"> </w:t>
      </w:r>
      <w:r w:rsidR="0022461D" w:rsidRPr="00E84D1D">
        <w:t xml:space="preserve">vs. </w:t>
      </w:r>
      <w:r w:rsidR="00A37B7A" w:rsidRPr="00E84D1D">
        <w:t>2/492</w:t>
      </w:r>
      <w:r w:rsidR="00675132" w:rsidRPr="00E84D1D">
        <w:t xml:space="preserve"> (0.4%) of</w:t>
      </w:r>
      <w:r w:rsidR="00A37B7A" w:rsidRPr="00E84D1D">
        <w:t xml:space="preserve"> those treated with </w:t>
      </w:r>
      <w:r w:rsidR="00C20107" w:rsidRPr="00E84D1D">
        <w:t xml:space="preserve">a </w:t>
      </w:r>
      <w:r w:rsidR="00A37B7A" w:rsidRPr="00E84D1D">
        <w:t>VKA</w:t>
      </w:r>
      <w:r w:rsidR="00C20107" w:rsidRPr="00E84D1D">
        <w:t>.</w:t>
      </w:r>
      <w:r w:rsidR="004A3CCF" w:rsidRPr="00E84D1D">
        <w:t xml:space="preserve"> </w:t>
      </w:r>
      <w:r w:rsidR="00675132" w:rsidRPr="00E84D1D">
        <w:t>The</w:t>
      </w:r>
      <w:r w:rsidR="00FF1896" w:rsidRPr="00E84D1D">
        <w:t xml:space="preserve"> proportion of </w:t>
      </w:r>
      <w:r w:rsidR="00675132" w:rsidRPr="00E84D1D">
        <w:t>patients treated with r</w:t>
      </w:r>
      <w:r w:rsidR="004A5A1B" w:rsidRPr="00E84D1D">
        <w:t xml:space="preserve">ivaroxaban </w:t>
      </w:r>
      <w:r w:rsidR="00675132" w:rsidRPr="00E84D1D">
        <w:t xml:space="preserve">who had a </w:t>
      </w:r>
      <w:r w:rsidR="004A5A1B" w:rsidRPr="00E84D1D">
        <w:t xml:space="preserve">major bleeding </w:t>
      </w:r>
      <w:r w:rsidR="00675132" w:rsidRPr="00E84D1D">
        <w:t xml:space="preserve">event </w:t>
      </w:r>
      <w:r w:rsidR="00FF1896" w:rsidRPr="00E84D1D">
        <w:t xml:space="preserve">was lower </w:t>
      </w:r>
      <w:r w:rsidR="00B007B8" w:rsidRPr="00E84D1D">
        <w:t>than in those treated with a</w:t>
      </w:r>
      <w:r w:rsidR="00675132" w:rsidRPr="00E84D1D">
        <w:t xml:space="preserve"> VKA </w:t>
      </w:r>
      <w:r w:rsidR="004A5A1B" w:rsidRPr="00E84D1D">
        <w:t xml:space="preserve">(0.6% </w:t>
      </w:r>
      <w:r w:rsidR="00675132" w:rsidRPr="00E84D1D">
        <w:t>vs.</w:t>
      </w:r>
      <w:r w:rsidR="004A5A1B" w:rsidRPr="00E84D1D">
        <w:t xml:space="preserve"> 0.8%</w:t>
      </w:r>
      <w:r w:rsidR="004F7523" w:rsidRPr="00E84D1D">
        <w:t>)</w:t>
      </w:r>
      <w:r w:rsidR="00D0402D" w:rsidRPr="00E84D1D">
        <w:t xml:space="preserve"> (</w:t>
      </w:r>
      <w:r w:rsidR="00D0402D" w:rsidRPr="00E84D1D">
        <w:rPr>
          <w:i/>
        </w:rPr>
        <w:t>Table 5</w:t>
      </w:r>
      <w:r w:rsidR="00D0402D" w:rsidRPr="00E84D1D">
        <w:t>)</w:t>
      </w:r>
      <w:r w:rsidR="004A5A1B" w:rsidRPr="00E84D1D">
        <w:t>.</w:t>
      </w:r>
      <w:r w:rsidR="00BB6394" w:rsidRPr="00B64398">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17</w:t>
      </w:r>
      <w:r w:rsidR="00BB6394" w:rsidRPr="00B64398">
        <w:fldChar w:fldCharType="end"/>
      </w:r>
      <w:r w:rsidR="004A5A1B" w:rsidRPr="00572E41">
        <w:t xml:space="preserve"> </w:t>
      </w:r>
      <w:r w:rsidR="00723793" w:rsidRPr="00572E41">
        <w:t>Th</w:t>
      </w:r>
      <w:r w:rsidR="006829AA" w:rsidRPr="00E84D1D">
        <w:t>e proportions of patients who experienced a stroke or major bleeding event in X-VeRT were similar to those</w:t>
      </w:r>
      <w:r w:rsidR="004A3CCF" w:rsidRPr="00E84D1D">
        <w:t xml:space="preserve"> </w:t>
      </w:r>
      <w:r w:rsidR="00EF50D5" w:rsidRPr="00E84D1D">
        <w:t>observed</w:t>
      </w:r>
      <w:r w:rsidR="00E80CFB" w:rsidRPr="00E84D1D">
        <w:t xml:space="preserve"> at 42 days after cardioversion</w:t>
      </w:r>
      <w:r w:rsidR="00EF50D5" w:rsidRPr="00E84D1D">
        <w:t xml:space="preserve"> </w:t>
      </w:r>
      <w:r w:rsidR="004A3CCF" w:rsidRPr="00E84D1D">
        <w:t>in</w:t>
      </w:r>
      <w:r w:rsidR="00723793" w:rsidRPr="00E84D1D">
        <w:t xml:space="preserve"> XANTUS</w:t>
      </w:r>
      <w:r w:rsidR="00E80CFB" w:rsidRPr="00E84D1D">
        <w:t xml:space="preserve"> (0.2% and 0.6%, respectively)</w:t>
      </w:r>
      <w:r w:rsidR="006829AA" w:rsidRPr="00E84D1D">
        <w:t>,</w:t>
      </w:r>
      <w:r w:rsidR="00644764" w:rsidRPr="00E84D1D">
        <w:t xml:space="preserve"> </w:t>
      </w:r>
      <w:r w:rsidR="006829AA" w:rsidRPr="00E84D1D">
        <w:t>suggesting</w:t>
      </w:r>
      <w:r w:rsidR="004A3CCF" w:rsidRPr="00E84D1D">
        <w:t xml:space="preserve"> that rivaroxaban </w:t>
      </w:r>
      <w:r w:rsidR="002C4205" w:rsidRPr="00E84D1D">
        <w:t>i</w:t>
      </w:r>
      <w:r w:rsidR="004A3CCF" w:rsidRPr="00E84D1D">
        <w:t xml:space="preserve">s associated with </w:t>
      </w:r>
      <w:r w:rsidR="009F05A5" w:rsidRPr="00E84D1D">
        <w:t xml:space="preserve">a </w:t>
      </w:r>
      <w:r w:rsidR="004A3CCF" w:rsidRPr="00E84D1D">
        <w:t xml:space="preserve">low risk of thromboembolic events </w:t>
      </w:r>
      <w:r w:rsidR="00704CB6" w:rsidRPr="00E84D1D">
        <w:t xml:space="preserve">and major bleeding </w:t>
      </w:r>
      <w:r w:rsidR="00863C3F" w:rsidRPr="00E84D1D">
        <w:t>in patients undergoing cardioversion</w:t>
      </w:r>
      <w:r w:rsidRPr="00E84D1D">
        <w:t>.</w:t>
      </w:r>
      <w:r w:rsidR="00BB6394" w:rsidRPr="00B64398">
        <w:fldChar w:fldCharType="begin"/>
      </w:r>
      <w:r w:rsidR="00465856">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00BB6394" w:rsidRPr="00B64398">
        <w:fldChar w:fldCharType="separate"/>
      </w:r>
      <w:r w:rsidR="00A91372" w:rsidRPr="00A91372">
        <w:rPr>
          <w:vertAlign w:val="superscript"/>
        </w:rPr>
        <w:t>17</w:t>
      </w:r>
      <w:r w:rsidR="00BB6394" w:rsidRPr="00B64398">
        <w:fldChar w:fldCharType="end"/>
      </w:r>
      <w:r w:rsidR="00553CAF">
        <w:t xml:space="preserve"> The </w:t>
      </w:r>
      <w:r w:rsidR="00C41646">
        <w:t xml:space="preserve">prospective, open-label, multicentre, randomized </w:t>
      </w:r>
      <w:r w:rsidR="00553CAF">
        <w:t xml:space="preserve">phase IIIb ENSURE-AF study of edoxaban (n=1095) versus enoxaparin/warfarin (n=1104) in patients with AF undergoing cardioversion also showed low rates of the composite of stroke, </w:t>
      </w:r>
      <w:r w:rsidR="00E743F6">
        <w:t>SE,</w:t>
      </w:r>
      <w:r w:rsidR="00553CAF">
        <w:t xml:space="preserve"> MI and cardiovascular death (</w:t>
      </w:r>
      <w:r w:rsidR="00BB67CA">
        <w:t>&lt;</w:t>
      </w:r>
      <w:r w:rsidR="00411DE2">
        <w:t xml:space="preserve">1% [5/1095] vs. 1% [11/1104]; </w:t>
      </w:r>
      <w:r w:rsidR="00553CAF">
        <w:t>primary efficacy endpoint) and</w:t>
      </w:r>
      <w:r w:rsidR="000B1B88">
        <w:t xml:space="preserve"> </w:t>
      </w:r>
      <w:r w:rsidR="00553CAF">
        <w:t>major and clinically relevant non-major bleeding</w:t>
      </w:r>
      <w:r w:rsidR="00CB4FAA">
        <w:t xml:space="preserve"> events</w:t>
      </w:r>
      <w:r w:rsidR="00553CAF">
        <w:t xml:space="preserve"> (</w:t>
      </w:r>
      <w:r w:rsidR="00411DE2">
        <w:t xml:space="preserve">1% [16/1067] vs. 1% [11/1082]; </w:t>
      </w:r>
      <w:r w:rsidR="00553CAF">
        <w:t>primary safety endpoint)</w:t>
      </w:r>
      <w:r w:rsidR="00411DE2">
        <w:t>.</w:t>
      </w:r>
      <w:r w:rsidR="00411DE2">
        <w:fldChar w:fldCharType="begin"/>
      </w:r>
      <w:r w:rsidR="00465856">
        <w:instrText xml:space="preserve"> ADDIN REFMGR.CITE &lt;Refman&gt;&lt;Cite&gt;&lt;Author&gt;Goette&lt;/Author&gt;&lt;Year&gt;2016&lt;/Year&gt;&lt;RecNum&gt;GOETTE2016&lt;/RecNum&gt;&lt;IDText&gt;Edoxaban versus enoxaparin-warfarin in patients undergoing cardioversion of atrial fibrillation (ENSURE-AF): a randomised, open-label, phase 3b trial&lt;/IDText&gt;&lt;MDL Ref_Type="Journal"&gt;&lt;Ref_Type&gt;Journal&lt;/Ref_Type&gt;&lt;Ref_ID&gt;GOETTE2016&lt;/Ref_ID&gt;&lt;Title_Primary&gt;Edoxaban versus enoxaparin-warfarin in patients undergoing cardioversion of atrial fibrillation (ENSURE-AF): a randomised, open-label, phase 3b trial&lt;/Title_Primary&gt;&lt;Authors_Primary&gt;Goette,A.&lt;/Authors_Primary&gt;&lt;Authors_Primary&gt;Merino,J.L.&lt;/Authors_Primary&gt;&lt;Authors_Primary&gt;Ezekowitz,M.D.&lt;/Authors_Primary&gt;&lt;Authors_Primary&gt;Zamoryakhin,D.&lt;/Authors_Primary&gt;&lt;Authors_Primary&gt;Melino,M.&lt;/Authors_Primary&gt;&lt;Authors_Primary&gt;Jin,J.&lt;/Authors_Primary&gt;&lt;Authors_Primary&gt;Mercuri,M.F.&lt;/Authors_Primary&gt;&lt;Authors_Primary&gt;Grosso,M.A.&lt;/Authors_Primary&gt;&lt;Authors_Primary&gt;Fernandez,V.&lt;/Authors_Primary&gt;&lt;Authors_Primary&gt;Al Saady,N.&lt;/Authors_Primary&gt;&lt;Authors_Primary&gt;Pelekh,N.&lt;/Authors_Primary&gt;&lt;Authors_Primary&gt;Merkely,B.&lt;/Authors_Primary&gt;&lt;Authors_Primary&gt;Zenin,S.&lt;/Authors_Primary&gt;&lt;Authors_Primary&gt;Kushnir,M.&lt;/Authors_Primary&gt;&lt;Authors_Primary&gt;Spinar,J.&lt;/Authors_Primary&gt;&lt;Authors_Primary&gt;Batushkin,V.&lt;/Authors_Primary&gt;&lt;Authors_Primary&gt;de Groot,J.R.&lt;/Authors_Primary&gt;&lt;Authors_Primary&gt;Lip,G.Y.H.&lt;/Authors_Primary&gt;&lt;Authors_Primary&gt;the ENSURE-AF Investigators,.&lt;/Authors_Primary&gt;&lt;Date_Primary&gt;2016/10/22&lt;/Date_Primary&gt;&lt;Keywords&gt;Atrial Fibrillation&lt;/Keywords&gt;&lt;Keywords&gt;cardioversion&lt;/Keywords&gt;&lt;Keywords&gt;edoxaban&lt;/Keywords&gt;&lt;Keywords&gt;Patients&lt;/Keywords&gt;&lt;Reprint&gt;Not in File&lt;/Reprint&gt;&lt;Start_Page&gt;1995&lt;/Start_Page&gt;&lt;End_Page&gt;2003&lt;/End_Page&gt;&lt;Periodical&gt;Lancet&lt;/Periodical&gt;&lt;Volume&gt;388&lt;/Volume&gt;&lt;Issue&gt;10055&lt;/Issue&gt;&lt;Web_URL&gt;http://dx.doi.org/10.1016/S0140-6736(16)31474-X&lt;/Web_URL&gt;&lt;ZZ_JournalFull&gt;&lt;f name="System"&gt;Lancet&lt;/f&gt;&lt;/ZZ_JournalFull&gt;&lt;ZZ_WorkformID&gt;1&lt;/ZZ_WorkformID&gt;&lt;/MDL&gt;&lt;/Cite&gt;&lt;/Refman&gt;</w:instrText>
      </w:r>
      <w:r w:rsidR="00411DE2">
        <w:fldChar w:fldCharType="separate"/>
      </w:r>
      <w:r w:rsidR="00411DE2" w:rsidRPr="00BB67CA">
        <w:rPr>
          <w:vertAlign w:val="superscript"/>
        </w:rPr>
        <w:t>20</w:t>
      </w:r>
      <w:r w:rsidR="00411DE2">
        <w:fldChar w:fldCharType="end"/>
      </w:r>
      <w:r w:rsidR="00411DE2">
        <w:t xml:space="preserve"> The rates of stroke and major bleeding were &lt;1% for both treatment groups (2/1095 vs. 3/1104, respectively; and 3/1067 vs. 5/1082, respectively).</w:t>
      </w:r>
      <w:r w:rsidR="00411DE2">
        <w:fldChar w:fldCharType="begin"/>
      </w:r>
      <w:r w:rsidR="00465856">
        <w:instrText xml:space="preserve"> ADDIN REFMGR.CITE &lt;Refman&gt;&lt;Cite&gt;&lt;Author&gt;Goette&lt;/Author&gt;&lt;Year&gt;2016&lt;/Year&gt;&lt;RecNum&gt;GOETTE2016&lt;/RecNum&gt;&lt;IDText&gt;Edoxaban versus enoxaparin-warfarin in patients undergoing cardioversion of atrial fibrillation (ENSURE-AF): a randomised, open-label, phase 3b trial&lt;/IDText&gt;&lt;MDL Ref_Type="Journal"&gt;&lt;Ref_Type&gt;Journal&lt;/Ref_Type&gt;&lt;Ref_ID&gt;GOETTE2016&lt;/Ref_ID&gt;&lt;Title_Primary&gt;Edoxaban versus enoxaparin-warfarin in patients undergoing cardioversion of atrial fibrillation (ENSURE-AF): a randomised, open-label, phase 3b trial&lt;/Title_Primary&gt;&lt;Authors_Primary&gt;Goette,A.&lt;/Authors_Primary&gt;&lt;Authors_Primary&gt;Merino,J.L.&lt;/Authors_Primary&gt;&lt;Authors_Primary&gt;Ezekowitz,M.D.&lt;/Authors_Primary&gt;&lt;Authors_Primary&gt;Zamoryakhin,D.&lt;/Authors_Primary&gt;&lt;Authors_Primary&gt;Melino,M.&lt;/Authors_Primary&gt;&lt;Authors_Primary&gt;Jin,J.&lt;/Authors_Primary&gt;&lt;Authors_Primary&gt;Mercuri,M.F.&lt;/Authors_Primary&gt;&lt;Authors_Primary&gt;Grosso,M.A.&lt;/Authors_Primary&gt;&lt;Authors_Primary&gt;Fernandez,V.&lt;/Authors_Primary&gt;&lt;Authors_Primary&gt;Al Saady,N.&lt;/Authors_Primary&gt;&lt;Authors_Primary&gt;Pelekh,N.&lt;/Authors_Primary&gt;&lt;Authors_Primary&gt;Merkely,B.&lt;/Authors_Primary&gt;&lt;Authors_Primary&gt;Zenin,S.&lt;/Authors_Primary&gt;&lt;Authors_Primary&gt;Kushnir,M.&lt;/Authors_Primary&gt;&lt;Authors_Primary&gt;Spinar,J.&lt;/Authors_Primary&gt;&lt;Authors_Primary&gt;Batushkin,V.&lt;/Authors_Primary&gt;&lt;Authors_Primary&gt;de Groot,J.R.&lt;/Authors_Primary&gt;&lt;Authors_Primary&gt;Lip,G.Y.H.&lt;/Authors_Primary&gt;&lt;Authors_Primary&gt;the ENSURE-AF Investigators,.&lt;/Authors_Primary&gt;&lt;Date_Primary&gt;2016/10/22&lt;/Date_Primary&gt;&lt;Keywords&gt;Atrial Fibrillation&lt;/Keywords&gt;&lt;Keywords&gt;cardioversion&lt;/Keywords&gt;&lt;Keywords&gt;edoxaban&lt;/Keywords&gt;&lt;Keywords&gt;Patients&lt;/Keywords&gt;&lt;Reprint&gt;Not in File&lt;/Reprint&gt;&lt;Start_Page&gt;1995&lt;/Start_Page&gt;&lt;End_Page&gt;2003&lt;/End_Page&gt;&lt;Periodical&gt;Lancet&lt;/Periodical&gt;&lt;Volume&gt;388&lt;/Volume&gt;&lt;Issue&gt;10055&lt;/Issue&gt;&lt;Web_URL&gt;http://dx.doi.org/10.1016/S0140-6736(16)31474-X&lt;/Web_URL&gt;&lt;ZZ_JournalFull&gt;&lt;f name="System"&gt;Lancet&lt;/f&gt;&lt;/ZZ_JournalFull&gt;&lt;ZZ_WorkformID&gt;1&lt;/ZZ_WorkformID&gt;&lt;/MDL&gt;&lt;/Cite&gt;&lt;/Refman&gt;</w:instrText>
      </w:r>
      <w:r w:rsidR="00411DE2">
        <w:fldChar w:fldCharType="separate"/>
      </w:r>
      <w:r w:rsidR="00411DE2" w:rsidRPr="00BB67CA">
        <w:rPr>
          <w:vertAlign w:val="superscript"/>
        </w:rPr>
        <w:t>20</w:t>
      </w:r>
      <w:r w:rsidR="00411DE2">
        <w:fldChar w:fldCharType="end"/>
      </w:r>
      <w:r w:rsidR="00465856">
        <w:t xml:space="preserve"> </w:t>
      </w:r>
    </w:p>
    <w:p w14:paraId="0F9F4FA1" w14:textId="77777777" w:rsidR="00787861" w:rsidRPr="00572E41" w:rsidRDefault="00787861" w:rsidP="00241797">
      <w:pPr>
        <w:pStyle w:val="Text"/>
      </w:pPr>
    </w:p>
    <w:p w14:paraId="6DBE7BDF" w14:textId="77777777" w:rsidR="006D3974" w:rsidRPr="00E84D1D" w:rsidRDefault="004F2E25" w:rsidP="00241797">
      <w:pPr>
        <w:pStyle w:val="Manuscriptheading3"/>
        <w:spacing w:before="0" w:after="0"/>
        <w:rPr>
          <w:lang w:val="en-GB"/>
        </w:rPr>
      </w:pPr>
      <w:r w:rsidRPr="00E84D1D">
        <w:rPr>
          <w:lang w:val="en-GB"/>
        </w:rPr>
        <w:lastRenderedPageBreak/>
        <w:t>Limitations</w:t>
      </w:r>
    </w:p>
    <w:p w14:paraId="7474B8ED" w14:textId="20147E20" w:rsidR="006829AA" w:rsidRPr="00E84D1D" w:rsidRDefault="00787861" w:rsidP="00241797">
      <w:pPr>
        <w:pStyle w:val="Text"/>
      </w:pPr>
      <w:r w:rsidRPr="00E84D1D">
        <w:t>Limitations exist in th</w:t>
      </w:r>
      <w:r w:rsidR="0051397A" w:rsidRPr="00E84D1D">
        <w:t xml:space="preserve">e current </w:t>
      </w:r>
      <w:r w:rsidR="00A73713" w:rsidRPr="00E84D1D">
        <w:t xml:space="preserve">analysis of the XANTUS </w:t>
      </w:r>
      <w:r w:rsidRPr="00E84D1D">
        <w:t xml:space="preserve">study. </w:t>
      </w:r>
      <w:r w:rsidR="000B0469" w:rsidRPr="00E84D1D">
        <w:t>I</w:t>
      </w:r>
      <w:r w:rsidR="00C00B61" w:rsidRPr="00E84D1D">
        <w:t xml:space="preserve">t </w:t>
      </w:r>
      <w:r w:rsidR="004F2E25" w:rsidRPr="00E84D1D">
        <w:t>is important to note</w:t>
      </w:r>
      <w:r w:rsidRPr="00E84D1D">
        <w:t xml:space="preserve"> </w:t>
      </w:r>
      <w:r w:rsidR="004F2E25" w:rsidRPr="00E84D1D">
        <w:t xml:space="preserve">that the </w:t>
      </w:r>
      <w:r w:rsidR="004F0BB1" w:rsidRPr="00E84D1D">
        <w:t xml:space="preserve">findings </w:t>
      </w:r>
      <w:r w:rsidR="004F2E25" w:rsidRPr="00E84D1D">
        <w:t xml:space="preserve">presented here </w:t>
      </w:r>
      <w:r w:rsidR="004F0BB1" w:rsidRPr="00E84D1D">
        <w:t xml:space="preserve">are from </w:t>
      </w:r>
      <w:r w:rsidR="004F2E25" w:rsidRPr="00E84D1D">
        <w:t xml:space="preserve">a </w:t>
      </w:r>
      <w:r w:rsidR="008E50F7" w:rsidRPr="00E84D1D">
        <w:rPr>
          <w:i/>
        </w:rPr>
        <w:t>post hoc</w:t>
      </w:r>
      <w:r w:rsidR="004F2E25" w:rsidRPr="00E84D1D">
        <w:t xml:space="preserve"> analysis of prospectively collected clinical data</w:t>
      </w:r>
      <w:r w:rsidR="00C00B61" w:rsidRPr="00E84D1D">
        <w:t>.</w:t>
      </w:r>
      <w:r w:rsidR="00906FAD">
        <w:t xml:space="preserve"> In the context of this observational study, t</w:t>
      </w:r>
      <w:r w:rsidR="00906FAD" w:rsidRPr="00572E41">
        <w:t>he procedures were carried out at the sole discretion of the participating investigators</w:t>
      </w:r>
      <w:r w:rsidR="00670A50">
        <w:t>;</w:t>
      </w:r>
      <w:r w:rsidR="00906FAD" w:rsidRPr="00E84D1D">
        <w:t xml:space="preserve"> no protocol recommendations existed</w:t>
      </w:r>
      <w:r w:rsidR="00670A50">
        <w:t xml:space="preserve"> </w:t>
      </w:r>
      <w:r w:rsidR="00AC526D">
        <w:t>and</w:t>
      </w:r>
      <w:r w:rsidR="00553CAF">
        <w:t xml:space="preserve"> no details relating to the procedures were recorded. </w:t>
      </w:r>
      <w:r w:rsidR="00CD58F1">
        <w:t xml:space="preserve">Additionally, the duration of anticoagulation before an intervention was at the discretion of the investigators, which could have impacted on outcomes. </w:t>
      </w:r>
      <w:r w:rsidR="00553CAF">
        <w:t>Finally, there was limited infor</w:t>
      </w:r>
      <w:r w:rsidR="00393275">
        <w:t xml:space="preserve">mation relating to </w:t>
      </w:r>
      <w:r w:rsidR="00CB7681">
        <w:t>treatment interruption</w:t>
      </w:r>
      <w:r w:rsidR="00553CAF">
        <w:t xml:space="preserve"> </w:t>
      </w:r>
      <w:r w:rsidR="00393275">
        <w:t>before or after the procedures</w:t>
      </w:r>
      <w:r w:rsidR="00AC526D">
        <w:t>, as well as</w:t>
      </w:r>
      <w:r w:rsidR="00393275">
        <w:t xml:space="preserve"> at other time points during the study. </w:t>
      </w:r>
    </w:p>
    <w:p w14:paraId="36650476" w14:textId="77777777" w:rsidR="00393275" w:rsidRDefault="00393275" w:rsidP="00BB67CA">
      <w:pPr>
        <w:pStyle w:val="Text"/>
      </w:pPr>
    </w:p>
    <w:p w14:paraId="6EA4A823" w14:textId="79C5EE7C" w:rsidR="00787861" w:rsidRPr="00E84D1D" w:rsidRDefault="00787861" w:rsidP="00BB67CA">
      <w:pPr>
        <w:pStyle w:val="Text"/>
      </w:pPr>
      <w:r w:rsidRPr="00E84D1D">
        <w:t xml:space="preserve">With these limitations in mind, </w:t>
      </w:r>
      <w:r w:rsidR="00EF50D5" w:rsidRPr="00E84D1D">
        <w:t xml:space="preserve">however, </w:t>
      </w:r>
      <w:r w:rsidRPr="00E84D1D">
        <w:t xml:space="preserve">it is reassuring to note that </w:t>
      </w:r>
      <w:r w:rsidR="006829AA" w:rsidRPr="00E84D1D">
        <w:t xml:space="preserve">the </w:t>
      </w:r>
      <w:r w:rsidRPr="00E84D1D">
        <w:t xml:space="preserve">use of rivaroxaban in routine clinical practice in patients undergoing cardioversion or ablation </w:t>
      </w:r>
      <w:r w:rsidR="00BB0FE1" w:rsidRPr="00E84D1D">
        <w:t xml:space="preserve">was </w:t>
      </w:r>
      <w:r w:rsidRPr="00E84D1D">
        <w:t xml:space="preserve">associated with low rates of </w:t>
      </w:r>
      <w:r w:rsidR="004F0BB1" w:rsidRPr="00E84D1D">
        <w:t xml:space="preserve">symptomatic </w:t>
      </w:r>
      <w:r w:rsidRPr="00E84D1D">
        <w:t xml:space="preserve">thromboembolic </w:t>
      </w:r>
      <w:r w:rsidR="00887546" w:rsidRPr="00E84D1D">
        <w:t>events and major bleeding</w:t>
      </w:r>
      <w:r w:rsidRPr="00E84D1D">
        <w:t xml:space="preserve">. The strength of the </w:t>
      </w:r>
      <w:r w:rsidR="00887546" w:rsidRPr="00E84D1D">
        <w:t>evidence for rivaroxaban</w:t>
      </w:r>
      <w:r w:rsidRPr="00E84D1D">
        <w:t xml:space="preserve"> lies in the use of different prospective studies employing different methods for data collection, but with a common feature of all outcomes being centrally adjudicated. The key finding of low rates of </w:t>
      </w:r>
      <w:r w:rsidR="004F0BB1" w:rsidRPr="00E84D1D">
        <w:t>symptomatic thromboembolic</w:t>
      </w:r>
      <w:r w:rsidR="00BC271A" w:rsidRPr="00E84D1D">
        <w:t xml:space="preserve"> events</w:t>
      </w:r>
      <w:r w:rsidR="004F0BB1" w:rsidRPr="00E84D1D">
        <w:t xml:space="preserve"> and major bleeding</w:t>
      </w:r>
      <w:r w:rsidR="004F0BB1" w:rsidRPr="00E84D1D" w:rsidDel="004F0BB1">
        <w:t xml:space="preserve"> </w:t>
      </w:r>
      <w:r w:rsidRPr="00E84D1D">
        <w:t xml:space="preserve">across four prospective and non-interventional studies involving patients treated with rivaroxaban suggests that its use in routine practice is associated with an acceptable </w:t>
      </w:r>
      <w:r w:rsidR="00482AB3" w:rsidRPr="00E84D1D">
        <w:t>benefit–</w:t>
      </w:r>
      <w:r w:rsidR="00A73713" w:rsidRPr="00E84D1D">
        <w:t>risk</w:t>
      </w:r>
      <w:r w:rsidR="00FA09B0" w:rsidRPr="00E84D1D">
        <w:t xml:space="preserve"> </w:t>
      </w:r>
      <w:r w:rsidR="00A4623D" w:rsidRPr="00E84D1D">
        <w:t>profile in patients with</w:t>
      </w:r>
      <w:r w:rsidR="00A73713" w:rsidRPr="00E84D1D">
        <w:t xml:space="preserve"> </w:t>
      </w:r>
      <w:r w:rsidRPr="00E84D1D">
        <w:t xml:space="preserve">AF undergoing </w:t>
      </w:r>
      <w:r w:rsidR="008D1492" w:rsidRPr="00E84D1D">
        <w:t xml:space="preserve">catheter </w:t>
      </w:r>
      <w:r w:rsidRPr="00E84D1D">
        <w:t>ablation</w:t>
      </w:r>
      <w:r w:rsidR="00C00B61" w:rsidRPr="00E84D1D">
        <w:t xml:space="preserve"> and/or cardioversion</w:t>
      </w:r>
      <w:r w:rsidR="00A73713" w:rsidRPr="00E84D1D">
        <w:t>.</w:t>
      </w:r>
    </w:p>
    <w:p w14:paraId="3DD33828" w14:textId="77777777" w:rsidR="00787861" w:rsidRPr="00E84D1D" w:rsidRDefault="00787861" w:rsidP="00241797">
      <w:pPr>
        <w:pStyle w:val="Text"/>
      </w:pPr>
    </w:p>
    <w:p w14:paraId="6B1E30AB" w14:textId="5BF08AF3" w:rsidR="00CF05BB" w:rsidRPr="00E84D1D" w:rsidRDefault="006D3974" w:rsidP="00943D38">
      <w:pPr>
        <w:pStyle w:val="Manuscriptheading2"/>
        <w:rPr>
          <w:lang w:val="en-GB"/>
        </w:rPr>
      </w:pPr>
      <w:r w:rsidRPr="00E84D1D">
        <w:rPr>
          <w:lang w:val="en-GB"/>
        </w:rPr>
        <w:t>Conclusion</w:t>
      </w:r>
    </w:p>
    <w:p w14:paraId="09658C36" w14:textId="2C7FA316" w:rsidR="000F102C" w:rsidRPr="00E84D1D" w:rsidRDefault="0096447C" w:rsidP="007532F8">
      <w:pPr>
        <w:pStyle w:val="Text"/>
      </w:pPr>
      <w:r w:rsidRPr="00E84D1D">
        <w:t>T</w:t>
      </w:r>
      <w:r w:rsidR="000F102C" w:rsidRPr="00E84D1D">
        <w:t>he r</w:t>
      </w:r>
      <w:r w:rsidR="004051A7" w:rsidRPr="00E84D1D">
        <w:t>ates of adverse outcome</w:t>
      </w:r>
      <w:r w:rsidR="00D71F51" w:rsidRPr="00E84D1D">
        <w:t xml:space="preserve">s </w:t>
      </w:r>
      <w:r w:rsidR="00575B34" w:rsidRPr="00E84D1D">
        <w:t>(</w:t>
      </w:r>
      <w:r w:rsidR="00D71F51" w:rsidRPr="00E84D1D">
        <w:t>i.e. symptomatic thromboembo</w:t>
      </w:r>
      <w:r w:rsidR="00792F41" w:rsidRPr="00E84D1D">
        <w:t>lic events and major bleeding</w:t>
      </w:r>
      <w:r w:rsidR="00575B34" w:rsidRPr="00E84D1D">
        <w:t>)</w:t>
      </w:r>
      <w:r w:rsidR="00792F41" w:rsidRPr="00E84D1D">
        <w:t xml:space="preserve"> we</w:t>
      </w:r>
      <w:r w:rsidR="00D71F51" w:rsidRPr="00E84D1D">
        <w:t xml:space="preserve">re low in </w:t>
      </w:r>
      <w:r w:rsidR="00792F41" w:rsidRPr="00E84D1D">
        <w:t xml:space="preserve">this real-life cohort of </w:t>
      </w:r>
      <w:r w:rsidR="00D71F51" w:rsidRPr="00E84D1D">
        <w:t>patients with AF trea</w:t>
      </w:r>
      <w:r w:rsidR="00792F41" w:rsidRPr="00E84D1D">
        <w:t>ted with rivaroxaban who underwent</w:t>
      </w:r>
      <w:r w:rsidR="00D71F51" w:rsidRPr="00E84D1D">
        <w:t xml:space="preserve"> catheter ablation or cardioversion</w:t>
      </w:r>
      <w:r w:rsidR="00792F41" w:rsidRPr="00E84D1D">
        <w:t xml:space="preserve"> as part of the XANTUS study</w:t>
      </w:r>
      <w:r w:rsidR="00BC271A" w:rsidRPr="00E84D1D">
        <w:t xml:space="preserve">, with no deaths </w:t>
      </w:r>
      <w:r w:rsidR="00B00F1D" w:rsidRPr="00E84D1D">
        <w:t>up to</w:t>
      </w:r>
      <w:r w:rsidR="00BC271A" w:rsidRPr="00E84D1D">
        <w:t xml:space="preserve"> 30 days after the procedure</w:t>
      </w:r>
      <w:r w:rsidRPr="00E84D1D">
        <w:t>. These results were similar to the results of prospective</w:t>
      </w:r>
      <w:r w:rsidR="00393275">
        <w:t>,</w:t>
      </w:r>
      <w:r w:rsidR="00906FAD">
        <w:t xml:space="preserve"> randomized </w:t>
      </w:r>
      <w:r w:rsidR="00B42895">
        <w:t xml:space="preserve">controlled </w:t>
      </w:r>
      <w:r w:rsidR="00906FAD">
        <w:t>trials</w:t>
      </w:r>
      <w:r w:rsidRPr="00E84D1D">
        <w:t xml:space="preserve"> and </w:t>
      </w:r>
      <w:r w:rsidR="00906FAD">
        <w:t xml:space="preserve">observational </w:t>
      </w:r>
      <w:r w:rsidRPr="00E84D1D">
        <w:t>studies and</w:t>
      </w:r>
      <w:r w:rsidR="00337B6A" w:rsidRPr="00E84D1D">
        <w:t xml:space="preserve"> </w:t>
      </w:r>
      <w:r w:rsidR="000F102C" w:rsidRPr="00E84D1D">
        <w:t>suggest that</w:t>
      </w:r>
      <w:r w:rsidR="00337B6A" w:rsidRPr="00E84D1D">
        <w:t xml:space="preserve"> </w:t>
      </w:r>
      <w:r w:rsidR="00887546" w:rsidRPr="00E84D1D">
        <w:t xml:space="preserve">the </w:t>
      </w:r>
      <w:r w:rsidR="00337B6A" w:rsidRPr="00E84D1D">
        <w:t xml:space="preserve">use </w:t>
      </w:r>
      <w:r w:rsidR="00D71F51" w:rsidRPr="00E84D1D">
        <w:t xml:space="preserve">of </w:t>
      </w:r>
      <w:r w:rsidR="00D71F51" w:rsidRPr="00E84D1D">
        <w:lastRenderedPageBreak/>
        <w:t xml:space="preserve">rivaroxaban </w:t>
      </w:r>
      <w:r w:rsidR="00337B6A" w:rsidRPr="00E84D1D">
        <w:t xml:space="preserve">in patients with AF undergoing </w:t>
      </w:r>
      <w:r w:rsidR="008565E7" w:rsidRPr="00E84D1D">
        <w:t xml:space="preserve">catheter </w:t>
      </w:r>
      <w:r w:rsidR="00337B6A" w:rsidRPr="00E84D1D">
        <w:t xml:space="preserve">ablation or cardioversion </w:t>
      </w:r>
      <w:r w:rsidR="001D7528">
        <w:t xml:space="preserve">as part of routine clinical practice </w:t>
      </w:r>
      <w:r w:rsidR="00D71F51" w:rsidRPr="00E84D1D">
        <w:t>may be associated with an acceptable benefit–risk profile</w:t>
      </w:r>
      <w:r w:rsidR="00337B6A" w:rsidRPr="00E84D1D">
        <w:t>.</w:t>
      </w:r>
    </w:p>
    <w:p w14:paraId="6539522D" w14:textId="4DC0E8F2" w:rsidR="00AA7492" w:rsidRPr="00E84D1D" w:rsidRDefault="00AA7492">
      <w:pPr>
        <w:spacing w:line="240" w:lineRule="auto"/>
        <w:rPr>
          <w:lang w:eastAsia="en-US"/>
        </w:rPr>
      </w:pPr>
      <w:r w:rsidRPr="00E84D1D">
        <w:br w:type="page"/>
      </w:r>
    </w:p>
    <w:p w14:paraId="0A6561FA" w14:textId="77777777" w:rsidR="00E13353" w:rsidRPr="00DD5B0A" w:rsidRDefault="00E13353" w:rsidP="00E13353">
      <w:pPr>
        <w:pStyle w:val="Manuscriptheading2"/>
        <w:rPr>
          <w:lang w:val="en-GB"/>
        </w:rPr>
      </w:pPr>
      <w:r w:rsidRPr="00DD5B0A">
        <w:rPr>
          <w:lang w:val="en-GB"/>
        </w:rPr>
        <w:lastRenderedPageBreak/>
        <w:t>Funding</w:t>
      </w:r>
    </w:p>
    <w:p w14:paraId="6E6C700F" w14:textId="77777777" w:rsidR="00E13353" w:rsidRPr="00E84D1D" w:rsidRDefault="00E13353" w:rsidP="00E13353">
      <w:pPr>
        <w:pStyle w:val="Text"/>
        <w:rPr>
          <w:shd w:val="clear" w:color="auto" w:fill="FFFFFF"/>
        </w:rPr>
      </w:pPr>
      <w:r w:rsidRPr="00E84D1D">
        <w:rPr>
          <w:shd w:val="clear" w:color="auto" w:fill="FFFFFF"/>
        </w:rPr>
        <w:t>This work was supported by Bayer AG</w:t>
      </w:r>
      <w:r w:rsidRPr="00572E41">
        <w:rPr>
          <w:shd w:val="clear" w:color="auto" w:fill="FFFFFF"/>
        </w:rPr>
        <w:t xml:space="preserve"> and </w:t>
      </w:r>
      <w:r w:rsidRPr="00572E41">
        <w:t>Janssen Rese</w:t>
      </w:r>
      <w:r w:rsidRPr="00E84D1D">
        <w:t>arch &amp; Development, LLC</w:t>
      </w:r>
      <w:r w:rsidRPr="00E84D1D">
        <w:rPr>
          <w:shd w:val="clear" w:color="auto" w:fill="FFFFFF"/>
        </w:rPr>
        <w:t>.</w:t>
      </w:r>
    </w:p>
    <w:p w14:paraId="5113F126" w14:textId="77777777" w:rsidR="00E13353" w:rsidRPr="00E84D1D" w:rsidRDefault="00E13353" w:rsidP="00E13353">
      <w:pPr>
        <w:pStyle w:val="Text"/>
        <w:rPr>
          <w:shd w:val="clear" w:color="auto" w:fill="FFFFFF"/>
        </w:rPr>
      </w:pPr>
    </w:p>
    <w:p w14:paraId="63126602" w14:textId="77777777" w:rsidR="00171191" w:rsidRPr="00DD5B0A" w:rsidRDefault="00171191" w:rsidP="007532F8">
      <w:pPr>
        <w:pStyle w:val="Manuscriptheading2"/>
        <w:rPr>
          <w:lang w:val="en-GB"/>
        </w:rPr>
      </w:pPr>
      <w:r w:rsidRPr="00DD5B0A">
        <w:rPr>
          <w:lang w:val="en-GB"/>
        </w:rPr>
        <w:t>Acknowledgements</w:t>
      </w:r>
    </w:p>
    <w:p w14:paraId="53E044E6" w14:textId="0ACB8807" w:rsidR="00171191" w:rsidRPr="00572E41" w:rsidRDefault="00171191" w:rsidP="00241797">
      <w:pPr>
        <w:pStyle w:val="Text"/>
        <w:rPr>
          <w:rFonts w:eastAsia="Cambria"/>
          <w:shd w:val="clear" w:color="auto" w:fill="FFFFFF"/>
        </w:rPr>
      </w:pPr>
      <w:r w:rsidRPr="00E84D1D">
        <w:rPr>
          <w:rFonts w:eastAsia="Cambria"/>
          <w:shd w:val="clear" w:color="auto" w:fill="FFFFFF"/>
        </w:rPr>
        <w:t>The XANTUS Steering Committee thanks all patients</w:t>
      </w:r>
      <w:r w:rsidR="00087C0B" w:rsidRPr="00E84D1D">
        <w:rPr>
          <w:rFonts w:eastAsia="Cambria"/>
          <w:shd w:val="clear" w:color="auto" w:fill="FFFFFF"/>
        </w:rPr>
        <w:t xml:space="preserve"> and</w:t>
      </w:r>
      <w:r w:rsidRPr="00E84D1D">
        <w:rPr>
          <w:rFonts w:eastAsia="Cambria"/>
          <w:shd w:val="clear" w:color="auto" w:fill="FFFFFF"/>
        </w:rPr>
        <w:t xml:space="preserve"> caregivers who participated in the study as well as the XANTUS investigators and their associated teams. The authors thank Birgit Schmidt for Global project management and Carole Mongin-Bulewski for editorial assistance in the preparation of the manuscript, with funding from Bayer </w:t>
      </w:r>
      <w:r w:rsidR="00644764" w:rsidRPr="00572E41">
        <w:rPr>
          <w:rFonts w:eastAsia="Cambria"/>
          <w:shd w:val="clear" w:color="auto" w:fill="FFFFFF"/>
        </w:rPr>
        <w:t>AG</w:t>
      </w:r>
      <w:r w:rsidRPr="00572E41">
        <w:rPr>
          <w:rFonts w:eastAsia="Cambria"/>
          <w:shd w:val="clear" w:color="auto" w:fill="FFFFFF"/>
        </w:rPr>
        <w:t xml:space="preserve"> and Janssen Scientific Affairs, LLC.</w:t>
      </w:r>
    </w:p>
    <w:p w14:paraId="5DC01427" w14:textId="77777777" w:rsidR="00171191" w:rsidRPr="00E84D1D" w:rsidRDefault="00171191" w:rsidP="00241797">
      <w:pPr>
        <w:spacing w:line="480" w:lineRule="auto"/>
        <w:rPr>
          <w:rFonts w:eastAsia="Cambria"/>
          <w:color w:val="222222"/>
          <w:szCs w:val="22"/>
          <w:shd w:val="clear" w:color="auto" w:fill="FFFFFF"/>
          <w:lang w:eastAsia="en-US"/>
        </w:rPr>
      </w:pPr>
    </w:p>
    <w:p w14:paraId="5D2A14D8" w14:textId="77777777" w:rsidR="00171191" w:rsidRPr="00DD5B0A" w:rsidRDefault="00171191" w:rsidP="007532F8">
      <w:pPr>
        <w:pStyle w:val="Manuscriptheading2"/>
        <w:rPr>
          <w:lang w:val="en-GB"/>
        </w:rPr>
      </w:pPr>
      <w:r w:rsidRPr="00DD5B0A">
        <w:rPr>
          <w:lang w:val="en-GB"/>
        </w:rPr>
        <w:t>Conflict of interest</w:t>
      </w:r>
    </w:p>
    <w:p w14:paraId="326E9C14" w14:textId="0D058324" w:rsidR="00A01F40" w:rsidRPr="00E84D1D" w:rsidRDefault="00A01F40" w:rsidP="00241797">
      <w:pPr>
        <w:spacing w:line="480" w:lineRule="auto"/>
      </w:pPr>
      <w:r w:rsidRPr="00E84D1D">
        <w:rPr>
          <w:szCs w:val="24"/>
        </w:rPr>
        <w:t xml:space="preserve">AJC has received </w:t>
      </w:r>
      <w:r w:rsidRPr="00E84D1D">
        <w:t>institutional research grants and personal fees as an advisor or speaker from Bayer, Boehringer Ingelheim, Pfizer/</w:t>
      </w:r>
      <w:r w:rsidR="00BB0FE1" w:rsidRPr="00E84D1D">
        <w:t>Bristol-Myers Squibb</w:t>
      </w:r>
      <w:r w:rsidRPr="00572E41">
        <w:t xml:space="preserve"> and Daiichi Sankyo. </w:t>
      </w:r>
      <w:r w:rsidR="00744621" w:rsidRPr="00572E41">
        <w:t>A</w:t>
      </w:r>
      <w:r w:rsidR="006E7ED0" w:rsidRPr="00E84D1D">
        <w:t>G</w:t>
      </w:r>
      <w:r w:rsidR="00744621" w:rsidRPr="00E84D1D">
        <w:t>G</w:t>
      </w:r>
      <w:r w:rsidR="006E7ED0" w:rsidRPr="00E84D1D">
        <w:t>T has been a consultant for Bayer, Janssen Pharmaceutical Research &amp; Development, Astellas, Portola and Takeda.</w:t>
      </w:r>
      <w:r w:rsidR="00BB0FE1" w:rsidRPr="00E84D1D">
        <w:t xml:space="preserve"> </w:t>
      </w:r>
      <w:r w:rsidR="002C5AC5" w:rsidRPr="00E84D1D">
        <w:t>S</w:t>
      </w:r>
      <w:r w:rsidR="009A3676" w:rsidRPr="00E84D1D">
        <w:t>H</w:t>
      </w:r>
      <w:r w:rsidR="002C5AC5" w:rsidRPr="00E84D1D">
        <w:t xml:space="preserve">a has served as a consultant for Bayer, Boehringer Ingelheim, Bristol-Myers Squibb, Daiichi Sankyo, Pfizer and Sanofi. PA has served as a consultant for Bayer, Bristol-Myers Squibb, Pfizer, Boehringer Ingelheim, Daiichi Sankyo, AstraZeneca, Sanofi, Boston Scientific, Edwards, Lundbeck, Merck and Kowa Pharmaceutical. </w:t>
      </w:r>
      <w:r w:rsidR="00BB0FE1" w:rsidRPr="00E84D1D">
        <w:t>PK has received research support from the British Heart Foundation, the Leducq Foundation, the German Centre for Heart Research and from several drug and device companies active in atrial fibrillation; he has also received honoraria from several such companies, including Bayer, Boehringer Ingelheim, Pfizer/Bristol-Myers Squibb and Daiichi Sankyo. He is listed as inventor on two pending patents held by the University of Birmingham.</w:t>
      </w:r>
      <w:r w:rsidR="002C5AC5" w:rsidRPr="00E84D1D">
        <w:t xml:space="preserve"> ML, MvE and SHe are employees of Bayer.</w:t>
      </w:r>
    </w:p>
    <w:p w14:paraId="58667D89" w14:textId="77777777" w:rsidR="003C4D1A" w:rsidRPr="00E84D1D" w:rsidRDefault="003C4D1A" w:rsidP="00241797">
      <w:pPr>
        <w:spacing w:line="480" w:lineRule="auto"/>
        <w:rPr>
          <w:rFonts w:cs="Arial"/>
          <w:b/>
          <w:sz w:val="32"/>
          <w:szCs w:val="28"/>
          <w:lang w:eastAsia="en-US"/>
        </w:rPr>
      </w:pPr>
      <w:r w:rsidRPr="00E84D1D">
        <w:br w:type="page"/>
      </w:r>
    </w:p>
    <w:p w14:paraId="71319470" w14:textId="729C9BCD" w:rsidR="00465856" w:rsidRPr="00465856" w:rsidRDefault="003C4D1A" w:rsidP="00465856">
      <w:pPr>
        <w:pStyle w:val="Manuscriptheading2"/>
        <w:jc w:val="center"/>
        <w:rPr>
          <w:sz w:val="22"/>
        </w:rPr>
      </w:pPr>
      <w:r w:rsidRPr="00A91372">
        <w:rPr>
          <w:rStyle w:val="IntenseEmphasis"/>
          <w:b/>
          <w:i w:val="0"/>
          <w:color w:val="auto"/>
          <w:lang w:val="en-GB"/>
        </w:rPr>
        <w:lastRenderedPageBreak/>
        <w:t>References</w:t>
      </w:r>
      <w:r w:rsidR="00B64398">
        <w:fldChar w:fldCharType="begin"/>
      </w:r>
      <w:r w:rsidR="00B64398" w:rsidRPr="00AE4C51">
        <w:instrText xml:space="preserve"> ADDIN REFMGR.REFLIST </w:instrText>
      </w:r>
      <w:r w:rsidR="00B64398">
        <w:fldChar w:fldCharType="separate"/>
      </w:r>
    </w:p>
    <w:p w14:paraId="72DE5F47"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w:t>
      </w:r>
      <w:r w:rsidRPr="00465856">
        <w:rPr>
          <w:b w:val="0"/>
          <w:sz w:val="22"/>
        </w:rPr>
        <w:tab/>
        <w:t xml:space="preserve">Zoni-Berisso M, Lercari F, Carazza T, Domenicucci S. Epidemiology of atrial fibrillation: European perspective. </w:t>
      </w:r>
      <w:r w:rsidRPr="00465856">
        <w:rPr>
          <w:b w:val="0"/>
          <w:i/>
          <w:sz w:val="22"/>
        </w:rPr>
        <w:t>Clin Epidemiol</w:t>
      </w:r>
      <w:r w:rsidRPr="00465856">
        <w:rPr>
          <w:b w:val="0"/>
          <w:sz w:val="22"/>
        </w:rPr>
        <w:t xml:space="preserve"> 2014;</w:t>
      </w:r>
      <w:r w:rsidRPr="00465856">
        <w:rPr>
          <w:sz w:val="22"/>
        </w:rPr>
        <w:t>6</w:t>
      </w:r>
      <w:r w:rsidRPr="00465856">
        <w:rPr>
          <w:b w:val="0"/>
          <w:sz w:val="22"/>
        </w:rPr>
        <w:t>:213-20.</w:t>
      </w:r>
    </w:p>
    <w:p w14:paraId="5F0AC0C7"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2.</w:t>
      </w:r>
      <w:r w:rsidRPr="00465856">
        <w:rPr>
          <w:b w:val="0"/>
          <w:sz w:val="22"/>
        </w:rPr>
        <w:tab/>
        <w:t>January CT, Wann LS, Alpert JS, Calkins H, Cleveland JC, Jr., Cigarroa JE</w:t>
      </w:r>
      <w:r w:rsidRPr="00465856">
        <w:rPr>
          <w:b w:val="0"/>
          <w:i/>
          <w:sz w:val="22"/>
        </w:rPr>
        <w:t xml:space="preserve"> et al.</w:t>
      </w:r>
      <w:r w:rsidRPr="00465856">
        <w:rPr>
          <w:b w:val="0"/>
          <w:sz w:val="22"/>
        </w:rPr>
        <w:t xml:space="preserve"> 2014 AHA/ACC/HRS Guideline for the management of patients with atrial fibrillation: a report of the American College of Cardiology/American Heart Association Task Force on Practice Guidelines and the Heart Rhythm Society. </w:t>
      </w:r>
      <w:r w:rsidRPr="00465856">
        <w:rPr>
          <w:b w:val="0"/>
          <w:i/>
          <w:sz w:val="22"/>
        </w:rPr>
        <w:t>J Am Coll Cardiol</w:t>
      </w:r>
      <w:r w:rsidRPr="00465856">
        <w:rPr>
          <w:b w:val="0"/>
          <w:sz w:val="22"/>
        </w:rPr>
        <w:t xml:space="preserve"> 2014;</w:t>
      </w:r>
      <w:r w:rsidRPr="00465856">
        <w:rPr>
          <w:sz w:val="22"/>
        </w:rPr>
        <w:t>64</w:t>
      </w:r>
      <w:r w:rsidRPr="00465856">
        <w:rPr>
          <w:b w:val="0"/>
          <w:sz w:val="22"/>
        </w:rPr>
        <w:t>:e1-e76.</w:t>
      </w:r>
    </w:p>
    <w:p w14:paraId="35772E0E"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3.</w:t>
      </w:r>
      <w:r w:rsidRPr="00465856">
        <w:rPr>
          <w:b w:val="0"/>
          <w:sz w:val="22"/>
        </w:rPr>
        <w:tab/>
        <w:t>Kirchhof P, Benussi S, Kotecha D, Ahlsson A, Atar D, Casadei B</w:t>
      </w:r>
      <w:r w:rsidRPr="00465856">
        <w:rPr>
          <w:b w:val="0"/>
          <w:i/>
          <w:sz w:val="22"/>
        </w:rPr>
        <w:t xml:space="preserve"> et al.</w:t>
      </w:r>
      <w:r w:rsidRPr="00465856">
        <w:rPr>
          <w:b w:val="0"/>
          <w:sz w:val="22"/>
        </w:rPr>
        <w:t xml:space="preserve"> 2016 ESC Guidelines for the management of atrial fibrillation developed in collaboration with EACTS. </w:t>
      </w:r>
      <w:r w:rsidRPr="00465856">
        <w:rPr>
          <w:b w:val="0"/>
          <w:i/>
          <w:sz w:val="22"/>
        </w:rPr>
        <w:t>Europace</w:t>
      </w:r>
      <w:r w:rsidRPr="00465856">
        <w:rPr>
          <w:b w:val="0"/>
          <w:sz w:val="22"/>
        </w:rPr>
        <w:t xml:space="preserve"> 2016;</w:t>
      </w:r>
      <w:r w:rsidRPr="00465856">
        <w:rPr>
          <w:sz w:val="22"/>
        </w:rPr>
        <w:t>18</w:t>
      </w:r>
      <w:r w:rsidRPr="00465856">
        <w:rPr>
          <w:b w:val="0"/>
          <w:sz w:val="22"/>
        </w:rPr>
        <w:t>:1609-78.</w:t>
      </w:r>
    </w:p>
    <w:p w14:paraId="7BE7F509"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4.</w:t>
      </w:r>
      <w:r w:rsidRPr="00465856">
        <w:rPr>
          <w:b w:val="0"/>
          <w:sz w:val="22"/>
        </w:rPr>
        <w:tab/>
        <w:t>Sticherling C, Marin F, Birnie D, Boriani G, Calkins H, Dan GA</w:t>
      </w:r>
      <w:r w:rsidRPr="00465856">
        <w:rPr>
          <w:b w:val="0"/>
          <w:i/>
          <w:sz w:val="22"/>
        </w:rPr>
        <w:t xml:space="preserve"> et al.</w:t>
      </w:r>
      <w:r w:rsidRPr="00465856">
        <w:rPr>
          <w:b w:val="0"/>
          <w:sz w:val="22"/>
        </w:rPr>
        <w:t xml:space="preserve"> Antithrombotic management in patients undergoing electrophysiological procedures: a European Heart Rhythm Association (EHRA) position document endorsed by the ESC Working Group Thrombosis, Heart Rhythm Society (HRS), and Asia Pacific Heart Rhythm Society (APHRS). </w:t>
      </w:r>
      <w:r w:rsidRPr="00465856">
        <w:rPr>
          <w:b w:val="0"/>
          <w:i/>
          <w:sz w:val="22"/>
        </w:rPr>
        <w:t>Europace</w:t>
      </w:r>
      <w:r w:rsidRPr="00465856">
        <w:rPr>
          <w:b w:val="0"/>
          <w:sz w:val="22"/>
        </w:rPr>
        <w:t xml:space="preserve"> 2015;</w:t>
      </w:r>
      <w:r w:rsidRPr="00B42895">
        <w:rPr>
          <w:sz w:val="22"/>
        </w:rPr>
        <w:t>17</w:t>
      </w:r>
      <w:r w:rsidRPr="00465856">
        <w:rPr>
          <w:b w:val="0"/>
          <w:sz w:val="22"/>
        </w:rPr>
        <w:t>:1197-214.</w:t>
      </w:r>
    </w:p>
    <w:p w14:paraId="659CB957"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5.</w:t>
      </w:r>
      <w:r w:rsidRPr="00465856">
        <w:rPr>
          <w:b w:val="0"/>
          <w:sz w:val="22"/>
        </w:rPr>
        <w:tab/>
        <w:t>Klein AL, Grimm RA, Murray RD, Apperson-Hansen C, Asinger RW, Black IW</w:t>
      </w:r>
      <w:r w:rsidRPr="00465856">
        <w:rPr>
          <w:b w:val="0"/>
          <w:i/>
          <w:sz w:val="22"/>
        </w:rPr>
        <w:t xml:space="preserve"> et al.</w:t>
      </w:r>
      <w:r w:rsidRPr="00465856">
        <w:rPr>
          <w:b w:val="0"/>
          <w:sz w:val="22"/>
        </w:rPr>
        <w:t xml:space="preserve"> Use of transesophageal echocardiography to guide cardioversion in patients with atrial fibrillation. </w:t>
      </w:r>
      <w:r w:rsidRPr="00465856">
        <w:rPr>
          <w:b w:val="0"/>
          <w:i/>
          <w:sz w:val="22"/>
        </w:rPr>
        <w:t>N Engl J Med</w:t>
      </w:r>
      <w:r w:rsidRPr="00465856">
        <w:rPr>
          <w:b w:val="0"/>
          <w:sz w:val="22"/>
        </w:rPr>
        <w:t xml:space="preserve"> 2001;</w:t>
      </w:r>
      <w:r w:rsidRPr="00465856">
        <w:rPr>
          <w:sz w:val="22"/>
        </w:rPr>
        <w:t>344</w:t>
      </w:r>
      <w:r w:rsidRPr="00465856">
        <w:rPr>
          <w:b w:val="0"/>
          <w:sz w:val="22"/>
        </w:rPr>
        <w:t>:1411-20.</w:t>
      </w:r>
    </w:p>
    <w:p w14:paraId="34416723"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6.</w:t>
      </w:r>
      <w:r w:rsidRPr="00465856">
        <w:rPr>
          <w:b w:val="0"/>
          <w:sz w:val="22"/>
        </w:rPr>
        <w:tab/>
        <w:t>Ruff CT, Giugliano RP, Braunwald E, Hoffman EB, Deenadayalu N, Ezekowitz MD</w:t>
      </w:r>
      <w:r w:rsidRPr="00465856">
        <w:rPr>
          <w:b w:val="0"/>
          <w:i/>
          <w:sz w:val="22"/>
        </w:rPr>
        <w:t xml:space="preserve"> et al.</w:t>
      </w:r>
      <w:r w:rsidRPr="00465856">
        <w:rPr>
          <w:b w:val="0"/>
          <w:sz w:val="22"/>
        </w:rPr>
        <w:t xml:space="preserve"> Comparison of the efficacy and safety of new oral anticoagulants with warfarin in </w:t>
      </w:r>
      <w:r w:rsidRPr="00465856">
        <w:rPr>
          <w:b w:val="0"/>
          <w:sz w:val="22"/>
        </w:rPr>
        <w:lastRenderedPageBreak/>
        <w:t xml:space="preserve">patients with atrial fibrillation: a meta-analysis of randomised trials. </w:t>
      </w:r>
      <w:r w:rsidRPr="00465856">
        <w:rPr>
          <w:b w:val="0"/>
          <w:i/>
          <w:sz w:val="22"/>
        </w:rPr>
        <w:t>Lancet</w:t>
      </w:r>
      <w:r w:rsidRPr="00465856">
        <w:rPr>
          <w:b w:val="0"/>
          <w:sz w:val="22"/>
        </w:rPr>
        <w:t xml:space="preserve"> 2014;</w:t>
      </w:r>
      <w:r w:rsidRPr="00465856">
        <w:rPr>
          <w:sz w:val="22"/>
        </w:rPr>
        <w:t>383</w:t>
      </w:r>
      <w:r w:rsidRPr="00465856">
        <w:rPr>
          <w:b w:val="0"/>
          <w:sz w:val="22"/>
        </w:rPr>
        <w:t>:955-62.</w:t>
      </w:r>
    </w:p>
    <w:p w14:paraId="48A41C07"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7.</w:t>
      </w:r>
      <w:r w:rsidRPr="00465856">
        <w:rPr>
          <w:b w:val="0"/>
          <w:sz w:val="22"/>
        </w:rPr>
        <w:tab/>
        <w:t>Beyer-Westendorf J, Förster K, Pannach S, Ebertz F, Gelbricht V, Thieme C</w:t>
      </w:r>
      <w:r w:rsidRPr="00465856">
        <w:rPr>
          <w:b w:val="0"/>
          <w:i/>
          <w:sz w:val="22"/>
        </w:rPr>
        <w:t xml:space="preserve"> et al.</w:t>
      </w:r>
      <w:r w:rsidRPr="00465856">
        <w:rPr>
          <w:b w:val="0"/>
          <w:sz w:val="22"/>
        </w:rPr>
        <w:t xml:space="preserve"> Rates, management, and outcome of rivaroxaban bleeding in daily care: results from the Dresden NOAC Registry. </w:t>
      </w:r>
      <w:r w:rsidRPr="00465856">
        <w:rPr>
          <w:b w:val="0"/>
          <w:i/>
          <w:sz w:val="22"/>
        </w:rPr>
        <w:t>Blood</w:t>
      </w:r>
      <w:r w:rsidRPr="00465856">
        <w:rPr>
          <w:b w:val="0"/>
          <w:sz w:val="22"/>
        </w:rPr>
        <w:t xml:space="preserve"> 2014;</w:t>
      </w:r>
      <w:r w:rsidRPr="00465856">
        <w:rPr>
          <w:sz w:val="22"/>
        </w:rPr>
        <w:t>124</w:t>
      </w:r>
      <w:r w:rsidRPr="00465856">
        <w:rPr>
          <w:b w:val="0"/>
          <w:sz w:val="22"/>
        </w:rPr>
        <w:t>:955-62.</w:t>
      </w:r>
    </w:p>
    <w:p w14:paraId="39BF490D"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8.</w:t>
      </w:r>
      <w:r w:rsidRPr="00465856">
        <w:rPr>
          <w:b w:val="0"/>
          <w:sz w:val="22"/>
        </w:rPr>
        <w:tab/>
        <w:t>Beyer-Westendorf J, Ebertz F, Förster K, Gelbricht V, Michalski F, Köhler C</w:t>
      </w:r>
      <w:r w:rsidRPr="00465856">
        <w:rPr>
          <w:b w:val="0"/>
          <w:i/>
          <w:sz w:val="22"/>
        </w:rPr>
        <w:t xml:space="preserve"> et al.</w:t>
      </w:r>
      <w:r w:rsidRPr="00465856">
        <w:rPr>
          <w:b w:val="0"/>
          <w:sz w:val="22"/>
        </w:rPr>
        <w:t xml:space="preserve"> Effectiveness and safety of dabigatran therapy in daily-care patients with atrial fibrillation. Results from the Dresden NOAC Registry. </w:t>
      </w:r>
      <w:r w:rsidRPr="00465856">
        <w:rPr>
          <w:b w:val="0"/>
          <w:i/>
          <w:sz w:val="22"/>
        </w:rPr>
        <w:t>Thromb Haemost</w:t>
      </w:r>
      <w:r w:rsidRPr="00465856">
        <w:rPr>
          <w:b w:val="0"/>
          <w:sz w:val="22"/>
        </w:rPr>
        <w:t xml:space="preserve"> 2015;</w:t>
      </w:r>
      <w:r w:rsidRPr="00465856">
        <w:rPr>
          <w:sz w:val="22"/>
        </w:rPr>
        <w:t>113</w:t>
      </w:r>
      <w:r w:rsidRPr="00465856">
        <w:rPr>
          <w:b w:val="0"/>
          <w:sz w:val="22"/>
        </w:rPr>
        <w:t>:1247-57.</w:t>
      </w:r>
    </w:p>
    <w:p w14:paraId="5977520D"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9.</w:t>
      </w:r>
      <w:r w:rsidRPr="00465856">
        <w:rPr>
          <w:b w:val="0"/>
          <w:sz w:val="22"/>
        </w:rPr>
        <w:tab/>
        <w:t>Tamayo S, Peacock FW, Patel M, Sicignano N, Hopf KP, Fields LE</w:t>
      </w:r>
      <w:r w:rsidRPr="00465856">
        <w:rPr>
          <w:b w:val="0"/>
          <w:i/>
          <w:sz w:val="22"/>
        </w:rPr>
        <w:t xml:space="preserve"> et al.</w:t>
      </w:r>
      <w:r w:rsidRPr="00465856">
        <w:rPr>
          <w:b w:val="0"/>
          <w:sz w:val="22"/>
        </w:rPr>
        <w:t xml:space="preserve"> Characterizing major bleeding in patients with nonvalvular atrial fibrillation: a pharmacovigilance study of 27 467 patients taking rivaroxaban. </w:t>
      </w:r>
      <w:r w:rsidRPr="00465856">
        <w:rPr>
          <w:b w:val="0"/>
          <w:i/>
          <w:sz w:val="22"/>
        </w:rPr>
        <w:t>Clin Cardiol</w:t>
      </w:r>
      <w:r w:rsidRPr="00465856">
        <w:rPr>
          <w:b w:val="0"/>
          <w:sz w:val="22"/>
        </w:rPr>
        <w:t xml:space="preserve"> 2015;</w:t>
      </w:r>
      <w:r w:rsidRPr="00B42895">
        <w:rPr>
          <w:sz w:val="22"/>
        </w:rPr>
        <w:t>38</w:t>
      </w:r>
      <w:r w:rsidRPr="00465856">
        <w:rPr>
          <w:b w:val="0"/>
          <w:sz w:val="22"/>
        </w:rPr>
        <w:t>:63-8.</w:t>
      </w:r>
    </w:p>
    <w:p w14:paraId="3B166685"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10.</w:t>
      </w:r>
      <w:r w:rsidRPr="00465856">
        <w:rPr>
          <w:b w:val="0"/>
          <w:sz w:val="22"/>
        </w:rPr>
        <w:tab/>
        <w:t>Graham DJ, Reichman ME, Wernecke M, Zhang R, Southworth MR, Levenson M</w:t>
      </w:r>
      <w:r w:rsidRPr="00465856">
        <w:rPr>
          <w:b w:val="0"/>
          <w:i/>
          <w:sz w:val="22"/>
        </w:rPr>
        <w:t xml:space="preserve"> et al.</w:t>
      </w:r>
      <w:r w:rsidRPr="00465856">
        <w:rPr>
          <w:b w:val="0"/>
          <w:sz w:val="22"/>
        </w:rPr>
        <w:t xml:space="preserve"> Cardiovascular, bleeding, and mortality risks in elderly Medicare patients treated with dabigatran or warfarin for non-valvular atrial fibrillation. </w:t>
      </w:r>
      <w:r w:rsidRPr="00465856">
        <w:rPr>
          <w:b w:val="0"/>
          <w:i/>
          <w:sz w:val="22"/>
        </w:rPr>
        <w:t>Circulation</w:t>
      </w:r>
      <w:r w:rsidRPr="00465856">
        <w:rPr>
          <w:b w:val="0"/>
          <w:sz w:val="22"/>
        </w:rPr>
        <w:t xml:space="preserve"> 2015;</w:t>
      </w:r>
      <w:r w:rsidRPr="00465856">
        <w:rPr>
          <w:sz w:val="22"/>
        </w:rPr>
        <w:t>131</w:t>
      </w:r>
      <w:r w:rsidRPr="00465856">
        <w:rPr>
          <w:b w:val="0"/>
          <w:sz w:val="22"/>
        </w:rPr>
        <w:t>:157-64.</w:t>
      </w:r>
    </w:p>
    <w:p w14:paraId="0BC2F221"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11.</w:t>
      </w:r>
      <w:r w:rsidRPr="00465856">
        <w:rPr>
          <w:b w:val="0"/>
          <w:sz w:val="22"/>
        </w:rPr>
        <w:tab/>
        <w:t>Camm AJ, Amarenco P, Haas S, Hess S, Kirchhof P, Kuhls S</w:t>
      </w:r>
      <w:r w:rsidRPr="00465856">
        <w:rPr>
          <w:b w:val="0"/>
          <w:i/>
          <w:sz w:val="22"/>
        </w:rPr>
        <w:t xml:space="preserve"> et al.</w:t>
      </w:r>
      <w:r w:rsidRPr="00465856">
        <w:rPr>
          <w:b w:val="0"/>
          <w:sz w:val="22"/>
        </w:rPr>
        <w:t xml:space="preserve"> XANTUS: a real-world, prospective, observational study of patients treated with rivaroxaban for stroke prevention in atrial fibrillation. </w:t>
      </w:r>
      <w:r w:rsidRPr="00465856">
        <w:rPr>
          <w:b w:val="0"/>
          <w:i/>
          <w:sz w:val="22"/>
        </w:rPr>
        <w:t>Eur Heart J</w:t>
      </w:r>
      <w:r w:rsidRPr="00465856">
        <w:rPr>
          <w:b w:val="0"/>
          <w:sz w:val="22"/>
        </w:rPr>
        <w:t xml:space="preserve"> 2016;</w:t>
      </w:r>
      <w:r w:rsidRPr="00465856">
        <w:rPr>
          <w:sz w:val="22"/>
        </w:rPr>
        <w:t>37</w:t>
      </w:r>
      <w:r w:rsidRPr="00465856">
        <w:rPr>
          <w:b w:val="0"/>
          <w:sz w:val="22"/>
        </w:rPr>
        <w:t>:1145-53.</w:t>
      </w:r>
    </w:p>
    <w:p w14:paraId="58D3F805"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12.</w:t>
      </w:r>
      <w:r w:rsidRPr="00465856">
        <w:rPr>
          <w:b w:val="0"/>
          <w:sz w:val="22"/>
        </w:rPr>
        <w:tab/>
        <w:t>Di Biase L, Burkhardt JD, Santangeli P, Mohanty P, Sanchez JE, Horton R</w:t>
      </w:r>
      <w:r w:rsidRPr="00465856">
        <w:rPr>
          <w:b w:val="0"/>
          <w:i/>
          <w:sz w:val="22"/>
        </w:rPr>
        <w:t xml:space="preserve"> et al.</w:t>
      </w:r>
      <w:r w:rsidRPr="00465856">
        <w:rPr>
          <w:b w:val="0"/>
          <w:sz w:val="22"/>
        </w:rPr>
        <w:t xml:space="preserve"> Periprocedural stroke and bleeding complications in patients undergoing catheter ablation of atrial fibrillation with different anticoagulation management: results from the Role of Coumadin in Preventing Thromboembolism in Atrial Fibrillation (AF) Patients </w:t>
      </w:r>
      <w:r w:rsidRPr="00465856">
        <w:rPr>
          <w:b w:val="0"/>
          <w:sz w:val="22"/>
        </w:rPr>
        <w:lastRenderedPageBreak/>
        <w:t xml:space="preserve">Undergoing Catheter Ablation (COMPARE) randomized trial. </w:t>
      </w:r>
      <w:r w:rsidRPr="00465856">
        <w:rPr>
          <w:b w:val="0"/>
          <w:i/>
          <w:sz w:val="22"/>
        </w:rPr>
        <w:t>Circulation</w:t>
      </w:r>
      <w:r w:rsidRPr="00465856">
        <w:rPr>
          <w:b w:val="0"/>
          <w:sz w:val="22"/>
        </w:rPr>
        <w:t xml:space="preserve"> 2014;</w:t>
      </w:r>
      <w:r w:rsidRPr="00465856">
        <w:rPr>
          <w:sz w:val="22"/>
        </w:rPr>
        <w:t>129</w:t>
      </w:r>
      <w:r w:rsidRPr="00465856">
        <w:rPr>
          <w:b w:val="0"/>
          <w:sz w:val="22"/>
        </w:rPr>
        <w:t>:2638-44.</w:t>
      </w:r>
    </w:p>
    <w:p w14:paraId="53986A2A"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13.</w:t>
      </w:r>
      <w:r w:rsidRPr="00465856">
        <w:rPr>
          <w:b w:val="0"/>
          <w:sz w:val="22"/>
        </w:rPr>
        <w:tab/>
        <w:t>Cappato R, Marchlinski FE, Hohnloser SH, Naccarelli GV, Xiang J, Wilber DJ</w:t>
      </w:r>
      <w:r w:rsidRPr="00465856">
        <w:rPr>
          <w:b w:val="0"/>
          <w:i/>
          <w:sz w:val="22"/>
        </w:rPr>
        <w:t xml:space="preserve"> et al.</w:t>
      </w:r>
      <w:r w:rsidRPr="00465856">
        <w:rPr>
          <w:b w:val="0"/>
          <w:sz w:val="22"/>
        </w:rPr>
        <w:t xml:space="preserve"> Uninterrupted rivaroxaban vs. uninterrupted vitamin K antagonists for catheter ablation in non-valvular atrial fibrillation. </w:t>
      </w:r>
      <w:r w:rsidRPr="00465856">
        <w:rPr>
          <w:b w:val="0"/>
          <w:i/>
          <w:sz w:val="22"/>
        </w:rPr>
        <w:t>Eur Heart J</w:t>
      </w:r>
      <w:r w:rsidRPr="00465856">
        <w:rPr>
          <w:b w:val="0"/>
          <w:sz w:val="22"/>
        </w:rPr>
        <w:t xml:space="preserve"> 2015;</w:t>
      </w:r>
      <w:r w:rsidRPr="00465856">
        <w:rPr>
          <w:sz w:val="22"/>
        </w:rPr>
        <w:t>36</w:t>
      </w:r>
      <w:r w:rsidRPr="00465856">
        <w:rPr>
          <w:b w:val="0"/>
          <w:sz w:val="22"/>
        </w:rPr>
        <w:t>:1805-11.</w:t>
      </w:r>
    </w:p>
    <w:p w14:paraId="52764154"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14.</w:t>
      </w:r>
      <w:r w:rsidRPr="00465856">
        <w:rPr>
          <w:b w:val="0"/>
          <w:sz w:val="22"/>
        </w:rPr>
        <w:tab/>
        <w:t>Flaker G, Lopes RD, Al Khatib SM, Hermosillo AG, Hohnloser SH, tinga B</w:t>
      </w:r>
      <w:r w:rsidRPr="00465856">
        <w:rPr>
          <w:b w:val="0"/>
          <w:i/>
          <w:sz w:val="22"/>
        </w:rPr>
        <w:t xml:space="preserve"> et al.</w:t>
      </w:r>
      <w:r w:rsidRPr="00465856">
        <w:rPr>
          <w:b w:val="0"/>
          <w:sz w:val="22"/>
        </w:rPr>
        <w:t xml:space="preserve"> Efficacy and safety of apixaban in patients after cardioversion for atrial fibrillation: insights from the ARISTOTLE trial (Apixaban for Reduction in Stroke and Other Thromboembolic Events in Atrial Fibrillation). </w:t>
      </w:r>
      <w:r w:rsidRPr="00465856">
        <w:rPr>
          <w:b w:val="0"/>
          <w:i/>
          <w:sz w:val="22"/>
        </w:rPr>
        <w:t>J Am Coll Cardiol</w:t>
      </w:r>
      <w:r w:rsidRPr="00465856">
        <w:rPr>
          <w:b w:val="0"/>
          <w:sz w:val="22"/>
        </w:rPr>
        <w:t xml:space="preserve"> 2014;</w:t>
      </w:r>
      <w:r w:rsidRPr="00465856">
        <w:rPr>
          <w:sz w:val="22"/>
        </w:rPr>
        <w:t>63</w:t>
      </w:r>
      <w:r w:rsidRPr="00465856">
        <w:rPr>
          <w:b w:val="0"/>
          <w:sz w:val="22"/>
        </w:rPr>
        <w:t>:1082-7.</w:t>
      </w:r>
    </w:p>
    <w:p w14:paraId="1FC8236A"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15.</w:t>
      </w:r>
      <w:r w:rsidRPr="00465856">
        <w:rPr>
          <w:b w:val="0"/>
          <w:sz w:val="22"/>
        </w:rPr>
        <w:tab/>
        <w:t>Nagarakanti R, Ezekowitz MD, Oldgren J, Yang S, Chernick M, Aikens TH</w:t>
      </w:r>
      <w:r w:rsidRPr="00465856">
        <w:rPr>
          <w:b w:val="0"/>
          <w:i/>
          <w:sz w:val="22"/>
        </w:rPr>
        <w:t xml:space="preserve"> et al.</w:t>
      </w:r>
      <w:r w:rsidRPr="00465856">
        <w:rPr>
          <w:b w:val="0"/>
          <w:sz w:val="22"/>
        </w:rPr>
        <w:t xml:space="preserve"> Dabigatran versus warfarin in patients with atrial fibrillation: an analysis of patients undergoing cardioversion. </w:t>
      </w:r>
      <w:r w:rsidRPr="00465856">
        <w:rPr>
          <w:b w:val="0"/>
          <w:i/>
          <w:sz w:val="22"/>
        </w:rPr>
        <w:t>Circulation</w:t>
      </w:r>
      <w:r w:rsidRPr="00465856">
        <w:rPr>
          <w:b w:val="0"/>
          <w:sz w:val="22"/>
        </w:rPr>
        <w:t xml:space="preserve"> 2011;</w:t>
      </w:r>
      <w:r w:rsidRPr="00465856">
        <w:rPr>
          <w:sz w:val="22"/>
        </w:rPr>
        <w:t>123</w:t>
      </w:r>
      <w:r w:rsidRPr="00465856">
        <w:rPr>
          <w:b w:val="0"/>
          <w:sz w:val="22"/>
        </w:rPr>
        <w:t>:131-6.</w:t>
      </w:r>
    </w:p>
    <w:p w14:paraId="7B821529"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16.</w:t>
      </w:r>
      <w:r w:rsidRPr="00465856">
        <w:rPr>
          <w:b w:val="0"/>
          <w:sz w:val="22"/>
        </w:rPr>
        <w:tab/>
        <w:t>Piccini JP, Stevens SR, Lokhnygina Y, Patel MR, Halperin JL, Singer DE</w:t>
      </w:r>
      <w:r w:rsidRPr="00465856">
        <w:rPr>
          <w:b w:val="0"/>
          <w:i/>
          <w:sz w:val="22"/>
        </w:rPr>
        <w:t xml:space="preserve"> et al.</w:t>
      </w:r>
      <w:r w:rsidRPr="00465856">
        <w:rPr>
          <w:b w:val="0"/>
          <w:sz w:val="22"/>
        </w:rPr>
        <w:t xml:space="preserve"> Outcomes following cardioversion and atrial fibrillation ablation in patients treated with rivaroxaban and warfarin in the ROCKET AF trial. </w:t>
      </w:r>
      <w:r w:rsidRPr="00465856">
        <w:rPr>
          <w:b w:val="0"/>
          <w:i/>
          <w:sz w:val="22"/>
        </w:rPr>
        <w:t>J Am Coll Cardiol</w:t>
      </w:r>
      <w:r w:rsidRPr="00465856">
        <w:rPr>
          <w:b w:val="0"/>
          <w:sz w:val="22"/>
        </w:rPr>
        <w:t xml:space="preserve"> 2013;</w:t>
      </w:r>
      <w:r w:rsidRPr="00465856">
        <w:rPr>
          <w:sz w:val="22"/>
        </w:rPr>
        <w:t>61</w:t>
      </w:r>
      <w:r w:rsidRPr="00465856">
        <w:rPr>
          <w:b w:val="0"/>
          <w:sz w:val="22"/>
        </w:rPr>
        <w:t>:1998-2006.</w:t>
      </w:r>
    </w:p>
    <w:p w14:paraId="67BEF26C"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17.</w:t>
      </w:r>
      <w:r w:rsidRPr="00465856">
        <w:rPr>
          <w:b w:val="0"/>
          <w:sz w:val="22"/>
        </w:rPr>
        <w:tab/>
        <w:t>Cappato R, Ezekowitz MD, Klein AL, Camm AJ, Ma CS, Le Heuzey JY</w:t>
      </w:r>
      <w:r w:rsidRPr="00465856">
        <w:rPr>
          <w:b w:val="0"/>
          <w:i/>
          <w:sz w:val="22"/>
        </w:rPr>
        <w:t xml:space="preserve"> et al.</w:t>
      </w:r>
      <w:r w:rsidRPr="00465856">
        <w:rPr>
          <w:b w:val="0"/>
          <w:sz w:val="22"/>
        </w:rPr>
        <w:t xml:space="preserve"> Rivaroxaban vs. vitamin K antagonists for cardioversion in atrial fibrillation. </w:t>
      </w:r>
      <w:r w:rsidRPr="00465856">
        <w:rPr>
          <w:b w:val="0"/>
          <w:i/>
          <w:sz w:val="22"/>
        </w:rPr>
        <w:t>Eur Heart J</w:t>
      </w:r>
      <w:r w:rsidRPr="00465856">
        <w:rPr>
          <w:b w:val="0"/>
          <w:sz w:val="22"/>
        </w:rPr>
        <w:t xml:space="preserve"> 2014;</w:t>
      </w:r>
      <w:r w:rsidRPr="00465856">
        <w:rPr>
          <w:sz w:val="22"/>
        </w:rPr>
        <w:t>35</w:t>
      </w:r>
      <w:r w:rsidRPr="00465856">
        <w:rPr>
          <w:b w:val="0"/>
          <w:sz w:val="22"/>
        </w:rPr>
        <w:t>:3346-55.</w:t>
      </w:r>
    </w:p>
    <w:p w14:paraId="6C445416" w14:textId="77777777" w:rsidR="00465856" w:rsidRPr="00465856" w:rsidRDefault="00465856" w:rsidP="00465856">
      <w:pPr>
        <w:pStyle w:val="Manuscriptheading2"/>
        <w:tabs>
          <w:tab w:val="right" w:pos="360"/>
          <w:tab w:val="left" w:pos="540"/>
        </w:tabs>
        <w:spacing w:after="240"/>
        <w:ind w:left="540" w:hanging="540"/>
        <w:rPr>
          <w:b w:val="0"/>
          <w:sz w:val="22"/>
        </w:rPr>
      </w:pPr>
      <w:r w:rsidRPr="00465856">
        <w:rPr>
          <w:b w:val="0"/>
          <w:sz w:val="22"/>
        </w:rPr>
        <w:tab/>
        <w:t>18.</w:t>
      </w:r>
      <w:r w:rsidRPr="00465856">
        <w:rPr>
          <w:b w:val="0"/>
          <w:sz w:val="22"/>
        </w:rPr>
        <w:tab/>
        <w:t>Camm AJ, Amarenco P, Haas S, Hess S, Kirchhof P, van Eickels M</w:t>
      </w:r>
      <w:r w:rsidRPr="00465856">
        <w:rPr>
          <w:b w:val="0"/>
          <w:i/>
          <w:sz w:val="22"/>
        </w:rPr>
        <w:t xml:space="preserve"> et al.</w:t>
      </w:r>
      <w:r w:rsidRPr="00465856">
        <w:rPr>
          <w:b w:val="0"/>
          <w:sz w:val="22"/>
        </w:rPr>
        <w:t xml:space="preserve"> XANTUS: rationale and design of a noninterventional study of rivaroxaban for the prevention of stroke in patients with atrial fibrillation. </w:t>
      </w:r>
      <w:r w:rsidRPr="00465856">
        <w:rPr>
          <w:b w:val="0"/>
          <w:i/>
          <w:sz w:val="22"/>
        </w:rPr>
        <w:t>Vasc Health Risk Manag</w:t>
      </w:r>
      <w:r w:rsidRPr="00465856">
        <w:rPr>
          <w:b w:val="0"/>
          <w:sz w:val="22"/>
        </w:rPr>
        <w:t xml:space="preserve"> 2014;</w:t>
      </w:r>
      <w:r w:rsidRPr="00465856">
        <w:rPr>
          <w:sz w:val="22"/>
        </w:rPr>
        <w:t>10</w:t>
      </w:r>
      <w:r w:rsidRPr="00465856">
        <w:rPr>
          <w:b w:val="0"/>
          <w:sz w:val="22"/>
        </w:rPr>
        <w:t>:425-34.</w:t>
      </w:r>
    </w:p>
    <w:p w14:paraId="7F10307C" w14:textId="77777777" w:rsidR="00465856" w:rsidRPr="00616613" w:rsidRDefault="00465856" w:rsidP="00465856">
      <w:pPr>
        <w:pStyle w:val="Manuscriptheading2"/>
        <w:tabs>
          <w:tab w:val="right" w:pos="360"/>
          <w:tab w:val="left" w:pos="540"/>
        </w:tabs>
        <w:spacing w:after="240"/>
        <w:ind w:left="540" w:hanging="540"/>
        <w:rPr>
          <w:b w:val="0"/>
          <w:sz w:val="22"/>
          <w:lang w:val="fr-FR"/>
          <w:rPrChange w:id="0" w:author="John Camm" w:date="2017-02-05T13:34:00Z">
            <w:rPr>
              <w:b w:val="0"/>
              <w:sz w:val="22"/>
            </w:rPr>
          </w:rPrChange>
        </w:rPr>
      </w:pPr>
      <w:r w:rsidRPr="00465856">
        <w:rPr>
          <w:b w:val="0"/>
          <w:sz w:val="22"/>
        </w:rPr>
        <w:tab/>
        <w:t>19.</w:t>
      </w:r>
      <w:r w:rsidRPr="00465856">
        <w:rPr>
          <w:b w:val="0"/>
          <w:sz w:val="22"/>
        </w:rPr>
        <w:tab/>
        <w:t xml:space="preserve">Vamos M, Cappato R, Marchlinski FE, Natale A, Hohnloser SH. Efficacy and safety of rivaroxaban compared with vitamin K antagonists for peri-procedural anticoagulation in </w:t>
      </w:r>
      <w:r w:rsidRPr="00465856">
        <w:rPr>
          <w:b w:val="0"/>
          <w:sz w:val="22"/>
        </w:rPr>
        <w:lastRenderedPageBreak/>
        <w:t xml:space="preserve">catheter ablation of atrial fibrillation: a systematic review and meta-analysis. </w:t>
      </w:r>
      <w:r w:rsidRPr="00616613">
        <w:rPr>
          <w:b w:val="0"/>
          <w:i/>
          <w:sz w:val="22"/>
          <w:lang w:val="fr-FR"/>
          <w:rPrChange w:id="1" w:author="John Camm" w:date="2017-02-05T13:34:00Z">
            <w:rPr>
              <w:b w:val="0"/>
              <w:i/>
              <w:sz w:val="22"/>
            </w:rPr>
          </w:rPrChange>
        </w:rPr>
        <w:t>Europace</w:t>
      </w:r>
      <w:r w:rsidRPr="00616613">
        <w:rPr>
          <w:b w:val="0"/>
          <w:sz w:val="22"/>
          <w:lang w:val="fr-FR"/>
          <w:rPrChange w:id="2" w:author="John Camm" w:date="2017-02-05T13:34:00Z">
            <w:rPr>
              <w:b w:val="0"/>
              <w:sz w:val="22"/>
            </w:rPr>
          </w:rPrChange>
        </w:rPr>
        <w:t xml:space="preserve"> 2016;doi:10.1093/europace/euv408.</w:t>
      </w:r>
    </w:p>
    <w:p w14:paraId="0803AB67" w14:textId="1F3DB17B" w:rsidR="00465856" w:rsidRPr="00465856" w:rsidRDefault="00465856" w:rsidP="00465856">
      <w:pPr>
        <w:pStyle w:val="Manuscriptheading2"/>
        <w:tabs>
          <w:tab w:val="right" w:pos="360"/>
          <w:tab w:val="left" w:pos="540"/>
        </w:tabs>
        <w:spacing w:after="240"/>
        <w:ind w:left="540" w:hanging="540"/>
        <w:rPr>
          <w:b w:val="0"/>
          <w:sz w:val="22"/>
        </w:rPr>
      </w:pPr>
      <w:r w:rsidRPr="00616613">
        <w:rPr>
          <w:b w:val="0"/>
          <w:sz w:val="22"/>
          <w:lang w:val="fr-FR"/>
          <w:rPrChange w:id="3" w:author="John Camm" w:date="2017-02-05T13:34:00Z">
            <w:rPr>
              <w:b w:val="0"/>
              <w:sz w:val="22"/>
            </w:rPr>
          </w:rPrChange>
        </w:rPr>
        <w:tab/>
        <w:t>20.</w:t>
      </w:r>
      <w:r w:rsidRPr="00616613">
        <w:rPr>
          <w:b w:val="0"/>
          <w:sz w:val="22"/>
          <w:lang w:val="fr-FR"/>
          <w:rPrChange w:id="4" w:author="John Camm" w:date="2017-02-05T13:34:00Z">
            <w:rPr>
              <w:b w:val="0"/>
              <w:sz w:val="22"/>
            </w:rPr>
          </w:rPrChange>
        </w:rPr>
        <w:tab/>
        <w:t>Goette A, Merino JL, Ezekowitz MD, Zamoryakhin D, Melino M, Jin J</w:t>
      </w:r>
      <w:r w:rsidRPr="00616613">
        <w:rPr>
          <w:b w:val="0"/>
          <w:i/>
          <w:sz w:val="22"/>
          <w:lang w:val="fr-FR"/>
          <w:rPrChange w:id="5" w:author="John Camm" w:date="2017-02-05T13:34:00Z">
            <w:rPr>
              <w:b w:val="0"/>
              <w:i/>
              <w:sz w:val="22"/>
            </w:rPr>
          </w:rPrChange>
        </w:rPr>
        <w:t xml:space="preserve"> et al.</w:t>
      </w:r>
      <w:r w:rsidRPr="00616613">
        <w:rPr>
          <w:b w:val="0"/>
          <w:sz w:val="22"/>
          <w:lang w:val="fr-FR"/>
          <w:rPrChange w:id="6" w:author="John Camm" w:date="2017-02-05T13:34:00Z">
            <w:rPr>
              <w:b w:val="0"/>
              <w:sz w:val="22"/>
            </w:rPr>
          </w:rPrChange>
        </w:rPr>
        <w:t xml:space="preserve"> </w:t>
      </w:r>
      <w:r w:rsidRPr="00465856">
        <w:rPr>
          <w:b w:val="0"/>
          <w:sz w:val="22"/>
        </w:rPr>
        <w:t xml:space="preserve">Edoxaban versus enoxaparin-warfarin in patients undergoing cardioversion of atrial fibrillation (ENSURE-AF): a randomised, open-label, phase 3b trial. </w:t>
      </w:r>
      <w:r w:rsidRPr="00465856">
        <w:rPr>
          <w:b w:val="0"/>
          <w:i/>
          <w:sz w:val="22"/>
        </w:rPr>
        <w:t>Lancet</w:t>
      </w:r>
      <w:r w:rsidRPr="00465856">
        <w:rPr>
          <w:b w:val="0"/>
          <w:sz w:val="22"/>
        </w:rPr>
        <w:t xml:space="preserve"> 2016;</w:t>
      </w:r>
      <w:r w:rsidRPr="00465856">
        <w:rPr>
          <w:sz w:val="22"/>
        </w:rPr>
        <w:t>388</w:t>
      </w:r>
      <w:r w:rsidRPr="00465856">
        <w:rPr>
          <w:b w:val="0"/>
          <w:sz w:val="22"/>
        </w:rPr>
        <w:t>:1995-2003.</w:t>
      </w:r>
    </w:p>
    <w:p w14:paraId="5A44E1AF" w14:textId="0DF19592" w:rsidR="00411DE2" w:rsidRDefault="00B64398" w:rsidP="00465856">
      <w:pPr>
        <w:pStyle w:val="Manuscriptheading2"/>
        <w:tabs>
          <w:tab w:val="right" w:pos="360"/>
          <w:tab w:val="left" w:pos="540"/>
        </w:tabs>
        <w:spacing w:after="0"/>
        <w:ind w:left="540" w:hanging="540"/>
        <w:rPr>
          <w:b w:val="0"/>
          <w:bCs w:val="0"/>
        </w:rPr>
      </w:pPr>
      <w:r>
        <w:fldChar w:fldCharType="end"/>
      </w:r>
      <w:r w:rsidR="00411DE2">
        <w:br w:type="page"/>
      </w:r>
    </w:p>
    <w:p w14:paraId="7EBE0005" w14:textId="4EF2F8F0" w:rsidR="00B64398" w:rsidRPr="00E84D1D" w:rsidRDefault="00B64398" w:rsidP="004A533D">
      <w:pPr>
        <w:pStyle w:val="Manuscriptheading2"/>
      </w:pPr>
      <w:r w:rsidRPr="00DD5B0A">
        <w:lastRenderedPageBreak/>
        <w:t>Tables</w:t>
      </w:r>
    </w:p>
    <w:p w14:paraId="5A13AE8F" w14:textId="77777777" w:rsidR="00B64398" w:rsidRPr="00E84D1D" w:rsidRDefault="00B64398" w:rsidP="00B64398">
      <w:pPr>
        <w:pStyle w:val="Text"/>
      </w:pPr>
      <w:r w:rsidRPr="00E84D1D">
        <w:rPr>
          <w:b/>
        </w:rPr>
        <w:t>Table 1</w:t>
      </w:r>
      <w:r w:rsidRPr="00E84D1D">
        <w:t xml:space="preserve"> Baseline demographics and clinical characteristics for patients undergoing catheter ablation in the XANTUS study</w:t>
      </w:r>
    </w:p>
    <w:tbl>
      <w:tblPr>
        <w:tblStyle w:val="TableGrid"/>
        <w:tblW w:w="4667" w:type="pct"/>
        <w:jc w:val="lef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873"/>
        <w:gridCol w:w="1918"/>
        <w:gridCol w:w="10"/>
        <w:gridCol w:w="1961"/>
        <w:gridCol w:w="1685"/>
        <w:gridCol w:w="19"/>
      </w:tblGrid>
      <w:tr w:rsidR="00B64398" w:rsidRPr="00E84D1D" w14:paraId="25FB806F" w14:textId="77777777" w:rsidTr="00386A9D">
        <w:trPr>
          <w:trHeight w:val="20"/>
          <w:jc w:val="left"/>
        </w:trPr>
        <w:tc>
          <w:tcPr>
            <w:tcW w:w="1697" w:type="pct"/>
            <w:tcBorders>
              <w:top w:val="single" w:sz="4" w:space="0" w:color="auto"/>
              <w:left w:val="nil"/>
              <w:bottom w:val="single" w:sz="4" w:space="0" w:color="auto"/>
              <w:right w:val="nil"/>
            </w:tcBorders>
            <w:hideMark/>
          </w:tcPr>
          <w:p w14:paraId="401C8F9F" w14:textId="77777777" w:rsidR="00B64398" w:rsidRPr="00E84D1D" w:rsidRDefault="00B64398" w:rsidP="00386A9D">
            <w:pPr>
              <w:pStyle w:val="Text"/>
              <w:rPr>
                <w:rFonts w:cs="Arial"/>
                <w:szCs w:val="22"/>
              </w:rPr>
            </w:pPr>
          </w:p>
        </w:tc>
        <w:tc>
          <w:tcPr>
            <w:tcW w:w="1139" w:type="pct"/>
            <w:gridSpan w:val="2"/>
            <w:tcBorders>
              <w:top w:val="single" w:sz="4" w:space="0" w:color="auto"/>
              <w:left w:val="nil"/>
              <w:bottom w:val="single" w:sz="4" w:space="0" w:color="auto"/>
            </w:tcBorders>
            <w:hideMark/>
          </w:tcPr>
          <w:p w14:paraId="22BEA147" w14:textId="296F1F54" w:rsidR="00B64398" w:rsidRPr="00572E41" w:rsidRDefault="00B64398" w:rsidP="00386A9D">
            <w:pPr>
              <w:pStyle w:val="Text"/>
              <w:rPr>
                <w:rFonts w:cs="Arial"/>
                <w:szCs w:val="22"/>
              </w:rPr>
            </w:pPr>
            <w:r w:rsidRPr="00E84D1D">
              <w:rPr>
                <w:rFonts w:cs="Arial"/>
                <w:b/>
                <w:bCs/>
                <w:szCs w:val="22"/>
              </w:rPr>
              <w:t>Catheter ablation</w:t>
            </w:r>
            <w:r w:rsidRPr="00E84D1D">
              <w:rPr>
                <w:rFonts w:cs="Arial"/>
                <w:b/>
                <w:bCs/>
                <w:szCs w:val="22"/>
              </w:rPr>
              <w:br/>
            </w:r>
            <w:r w:rsidRPr="00572E41">
              <w:rPr>
                <w:rFonts w:cs="Arial"/>
                <w:b/>
                <w:bCs/>
                <w:i/>
                <w:szCs w:val="22"/>
              </w:rPr>
              <w:t>n</w:t>
            </w:r>
            <w:r w:rsidRPr="00572E41">
              <w:rPr>
                <w:rFonts w:cs="Arial"/>
                <w:b/>
                <w:bCs/>
                <w:szCs w:val="22"/>
              </w:rPr>
              <w:t xml:space="preserve"> = 173</w:t>
            </w:r>
          </w:p>
        </w:tc>
        <w:tc>
          <w:tcPr>
            <w:tcW w:w="1158" w:type="pct"/>
            <w:tcBorders>
              <w:top w:val="single" w:sz="4" w:space="0" w:color="auto"/>
              <w:bottom w:val="single" w:sz="4" w:space="0" w:color="auto"/>
            </w:tcBorders>
            <w:hideMark/>
          </w:tcPr>
          <w:p w14:paraId="063DE475" w14:textId="68C4EDA6" w:rsidR="00B64398" w:rsidRPr="00E84D1D" w:rsidRDefault="00B64398" w:rsidP="00386A9D">
            <w:pPr>
              <w:pStyle w:val="Text"/>
              <w:rPr>
                <w:rFonts w:cs="Arial"/>
                <w:szCs w:val="22"/>
              </w:rPr>
            </w:pPr>
            <w:r w:rsidRPr="00572E41">
              <w:rPr>
                <w:rFonts w:cs="Arial"/>
                <w:b/>
                <w:bCs/>
                <w:szCs w:val="22"/>
              </w:rPr>
              <w:t xml:space="preserve">No catheter ablation </w:t>
            </w:r>
            <w:r w:rsidRPr="00572E41">
              <w:rPr>
                <w:rFonts w:cs="Arial"/>
                <w:b/>
                <w:bCs/>
                <w:szCs w:val="22"/>
              </w:rPr>
              <w:br/>
            </w:r>
            <w:r w:rsidRPr="00E84D1D">
              <w:rPr>
                <w:rFonts w:cs="Arial"/>
                <w:b/>
                <w:bCs/>
                <w:i/>
                <w:szCs w:val="22"/>
              </w:rPr>
              <w:t>n</w:t>
            </w:r>
            <w:r w:rsidRPr="00E84D1D">
              <w:rPr>
                <w:rFonts w:cs="Arial"/>
                <w:b/>
                <w:bCs/>
                <w:szCs w:val="22"/>
              </w:rPr>
              <w:t xml:space="preserve"> = 6611</w:t>
            </w:r>
          </w:p>
        </w:tc>
        <w:tc>
          <w:tcPr>
            <w:tcW w:w="1006" w:type="pct"/>
            <w:gridSpan w:val="2"/>
            <w:tcBorders>
              <w:top w:val="single" w:sz="4" w:space="0" w:color="auto"/>
              <w:bottom w:val="single" w:sz="4" w:space="0" w:color="auto"/>
            </w:tcBorders>
            <w:hideMark/>
          </w:tcPr>
          <w:p w14:paraId="0F7210CF" w14:textId="77777777" w:rsidR="00B64398" w:rsidRPr="00E84D1D" w:rsidRDefault="00B64398" w:rsidP="00386A9D">
            <w:pPr>
              <w:pStyle w:val="Text"/>
              <w:rPr>
                <w:rFonts w:cs="Arial"/>
                <w:szCs w:val="22"/>
              </w:rPr>
            </w:pPr>
            <w:r w:rsidRPr="00E84D1D">
              <w:rPr>
                <w:rFonts w:cs="Arial"/>
                <w:b/>
                <w:bCs/>
                <w:i/>
                <w:szCs w:val="22"/>
              </w:rPr>
              <w:t>P</w:t>
            </w:r>
            <w:r w:rsidRPr="00E84D1D">
              <w:rPr>
                <w:rFonts w:cs="Arial"/>
                <w:b/>
                <w:bCs/>
                <w:szCs w:val="22"/>
              </w:rPr>
              <w:t>-value</w:t>
            </w:r>
            <w:r w:rsidRPr="00E84D1D">
              <w:rPr>
                <w:rFonts w:cs="Arial"/>
                <w:b/>
                <w:bCs/>
                <w:szCs w:val="22"/>
                <w:vertAlign w:val="superscript"/>
              </w:rPr>
              <w:t>a</w:t>
            </w:r>
          </w:p>
        </w:tc>
      </w:tr>
      <w:tr w:rsidR="00B64398" w:rsidRPr="00E84D1D" w14:paraId="763DC987" w14:textId="77777777" w:rsidTr="00386A9D">
        <w:trPr>
          <w:trHeight w:val="20"/>
          <w:jc w:val="left"/>
        </w:trPr>
        <w:tc>
          <w:tcPr>
            <w:tcW w:w="1697" w:type="pct"/>
            <w:tcBorders>
              <w:top w:val="single" w:sz="4" w:space="0" w:color="auto"/>
              <w:left w:val="nil"/>
              <w:bottom w:val="nil"/>
              <w:right w:val="nil"/>
            </w:tcBorders>
            <w:hideMark/>
          </w:tcPr>
          <w:p w14:paraId="3C7AF4BF" w14:textId="0C94E61D" w:rsidR="00B64398" w:rsidRPr="00572E41" w:rsidRDefault="00B64398" w:rsidP="00386A9D">
            <w:pPr>
              <w:pStyle w:val="Text"/>
              <w:rPr>
                <w:rFonts w:cs="Arial"/>
                <w:szCs w:val="22"/>
              </w:rPr>
            </w:pPr>
            <w:r w:rsidRPr="00E84D1D">
              <w:rPr>
                <w:rFonts w:cs="Arial"/>
                <w:szCs w:val="22"/>
              </w:rPr>
              <w:t>Age, years, mean</w:t>
            </w:r>
            <w:r w:rsidRPr="00572E41">
              <w:rPr>
                <w:rFonts w:cs="Arial"/>
                <w:szCs w:val="22"/>
              </w:rPr>
              <w:t xml:space="preserve"> (SD)</w:t>
            </w:r>
          </w:p>
        </w:tc>
        <w:tc>
          <w:tcPr>
            <w:tcW w:w="1139" w:type="pct"/>
            <w:gridSpan w:val="2"/>
            <w:tcBorders>
              <w:top w:val="single" w:sz="4" w:space="0" w:color="auto"/>
              <w:left w:val="nil"/>
              <w:bottom w:val="nil"/>
            </w:tcBorders>
          </w:tcPr>
          <w:p w14:paraId="540C15BB" w14:textId="77777777" w:rsidR="00B64398" w:rsidRPr="00E84D1D" w:rsidRDefault="00B64398" w:rsidP="00386A9D">
            <w:pPr>
              <w:pStyle w:val="Text"/>
              <w:rPr>
                <w:rFonts w:cs="Arial"/>
                <w:szCs w:val="22"/>
              </w:rPr>
            </w:pPr>
            <w:r w:rsidRPr="00E84D1D">
              <w:rPr>
                <w:rFonts w:cs="Arial"/>
                <w:bCs/>
                <w:color w:val="000000"/>
                <w:kern w:val="24"/>
                <w:szCs w:val="22"/>
              </w:rPr>
              <w:t>64.1 (10.48)</w:t>
            </w:r>
          </w:p>
        </w:tc>
        <w:tc>
          <w:tcPr>
            <w:tcW w:w="1158" w:type="pct"/>
            <w:tcBorders>
              <w:top w:val="single" w:sz="4" w:space="0" w:color="auto"/>
              <w:bottom w:val="nil"/>
            </w:tcBorders>
          </w:tcPr>
          <w:p w14:paraId="6EAA98AC" w14:textId="77777777" w:rsidR="00B64398" w:rsidRPr="00E84D1D" w:rsidRDefault="00B64398" w:rsidP="00386A9D">
            <w:pPr>
              <w:pStyle w:val="Text"/>
              <w:rPr>
                <w:rFonts w:cs="Arial"/>
                <w:szCs w:val="22"/>
              </w:rPr>
            </w:pPr>
            <w:r w:rsidRPr="00E84D1D">
              <w:rPr>
                <w:rFonts w:cs="Arial"/>
                <w:bCs/>
                <w:color w:val="000000"/>
                <w:kern w:val="24"/>
                <w:szCs w:val="22"/>
              </w:rPr>
              <w:t>71.7 (9.86)</w:t>
            </w:r>
          </w:p>
        </w:tc>
        <w:tc>
          <w:tcPr>
            <w:tcW w:w="1006" w:type="pct"/>
            <w:gridSpan w:val="2"/>
            <w:tcBorders>
              <w:top w:val="single" w:sz="4" w:space="0" w:color="auto"/>
              <w:bottom w:val="nil"/>
            </w:tcBorders>
          </w:tcPr>
          <w:p w14:paraId="21AFF459" w14:textId="77777777" w:rsidR="00B64398" w:rsidRPr="00E84D1D" w:rsidRDefault="00B64398" w:rsidP="00386A9D">
            <w:pPr>
              <w:pStyle w:val="Text"/>
              <w:rPr>
                <w:rFonts w:cs="Arial"/>
                <w:szCs w:val="22"/>
              </w:rPr>
            </w:pPr>
            <w:r w:rsidRPr="00E84D1D">
              <w:rPr>
                <w:rFonts w:cs="Arial"/>
                <w:bCs/>
                <w:color w:val="000000"/>
                <w:kern w:val="24"/>
                <w:szCs w:val="22"/>
              </w:rPr>
              <w:t>&lt;0.0001</w:t>
            </w:r>
          </w:p>
        </w:tc>
      </w:tr>
      <w:tr w:rsidR="00B64398" w:rsidRPr="00E84D1D" w14:paraId="75989505" w14:textId="77777777" w:rsidTr="00386A9D">
        <w:trPr>
          <w:gridAfter w:val="1"/>
          <w:wAfter w:w="11" w:type="pct"/>
          <w:trHeight w:val="20"/>
          <w:jc w:val="left"/>
        </w:trPr>
        <w:tc>
          <w:tcPr>
            <w:tcW w:w="1697" w:type="pct"/>
            <w:tcBorders>
              <w:left w:val="nil"/>
              <w:right w:val="nil"/>
            </w:tcBorders>
            <w:hideMark/>
          </w:tcPr>
          <w:p w14:paraId="3B694005" w14:textId="77777777" w:rsidR="00B64398" w:rsidRPr="00E84D1D" w:rsidRDefault="00B64398" w:rsidP="00386A9D">
            <w:pPr>
              <w:spacing w:line="480" w:lineRule="auto"/>
              <w:ind w:left="288"/>
              <w:rPr>
                <w:rFonts w:cs="Arial"/>
                <w:szCs w:val="22"/>
              </w:rPr>
            </w:pPr>
            <w:r w:rsidRPr="00572E41">
              <w:rPr>
                <w:rFonts w:cs="Arial"/>
                <w:szCs w:val="22"/>
              </w:rPr>
              <w:t xml:space="preserve">&lt;65 years, </w:t>
            </w:r>
            <w:r w:rsidRPr="00E84D1D">
              <w:rPr>
                <w:rFonts w:cs="Arial"/>
                <w:i/>
                <w:szCs w:val="22"/>
              </w:rPr>
              <w:t>n</w:t>
            </w:r>
            <w:r w:rsidRPr="00E84D1D">
              <w:rPr>
                <w:rFonts w:cs="Arial"/>
                <w:szCs w:val="22"/>
              </w:rPr>
              <w:t xml:space="preserve"> (%)</w:t>
            </w:r>
          </w:p>
        </w:tc>
        <w:tc>
          <w:tcPr>
            <w:tcW w:w="1133" w:type="pct"/>
            <w:tcBorders>
              <w:left w:val="nil"/>
              <w:right w:val="nil"/>
            </w:tcBorders>
          </w:tcPr>
          <w:p w14:paraId="4FC9E2F2" w14:textId="77777777" w:rsidR="00B64398" w:rsidRPr="00E84D1D" w:rsidRDefault="00B64398" w:rsidP="00386A9D">
            <w:pPr>
              <w:pStyle w:val="Text"/>
              <w:rPr>
                <w:rFonts w:cs="Arial"/>
                <w:szCs w:val="22"/>
              </w:rPr>
            </w:pPr>
            <w:r w:rsidRPr="00E84D1D">
              <w:rPr>
                <w:rFonts w:cs="Arial"/>
                <w:color w:val="000000"/>
                <w:kern w:val="24"/>
                <w:szCs w:val="22"/>
              </w:rPr>
              <w:t>76 (43.9)</w:t>
            </w:r>
          </w:p>
        </w:tc>
        <w:tc>
          <w:tcPr>
            <w:tcW w:w="1164" w:type="pct"/>
            <w:gridSpan w:val="2"/>
            <w:tcBorders>
              <w:left w:val="nil"/>
            </w:tcBorders>
          </w:tcPr>
          <w:p w14:paraId="0F1443AC" w14:textId="77777777" w:rsidR="00B64398" w:rsidRPr="00E84D1D" w:rsidRDefault="00B64398" w:rsidP="00386A9D">
            <w:pPr>
              <w:pStyle w:val="Text"/>
              <w:rPr>
                <w:rFonts w:cs="Arial"/>
                <w:szCs w:val="22"/>
              </w:rPr>
            </w:pPr>
            <w:r w:rsidRPr="00E84D1D">
              <w:rPr>
                <w:rFonts w:cs="Arial"/>
                <w:color w:val="000000"/>
                <w:kern w:val="24"/>
                <w:szCs w:val="22"/>
              </w:rPr>
              <w:t>1402 (21.2)</w:t>
            </w:r>
          </w:p>
        </w:tc>
        <w:tc>
          <w:tcPr>
            <w:tcW w:w="995" w:type="pct"/>
          </w:tcPr>
          <w:p w14:paraId="1774C43A" w14:textId="77777777" w:rsidR="00B64398" w:rsidRPr="00E84D1D" w:rsidRDefault="00B64398" w:rsidP="00386A9D">
            <w:pPr>
              <w:pStyle w:val="Text"/>
              <w:rPr>
                <w:rFonts w:cs="Arial"/>
                <w:szCs w:val="22"/>
              </w:rPr>
            </w:pPr>
          </w:p>
        </w:tc>
      </w:tr>
      <w:tr w:rsidR="00B64398" w:rsidRPr="00E84D1D" w14:paraId="2D9C701B" w14:textId="77777777" w:rsidTr="00386A9D">
        <w:trPr>
          <w:trHeight w:val="20"/>
          <w:jc w:val="left"/>
        </w:trPr>
        <w:tc>
          <w:tcPr>
            <w:tcW w:w="1697" w:type="pct"/>
            <w:tcBorders>
              <w:left w:val="nil"/>
              <w:right w:val="nil"/>
            </w:tcBorders>
            <w:hideMark/>
          </w:tcPr>
          <w:p w14:paraId="7999EA9B" w14:textId="77777777" w:rsidR="00B64398" w:rsidRPr="00572E41" w:rsidRDefault="00B64398" w:rsidP="00386A9D">
            <w:pPr>
              <w:spacing w:line="480" w:lineRule="auto"/>
              <w:ind w:left="288"/>
              <w:rPr>
                <w:rFonts w:cs="Arial"/>
                <w:szCs w:val="22"/>
              </w:rPr>
            </w:pPr>
            <w:r w:rsidRPr="00E84D1D">
              <w:rPr>
                <w:rFonts w:cs="Arial"/>
                <w:szCs w:val="22"/>
              </w:rPr>
              <w:sym w:font="Symbol" w:char="F0B3"/>
            </w:r>
            <w:r w:rsidRPr="00E84D1D">
              <w:rPr>
                <w:rFonts w:cs="Arial"/>
                <w:color w:val="000000" w:themeColor="text1"/>
                <w:kern w:val="24"/>
                <w:szCs w:val="22"/>
              </w:rPr>
              <w:t>65</w:t>
            </w:r>
            <w:r w:rsidRPr="00E84D1D">
              <w:rPr>
                <w:rFonts w:cs="Arial"/>
                <w:szCs w:val="22"/>
              </w:rPr>
              <w:t xml:space="preserve"> to ≤75 years, </w:t>
            </w:r>
            <w:r w:rsidRPr="00E84D1D">
              <w:rPr>
                <w:rFonts w:cs="Arial"/>
                <w:i/>
                <w:szCs w:val="22"/>
              </w:rPr>
              <w:t>n</w:t>
            </w:r>
            <w:r w:rsidRPr="00572E41">
              <w:rPr>
                <w:rFonts w:cs="Arial"/>
                <w:szCs w:val="22"/>
              </w:rPr>
              <w:t xml:space="preserve"> (%)</w:t>
            </w:r>
          </w:p>
        </w:tc>
        <w:tc>
          <w:tcPr>
            <w:tcW w:w="1139" w:type="pct"/>
            <w:gridSpan w:val="2"/>
            <w:tcBorders>
              <w:left w:val="nil"/>
            </w:tcBorders>
          </w:tcPr>
          <w:p w14:paraId="20CA3E03" w14:textId="77777777" w:rsidR="00B64398" w:rsidRPr="00E84D1D" w:rsidRDefault="00B64398" w:rsidP="00386A9D">
            <w:pPr>
              <w:pStyle w:val="Text"/>
              <w:rPr>
                <w:rFonts w:cs="Arial"/>
                <w:szCs w:val="22"/>
              </w:rPr>
            </w:pPr>
            <w:r w:rsidRPr="00572E41">
              <w:rPr>
                <w:rFonts w:cs="Arial"/>
                <w:color w:val="000000"/>
                <w:kern w:val="24"/>
                <w:szCs w:val="22"/>
              </w:rPr>
              <w:t>82 (47.4)</w:t>
            </w:r>
          </w:p>
        </w:tc>
        <w:tc>
          <w:tcPr>
            <w:tcW w:w="1158" w:type="pct"/>
          </w:tcPr>
          <w:p w14:paraId="09B9BCC1" w14:textId="77777777" w:rsidR="00B64398" w:rsidRPr="00E84D1D" w:rsidRDefault="00B64398" w:rsidP="00386A9D">
            <w:pPr>
              <w:pStyle w:val="Text"/>
              <w:rPr>
                <w:rFonts w:cs="Arial"/>
                <w:szCs w:val="22"/>
              </w:rPr>
            </w:pPr>
            <w:r w:rsidRPr="00E84D1D">
              <w:rPr>
                <w:rFonts w:cs="Arial"/>
                <w:color w:val="000000"/>
                <w:kern w:val="24"/>
                <w:szCs w:val="22"/>
              </w:rPr>
              <w:t>2700 (40.8)</w:t>
            </w:r>
          </w:p>
        </w:tc>
        <w:tc>
          <w:tcPr>
            <w:tcW w:w="1006" w:type="pct"/>
            <w:gridSpan w:val="2"/>
          </w:tcPr>
          <w:p w14:paraId="358AEC6A" w14:textId="77777777" w:rsidR="00B64398" w:rsidRPr="00E84D1D" w:rsidRDefault="00B64398" w:rsidP="00386A9D">
            <w:pPr>
              <w:pStyle w:val="Text"/>
              <w:rPr>
                <w:rFonts w:cs="Arial"/>
                <w:szCs w:val="22"/>
              </w:rPr>
            </w:pPr>
          </w:p>
        </w:tc>
      </w:tr>
      <w:tr w:rsidR="00B64398" w:rsidRPr="00E84D1D" w14:paraId="4925FBC4" w14:textId="77777777" w:rsidTr="00386A9D">
        <w:trPr>
          <w:trHeight w:val="20"/>
          <w:jc w:val="left"/>
        </w:trPr>
        <w:tc>
          <w:tcPr>
            <w:tcW w:w="1697" w:type="pct"/>
            <w:tcBorders>
              <w:left w:val="nil"/>
              <w:right w:val="nil"/>
            </w:tcBorders>
            <w:hideMark/>
          </w:tcPr>
          <w:p w14:paraId="65858E3A" w14:textId="77777777" w:rsidR="00B64398" w:rsidRPr="00E84D1D" w:rsidRDefault="00B64398" w:rsidP="00386A9D">
            <w:pPr>
              <w:spacing w:line="480" w:lineRule="auto"/>
              <w:ind w:left="288"/>
              <w:rPr>
                <w:rFonts w:cs="Arial"/>
                <w:szCs w:val="22"/>
              </w:rPr>
            </w:pPr>
            <w:r w:rsidRPr="00E84D1D">
              <w:rPr>
                <w:rFonts w:cs="Arial"/>
                <w:szCs w:val="22"/>
              </w:rPr>
              <w:t xml:space="preserve">&gt;75 </w:t>
            </w:r>
            <w:r w:rsidRPr="00E84D1D">
              <w:rPr>
                <w:rFonts w:cs="Arial"/>
                <w:color w:val="000000" w:themeColor="text1"/>
                <w:kern w:val="24"/>
                <w:szCs w:val="22"/>
              </w:rPr>
              <w:t>years</w:t>
            </w:r>
            <w:r w:rsidRPr="00E84D1D">
              <w:rPr>
                <w:rFonts w:cs="Arial"/>
                <w:szCs w:val="22"/>
              </w:rPr>
              <w:t xml:space="preserve">, </w:t>
            </w:r>
            <w:r w:rsidRPr="00E84D1D">
              <w:rPr>
                <w:rFonts w:cs="Arial"/>
                <w:i/>
                <w:szCs w:val="22"/>
              </w:rPr>
              <w:t>n</w:t>
            </w:r>
            <w:r w:rsidRPr="00E84D1D">
              <w:rPr>
                <w:rFonts w:cs="Arial"/>
                <w:szCs w:val="22"/>
              </w:rPr>
              <w:t xml:space="preserve"> (%)</w:t>
            </w:r>
          </w:p>
        </w:tc>
        <w:tc>
          <w:tcPr>
            <w:tcW w:w="1139" w:type="pct"/>
            <w:gridSpan w:val="2"/>
            <w:tcBorders>
              <w:left w:val="nil"/>
            </w:tcBorders>
          </w:tcPr>
          <w:p w14:paraId="4FAE3FC7" w14:textId="77777777" w:rsidR="00B64398" w:rsidRPr="00E84D1D" w:rsidRDefault="00B64398" w:rsidP="00386A9D">
            <w:pPr>
              <w:pStyle w:val="Text"/>
              <w:rPr>
                <w:rFonts w:cs="Arial"/>
                <w:szCs w:val="22"/>
              </w:rPr>
            </w:pPr>
            <w:r w:rsidRPr="00E84D1D">
              <w:rPr>
                <w:rFonts w:cs="Arial"/>
                <w:color w:val="000000"/>
                <w:kern w:val="24"/>
                <w:szCs w:val="22"/>
              </w:rPr>
              <w:t>15 (8.7)</w:t>
            </w:r>
          </w:p>
        </w:tc>
        <w:tc>
          <w:tcPr>
            <w:tcW w:w="1158" w:type="pct"/>
          </w:tcPr>
          <w:p w14:paraId="6AD1A708" w14:textId="77777777" w:rsidR="00B64398" w:rsidRPr="00E84D1D" w:rsidRDefault="00B64398" w:rsidP="00386A9D">
            <w:pPr>
              <w:pStyle w:val="Text"/>
              <w:rPr>
                <w:rFonts w:cs="Arial"/>
                <w:szCs w:val="22"/>
              </w:rPr>
            </w:pPr>
            <w:r w:rsidRPr="00E84D1D">
              <w:rPr>
                <w:rFonts w:cs="Arial"/>
                <w:color w:val="000000"/>
                <w:kern w:val="24"/>
                <w:szCs w:val="22"/>
              </w:rPr>
              <w:t>2509 (38.0)</w:t>
            </w:r>
          </w:p>
        </w:tc>
        <w:tc>
          <w:tcPr>
            <w:tcW w:w="1006" w:type="pct"/>
            <w:gridSpan w:val="2"/>
          </w:tcPr>
          <w:p w14:paraId="0801D3C6" w14:textId="77777777" w:rsidR="00B64398" w:rsidRPr="00E84D1D" w:rsidRDefault="00B64398" w:rsidP="00386A9D">
            <w:pPr>
              <w:pStyle w:val="Text"/>
              <w:rPr>
                <w:rFonts w:cs="Arial"/>
                <w:szCs w:val="22"/>
              </w:rPr>
            </w:pPr>
          </w:p>
        </w:tc>
      </w:tr>
      <w:tr w:rsidR="00B64398" w:rsidRPr="00E84D1D" w14:paraId="1C3B2693" w14:textId="77777777" w:rsidTr="00386A9D">
        <w:trPr>
          <w:trHeight w:val="20"/>
          <w:jc w:val="left"/>
        </w:trPr>
        <w:tc>
          <w:tcPr>
            <w:tcW w:w="1697" w:type="pct"/>
            <w:tcBorders>
              <w:left w:val="nil"/>
              <w:right w:val="nil"/>
            </w:tcBorders>
            <w:hideMark/>
          </w:tcPr>
          <w:p w14:paraId="513867D1" w14:textId="77777777" w:rsidR="00B64398" w:rsidRPr="00E84D1D" w:rsidRDefault="00B64398" w:rsidP="00386A9D">
            <w:pPr>
              <w:pStyle w:val="Text"/>
              <w:rPr>
                <w:rFonts w:cs="Arial"/>
                <w:szCs w:val="22"/>
              </w:rPr>
            </w:pPr>
            <w:r w:rsidRPr="00E84D1D">
              <w:rPr>
                <w:rFonts w:cs="Arial"/>
                <w:szCs w:val="22"/>
              </w:rPr>
              <w:t xml:space="preserve">Male sex, </w:t>
            </w:r>
            <w:r w:rsidRPr="00E84D1D">
              <w:rPr>
                <w:rFonts w:cs="Arial"/>
                <w:i/>
                <w:szCs w:val="22"/>
              </w:rPr>
              <w:t>n</w:t>
            </w:r>
            <w:r w:rsidRPr="00E84D1D">
              <w:rPr>
                <w:rFonts w:cs="Arial"/>
                <w:szCs w:val="22"/>
              </w:rPr>
              <w:t xml:space="preserve"> (%)</w:t>
            </w:r>
          </w:p>
        </w:tc>
        <w:tc>
          <w:tcPr>
            <w:tcW w:w="1139" w:type="pct"/>
            <w:gridSpan w:val="2"/>
            <w:tcBorders>
              <w:left w:val="nil"/>
            </w:tcBorders>
          </w:tcPr>
          <w:p w14:paraId="7BF3A00D" w14:textId="77777777" w:rsidR="00B64398" w:rsidRPr="00E84D1D" w:rsidRDefault="00B64398" w:rsidP="00386A9D">
            <w:pPr>
              <w:pStyle w:val="Text"/>
              <w:rPr>
                <w:rFonts w:cs="Arial"/>
                <w:szCs w:val="22"/>
              </w:rPr>
            </w:pPr>
            <w:r w:rsidRPr="00E84D1D">
              <w:rPr>
                <w:rFonts w:cs="Arial"/>
                <w:color w:val="000000"/>
                <w:kern w:val="24"/>
                <w:szCs w:val="22"/>
              </w:rPr>
              <w:t>108 (62.4)</w:t>
            </w:r>
          </w:p>
        </w:tc>
        <w:tc>
          <w:tcPr>
            <w:tcW w:w="1158" w:type="pct"/>
          </w:tcPr>
          <w:p w14:paraId="4C501ED7" w14:textId="77777777" w:rsidR="00B64398" w:rsidRPr="00E84D1D" w:rsidRDefault="00B64398" w:rsidP="00386A9D">
            <w:pPr>
              <w:pStyle w:val="Text"/>
              <w:rPr>
                <w:rFonts w:cs="Arial"/>
                <w:szCs w:val="22"/>
              </w:rPr>
            </w:pPr>
            <w:r w:rsidRPr="00E84D1D">
              <w:rPr>
                <w:rFonts w:cs="Arial"/>
                <w:color w:val="000000"/>
                <w:kern w:val="24"/>
                <w:szCs w:val="22"/>
              </w:rPr>
              <w:t>3908 (59.1)</w:t>
            </w:r>
          </w:p>
        </w:tc>
        <w:tc>
          <w:tcPr>
            <w:tcW w:w="1006" w:type="pct"/>
            <w:gridSpan w:val="2"/>
          </w:tcPr>
          <w:p w14:paraId="38BBEB35" w14:textId="77777777" w:rsidR="00B64398" w:rsidRPr="00E84D1D" w:rsidRDefault="00B64398" w:rsidP="00386A9D">
            <w:pPr>
              <w:pStyle w:val="Text"/>
              <w:rPr>
                <w:rFonts w:cs="Arial"/>
                <w:szCs w:val="22"/>
              </w:rPr>
            </w:pPr>
            <w:r w:rsidRPr="00E84D1D">
              <w:rPr>
                <w:rFonts w:eastAsiaTheme="minorEastAsia" w:cs="Arial"/>
                <w:color w:val="000000" w:themeColor="text1"/>
                <w:kern w:val="24"/>
                <w:szCs w:val="22"/>
              </w:rPr>
              <w:t>0.3851</w:t>
            </w:r>
          </w:p>
        </w:tc>
      </w:tr>
      <w:tr w:rsidR="00B64398" w:rsidRPr="00E84D1D" w14:paraId="5C95449F"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24439279" w14:textId="77777777" w:rsidR="00B64398" w:rsidRPr="00E84D1D" w:rsidRDefault="00B64398" w:rsidP="00386A9D">
            <w:pPr>
              <w:spacing w:line="480" w:lineRule="auto"/>
              <w:rPr>
                <w:rFonts w:cs="Arial"/>
                <w:szCs w:val="22"/>
              </w:rPr>
            </w:pPr>
            <w:r w:rsidRPr="00E84D1D">
              <w:rPr>
                <w:rFonts w:cs="Arial"/>
                <w:bCs/>
                <w:color w:val="000000" w:themeColor="text1"/>
                <w:kern w:val="24"/>
                <w:szCs w:val="22"/>
              </w:rPr>
              <w:t>AF type,</w:t>
            </w:r>
            <w:r w:rsidRPr="00E84D1D">
              <w:rPr>
                <w:rFonts w:cs="Arial"/>
                <w:bCs/>
                <w:color w:val="000000" w:themeColor="text1"/>
                <w:kern w:val="24"/>
                <w:szCs w:val="22"/>
                <w:vertAlign w:val="superscript"/>
              </w:rPr>
              <w:t>b</w:t>
            </w:r>
            <w:r w:rsidRPr="00E84D1D">
              <w:rPr>
                <w:rFonts w:cs="Arial"/>
                <w:bCs/>
                <w:color w:val="000000" w:themeColor="text1"/>
                <w:kern w:val="24"/>
                <w:szCs w:val="22"/>
              </w:rPr>
              <w:t xml:space="preserve"> </w:t>
            </w:r>
            <w:r w:rsidRPr="00E84D1D">
              <w:rPr>
                <w:rFonts w:cs="Arial"/>
                <w:bCs/>
                <w:i/>
                <w:color w:val="000000" w:themeColor="text1"/>
                <w:kern w:val="24"/>
                <w:szCs w:val="22"/>
              </w:rPr>
              <w:t>n</w:t>
            </w:r>
            <w:r w:rsidRPr="00E84D1D">
              <w:rPr>
                <w:rFonts w:cs="Arial"/>
                <w:bCs/>
                <w:color w:val="000000" w:themeColor="text1"/>
                <w:kern w:val="24"/>
                <w:szCs w:val="22"/>
              </w:rPr>
              <w:t xml:space="preserve"> (%)</w:t>
            </w:r>
          </w:p>
        </w:tc>
        <w:tc>
          <w:tcPr>
            <w:tcW w:w="1139" w:type="pct"/>
            <w:gridSpan w:val="2"/>
            <w:tcBorders>
              <w:left w:val="nil"/>
            </w:tcBorders>
          </w:tcPr>
          <w:p w14:paraId="4F56E0DB"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158" w:type="pct"/>
          </w:tcPr>
          <w:p w14:paraId="52FD148A"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06" w:type="pct"/>
            <w:gridSpan w:val="2"/>
          </w:tcPr>
          <w:p w14:paraId="5209C9F3"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bCs/>
                <w:color w:val="000000" w:themeColor="text1"/>
                <w:kern w:val="24"/>
                <w:szCs w:val="22"/>
              </w:rPr>
              <w:t>&lt;0.0001</w:t>
            </w:r>
            <w:r w:rsidRPr="00E84D1D">
              <w:rPr>
                <w:rFonts w:cs="Arial"/>
                <w:bCs/>
                <w:color w:val="000000"/>
                <w:kern w:val="24"/>
                <w:szCs w:val="22"/>
                <w:vertAlign w:val="superscript"/>
              </w:rPr>
              <w:t>a</w:t>
            </w:r>
          </w:p>
        </w:tc>
      </w:tr>
      <w:tr w:rsidR="00B64398" w:rsidRPr="00E84D1D" w14:paraId="0DAEFF65"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65765D54" w14:textId="77777777" w:rsidR="00B64398" w:rsidRPr="00E84D1D" w:rsidRDefault="00B64398" w:rsidP="00386A9D">
            <w:pPr>
              <w:spacing w:line="480" w:lineRule="auto"/>
              <w:ind w:left="288"/>
              <w:rPr>
                <w:rFonts w:cs="Arial"/>
                <w:szCs w:val="22"/>
              </w:rPr>
            </w:pPr>
            <w:r w:rsidRPr="00E84D1D">
              <w:rPr>
                <w:rFonts w:cs="Arial"/>
                <w:color w:val="000000" w:themeColor="text1"/>
                <w:kern w:val="24"/>
                <w:szCs w:val="22"/>
              </w:rPr>
              <w:t>First diagnosed</w:t>
            </w:r>
          </w:p>
        </w:tc>
        <w:tc>
          <w:tcPr>
            <w:tcW w:w="1139" w:type="pct"/>
            <w:gridSpan w:val="2"/>
            <w:tcBorders>
              <w:left w:val="nil"/>
            </w:tcBorders>
          </w:tcPr>
          <w:p w14:paraId="08E749FE"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36 (20.8)</w:t>
            </w:r>
          </w:p>
        </w:tc>
        <w:tc>
          <w:tcPr>
            <w:tcW w:w="1158" w:type="pct"/>
          </w:tcPr>
          <w:p w14:paraId="2C0E4D06"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1217 (18.4)</w:t>
            </w:r>
          </w:p>
        </w:tc>
        <w:tc>
          <w:tcPr>
            <w:tcW w:w="1006" w:type="pct"/>
            <w:gridSpan w:val="2"/>
          </w:tcPr>
          <w:p w14:paraId="3BAD980D"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360CE5C6"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0D8882E9" w14:textId="77777777" w:rsidR="00B64398" w:rsidRPr="00E84D1D" w:rsidRDefault="00B64398" w:rsidP="00386A9D">
            <w:pPr>
              <w:spacing w:line="480" w:lineRule="auto"/>
              <w:ind w:left="288"/>
              <w:rPr>
                <w:rFonts w:cs="Arial"/>
                <w:szCs w:val="22"/>
              </w:rPr>
            </w:pPr>
            <w:r w:rsidRPr="00E84D1D">
              <w:rPr>
                <w:rFonts w:cs="Arial"/>
                <w:color w:val="000000"/>
                <w:kern w:val="24"/>
                <w:szCs w:val="22"/>
              </w:rPr>
              <w:t>Paroxysmal</w:t>
            </w:r>
          </w:p>
        </w:tc>
        <w:tc>
          <w:tcPr>
            <w:tcW w:w="1139" w:type="pct"/>
            <w:gridSpan w:val="2"/>
            <w:tcBorders>
              <w:left w:val="nil"/>
            </w:tcBorders>
          </w:tcPr>
          <w:p w14:paraId="4912E77B"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90 (52.0)</w:t>
            </w:r>
          </w:p>
        </w:tc>
        <w:tc>
          <w:tcPr>
            <w:tcW w:w="1158" w:type="pct"/>
          </w:tcPr>
          <w:p w14:paraId="7547346B"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2667 (40.3)</w:t>
            </w:r>
          </w:p>
        </w:tc>
        <w:tc>
          <w:tcPr>
            <w:tcW w:w="1006" w:type="pct"/>
            <w:gridSpan w:val="2"/>
          </w:tcPr>
          <w:p w14:paraId="47B2EBCD"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2F69DC7A"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27D7AFA7" w14:textId="77777777" w:rsidR="00B64398" w:rsidRPr="00E84D1D" w:rsidRDefault="00B64398" w:rsidP="00386A9D">
            <w:pPr>
              <w:spacing w:line="480" w:lineRule="auto"/>
              <w:ind w:left="288"/>
              <w:rPr>
                <w:rFonts w:cs="Arial"/>
                <w:szCs w:val="22"/>
              </w:rPr>
            </w:pPr>
            <w:r w:rsidRPr="00E84D1D">
              <w:rPr>
                <w:rFonts w:cs="Arial"/>
                <w:color w:val="000000"/>
                <w:kern w:val="24"/>
                <w:szCs w:val="22"/>
              </w:rPr>
              <w:t>Persistent</w:t>
            </w:r>
          </w:p>
        </w:tc>
        <w:tc>
          <w:tcPr>
            <w:tcW w:w="1139" w:type="pct"/>
            <w:gridSpan w:val="2"/>
            <w:tcBorders>
              <w:left w:val="nil"/>
            </w:tcBorders>
          </w:tcPr>
          <w:p w14:paraId="187A6187"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34 (19.7)</w:t>
            </w:r>
          </w:p>
        </w:tc>
        <w:tc>
          <w:tcPr>
            <w:tcW w:w="1158" w:type="pct"/>
          </w:tcPr>
          <w:p w14:paraId="29FC32F0"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889 (13.4)</w:t>
            </w:r>
          </w:p>
        </w:tc>
        <w:tc>
          <w:tcPr>
            <w:tcW w:w="1006" w:type="pct"/>
            <w:gridSpan w:val="2"/>
          </w:tcPr>
          <w:p w14:paraId="4B3AF22F"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339DA9B4"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0B3C0146" w14:textId="77777777" w:rsidR="00B64398" w:rsidRPr="00E84D1D" w:rsidRDefault="00B64398" w:rsidP="00386A9D">
            <w:pPr>
              <w:spacing w:line="480" w:lineRule="auto"/>
              <w:ind w:left="288"/>
              <w:rPr>
                <w:rFonts w:cs="Arial"/>
                <w:szCs w:val="22"/>
              </w:rPr>
            </w:pPr>
            <w:r w:rsidRPr="00E84D1D">
              <w:rPr>
                <w:rFonts w:cs="Arial"/>
                <w:color w:val="000000"/>
                <w:kern w:val="24"/>
                <w:szCs w:val="22"/>
              </w:rPr>
              <w:t>Permanent</w:t>
            </w:r>
          </w:p>
        </w:tc>
        <w:tc>
          <w:tcPr>
            <w:tcW w:w="1139" w:type="pct"/>
            <w:gridSpan w:val="2"/>
            <w:tcBorders>
              <w:left w:val="nil"/>
            </w:tcBorders>
          </w:tcPr>
          <w:p w14:paraId="1809A2D0"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12 (6.9)</w:t>
            </w:r>
          </w:p>
        </w:tc>
        <w:tc>
          <w:tcPr>
            <w:tcW w:w="1158" w:type="pct"/>
          </w:tcPr>
          <w:p w14:paraId="44B7CADF" w14:textId="77777777" w:rsidR="00B64398" w:rsidRPr="00E84D1D" w:rsidRDefault="00B64398" w:rsidP="00386A9D">
            <w:pPr>
              <w:tabs>
                <w:tab w:val="decimal" w:pos="0"/>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1823 (27.6)</w:t>
            </w:r>
          </w:p>
        </w:tc>
        <w:tc>
          <w:tcPr>
            <w:tcW w:w="1006" w:type="pct"/>
            <w:gridSpan w:val="2"/>
          </w:tcPr>
          <w:p w14:paraId="59EEA786"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16AF34ED"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4284390E" w14:textId="77777777" w:rsidR="00B64398" w:rsidRPr="00E84D1D" w:rsidRDefault="00B64398" w:rsidP="00386A9D">
            <w:pPr>
              <w:spacing w:line="480" w:lineRule="auto"/>
              <w:rPr>
                <w:rFonts w:cs="Arial"/>
                <w:szCs w:val="22"/>
              </w:rPr>
            </w:pPr>
            <w:r w:rsidRPr="00E84D1D">
              <w:rPr>
                <w:rFonts w:cs="Arial"/>
                <w:color w:val="000000" w:themeColor="text1"/>
                <w:kern w:val="24"/>
                <w:szCs w:val="22"/>
              </w:rPr>
              <w:t>Blood pressure,</w:t>
            </w:r>
            <w:r w:rsidRPr="00E84D1D">
              <w:rPr>
                <w:rFonts w:cs="Arial"/>
                <w:color w:val="000000" w:themeColor="text1"/>
                <w:kern w:val="24"/>
                <w:szCs w:val="22"/>
                <w:vertAlign w:val="superscript"/>
              </w:rPr>
              <w:t>b</w:t>
            </w:r>
            <w:r w:rsidRPr="00E84D1D">
              <w:rPr>
                <w:rFonts w:cs="Arial"/>
                <w:color w:val="000000" w:themeColor="text1"/>
                <w:kern w:val="24"/>
                <w:szCs w:val="22"/>
              </w:rPr>
              <w:t xml:space="preserve"> </w:t>
            </w:r>
            <w:r w:rsidRPr="00E84D1D">
              <w:rPr>
                <w:rFonts w:cs="Arial"/>
                <w:i/>
                <w:color w:val="000000" w:themeColor="text1"/>
                <w:kern w:val="24"/>
                <w:szCs w:val="22"/>
              </w:rPr>
              <w:t>n</w:t>
            </w:r>
            <w:r w:rsidRPr="00E84D1D">
              <w:rPr>
                <w:rFonts w:cs="Arial"/>
                <w:color w:val="000000" w:themeColor="text1"/>
                <w:kern w:val="24"/>
                <w:szCs w:val="22"/>
              </w:rPr>
              <w:t xml:space="preserve"> (%)</w:t>
            </w:r>
          </w:p>
        </w:tc>
        <w:tc>
          <w:tcPr>
            <w:tcW w:w="1139" w:type="pct"/>
            <w:gridSpan w:val="2"/>
            <w:tcBorders>
              <w:left w:val="nil"/>
            </w:tcBorders>
          </w:tcPr>
          <w:p w14:paraId="658D9FAE"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158" w:type="pct"/>
          </w:tcPr>
          <w:p w14:paraId="0533CF00"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06" w:type="pct"/>
            <w:gridSpan w:val="2"/>
          </w:tcPr>
          <w:p w14:paraId="2F98DEFC"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6E4B9AB6"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5A8E3798" w14:textId="77777777" w:rsidR="00B64398" w:rsidRPr="00E84D1D" w:rsidRDefault="00B64398" w:rsidP="00386A9D">
            <w:pPr>
              <w:spacing w:line="480" w:lineRule="auto"/>
              <w:ind w:left="288"/>
              <w:rPr>
                <w:rFonts w:cs="Arial"/>
                <w:szCs w:val="22"/>
              </w:rPr>
            </w:pPr>
            <w:r w:rsidRPr="00E84D1D">
              <w:rPr>
                <w:rFonts w:cs="Arial"/>
                <w:color w:val="000000"/>
                <w:kern w:val="24"/>
                <w:szCs w:val="22"/>
              </w:rPr>
              <w:t>Systolic</w:t>
            </w:r>
            <w:r w:rsidRPr="00E84D1D">
              <w:rPr>
                <w:rFonts w:cs="Arial"/>
                <w:color w:val="000000" w:themeColor="text1"/>
                <w:kern w:val="24"/>
                <w:szCs w:val="22"/>
              </w:rPr>
              <w:t xml:space="preserve"> mmHg, mean (SD)</w:t>
            </w:r>
          </w:p>
        </w:tc>
        <w:tc>
          <w:tcPr>
            <w:tcW w:w="1139" w:type="pct"/>
            <w:gridSpan w:val="2"/>
            <w:tcBorders>
              <w:left w:val="nil"/>
            </w:tcBorders>
          </w:tcPr>
          <w:p w14:paraId="1CF7B7B5"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131.1 (17.59)</w:t>
            </w:r>
          </w:p>
        </w:tc>
        <w:tc>
          <w:tcPr>
            <w:tcW w:w="1158" w:type="pct"/>
          </w:tcPr>
          <w:p w14:paraId="664F6D66"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134.6 (17.83)</w:t>
            </w:r>
          </w:p>
        </w:tc>
        <w:tc>
          <w:tcPr>
            <w:tcW w:w="1006" w:type="pct"/>
            <w:gridSpan w:val="2"/>
          </w:tcPr>
          <w:p w14:paraId="1024C94F"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0.0156</w:t>
            </w:r>
          </w:p>
        </w:tc>
      </w:tr>
      <w:tr w:rsidR="00B64398" w:rsidRPr="00E84D1D" w14:paraId="418ECD42"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657B2F1A" w14:textId="77777777" w:rsidR="00B64398" w:rsidRPr="00E84D1D" w:rsidRDefault="00B64398" w:rsidP="00386A9D">
            <w:pPr>
              <w:spacing w:line="480" w:lineRule="auto"/>
              <w:ind w:left="288"/>
              <w:rPr>
                <w:rFonts w:cs="Arial"/>
                <w:szCs w:val="22"/>
              </w:rPr>
            </w:pPr>
            <w:r w:rsidRPr="00E84D1D">
              <w:rPr>
                <w:rFonts w:cs="Arial"/>
                <w:color w:val="000000"/>
                <w:kern w:val="24"/>
                <w:szCs w:val="22"/>
              </w:rPr>
              <w:t>Diastolic</w:t>
            </w:r>
            <w:r w:rsidRPr="00E84D1D">
              <w:rPr>
                <w:rFonts w:cs="Arial"/>
                <w:color w:val="000000" w:themeColor="text1"/>
                <w:kern w:val="24"/>
                <w:szCs w:val="22"/>
              </w:rPr>
              <w:t xml:space="preserve"> mmHg, mean (SD)</w:t>
            </w:r>
          </w:p>
        </w:tc>
        <w:tc>
          <w:tcPr>
            <w:tcW w:w="1139" w:type="pct"/>
            <w:gridSpan w:val="2"/>
            <w:tcBorders>
              <w:left w:val="nil"/>
            </w:tcBorders>
          </w:tcPr>
          <w:p w14:paraId="41CAE35E"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79.0 (11.98)</w:t>
            </w:r>
          </w:p>
        </w:tc>
        <w:tc>
          <w:tcPr>
            <w:tcW w:w="1158" w:type="pct"/>
          </w:tcPr>
          <w:p w14:paraId="1F816EB5"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79.2 (10.61)</w:t>
            </w:r>
          </w:p>
        </w:tc>
        <w:tc>
          <w:tcPr>
            <w:tcW w:w="1006" w:type="pct"/>
            <w:gridSpan w:val="2"/>
          </w:tcPr>
          <w:p w14:paraId="4380DC43" w14:textId="77777777" w:rsidR="00B64398" w:rsidRPr="00E84D1D" w:rsidRDefault="00B64398" w:rsidP="00386A9D">
            <w:pPr>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0.7394</w:t>
            </w:r>
          </w:p>
        </w:tc>
      </w:tr>
      <w:tr w:rsidR="00B64398" w:rsidRPr="00E84D1D" w14:paraId="1524463E"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1E652B6E" w14:textId="77777777" w:rsidR="00B64398" w:rsidRPr="00E84D1D" w:rsidRDefault="00B64398" w:rsidP="00386A9D">
            <w:pPr>
              <w:spacing w:line="480" w:lineRule="auto"/>
              <w:rPr>
                <w:rFonts w:cs="Arial"/>
                <w:szCs w:val="22"/>
              </w:rPr>
            </w:pPr>
            <w:r w:rsidRPr="00E84D1D">
              <w:rPr>
                <w:rFonts w:eastAsiaTheme="minorEastAsia" w:cs="Arial"/>
                <w:bCs/>
                <w:color w:val="000000" w:themeColor="text1"/>
                <w:kern w:val="24"/>
                <w:szCs w:val="22"/>
              </w:rPr>
              <w:lastRenderedPageBreak/>
              <w:t xml:space="preserve">Existing co-morbidities, </w:t>
            </w:r>
            <w:r w:rsidRPr="00E84D1D">
              <w:rPr>
                <w:rFonts w:eastAsiaTheme="minorEastAsia" w:cs="Arial"/>
                <w:bCs/>
                <w:i/>
                <w:color w:val="000000" w:themeColor="text1"/>
                <w:kern w:val="24"/>
                <w:szCs w:val="22"/>
              </w:rPr>
              <w:t>n</w:t>
            </w:r>
            <w:r w:rsidRPr="00E84D1D">
              <w:rPr>
                <w:rFonts w:eastAsiaTheme="minorEastAsia" w:cs="Arial"/>
                <w:bCs/>
                <w:color w:val="000000" w:themeColor="text1"/>
                <w:kern w:val="24"/>
                <w:szCs w:val="22"/>
              </w:rPr>
              <w:t xml:space="preserve"> (%)</w:t>
            </w:r>
          </w:p>
        </w:tc>
        <w:tc>
          <w:tcPr>
            <w:tcW w:w="1139" w:type="pct"/>
            <w:gridSpan w:val="2"/>
            <w:tcBorders>
              <w:left w:val="nil"/>
            </w:tcBorders>
          </w:tcPr>
          <w:p w14:paraId="2A3FD542"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158" w:type="pct"/>
          </w:tcPr>
          <w:p w14:paraId="6DE50497"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06" w:type="pct"/>
            <w:gridSpan w:val="2"/>
          </w:tcPr>
          <w:p w14:paraId="05EDF6DE"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B64398" w:rsidRPr="00E84D1D" w14:paraId="544FC877"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2BA776B7" w14:textId="77777777" w:rsidR="00B64398" w:rsidRPr="00E84D1D" w:rsidRDefault="00B64398" w:rsidP="00386A9D">
            <w:pPr>
              <w:spacing w:line="480" w:lineRule="auto"/>
              <w:ind w:left="288"/>
              <w:rPr>
                <w:rFonts w:cs="Arial"/>
                <w:color w:val="000000" w:themeColor="text1"/>
                <w:kern w:val="24"/>
                <w:szCs w:val="22"/>
              </w:rPr>
            </w:pPr>
            <w:r w:rsidRPr="00E84D1D">
              <w:rPr>
                <w:rFonts w:cs="Arial"/>
                <w:color w:val="000000" w:themeColor="text1"/>
                <w:kern w:val="24"/>
                <w:szCs w:val="22"/>
              </w:rPr>
              <w:t>Hypertension</w:t>
            </w:r>
          </w:p>
        </w:tc>
        <w:tc>
          <w:tcPr>
            <w:tcW w:w="1139" w:type="pct"/>
            <w:gridSpan w:val="2"/>
            <w:tcBorders>
              <w:left w:val="nil"/>
            </w:tcBorders>
          </w:tcPr>
          <w:p w14:paraId="52821B2D"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kern w:val="24"/>
                <w:szCs w:val="22"/>
              </w:rPr>
              <w:t>101 (58.4)</w:t>
            </w:r>
          </w:p>
        </w:tc>
        <w:tc>
          <w:tcPr>
            <w:tcW w:w="1158" w:type="pct"/>
          </w:tcPr>
          <w:p w14:paraId="64597F3D"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4964 (75.1)</w:t>
            </w:r>
          </w:p>
        </w:tc>
        <w:tc>
          <w:tcPr>
            <w:tcW w:w="1006" w:type="pct"/>
            <w:gridSpan w:val="2"/>
          </w:tcPr>
          <w:p w14:paraId="58732498"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&lt;0.0001</w:t>
            </w:r>
          </w:p>
        </w:tc>
      </w:tr>
      <w:tr w:rsidR="00B64398" w:rsidRPr="00E84D1D" w14:paraId="12C548AA"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13CA50A1" w14:textId="77777777" w:rsidR="00B64398" w:rsidRPr="00E84D1D" w:rsidRDefault="00B64398" w:rsidP="00386A9D">
            <w:pPr>
              <w:spacing w:line="480" w:lineRule="auto"/>
              <w:ind w:left="288"/>
              <w:rPr>
                <w:rFonts w:cs="Arial"/>
                <w:color w:val="000000" w:themeColor="text1"/>
                <w:kern w:val="24"/>
                <w:szCs w:val="22"/>
              </w:rPr>
            </w:pPr>
            <w:r w:rsidRPr="00E84D1D">
              <w:rPr>
                <w:rFonts w:cs="Arial"/>
                <w:color w:val="000000" w:themeColor="text1"/>
                <w:kern w:val="24"/>
                <w:szCs w:val="22"/>
              </w:rPr>
              <w:t>Diabetes mellitus</w:t>
            </w:r>
          </w:p>
        </w:tc>
        <w:tc>
          <w:tcPr>
            <w:tcW w:w="1139" w:type="pct"/>
            <w:gridSpan w:val="2"/>
            <w:tcBorders>
              <w:left w:val="nil"/>
            </w:tcBorders>
          </w:tcPr>
          <w:p w14:paraId="5383EA55"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22 (12.7)</w:t>
            </w:r>
          </w:p>
        </w:tc>
        <w:tc>
          <w:tcPr>
            <w:tcW w:w="1158" w:type="pct"/>
          </w:tcPr>
          <w:p w14:paraId="06C1A16A"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1311 (19.8)</w:t>
            </w:r>
          </w:p>
        </w:tc>
        <w:tc>
          <w:tcPr>
            <w:tcW w:w="1006" w:type="pct"/>
            <w:gridSpan w:val="2"/>
          </w:tcPr>
          <w:p w14:paraId="4D5A0D83"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0.0201</w:t>
            </w:r>
          </w:p>
        </w:tc>
      </w:tr>
      <w:tr w:rsidR="00B64398" w:rsidRPr="00E84D1D" w14:paraId="7D0CD793"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35814EB7" w14:textId="77777777" w:rsidR="00B64398" w:rsidRPr="00E84D1D" w:rsidRDefault="00B64398" w:rsidP="00386A9D">
            <w:pPr>
              <w:spacing w:line="480" w:lineRule="auto"/>
              <w:ind w:left="288"/>
              <w:rPr>
                <w:rFonts w:cs="Arial"/>
                <w:color w:val="000000" w:themeColor="text1"/>
                <w:kern w:val="24"/>
                <w:szCs w:val="22"/>
              </w:rPr>
            </w:pPr>
            <w:r w:rsidRPr="00E84D1D">
              <w:rPr>
                <w:rFonts w:cs="Arial"/>
                <w:color w:val="000000" w:themeColor="text1"/>
                <w:kern w:val="24"/>
                <w:szCs w:val="22"/>
              </w:rPr>
              <w:t>Prior stroke/non-CNS SE/TIA</w:t>
            </w:r>
          </w:p>
        </w:tc>
        <w:tc>
          <w:tcPr>
            <w:tcW w:w="1139" w:type="pct"/>
            <w:gridSpan w:val="2"/>
            <w:tcBorders>
              <w:left w:val="nil"/>
            </w:tcBorders>
          </w:tcPr>
          <w:p w14:paraId="3CB59BB8"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24 (13.9)</w:t>
            </w:r>
          </w:p>
        </w:tc>
        <w:tc>
          <w:tcPr>
            <w:tcW w:w="1158" w:type="pct"/>
          </w:tcPr>
          <w:p w14:paraId="1E23C87F"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1267 (19.2)</w:t>
            </w:r>
          </w:p>
        </w:tc>
        <w:tc>
          <w:tcPr>
            <w:tcW w:w="1006" w:type="pct"/>
            <w:gridSpan w:val="2"/>
          </w:tcPr>
          <w:p w14:paraId="5DCF8421"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0.0800</w:t>
            </w:r>
          </w:p>
        </w:tc>
      </w:tr>
      <w:tr w:rsidR="00B64398" w:rsidRPr="00E84D1D" w14:paraId="4D54CFB4"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70B730B0" w14:textId="77777777" w:rsidR="00B64398" w:rsidRPr="00E84D1D" w:rsidRDefault="00B64398" w:rsidP="00386A9D">
            <w:pPr>
              <w:spacing w:line="480" w:lineRule="auto"/>
              <w:ind w:left="288"/>
              <w:rPr>
                <w:rFonts w:cs="Arial"/>
                <w:color w:val="000000" w:themeColor="text1"/>
                <w:kern w:val="24"/>
                <w:szCs w:val="22"/>
              </w:rPr>
            </w:pPr>
            <w:r w:rsidRPr="00E84D1D">
              <w:rPr>
                <w:rFonts w:cs="Arial"/>
                <w:color w:val="000000" w:themeColor="text1"/>
                <w:kern w:val="24"/>
                <w:szCs w:val="22"/>
              </w:rPr>
              <w:t>Prior MI</w:t>
            </w:r>
          </w:p>
        </w:tc>
        <w:tc>
          <w:tcPr>
            <w:tcW w:w="1139" w:type="pct"/>
            <w:gridSpan w:val="2"/>
            <w:tcBorders>
              <w:left w:val="nil"/>
            </w:tcBorders>
          </w:tcPr>
          <w:p w14:paraId="3ED3CDBE"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10 (5.8)</w:t>
            </w:r>
          </w:p>
        </w:tc>
        <w:tc>
          <w:tcPr>
            <w:tcW w:w="1158" w:type="pct"/>
          </w:tcPr>
          <w:p w14:paraId="5E88CAF6"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678 (10.3)</w:t>
            </w:r>
          </w:p>
        </w:tc>
        <w:tc>
          <w:tcPr>
            <w:tcW w:w="1006" w:type="pct"/>
            <w:gridSpan w:val="2"/>
          </w:tcPr>
          <w:p w14:paraId="40DF3082"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0.0542</w:t>
            </w:r>
          </w:p>
        </w:tc>
      </w:tr>
      <w:tr w:rsidR="00B64398" w:rsidRPr="00E84D1D" w14:paraId="20D5FE76"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49B11C7C" w14:textId="77777777" w:rsidR="00B64398" w:rsidRPr="00E84D1D" w:rsidRDefault="00B64398" w:rsidP="00386A9D">
            <w:pPr>
              <w:spacing w:line="480" w:lineRule="auto"/>
              <w:ind w:left="288"/>
              <w:rPr>
                <w:rFonts w:cs="Arial"/>
                <w:color w:val="000000" w:themeColor="text1"/>
                <w:kern w:val="24"/>
                <w:szCs w:val="22"/>
              </w:rPr>
            </w:pPr>
            <w:r w:rsidRPr="00E84D1D">
              <w:rPr>
                <w:rFonts w:cs="Arial"/>
                <w:color w:val="000000" w:themeColor="text1"/>
                <w:kern w:val="24"/>
                <w:szCs w:val="22"/>
              </w:rPr>
              <w:t>CHF</w:t>
            </w:r>
          </w:p>
        </w:tc>
        <w:tc>
          <w:tcPr>
            <w:tcW w:w="1139" w:type="pct"/>
            <w:gridSpan w:val="2"/>
            <w:tcBorders>
              <w:left w:val="nil"/>
            </w:tcBorders>
          </w:tcPr>
          <w:p w14:paraId="2A9E90B3"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17 (9.8)</w:t>
            </w:r>
          </w:p>
        </w:tc>
        <w:tc>
          <w:tcPr>
            <w:tcW w:w="1158" w:type="pct"/>
          </w:tcPr>
          <w:p w14:paraId="2021D9BA"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1248 (18.9)</w:t>
            </w:r>
          </w:p>
        </w:tc>
        <w:tc>
          <w:tcPr>
            <w:tcW w:w="1006" w:type="pct"/>
            <w:gridSpan w:val="2"/>
          </w:tcPr>
          <w:p w14:paraId="4DAA7EF9"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0.0026</w:t>
            </w:r>
          </w:p>
        </w:tc>
      </w:tr>
      <w:tr w:rsidR="00B64398" w:rsidRPr="00E84D1D" w14:paraId="730AA0AE"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4C8FACD7" w14:textId="77777777" w:rsidR="00B64398" w:rsidRPr="00E84D1D" w:rsidRDefault="00B64398" w:rsidP="00386A9D">
            <w:pPr>
              <w:tabs>
                <w:tab w:val="decimal" w:pos="1000"/>
              </w:tabs>
              <w:spacing w:line="480" w:lineRule="auto"/>
              <w:rPr>
                <w:rFonts w:cs="Arial"/>
                <w:szCs w:val="22"/>
              </w:rPr>
            </w:pPr>
            <w:r w:rsidRPr="00E84D1D">
              <w:rPr>
                <w:rFonts w:cs="Arial"/>
                <w:color w:val="000000"/>
                <w:kern w:val="24"/>
                <w:szCs w:val="22"/>
              </w:rPr>
              <w:t xml:space="preserve">Cancer at baseline, </w:t>
            </w:r>
            <w:r w:rsidRPr="00E84D1D">
              <w:rPr>
                <w:rFonts w:cs="Arial"/>
                <w:i/>
                <w:color w:val="000000"/>
                <w:kern w:val="24"/>
                <w:szCs w:val="22"/>
              </w:rPr>
              <w:t>n</w:t>
            </w:r>
            <w:r w:rsidRPr="00E84D1D">
              <w:rPr>
                <w:rFonts w:cs="Arial"/>
                <w:color w:val="000000"/>
                <w:kern w:val="24"/>
                <w:szCs w:val="22"/>
              </w:rPr>
              <w:t xml:space="preserve"> (%)</w:t>
            </w:r>
          </w:p>
        </w:tc>
        <w:tc>
          <w:tcPr>
            <w:tcW w:w="1139" w:type="pct"/>
            <w:gridSpan w:val="2"/>
            <w:tcBorders>
              <w:left w:val="nil"/>
              <w:bottom w:val="nil"/>
            </w:tcBorders>
          </w:tcPr>
          <w:p w14:paraId="3EE681E2"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3 (1.7)</w:t>
            </w:r>
          </w:p>
        </w:tc>
        <w:tc>
          <w:tcPr>
            <w:tcW w:w="1158" w:type="pct"/>
            <w:tcBorders>
              <w:bottom w:val="nil"/>
            </w:tcBorders>
          </w:tcPr>
          <w:p w14:paraId="2C118369"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102 (1.5)</w:t>
            </w:r>
          </w:p>
        </w:tc>
        <w:tc>
          <w:tcPr>
            <w:tcW w:w="1006" w:type="pct"/>
            <w:gridSpan w:val="2"/>
            <w:tcBorders>
              <w:bottom w:val="nil"/>
            </w:tcBorders>
          </w:tcPr>
          <w:p w14:paraId="36EB117C" w14:textId="77777777" w:rsidR="00B64398" w:rsidRPr="00E84D1D" w:rsidRDefault="00B64398" w:rsidP="00386A9D">
            <w:pPr>
              <w:spacing w:line="480" w:lineRule="auto"/>
              <w:jc w:val="both"/>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0.8406</w:t>
            </w:r>
          </w:p>
        </w:tc>
      </w:tr>
      <w:tr w:rsidR="00B64398" w:rsidRPr="00E84D1D" w14:paraId="47CA1E0F"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79C31CDB" w14:textId="77777777" w:rsidR="00B64398" w:rsidRPr="00E84D1D" w:rsidRDefault="00B64398" w:rsidP="00386A9D">
            <w:pPr>
              <w:tabs>
                <w:tab w:val="left" w:pos="1125"/>
              </w:tabs>
              <w:spacing w:line="480" w:lineRule="auto"/>
              <w:rPr>
                <w:rFonts w:cs="Arial"/>
                <w:szCs w:val="22"/>
              </w:rPr>
            </w:pPr>
            <w:r w:rsidRPr="00E84D1D">
              <w:rPr>
                <w:rFonts w:cs="Arial"/>
                <w:color w:val="000000" w:themeColor="text1"/>
                <w:kern w:val="24"/>
                <w:szCs w:val="22"/>
              </w:rPr>
              <w:t xml:space="preserve">Anaemia/reduced Hb levels, </w:t>
            </w:r>
            <w:r w:rsidRPr="00E84D1D">
              <w:rPr>
                <w:rFonts w:cs="Arial"/>
                <w:i/>
                <w:color w:val="000000" w:themeColor="text1"/>
                <w:kern w:val="24"/>
                <w:szCs w:val="22"/>
              </w:rPr>
              <w:t>n</w:t>
            </w:r>
            <w:r w:rsidRPr="00E84D1D">
              <w:rPr>
                <w:rFonts w:cs="Arial"/>
                <w:color w:val="000000" w:themeColor="text1"/>
                <w:kern w:val="24"/>
                <w:szCs w:val="22"/>
              </w:rPr>
              <w:t xml:space="preserve"> (%)</w:t>
            </w:r>
          </w:p>
        </w:tc>
        <w:tc>
          <w:tcPr>
            <w:tcW w:w="1139" w:type="pct"/>
            <w:gridSpan w:val="2"/>
            <w:tcBorders>
              <w:top w:val="nil"/>
              <w:left w:val="nil"/>
              <w:bottom w:val="nil"/>
            </w:tcBorders>
          </w:tcPr>
          <w:p w14:paraId="4D37021B"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3 (1.7)</w:t>
            </w:r>
          </w:p>
        </w:tc>
        <w:tc>
          <w:tcPr>
            <w:tcW w:w="1158" w:type="pct"/>
            <w:tcBorders>
              <w:top w:val="nil"/>
              <w:bottom w:val="nil"/>
            </w:tcBorders>
          </w:tcPr>
          <w:p w14:paraId="5258AC16" w14:textId="77777777" w:rsidR="00B64398" w:rsidRPr="00E84D1D" w:rsidRDefault="00B64398" w:rsidP="00386A9D">
            <w:pPr>
              <w:tabs>
                <w:tab w:val="decimal" w:pos="36"/>
              </w:tabs>
              <w:spacing w:line="480" w:lineRule="auto"/>
              <w:ind w:left="43"/>
              <w:cnfStyle w:val="000000000000" w:firstRow="0" w:lastRow="0" w:firstColumn="0" w:lastColumn="0" w:oddVBand="0" w:evenVBand="0" w:oddHBand="0" w:evenHBand="0" w:firstRowFirstColumn="0" w:firstRowLastColumn="0" w:lastRowFirstColumn="0" w:lastRowLastColumn="0"/>
              <w:rPr>
                <w:rFonts w:cs="Arial"/>
                <w:color w:val="000000"/>
                <w:kern w:val="24"/>
                <w:szCs w:val="22"/>
              </w:rPr>
            </w:pPr>
            <w:r w:rsidRPr="00E84D1D">
              <w:rPr>
                <w:rFonts w:cs="Arial"/>
                <w:color w:val="000000"/>
                <w:kern w:val="24"/>
                <w:szCs w:val="22"/>
              </w:rPr>
              <w:t>200 (3.0)</w:t>
            </w:r>
          </w:p>
        </w:tc>
        <w:tc>
          <w:tcPr>
            <w:tcW w:w="1006" w:type="pct"/>
            <w:gridSpan w:val="2"/>
            <w:tcBorders>
              <w:top w:val="nil"/>
              <w:bottom w:val="nil"/>
            </w:tcBorders>
          </w:tcPr>
          <w:p w14:paraId="2ECE9F83" w14:textId="77777777" w:rsidR="00B64398" w:rsidRPr="00E84D1D" w:rsidRDefault="00B64398" w:rsidP="00386A9D">
            <w:pPr>
              <w:spacing w:line="480" w:lineRule="auto"/>
              <w:jc w:val="both"/>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eastAsiaTheme="minorEastAsia" w:cs="Arial"/>
                <w:color w:val="000000" w:themeColor="text1"/>
                <w:kern w:val="24"/>
                <w:szCs w:val="22"/>
              </w:rPr>
              <w:t>0.3251</w:t>
            </w:r>
          </w:p>
        </w:tc>
      </w:tr>
      <w:tr w:rsidR="00B64398" w:rsidRPr="00E84D1D" w14:paraId="09A3A143"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2FF00B81" w14:textId="77777777" w:rsidR="00B64398" w:rsidRPr="00E84D1D" w:rsidRDefault="00B64398" w:rsidP="00386A9D">
            <w:pPr>
              <w:tabs>
                <w:tab w:val="left" w:pos="33"/>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 xml:space="preserve">Prior anticoagulation therapy (before study baseline),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39" w:type="pct"/>
            <w:gridSpan w:val="2"/>
            <w:tcBorders>
              <w:top w:val="nil"/>
              <w:left w:val="nil"/>
            </w:tcBorders>
          </w:tcPr>
          <w:p w14:paraId="26F6167A" w14:textId="77777777" w:rsidR="00B64398" w:rsidRPr="00E84D1D" w:rsidRDefault="00B64398" w:rsidP="00386A9D">
            <w:pPr>
              <w:tabs>
                <w:tab w:val="left" w:pos="33"/>
                <w:tab w:val="decimal" w:pos="1000"/>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124 (71.7)</w:t>
            </w:r>
          </w:p>
        </w:tc>
        <w:tc>
          <w:tcPr>
            <w:tcW w:w="1158" w:type="pct"/>
            <w:tcBorders>
              <w:top w:val="nil"/>
            </w:tcBorders>
          </w:tcPr>
          <w:p w14:paraId="49C90C27" w14:textId="77777777" w:rsidR="00B64398" w:rsidRPr="00E84D1D" w:rsidRDefault="00B64398" w:rsidP="00386A9D">
            <w:pPr>
              <w:tabs>
                <w:tab w:val="left" w:pos="33"/>
                <w:tab w:val="decimal" w:pos="1000"/>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5048 (76.4)</w:t>
            </w:r>
          </w:p>
        </w:tc>
        <w:tc>
          <w:tcPr>
            <w:tcW w:w="1006" w:type="pct"/>
            <w:gridSpan w:val="2"/>
            <w:tcBorders>
              <w:top w:val="nil"/>
            </w:tcBorders>
          </w:tcPr>
          <w:p w14:paraId="40E41919" w14:textId="77777777" w:rsidR="00B64398" w:rsidRPr="00E84D1D" w:rsidRDefault="00B64398" w:rsidP="00386A9D">
            <w:pPr>
              <w:tabs>
                <w:tab w:val="left" w:pos="33"/>
                <w:tab w:val="decimal" w:pos="1000"/>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eastAsiaTheme="minorEastAsia" w:cs="Arial"/>
                <w:color w:val="000000" w:themeColor="text1"/>
                <w:kern w:val="24"/>
                <w:szCs w:val="22"/>
              </w:rPr>
              <w:t>0.1533</w:t>
            </w:r>
          </w:p>
        </w:tc>
      </w:tr>
      <w:tr w:rsidR="00B64398" w:rsidRPr="00E84D1D" w14:paraId="54831D4D"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656E3E43" w14:textId="77777777" w:rsidR="00B64398" w:rsidRPr="00E84D1D" w:rsidRDefault="00B64398" w:rsidP="00386A9D">
            <w:pPr>
              <w:tabs>
                <w:tab w:val="left" w:pos="33"/>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 xml:space="preserve">Concomitant antiplatelet/NSAID use,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39" w:type="pct"/>
            <w:gridSpan w:val="2"/>
            <w:tcBorders>
              <w:left w:val="nil"/>
            </w:tcBorders>
          </w:tcPr>
          <w:p w14:paraId="51576FA6" w14:textId="77777777" w:rsidR="00B64398" w:rsidRPr="00E84D1D" w:rsidRDefault="00B64398" w:rsidP="00386A9D">
            <w:pPr>
              <w:tabs>
                <w:tab w:val="left" w:pos="33"/>
                <w:tab w:val="decimal" w:pos="1000"/>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33 (19.1)</w:t>
            </w:r>
          </w:p>
        </w:tc>
        <w:tc>
          <w:tcPr>
            <w:tcW w:w="1158" w:type="pct"/>
          </w:tcPr>
          <w:p w14:paraId="22630EF2" w14:textId="77777777" w:rsidR="00B64398" w:rsidRPr="00E84D1D" w:rsidRDefault="00B64398" w:rsidP="00386A9D">
            <w:pPr>
              <w:tabs>
                <w:tab w:val="left" w:pos="33"/>
                <w:tab w:val="decimal" w:pos="1000"/>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1207 (18.3)</w:t>
            </w:r>
          </w:p>
        </w:tc>
        <w:tc>
          <w:tcPr>
            <w:tcW w:w="1006" w:type="pct"/>
            <w:gridSpan w:val="2"/>
          </w:tcPr>
          <w:p w14:paraId="4D411302" w14:textId="77777777" w:rsidR="00B64398" w:rsidRPr="00E84D1D" w:rsidRDefault="00B64398" w:rsidP="00386A9D">
            <w:pPr>
              <w:tabs>
                <w:tab w:val="left" w:pos="33"/>
              </w:tabs>
              <w:spacing w:line="480" w:lineRule="auto"/>
              <w:ind w:firstLine="33"/>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eastAsiaTheme="minorEastAsia" w:cs="Arial"/>
                <w:color w:val="000000" w:themeColor="text1"/>
                <w:kern w:val="24"/>
                <w:szCs w:val="22"/>
              </w:rPr>
              <w:t>0.7835</w:t>
            </w:r>
          </w:p>
        </w:tc>
      </w:tr>
      <w:tr w:rsidR="00B64398" w:rsidRPr="00E84D1D" w14:paraId="4616E298"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4507EA30"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Hospitalization at study baseline,</w:t>
            </w:r>
            <w:r w:rsidRPr="00E84D1D">
              <w:rPr>
                <w:rFonts w:eastAsiaTheme="minorEastAsia" w:cs="Arial"/>
                <w:color w:val="000000" w:themeColor="text1"/>
                <w:kern w:val="24"/>
                <w:szCs w:val="22"/>
                <w:vertAlign w:val="superscript"/>
              </w:rPr>
              <w:t>b,c</w:t>
            </w:r>
            <w:r w:rsidRPr="00E84D1D">
              <w:rPr>
                <w:rFonts w:eastAsiaTheme="minorEastAsia" w:cs="Arial"/>
                <w:color w:val="000000" w:themeColor="text1"/>
                <w:kern w:val="24"/>
                <w:szCs w:val="22"/>
              </w:rPr>
              <w:t xml:space="preserv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39" w:type="pct"/>
            <w:gridSpan w:val="2"/>
            <w:tcBorders>
              <w:left w:val="nil"/>
            </w:tcBorders>
          </w:tcPr>
          <w:p w14:paraId="5BB01DC2" w14:textId="77777777" w:rsidR="00B64398" w:rsidRPr="00E84D1D" w:rsidRDefault="00B64398" w:rsidP="00386A9D">
            <w:pPr>
              <w:tabs>
                <w:tab w:val="left" w:pos="-109"/>
                <w:tab w:val="decimal" w:pos="1000"/>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bCs/>
                <w:color w:val="000000"/>
                <w:kern w:val="24"/>
                <w:szCs w:val="22"/>
              </w:rPr>
              <w:t>62 (35.8)</w:t>
            </w:r>
          </w:p>
        </w:tc>
        <w:tc>
          <w:tcPr>
            <w:tcW w:w="1158" w:type="pct"/>
          </w:tcPr>
          <w:p w14:paraId="0E729204" w14:textId="77777777" w:rsidR="00B64398" w:rsidRPr="00E84D1D" w:rsidRDefault="00B64398" w:rsidP="00386A9D">
            <w:pPr>
              <w:tabs>
                <w:tab w:val="left" w:pos="-109"/>
                <w:tab w:val="decimal" w:pos="1000"/>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bCs/>
                <w:color w:val="000000"/>
                <w:kern w:val="24"/>
                <w:szCs w:val="22"/>
              </w:rPr>
              <w:t>1164 (17.6)</w:t>
            </w:r>
          </w:p>
        </w:tc>
        <w:tc>
          <w:tcPr>
            <w:tcW w:w="1006" w:type="pct"/>
            <w:gridSpan w:val="2"/>
          </w:tcPr>
          <w:p w14:paraId="5C586490" w14:textId="77777777" w:rsidR="00B64398" w:rsidRPr="00E84D1D" w:rsidRDefault="00B64398" w:rsidP="00386A9D">
            <w:pPr>
              <w:tabs>
                <w:tab w:val="left" w:pos="-109"/>
                <w:tab w:val="decimal" w:pos="1000"/>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eastAsiaTheme="minorEastAsia" w:cs="Arial"/>
                <w:bCs/>
                <w:color w:val="000000" w:themeColor="text1"/>
                <w:kern w:val="24"/>
                <w:szCs w:val="22"/>
              </w:rPr>
              <w:t>&lt;0.0001</w:t>
            </w:r>
          </w:p>
        </w:tc>
      </w:tr>
      <w:tr w:rsidR="00B64398" w:rsidRPr="00E84D1D" w14:paraId="497B8199"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76FFCBD7"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HAS-BLED score,</w:t>
            </w:r>
            <w:r w:rsidRPr="00E84D1D">
              <w:rPr>
                <w:rFonts w:eastAsiaTheme="minorEastAsia" w:cs="Arial"/>
                <w:color w:val="000000" w:themeColor="text1"/>
                <w:kern w:val="24"/>
                <w:szCs w:val="22"/>
                <w:vertAlign w:val="superscript"/>
              </w:rPr>
              <w:t>b</w:t>
            </w:r>
            <w:r w:rsidRPr="00E84D1D">
              <w:rPr>
                <w:rFonts w:eastAsiaTheme="minorEastAsia" w:cs="Arial"/>
                <w:color w:val="000000" w:themeColor="text1"/>
                <w:kern w:val="24"/>
                <w:szCs w:val="22"/>
              </w:rPr>
              <w:t xml:space="preserve"> mean (SD)</w:t>
            </w:r>
          </w:p>
        </w:tc>
        <w:tc>
          <w:tcPr>
            <w:tcW w:w="1139" w:type="pct"/>
            <w:gridSpan w:val="2"/>
            <w:tcBorders>
              <w:left w:val="nil"/>
            </w:tcBorders>
          </w:tcPr>
          <w:p w14:paraId="4E3BE327"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bCs/>
                <w:color w:val="000000"/>
                <w:kern w:val="24"/>
                <w:szCs w:val="22"/>
              </w:rPr>
              <w:t>1.6 (0.98)</w:t>
            </w:r>
          </w:p>
        </w:tc>
        <w:tc>
          <w:tcPr>
            <w:tcW w:w="1158" w:type="pct"/>
          </w:tcPr>
          <w:p w14:paraId="6A862628"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bCs/>
                <w:color w:val="000000"/>
                <w:kern w:val="24"/>
                <w:szCs w:val="22"/>
              </w:rPr>
              <w:t>2.0 (1.01)</w:t>
            </w:r>
          </w:p>
        </w:tc>
        <w:tc>
          <w:tcPr>
            <w:tcW w:w="1006" w:type="pct"/>
            <w:gridSpan w:val="2"/>
          </w:tcPr>
          <w:p w14:paraId="3772C850"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bCs/>
                <w:color w:val="000000"/>
                <w:kern w:val="24"/>
                <w:szCs w:val="22"/>
              </w:rPr>
              <w:t>&lt;0.0001</w:t>
            </w:r>
          </w:p>
        </w:tc>
      </w:tr>
      <w:tr w:rsidR="00B64398" w:rsidRPr="00E84D1D" w14:paraId="2C457D7E"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2227B0F0"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CHADS</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 xml:space="preserve"> score, mean (SD)</w:t>
            </w:r>
          </w:p>
        </w:tc>
        <w:tc>
          <w:tcPr>
            <w:tcW w:w="1139" w:type="pct"/>
            <w:gridSpan w:val="2"/>
            <w:tcBorders>
              <w:left w:val="nil"/>
            </w:tcBorders>
          </w:tcPr>
          <w:p w14:paraId="67BB9F4F"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1.3 (1.12)</w:t>
            </w:r>
          </w:p>
        </w:tc>
        <w:tc>
          <w:tcPr>
            <w:tcW w:w="1158" w:type="pct"/>
          </w:tcPr>
          <w:p w14:paraId="23DB756A"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2.0 (1.27)</w:t>
            </w:r>
          </w:p>
        </w:tc>
        <w:tc>
          <w:tcPr>
            <w:tcW w:w="1006" w:type="pct"/>
            <w:gridSpan w:val="2"/>
          </w:tcPr>
          <w:p w14:paraId="35342393"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&lt;0.0001</w:t>
            </w:r>
          </w:p>
        </w:tc>
      </w:tr>
      <w:tr w:rsidR="00B64398" w:rsidRPr="00E84D1D" w14:paraId="38D7ED05" w14:textId="77777777" w:rsidTr="00386A9D">
        <w:tblPrEx>
          <w:tblLook w:val="04A0" w:firstRow="1" w:lastRow="0" w:firstColumn="1" w:lastColumn="0" w:noHBand="0" w:noVBand="1"/>
        </w:tblPrEx>
        <w:trPr>
          <w:trHeight w:val="20"/>
          <w:jc w:val="left"/>
        </w:trPr>
        <w:tc>
          <w:tcPr>
            <w:cnfStyle w:val="001000000000" w:firstRow="0" w:lastRow="0" w:firstColumn="1" w:lastColumn="0" w:oddVBand="0" w:evenVBand="0" w:oddHBand="0" w:evenHBand="0" w:firstRowFirstColumn="0" w:firstRowLastColumn="0" w:lastRowFirstColumn="0" w:lastRowLastColumn="0"/>
            <w:tcW w:w="1697" w:type="pct"/>
            <w:tcBorders>
              <w:left w:val="nil"/>
              <w:right w:val="nil"/>
            </w:tcBorders>
            <w:hideMark/>
          </w:tcPr>
          <w:p w14:paraId="00EC225E"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lastRenderedPageBreak/>
              <w:t>CHA</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DS</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-VASc score,</w:t>
            </w:r>
            <w:r w:rsidRPr="00E84D1D">
              <w:rPr>
                <w:rFonts w:eastAsiaTheme="minorEastAsia" w:cs="Arial"/>
                <w:color w:val="000000" w:themeColor="text1"/>
                <w:kern w:val="24"/>
                <w:szCs w:val="22"/>
                <w:vertAlign w:val="superscript"/>
              </w:rPr>
              <w:t>b</w:t>
            </w:r>
            <w:r w:rsidRPr="00E84D1D">
              <w:rPr>
                <w:rFonts w:eastAsiaTheme="minorEastAsia" w:cs="Arial"/>
                <w:color w:val="000000" w:themeColor="text1"/>
                <w:kern w:val="24"/>
                <w:szCs w:val="22"/>
              </w:rPr>
              <w:t xml:space="preserve"> mean (SD)</w:t>
            </w:r>
          </w:p>
        </w:tc>
        <w:tc>
          <w:tcPr>
            <w:tcW w:w="1139" w:type="pct"/>
            <w:gridSpan w:val="2"/>
            <w:tcBorders>
              <w:left w:val="nil"/>
              <w:bottom w:val="single" w:sz="4" w:space="0" w:color="auto"/>
            </w:tcBorders>
          </w:tcPr>
          <w:p w14:paraId="7DEF3095"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2.4 (1.59)</w:t>
            </w:r>
          </w:p>
        </w:tc>
        <w:tc>
          <w:tcPr>
            <w:tcW w:w="1158" w:type="pct"/>
          </w:tcPr>
          <w:p w14:paraId="5C27CC6C"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3.4 (1.69)</w:t>
            </w:r>
          </w:p>
        </w:tc>
        <w:tc>
          <w:tcPr>
            <w:tcW w:w="1006" w:type="pct"/>
            <w:gridSpan w:val="2"/>
          </w:tcPr>
          <w:p w14:paraId="7DDA400B" w14:textId="77777777" w:rsidR="00B64398" w:rsidRPr="00E84D1D" w:rsidRDefault="00B64398" w:rsidP="00386A9D">
            <w:pPr>
              <w:tabs>
                <w:tab w:val="left" w:pos="-109"/>
              </w:tabs>
              <w:spacing w:line="480" w:lineRule="auto"/>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kern w:val="24"/>
                <w:szCs w:val="22"/>
              </w:rPr>
            </w:pPr>
            <w:r w:rsidRPr="00E84D1D">
              <w:rPr>
                <w:rFonts w:cs="Arial"/>
                <w:color w:val="000000"/>
                <w:kern w:val="24"/>
                <w:szCs w:val="22"/>
              </w:rPr>
              <w:t>&lt;0.0001</w:t>
            </w:r>
          </w:p>
        </w:tc>
      </w:tr>
    </w:tbl>
    <w:p w14:paraId="4EAC986E" w14:textId="77777777" w:rsidR="00B64398" w:rsidRPr="00E84D1D" w:rsidRDefault="00B64398" w:rsidP="00B64398">
      <w:pPr>
        <w:pStyle w:val="Text"/>
        <w:rPr>
          <w:rFonts w:cs="Arial"/>
          <w:bCs/>
          <w:color w:val="000000"/>
          <w:kern w:val="24"/>
          <w:szCs w:val="22"/>
        </w:rPr>
      </w:pPr>
      <w:r w:rsidRPr="00E84D1D">
        <w:rPr>
          <w:rFonts w:cs="Arial"/>
          <w:bCs/>
          <w:color w:val="000000"/>
          <w:kern w:val="24"/>
          <w:szCs w:val="22"/>
          <w:vertAlign w:val="superscript"/>
        </w:rPr>
        <w:t>a</w:t>
      </w:r>
      <w:r w:rsidRPr="00E84D1D">
        <w:rPr>
          <w:rFonts w:cs="Arial"/>
          <w:bCs/>
          <w:color w:val="000000"/>
          <w:kern w:val="24"/>
          <w:szCs w:val="22"/>
        </w:rPr>
        <w:t>Denotes significant interaction between patients undergoing ablation and those not undergoing ablation.</w:t>
      </w:r>
    </w:p>
    <w:p w14:paraId="4E6095F7" w14:textId="77777777" w:rsidR="00B64398" w:rsidRPr="00E84D1D" w:rsidRDefault="00B64398" w:rsidP="00B64398">
      <w:pPr>
        <w:pStyle w:val="Text"/>
      </w:pPr>
      <w:r w:rsidRPr="00E84D1D">
        <w:rPr>
          <w:vertAlign w:val="superscript"/>
        </w:rPr>
        <w:t>b</w:t>
      </w:r>
      <w:r w:rsidRPr="00E84D1D">
        <w:t>Denotes some missing data.</w:t>
      </w:r>
    </w:p>
    <w:p w14:paraId="6A66150C" w14:textId="77777777" w:rsidR="00B64398" w:rsidRPr="00E84D1D" w:rsidRDefault="00B64398" w:rsidP="00B64398">
      <w:pPr>
        <w:pStyle w:val="Text"/>
      </w:pPr>
      <w:r w:rsidRPr="00E84D1D">
        <w:rPr>
          <w:vertAlign w:val="superscript"/>
        </w:rPr>
        <w:t>c</w:t>
      </w:r>
      <w:r w:rsidRPr="00E84D1D">
        <w:t>Prior to enrolment in XANTUS.</w:t>
      </w:r>
    </w:p>
    <w:p w14:paraId="694251E9" w14:textId="474C9C8F" w:rsidR="00B64398" w:rsidRPr="00E84D1D" w:rsidRDefault="00B64398" w:rsidP="00B64398">
      <w:pPr>
        <w:pStyle w:val="Text"/>
      </w:pPr>
      <w:r w:rsidRPr="00E84D1D">
        <w:t xml:space="preserve">AF, atrial fibrillation; CHF, congestive heart failure; CNS, central nervous system; Hb, haemoglobin; MI, myocardial infarction; </w:t>
      </w:r>
      <w:r w:rsidRPr="00E84D1D">
        <w:rPr>
          <w:rFonts w:eastAsiaTheme="minorEastAsia" w:cs="Arial"/>
          <w:color w:val="000000" w:themeColor="text1"/>
          <w:kern w:val="24"/>
          <w:szCs w:val="22"/>
        </w:rPr>
        <w:t xml:space="preserve">NSAID, non-steroidal anti-inflammatory drug; </w:t>
      </w:r>
      <w:r w:rsidRPr="00E84D1D">
        <w:t xml:space="preserve">SD, standard deviation; </w:t>
      </w:r>
      <w:r w:rsidRPr="00E84D1D">
        <w:rPr>
          <w:rFonts w:eastAsiaTheme="minorEastAsia" w:cs="Arial"/>
          <w:color w:val="000000" w:themeColor="text1"/>
          <w:kern w:val="24"/>
          <w:szCs w:val="22"/>
        </w:rPr>
        <w:t>SE, systemic embolism; TIA, transient ischaemic attack.</w:t>
      </w:r>
    </w:p>
    <w:p w14:paraId="304D4EB5" w14:textId="77777777" w:rsidR="00B64398" w:rsidRPr="00E84D1D" w:rsidRDefault="00B64398" w:rsidP="00B64398">
      <w:pPr>
        <w:spacing w:line="480" w:lineRule="auto"/>
        <w:rPr>
          <w:b/>
          <w:lang w:eastAsia="en-US"/>
        </w:rPr>
      </w:pPr>
      <w:r w:rsidRPr="00E84D1D">
        <w:rPr>
          <w:b/>
        </w:rPr>
        <w:br w:type="page"/>
      </w:r>
    </w:p>
    <w:p w14:paraId="20D14149" w14:textId="77777777" w:rsidR="00B64398" w:rsidRPr="00E84D1D" w:rsidRDefault="00B64398" w:rsidP="00B64398">
      <w:pPr>
        <w:pStyle w:val="Text"/>
      </w:pPr>
      <w:r w:rsidRPr="00E84D1D">
        <w:rPr>
          <w:b/>
        </w:rPr>
        <w:lastRenderedPageBreak/>
        <w:t>Table 2</w:t>
      </w:r>
      <w:r w:rsidRPr="00E84D1D">
        <w:t xml:space="preserve"> Baseline demographics and clinical characteristics for patients undergoing cardioversion in the XANTUS study</w:t>
      </w:r>
    </w:p>
    <w:tbl>
      <w:tblPr>
        <w:tblStyle w:val="TableGrid"/>
        <w:tblW w:w="4804" w:type="pct"/>
        <w:jc w:val="left"/>
        <w:tblBorders>
          <w:insideH w:val="none" w:sz="0" w:space="0" w:color="auto"/>
          <w:insideV w:val="none" w:sz="0" w:space="0" w:color="auto"/>
        </w:tblBorders>
        <w:tblLook w:val="0420" w:firstRow="1" w:lastRow="0" w:firstColumn="0" w:lastColumn="0" w:noHBand="0" w:noVBand="1"/>
      </w:tblPr>
      <w:tblGrid>
        <w:gridCol w:w="2781"/>
        <w:gridCol w:w="2022"/>
        <w:gridCol w:w="2208"/>
        <w:gridCol w:w="1703"/>
      </w:tblGrid>
      <w:tr w:rsidR="00B64398" w:rsidRPr="00E84D1D" w14:paraId="229A5998" w14:textId="77777777" w:rsidTr="00386A9D">
        <w:trPr>
          <w:trHeight w:val="20"/>
          <w:jc w:val="left"/>
        </w:trPr>
        <w:tc>
          <w:tcPr>
            <w:tcW w:w="1596" w:type="pct"/>
            <w:tcBorders>
              <w:top w:val="single" w:sz="4" w:space="0" w:color="auto"/>
              <w:left w:val="nil"/>
              <w:bottom w:val="single" w:sz="4" w:space="0" w:color="auto"/>
            </w:tcBorders>
            <w:hideMark/>
          </w:tcPr>
          <w:p w14:paraId="16C24498" w14:textId="77777777" w:rsidR="00B64398" w:rsidRPr="00E84D1D" w:rsidRDefault="00B64398" w:rsidP="00386A9D">
            <w:pPr>
              <w:pStyle w:val="Text"/>
              <w:rPr>
                <w:rFonts w:cs="Arial"/>
                <w:szCs w:val="22"/>
              </w:rPr>
            </w:pPr>
          </w:p>
        </w:tc>
        <w:tc>
          <w:tcPr>
            <w:tcW w:w="1160" w:type="pct"/>
            <w:tcBorders>
              <w:top w:val="single" w:sz="4" w:space="0" w:color="auto"/>
              <w:bottom w:val="single" w:sz="4" w:space="0" w:color="auto"/>
            </w:tcBorders>
            <w:hideMark/>
          </w:tcPr>
          <w:p w14:paraId="35CE421A" w14:textId="7B44C082" w:rsidR="00B64398" w:rsidRPr="00E84D1D" w:rsidRDefault="00B64398" w:rsidP="00386A9D">
            <w:pPr>
              <w:pStyle w:val="Text"/>
              <w:rPr>
                <w:rFonts w:cs="Arial"/>
                <w:szCs w:val="22"/>
              </w:rPr>
            </w:pPr>
            <w:r w:rsidRPr="00E84D1D">
              <w:rPr>
                <w:rFonts w:cs="Arial"/>
                <w:b/>
                <w:bCs/>
                <w:szCs w:val="22"/>
              </w:rPr>
              <w:t xml:space="preserve">Cardioversion </w:t>
            </w:r>
            <w:r w:rsidRPr="00E84D1D">
              <w:rPr>
                <w:rFonts w:cs="Arial"/>
                <w:b/>
                <w:bCs/>
                <w:szCs w:val="22"/>
              </w:rPr>
              <w:br/>
            </w:r>
            <w:r w:rsidRPr="00E84D1D">
              <w:rPr>
                <w:rFonts w:cs="Arial"/>
                <w:b/>
                <w:bCs/>
                <w:i/>
                <w:szCs w:val="22"/>
              </w:rPr>
              <w:t xml:space="preserve">n </w:t>
            </w:r>
            <w:r w:rsidRPr="00572E41">
              <w:rPr>
                <w:rFonts w:cs="Arial"/>
                <w:b/>
                <w:bCs/>
                <w:szCs w:val="22"/>
              </w:rPr>
              <w:t>= 502</w:t>
            </w:r>
          </w:p>
        </w:tc>
        <w:tc>
          <w:tcPr>
            <w:tcW w:w="1267" w:type="pct"/>
            <w:tcBorders>
              <w:top w:val="single" w:sz="4" w:space="0" w:color="auto"/>
              <w:bottom w:val="single" w:sz="4" w:space="0" w:color="auto"/>
            </w:tcBorders>
            <w:hideMark/>
          </w:tcPr>
          <w:p w14:paraId="44CAB2D7" w14:textId="1311DAB2" w:rsidR="00B64398" w:rsidRPr="00E84D1D" w:rsidRDefault="00B64398" w:rsidP="00386A9D">
            <w:pPr>
              <w:pStyle w:val="Text"/>
              <w:rPr>
                <w:rFonts w:cs="Arial"/>
                <w:szCs w:val="22"/>
              </w:rPr>
            </w:pPr>
            <w:r w:rsidRPr="00E84D1D">
              <w:rPr>
                <w:rFonts w:cs="Arial"/>
                <w:b/>
                <w:bCs/>
                <w:szCs w:val="22"/>
              </w:rPr>
              <w:t>No cardioversion</w:t>
            </w:r>
            <w:r w:rsidRPr="00E84D1D">
              <w:rPr>
                <w:rFonts w:cs="Arial"/>
                <w:b/>
                <w:bCs/>
                <w:szCs w:val="22"/>
              </w:rPr>
              <w:br/>
            </w:r>
            <w:r w:rsidRPr="00E84D1D">
              <w:rPr>
                <w:rFonts w:cs="Arial"/>
                <w:b/>
                <w:bCs/>
                <w:i/>
                <w:szCs w:val="22"/>
              </w:rPr>
              <w:t>n</w:t>
            </w:r>
            <w:r w:rsidRPr="00E84D1D">
              <w:rPr>
                <w:rFonts w:cs="Arial"/>
                <w:b/>
                <w:bCs/>
                <w:szCs w:val="22"/>
              </w:rPr>
              <w:t xml:space="preserve"> = 6282</w:t>
            </w:r>
          </w:p>
        </w:tc>
        <w:tc>
          <w:tcPr>
            <w:tcW w:w="977" w:type="pct"/>
            <w:tcBorders>
              <w:top w:val="single" w:sz="4" w:space="0" w:color="auto"/>
              <w:bottom w:val="single" w:sz="4" w:space="0" w:color="auto"/>
              <w:right w:val="nil"/>
            </w:tcBorders>
            <w:hideMark/>
          </w:tcPr>
          <w:p w14:paraId="2F3BC251" w14:textId="77777777" w:rsidR="00B64398" w:rsidRPr="00E84D1D" w:rsidRDefault="00B64398" w:rsidP="00386A9D">
            <w:pPr>
              <w:pStyle w:val="Text"/>
              <w:rPr>
                <w:rFonts w:cs="Arial"/>
                <w:szCs w:val="22"/>
              </w:rPr>
            </w:pPr>
            <w:r w:rsidRPr="00E84D1D">
              <w:rPr>
                <w:rFonts w:cs="Arial"/>
                <w:b/>
                <w:bCs/>
                <w:i/>
                <w:szCs w:val="22"/>
              </w:rPr>
              <w:t>P</w:t>
            </w:r>
            <w:r w:rsidRPr="00E84D1D">
              <w:rPr>
                <w:rFonts w:cs="Arial"/>
                <w:b/>
                <w:bCs/>
                <w:szCs w:val="22"/>
              </w:rPr>
              <w:t>-value</w:t>
            </w:r>
            <w:r w:rsidRPr="00E84D1D">
              <w:rPr>
                <w:rFonts w:cs="Arial"/>
                <w:bCs/>
                <w:color w:val="000000"/>
                <w:kern w:val="24"/>
                <w:szCs w:val="22"/>
                <w:vertAlign w:val="superscript"/>
              </w:rPr>
              <w:t>a</w:t>
            </w:r>
          </w:p>
        </w:tc>
      </w:tr>
      <w:tr w:rsidR="00B64398" w:rsidRPr="00E84D1D" w14:paraId="2BFAD002" w14:textId="77777777" w:rsidTr="00386A9D">
        <w:trPr>
          <w:trHeight w:val="20"/>
          <w:jc w:val="left"/>
        </w:trPr>
        <w:tc>
          <w:tcPr>
            <w:tcW w:w="1596" w:type="pct"/>
            <w:tcBorders>
              <w:top w:val="single" w:sz="4" w:space="0" w:color="auto"/>
              <w:left w:val="nil"/>
              <w:bottom w:val="nil"/>
            </w:tcBorders>
            <w:hideMark/>
          </w:tcPr>
          <w:p w14:paraId="166BF097" w14:textId="77777777" w:rsidR="00B64398" w:rsidRPr="00E84D1D" w:rsidRDefault="00B64398" w:rsidP="00386A9D">
            <w:pPr>
              <w:pStyle w:val="Text"/>
              <w:rPr>
                <w:rFonts w:cs="Arial"/>
                <w:szCs w:val="22"/>
              </w:rPr>
            </w:pPr>
            <w:r w:rsidRPr="00E84D1D">
              <w:rPr>
                <w:rFonts w:cs="Arial"/>
                <w:szCs w:val="22"/>
              </w:rPr>
              <w:t>Age, mean years (SD)</w:t>
            </w:r>
          </w:p>
        </w:tc>
        <w:tc>
          <w:tcPr>
            <w:tcW w:w="1160" w:type="pct"/>
            <w:tcBorders>
              <w:top w:val="single" w:sz="4" w:space="0" w:color="auto"/>
              <w:bottom w:val="nil"/>
            </w:tcBorders>
            <w:hideMark/>
          </w:tcPr>
          <w:p w14:paraId="45F99890" w14:textId="77777777" w:rsidR="00B64398" w:rsidRPr="00E84D1D" w:rsidRDefault="00B64398" w:rsidP="00386A9D">
            <w:pPr>
              <w:pStyle w:val="Text"/>
              <w:rPr>
                <w:rFonts w:cs="Arial"/>
                <w:szCs w:val="22"/>
              </w:rPr>
            </w:pPr>
            <w:r w:rsidRPr="00E84D1D">
              <w:rPr>
                <w:rFonts w:cs="Arial"/>
                <w:szCs w:val="22"/>
              </w:rPr>
              <w:t>67.4 (9.80)</w:t>
            </w:r>
          </w:p>
        </w:tc>
        <w:tc>
          <w:tcPr>
            <w:tcW w:w="1267" w:type="pct"/>
            <w:tcBorders>
              <w:top w:val="single" w:sz="4" w:space="0" w:color="auto"/>
              <w:bottom w:val="nil"/>
            </w:tcBorders>
            <w:hideMark/>
          </w:tcPr>
          <w:p w14:paraId="135E9FA3" w14:textId="77777777" w:rsidR="00B64398" w:rsidRPr="00E84D1D" w:rsidRDefault="00B64398" w:rsidP="00386A9D">
            <w:pPr>
              <w:pStyle w:val="Text"/>
              <w:rPr>
                <w:rFonts w:cs="Arial"/>
                <w:szCs w:val="22"/>
              </w:rPr>
            </w:pPr>
            <w:r w:rsidRPr="00E84D1D">
              <w:rPr>
                <w:rFonts w:cs="Arial"/>
                <w:szCs w:val="22"/>
              </w:rPr>
              <w:t>71.8 (9.89)</w:t>
            </w:r>
          </w:p>
        </w:tc>
        <w:tc>
          <w:tcPr>
            <w:tcW w:w="977" w:type="pct"/>
            <w:tcBorders>
              <w:top w:val="single" w:sz="4" w:space="0" w:color="auto"/>
              <w:bottom w:val="nil"/>
              <w:right w:val="nil"/>
            </w:tcBorders>
            <w:hideMark/>
          </w:tcPr>
          <w:p w14:paraId="301EE318" w14:textId="77777777" w:rsidR="00B64398" w:rsidRPr="00E84D1D" w:rsidRDefault="00B64398" w:rsidP="00386A9D">
            <w:pPr>
              <w:pStyle w:val="Text"/>
              <w:rPr>
                <w:rFonts w:cs="Arial"/>
                <w:szCs w:val="22"/>
              </w:rPr>
            </w:pPr>
            <w:r w:rsidRPr="00E84D1D">
              <w:rPr>
                <w:rFonts w:cs="Arial"/>
                <w:szCs w:val="22"/>
              </w:rPr>
              <w:t>&lt;0.0001</w:t>
            </w:r>
          </w:p>
        </w:tc>
      </w:tr>
      <w:tr w:rsidR="00B64398" w:rsidRPr="00E84D1D" w14:paraId="7626134B" w14:textId="77777777" w:rsidTr="00386A9D">
        <w:trPr>
          <w:trHeight w:val="20"/>
          <w:jc w:val="left"/>
        </w:trPr>
        <w:tc>
          <w:tcPr>
            <w:tcW w:w="1596" w:type="pct"/>
            <w:tcBorders>
              <w:top w:val="nil"/>
              <w:left w:val="nil"/>
            </w:tcBorders>
          </w:tcPr>
          <w:p w14:paraId="500AB0B8" w14:textId="77777777" w:rsidR="00B64398" w:rsidRPr="00E84D1D" w:rsidRDefault="00B64398" w:rsidP="00386A9D">
            <w:pPr>
              <w:pStyle w:val="Text"/>
              <w:ind w:left="289"/>
              <w:rPr>
                <w:rFonts w:cs="Arial"/>
                <w:szCs w:val="22"/>
              </w:rPr>
            </w:pPr>
            <w:r w:rsidRPr="00E84D1D">
              <w:rPr>
                <w:rFonts w:cs="Arial"/>
                <w:szCs w:val="22"/>
              </w:rPr>
              <w:t xml:space="preserve">&lt;65 years, </w:t>
            </w:r>
            <w:r w:rsidRPr="00E84D1D">
              <w:rPr>
                <w:rFonts w:cs="Arial"/>
                <w:i/>
                <w:szCs w:val="22"/>
              </w:rPr>
              <w:t>n</w:t>
            </w:r>
            <w:r w:rsidRPr="00E84D1D">
              <w:rPr>
                <w:rFonts w:cs="Arial"/>
                <w:szCs w:val="22"/>
              </w:rPr>
              <w:t xml:space="preserve"> (%)</w:t>
            </w:r>
          </w:p>
        </w:tc>
        <w:tc>
          <w:tcPr>
            <w:tcW w:w="1160" w:type="pct"/>
            <w:tcBorders>
              <w:top w:val="nil"/>
            </w:tcBorders>
          </w:tcPr>
          <w:p w14:paraId="452A746F" w14:textId="77777777" w:rsidR="00B64398" w:rsidRPr="00E84D1D" w:rsidRDefault="00B64398" w:rsidP="00386A9D">
            <w:pPr>
              <w:pStyle w:val="Text"/>
              <w:rPr>
                <w:rFonts w:cs="Arial"/>
                <w:szCs w:val="22"/>
              </w:rPr>
            </w:pPr>
            <w:r w:rsidRPr="00E84D1D">
              <w:rPr>
                <w:rFonts w:cs="Arial"/>
                <w:szCs w:val="22"/>
              </w:rPr>
              <w:t>176 (35.1)</w:t>
            </w:r>
          </w:p>
        </w:tc>
        <w:tc>
          <w:tcPr>
            <w:tcW w:w="1267" w:type="pct"/>
            <w:tcBorders>
              <w:top w:val="nil"/>
            </w:tcBorders>
          </w:tcPr>
          <w:p w14:paraId="08C1AE41" w14:textId="77777777" w:rsidR="00B64398" w:rsidRPr="00E84D1D" w:rsidRDefault="00B64398" w:rsidP="00386A9D">
            <w:pPr>
              <w:pStyle w:val="Text"/>
              <w:rPr>
                <w:rFonts w:cs="Arial"/>
                <w:szCs w:val="22"/>
              </w:rPr>
            </w:pPr>
            <w:r w:rsidRPr="00E84D1D">
              <w:rPr>
                <w:rFonts w:cs="Arial"/>
                <w:szCs w:val="22"/>
              </w:rPr>
              <w:t>1302 (20.7)</w:t>
            </w:r>
          </w:p>
        </w:tc>
        <w:tc>
          <w:tcPr>
            <w:tcW w:w="977" w:type="pct"/>
            <w:tcBorders>
              <w:top w:val="nil"/>
              <w:right w:val="nil"/>
            </w:tcBorders>
          </w:tcPr>
          <w:p w14:paraId="0946A49F" w14:textId="77777777" w:rsidR="00B64398" w:rsidRPr="00E84D1D" w:rsidRDefault="00B64398" w:rsidP="00386A9D">
            <w:pPr>
              <w:pStyle w:val="Text"/>
              <w:rPr>
                <w:rFonts w:cs="Arial"/>
                <w:szCs w:val="22"/>
              </w:rPr>
            </w:pPr>
          </w:p>
        </w:tc>
      </w:tr>
      <w:tr w:rsidR="00B64398" w:rsidRPr="00E84D1D" w14:paraId="40C24465" w14:textId="77777777" w:rsidTr="00386A9D">
        <w:trPr>
          <w:trHeight w:val="20"/>
          <w:jc w:val="left"/>
        </w:trPr>
        <w:tc>
          <w:tcPr>
            <w:tcW w:w="1596" w:type="pct"/>
            <w:tcBorders>
              <w:left w:val="nil"/>
            </w:tcBorders>
            <w:hideMark/>
          </w:tcPr>
          <w:p w14:paraId="2DBF128B" w14:textId="77777777" w:rsidR="00B64398" w:rsidRPr="00E84D1D" w:rsidRDefault="00B64398" w:rsidP="00386A9D">
            <w:pPr>
              <w:pStyle w:val="Text"/>
              <w:ind w:left="289"/>
              <w:rPr>
                <w:rFonts w:cs="Arial"/>
                <w:szCs w:val="22"/>
              </w:rPr>
            </w:pPr>
            <w:r w:rsidRPr="00E84D1D">
              <w:rPr>
                <w:rFonts w:cs="Arial"/>
                <w:szCs w:val="22"/>
              </w:rPr>
              <w:sym w:font="Symbol" w:char="F0B3"/>
            </w:r>
            <w:r w:rsidRPr="00E84D1D">
              <w:rPr>
                <w:rFonts w:cs="Arial"/>
                <w:szCs w:val="22"/>
              </w:rPr>
              <w:t xml:space="preserve">65 to ≤75 years, </w:t>
            </w:r>
            <w:r w:rsidRPr="00E84D1D">
              <w:rPr>
                <w:rFonts w:cs="Arial"/>
                <w:i/>
                <w:szCs w:val="22"/>
              </w:rPr>
              <w:t>n</w:t>
            </w:r>
            <w:r w:rsidRPr="00E84D1D">
              <w:rPr>
                <w:rFonts w:cs="Arial"/>
                <w:szCs w:val="22"/>
              </w:rPr>
              <w:t xml:space="preserve"> (%)</w:t>
            </w:r>
          </w:p>
        </w:tc>
        <w:tc>
          <w:tcPr>
            <w:tcW w:w="1160" w:type="pct"/>
            <w:hideMark/>
          </w:tcPr>
          <w:p w14:paraId="1637205C" w14:textId="77777777" w:rsidR="00B64398" w:rsidRPr="00E84D1D" w:rsidRDefault="00B64398" w:rsidP="00386A9D">
            <w:pPr>
              <w:pStyle w:val="Text"/>
              <w:rPr>
                <w:rFonts w:cs="Arial"/>
                <w:szCs w:val="22"/>
              </w:rPr>
            </w:pPr>
            <w:r w:rsidRPr="00E84D1D">
              <w:rPr>
                <w:rFonts w:cs="Arial"/>
                <w:szCs w:val="22"/>
              </w:rPr>
              <w:t>223 (44.4)</w:t>
            </w:r>
          </w:p>
        </w:tc>
        <w:tc>
          <w:tcPr>
            <w:tcW w:w="1267" w:type="pct"/>
            <w:hideMark/>
          </w:tcPr>
          <w:p w14:paraId="5BE1364C" w14:textId="77777777" w:rsidR="00B64398" w:rsidRPr="00E84D1D" w:rsidRDefault="00B64398" w:rsidP="00386A9D">
            <w:pPr>
              <w:pStyle w:val="Text"/>
              <w:rPr>
                <w:rFonts w:cs="Arial"/>
                <w:szCs w:val="22"/>
              </w:rPr>
            </w:pPr>
            <w:r w:rsidRPr="00E84D1D">
              <w:rPr>
                <w:rFonts w:cs="Arial"/>
                <w:szCs w:val="22"/>
              </w:rPr>
              <w:t>2559 (40.7)</w:t>
            </w:r>
          </w:p>
        </w:tc>
        <w:tc>
          <w:tcPr>
            <w:tcW w:w="977" w:type="pct"/>
            <w:tcBorders>
              <w:right w:val="nil"/>
            </w:tcBorders>
            <w:hideMark/>
          </w:tcPr>
          <w:p w14:paraId="69ECE962" w14:textId="77777777" w:rsidR="00B64398" w:rsidRPr="00E84D1D" w:rsidRDefault="00B64398" w:rsidP="00386A9D">
            <w:pPr>
              <w:pStyle w:val="Text"/>
              <w:rPr>
                <w:rFonts w:cs="Arial"/>
                <w:szCs w:val="22"/>
              </w:rPr>
            </w:pPr>
          </w:p>
        </w:tc>
      </w:tr>
      <w:tr w:rsidR="00B64398" w:rsidRPr="00E84D1D" w14:paraId="0A148335" w14:textId="77777777" w:rsidTr="00386A9D">
        <w:trPr>
          <w:trHeight w:val="20"/>
          <w:jc w:val="left"/>
        </w:trPr>
        <w:tc>
          <w:tcPr>
            <w:tcW w:w="1596" w:type="pct"/>
            <w:tcBorders>
              <w:left w:val="nil"/>
            </w:tcBorders>
            <w:hideMark/>
          </w:tcPr>
          <w:p w14:paraId="77C6B0D4" w14:textId="77777777" w:rsidR="00B64398" w:rsidRPr="00E84D1D" w:rsidRDefault="00B64398" w:rsidP="00386A9D">
            <w:pPr>
              <w:pStyle w:val="Text"/>
              <w:ind w:left="289"/>
              <w:rPr>
                <w:rFonts w:cs="Arial"/>
                <w:szCs w:val="22"/>
              </w:rPr>
            </w:pPr>
            <w:r w:rsidRPr="00E84D1D">
              <w:rPr>
                <w:rFonts w:cs="Arial"/>
                <w:szCs w:val="22"/>
              </w:rPr>
              <w:t xml:space="preserve">&gt;75 years, </w:t>
            </w:r>
            <w:r w:rsidRPr="00E84D1D">
              <w:rPr>
                <w:rFonts w:cs="Arial"/>
                <w:i/>
                <w:szCs w:val="22"/>
              </w:rPr>
              <w:t>n</w:t>
            </w:r>
            <w:r w:rsidRPr="00E84D1D">
              <w:rPr>
                <w:rFonts w:cs="Arial"/>
                <w:szCs w:val="22"/>
              </w:rPr>
              <w:t xml:space="preserve"> (%)</w:t>
            </w:r>
          </w:p>
        </w:tc>
        <w:tc>
          <w:tcPr>
            <w:tcW w:w="1160" w:type="pct"/>
            <w:hideMark/>
          </w:tcPr>
          <w:p w14:paraId="1C7AA290" w14:textId="77777777" w:rsidR="00B64398" w:rsidRPr="00E84D1D" w:rsidRDefault="00B64398" w:rsidP="00386A9D">
            <w:pPr>
              <w:pStyle w:val="Text"/>
              <w:rPr>
                <w:rFonts w:cs="Arial"/>
                <w:szCs w:val="22"/>
              </w:rPr>
            </w:pPr>
            <w:r w:rsidRPr="00E84D1D">
              <w:rPr>
                <w:rFonts w:cs="Arial"/>
                <w:szCs w:val="22"/>
              </w:rPr>
              <w:t>103 (20.5)</w:t>
            </w:r>
          </w:p>
        </w:tc>
        <w:tc>
          <w:tcPr>
            <w:tcW w:w="1267" w:type="pct"/>
            <w:hideMark/>
          </w:tcPr>
          <w:p w14:paraId="27BB3738" w14:textId="77777777" w:rsidR="00B64398" w:rsidRPr="00E84D1D" w:rsidRDefault="00B64398" w:rsidP="00386A9D">
            <w:pPr>
              <w:pStyle w:val="Text"/>
              <w:rPr>
                <w:rFonts w:cs="Arial"/>
                <w:szCs w:val="22"/>
              </w:rPr>
            </w:pPr>
            <w:r w:rsidRPr="00E84D1D">
              <w:rPr>
                <w:rFonts w:cs="Arial"/>
                <w:szCs w:val="22"/>
              </w:rPr>
              <w:t>2421 (38.5)</w:t>
            </w:r>
          </w:p>
        </w:tc>
        <w:tc>
          <w:tcPr>
            <w:tcW w:w="977" w:type="pct"/>
            <w:tcBorders>
              <w:right w:val="nil"/>
            </w:tcBorders>
            <w:hideMark/>
          </w:tcPr>
          <w:p w14:paraId="54422F11" w14:textId="77777777" w:rsidR="00B64398" w:rsidRPr="00E84D1D" w:rsidRDefault="00B64398" w:rsidP="00386A9D">
            <w:pPr>
              <w:pStyle w:val="Text"/>
              <w:rPr>
                <w:rFonts w:cs="Arial"/>
                <w:szCs w:val="22"/>
              </w:rPr>
            </w:pPr>
          </w:p>
        </w:tc>
      </w:tr>
      <w:tr w:rsidR="00B64398" w:rsidRPr="00E84D1D" w14:paraId="763A78FB" w14:textId="77777777" w:rsidTr="00386A9D">
        <w:trPr>
          <w:trHeight w:val="20"/>
          <w:jc w:val="left"/>
        </w:trPr>
        <w:tc>
          <w:tcPr>
            <w:tcW w:w="1596" w:type="pct"/>
            <w:tcBorders>
              <w:left w:val="nil"/>
            </w:tcBorders>
            <w:hideMark/>
          </w:tcPr>
          <w:p w14:paraId="4FFA4E89" w14:textId="77777777" w:rsidR="00B64398" w:rsidRPr="00E84D1D" w:rsidRDefault="00B64398" w:rsidP="00386A9D">
            <w:pPr>
              <w:pStyle w:val="Text"/>
              <w:rPr>
                <w:rFonts w:cs="Arial"/>
                <w:szCs w:val="22"/>
              </w:rPr>
            </w:pPr>
            <w:r w:rsidRPr="00E84D1D">
              <w:rPr>
                <w:rFonts w:cs="Arial"/>
                <w:szCs w:val="22"/>
              </w:rPr>
              <w:t xml:space="preserve">Male sex, </w:t>
            </w:r>
            <w:r w:rsidRPr="00E84D1D">
              <w:rPr>
                <w:rFonts w:cs="Arial"/>
                <w:i/>
                <w:szCs w:val="22"/>
              </w:rPr>
              <w:t>n</w:t>
            </w:r>
            <w:r w:rsidRPr="00E84D1D">
              <w:rPr>
                <w:rFonts w:cs="Arial"/>
                <w:szCs w:val="22"/>
              </w:rPr>
              <w:t xml:space="preserve"> (%)</w:t>
            </w:r>
          </w:p>
        </w:tc>
        <w:tc>
          <w:tcPr>
            <w:tcW w:w="1160" w:type="pct"/>
            <w:hideMark/>
          </w:tcPr>
          <w:p w14:paraId="50A3C625" w14:textId="77777777" w:rsidR="00B64398" w:rsidRPr="00E84D1D" w:rsidRDefault="00B64398" w:rsidP="00386A9D">
            <w:pPr>
              <w:pStyle w:val="Text"/>
              <w:rPr>
                <w:rFonts w:cs="Arial"/>
                <w:szCs w:val="22"/>
              </w:rPr>
            </w:pPr>
            <w:r w:rsidRPr="00E84D1D">
              <w:rPr>
                <w:rFonts w:cs="Arial"/>
                <w:szCs w:val="22"/>
              </w:rPr>
              <w:t>320 (63.7)</w:t>
            </w:r>
          </w:p>
        </w:tc>
        <w:tc>
          <w:tcPr>
            <w:tcW w:w="1267" w:type="pct"/>
            <w:hideMark/>
          </w:tcPr>
          <w:p w14:paraId="35F55441" w14:textId="77777777" w:rsidR="00B64398" w:rsidRPr="00E84D1D" w:rsidRDefault="00B64398" w:rsidP="00386A9D">
            <w:pPr>
              <w:pStyle w:val="Text"/>
              <w:rPr>
                <w:rFonts w:cs="Arial"/>
                <w:szCs w:val="22"/>
              </w:rPr>
            </w:pPr>
            <w:r w:rsidRPr="00E84D1D">
              <w:rPr>
                <w:rFonts w:cs="Arial"/>
                <w:szCs w:val="22"/>
              </w:rPr>
              <w:t>3696 (58.8)</w:t>
            </w:r>
          </w:p>
        </w:tc>
        <w:tc>
          <w:tcPr>
            <w:tcW w:w="977" w:type="pct"/>
            <w:tcBorders>
              <w:right w:val="nil"/>
            </w:tcBorders>
            <w:hideMark/>
          </w:tcPr>
          <w:p w14:paraId="1FAE2126" w14:textId="77777777" w:rsidR="00B64398" w:rsidRPr="00E84D1D" w:rsidRDefault="00B64398" w:rsidP="00386A9D">
            <w:pPr>
              <w:pStyle w:val="Text"/>
              <w:rPr>
                <w:rFonts w:cs="Arial"/>
                <w:szCs w:val="22"/>
              </w:rPr>
            </w:pPr>
            <w:r w:rsidRPr="00E84D1D">
              <w:rPr>
                <w:rFonts w:cs="Arial"/>
                <w:szCs w:val="22"/>
              </w:rPr>
              <w:t>0.0322</w:t>
            </w:r>
          </w:p>
        </w:tc>
      </w:tr>
      <w:tr w:rsidR="00B64398" w:rsidRPr="00E84D1D" w14:paraId="7ADB5283" w14:textId="77777777" w:rsidTr="00386A9D">
        <w:trPr>
          <w:trHeight w:val="20"/>
          <w:jc w:val="left"/>
        </w:trPr>
        <w:tc>
          <w:tcPr>
            <w:tcW w:w="1596" w:type="pct"/>
            <w:tcBorders>
              <w:left w:val="nil"/>
            </w:tcBorders>
            <w:hideMark/>
          </w:tcPr>
          <w:p w14:paraId="3C402EA5" w14:textId="77777777" w:rsidR="00B64398" w:rsidRPr="00E84D1D" w:rsidRDefault="00B64398" w:rsidP="00386A9D">
            <w:pPr>
              <w:spacing w:line="480" w:lineRule="auto"/>
              <w:rPr>
                <w:rFonts w:cs="Arial"/>
                <w:szCs w:val="22"/>
              </w:rPr>
            </w:pPr>
            <w:r w:rsidRPr="00E84D1D">
              <w:rPr>
                <w:rFonts w:cs="Arial"/>
                <w:bCs/>
                <w:color w:val="000000" w:themeColor="text1"/>
                <w:kern w:val="24"/>
                <w:szCs w:val="22"/>
              </w:rPr>
              <w:t>AF type,</w:t>
            </w:r>
            <w:r w:rsidRPr="00E84D1D">
              <w:rPr>
                <w:rFonts w:cs="Arial"/>
                <w:bCs/>
                <w:color w:val="000000" w:themeColor="text1"/>
                <w:kern w:val="24"/>
                <w:szCs w:val="22"/>
                <w:vertAlign w:val="superscript"/>
              </w:rPr>
              <w:t>b</w:t>
            </w:r>
            <w:r w:rsidRPr="00E84D1D">
              <w:rPr>
                <w:rFonts w:cs="Arial"/>
                <w:bCs/>
                <w:color w:val="000000" w:themeColor="text1"/>
                <w:kern w:val="24"/>
                <w:szCs w:val="22"/>
              </w:rPr>
              <w:t xml:space="preserve"> </w:t>
            </w:r>
            <w:r w:rsidRPr="00E84D1D">
              <w:rPr>
                <w:rFonts w:cs="Arial"/>
                <w:bCs/>
                <w:i/>
                <w:color w:val="000000" w:themeColor="text1"/>
                <w:kern w:val="24"/>
                <w:szCs w:val="22"/>
              </w:rPr>
              <w:t>n</w:t>
            </w:r>
            <w:r w:rsidRPr="00E84D1D">
              <w:rPr>
                <w:rFonts w:cs="Arial"/>
                <w:bCs/>
                <w:color w:val="000000" w:themeColor="text1"/>
                <w:kern w:val="24"/>
                <w:szCs w:val="22"/>
              </w:rPr>
              <w:t xml:space="preserve"> (%)</w:t>
            </w:r>
          </w:p>
        </w:tc>
        <w:tc>
          <w:tcPr>
            <w:tcW w:w="1160" w:type="pct"/>
            <w:hideMark/>
          </w:tcPr>
          <w:p w14:paraId="054A345B" w14:textId="77777777" w:rsidR="00B64398" w:rsidRPr="00E84D1D" w:rsidRDefault="00B64398" w:rsidP="00386A9D">
            <w:pPr>
              <w:spacing w:line="480" w:lineRule="auto"/>
              <w:rPr>
                <w:rFonts w:cs="Arial"/>
                <w:szCs w:val="22"/>
              </w:rPr>
            </w:pPr>
          </w:p>
        </w:tc>
        <w:tc>
          <w:tcPr>
            <w:tcW w:w="1267" w:type="pct"/>
            <w:hideMark/>
          </w:tcPr>
          <w:p w14:paraId="0AC73452" w14:textId="77777777" w:rsidR="00B64398" w:rsidRPr="00E84D1D" w:rsidRDefault="00B64398" w:rsidP="00386A9D">
            <w:pPr>
              <w:spacing w:line="480" w:lineRule="auto"/>
              <w:rPr>
                <w:rFonts w:cs="Arial"/>
                <w:szCs w:val="22"/>
              </w:rPr>
            </w:pPr>
          </w:p>
        </w:tc>
        <w:tc>
          <w:tcPr>
            <w:tcW w:w="977" w:type="pct"/>
            <w:tcBorders>
              <w:right w:val="nil"/>
            </w:tcBorders>
            <w:hideMark/>
          </w:tcPr>
          <w:p w14:paraId="172ED62E" w14:textId="77777777" w:rsidR="00B64398" w:rsidRPr="00E84D1D" w:rsidRDefault="00B64398" w:rsidP="00386A9D">
            <w:pPr>
              <w:spacing w:line="480" w:lineRule="auto"/>
              <w:rPr>
                <w:rFonts w:cs="Arial"/>
                <w:szCs w:val="22"/>
              </w:rPr>
            </w:pPr>
            <w:r w:rsidRPr="00E84D1D">
              <w:rPr>
                <w:rFonts w:eastAsiaTheme="minorEastAsia" w:cs="Arial"/>
                <w:bCs/>
                <w:color w:val="000000" w:themeColor="text1"/>
                <w:kern w:val="24"/>
                <w:szCs w:val="22"/>
              </w:rPr>
              <w:t>&lt;0.0001</w:t>
            </w:r>
            <w:r w:rsidRPr="00E84D1D">
              <w:rPr>
                <w:rFonts w:cs="Arial"/>
                <w:bCs/>
                <w:color w:val="000000"/>
                <w:kern w:val="24"/>
                <w:szCs w:val="22"/>
                <w:vertAlign w:val="superscript"/>
              </w:rPr>
              <w:t>a</w:t>
            </w:r>
          </w:p>
        </w:tc>
      </w:tr>
      <w:tr w:rsidR="00B64398" w:rsidRPr="00E84D1D" w14:paraId="1A0F813B" w14:textId="77777777" w:rsidTr="00386A9D">
        <w:trPr>
          <w:trHeight w:val="20"/>
          <w:jc w:val="left"/>
        </w:trPr>
        <w:tc>
          <w:tcPr>
            <w:tcW w:w="1596" w:type="pct"/>
            <w:tcBorders>
              <w:left w:val="nil"/>
            </w:tcBorders>
            <w:hideMark/>
          </w:tcPr>
          <w:p w14:paraId="4AF96772" w14:textId="77777777" w:rsidR="00B64398" w:rsidRPr="00E84D1D" w:rsidRDefault="00B64398" w:rsidP="00386A9D">
            <w:pPr>
              <w:spacing w:line="480" w:lineRule="auto"/>
              <w:ind w:left="288"/>
              <w:rPr>
                <w:rFonts w:cs="Arial"/>
                <w:szCs w:val="22"/>
              </w:rPr>
            </w:pPr>
            <w:r w:rsidRPr="00E84D1D">
              <w:rPr>
                <w:rFonts w:cs="Arial"/>
                <w:color w:val="000000" w:themeColor="text1"/>
                <w:kern w:val="24"/>
                <w:szCs w:val="22"/>
              </w:rPr>
              <w:t>First diagnosed</w:t>
            </w:r>
          </w:p>
        </w:tc>
        <w:tc>
          <w:tcPr>
            <w:tcW w:w="1160" w:type="pct"/>
            <w:hideMark/>
          </w:tcPr>
          <w:p w14:paraId="5D0263FE" w14:textId="77777777" w:rsidR="00B64398" w:rsidRPr="00E84D1D" w:rsidRDefault="00B64398" w:rsidP="00386A9D">
            <w:pPr>
              <w:tabs>
                <w:tab w:val="decimal" w:pos="8"/>
              </w:tabs>
              <w:spacing w:line="480" w:lineRule="auto"/>
              <w:ind w:left="43"/>
              <w:rPr>
                <w:rFonts w:cs="Arial"/>
                <w:szCs w:val="22"/>
              </w:rPr>
            </w:pPr>
            <w:r w:rsidRPr="00E84D1D">
              <w:rPr>
                <w:rFonts w:cs="Arial"/>
                <w:bCs/>
                <w:color w:val="000000"/>
                <w:kern w:val="24"/>
                <w:szCs w:val="22"/>
              </w:rPr>
              <w:t>161 (32.1)</w:t>
            </w:r>
          </w:p>
        </w:tc>
        <w:tc>
          <w:tcPr>
            <w:tcW w:w="1267" w:type="pct"/>
            <w:hideMark/>
          </w:tcPr>
          <w:p w14:paraId="3FC2F079" w14:textId="77777777" w:rsidR="00B64398" w:rsidRPr="00E84D1D" w:rsidRDefault="00B64398" w:rsidP="00386A9D">
            <w:pPr>
              <w:tabs>
                <w:tab w:val="decimal" w:pos="0"/>
              </w:tabs>
              <w:spacing w:line="480" w:lineRule="auto"/>
              <w:ind w:left="43"/>
              <w:rPr>
                <w:rFonts w:cs="Arial"/>
                <w:szCs w:val="22"/>
              </w:rPr>
            </w:pPr>
            <w:r w:rsidRPr="00E84D1D">
              <w:rPr>
                <w:rFonts w:cs="Arial"/>
                <w:bCs/>
                <w:color w:val="000000"/>
                <w:kern w:val="24"/>
                <w:szCs w:val="22"/>
              </w:rPr>
              <w:t>1092 (17.4)</w:t>
            </w:r>
          </w:p>
        </w:tc>
        <w:tc>
          <w:tcPr>
            <w:tcW w:w="977" w:type="pct"/>
            <w:tcBorders>
              <w:right w:val="nil"/>
            </w:tcBorders>
            <w:hideMark/>
          </w:tcPr>
          <w:p w14:paraId="34902CB2" w14:textId="77777777" w:rsidR="00B64398" w:rsidRPr="00E84D1D" w:rsidRDefault="00B64398" w:rsidP="00386A9D">
            <w:pPr>
              <w:spacing w:line="480" w:lineRule="auto"/>
              <w:rPr>
                <w:rFonts w:cs="Arial"/>
                <w:szCs w:val="22"/>
              </w:rPr>
            </w:pPr>
          </w:p>
        </w:tc>
      </w:tr>
      <w:tr w:rsidR="00B64398" w:rsidRPr="00E84D1D" w14:paraId="07721106" w14:textId="77777777" w:rsidTr="00386A9D">
        <w:trPr>
          <w:trHeight w:val="20"/>
          <w:jc w:val="left"/>
        </w:trPr>
        <w:tc>
          <w:tcPr>
            <w:tcW w:w="1596" w:type="pct"/>
            <w:tcBorders>
              <w:left w:val="nil"/>
            </w:tcBorders>
            <w:hideMark/>
          </w:tcPr>
          <w:p w14:paraId="5FDD82BB" w14:textId="77777777" w:rsidR="00B64398" w:rsidRPr="00E84D1D" w:rsidRDefault="00B64398" w:rsidP="00386A9D">
            <w:pPr>
              <w:spacing w:line="480" w:lineRule="auto"/>
              <w:ind w:left="288"/>
              <w:rPr>
                <w:rFonts w:cs="Arial"/>
                <w:szCs w:val="22"/>
              </w:rPr>
            </w:pPr>
            <w:r w:rsidRPr="00E84D1D">
              <w:rPr>
                <w:rFonts w:cs="Arial"/>
                <w:color w:val="000000"/>
                <w:kern w:val="24"/>
                <w:szCs w:val="22"/>
              </w:rPr>
              <w:t>Paroxysmal</w:t>
            </w:r>
          </w:p>
        </w:tc>
        <w:tc>
          <w:tcPr>
            <w:tcW w:w="1160" w:type="pct"/>
            <w:hideMark/>
          </w:tcPr>
          <w:p w14:paraId="4FED3904" w14:textId="77777777" w:rsidR="00B64398" w:rsidRPr="00E84D1D" w:rsidRDefault="00B64398" w:rsidP="00386A9D">
            <w:pPr>
              <w:tabs>
                <w:tab w:val="decimal" w:pos="8"/>
              </w:tabs>
              <w:spacing w:line="480" w:lineRule="auto"/>
              <w:ind w:left="43"/>
              <w:rPr>
                <w:rFonts w:cs="Arial"/>
                <w:szCs w:val="22"/>
              </w:rPr>
            </w:pPr>
            <w:r w:rsidRPr="00E84D1D">
              <w:rPr>
                <w:rFonts w:cs="Arial"/>
                <w:color w:val="000000"/>
                <w:kern w:val="24"/>
                <w:szCs w:val="22"/>
              </w:rPr>
              <w:t>198 (39.4)</w:t>
            </w:r>
          </w:p>
        </w:tc>
        <w:tc>
          <w:tcPr>
            <w:tcW w:w="1267" w:type="pct"/>
            <w:hideMark/>
          </w:tcPr>
          <w:p w14:paraId="5AB13CAC" w14:textId="77777777" w:rsidR="00B64398" w:rsidRPr="00E84D1D" w:rsidRDefault="00B64398" w:rsidP="00386A9D">
            <w:pPr>
              <w:tabs>
                <w:tab w:val="decimal" w:pos="0"/>
              </w:tabs>
              <w:spacing w:line="480" w:lineRule="auto"/>
              <w:ind w:left="43"/>
              <w:rPr>
                <w:rFonts w:cs="Arial"/>
                <w:szCs w:val="22"/>
              </w:rPr>
            </w:pPr>
            <w:r w:rsidRPr="00E84D1D">
              <w:rPr>
                <w:rFonts w:cs="Arial"/>
                <w:color w:val="000000"/>
                <w:kern w:val="24"/>
                <w:szCs w:val="22"/>
              </w:rPr>
              <w:t>2559 (40.7)</w:t>
            </w:r>
          </w:p>
        </w:tc>
        <w:tc>
          <w:tcPr>
            <w:tcW w:w="977" w:type="pct"/>
            <w:tcBorders>
              <w:right w:val="nil"/>
            </w:tcBorders>
            <w:hideMark/>
          </w:tcPr>
          <w:p w14:paraId="5C7173BD" w14:textId="77777777" w:rsidR="00B64398" w:rsidRPr="00E84D1D" w:rsidRDefault="00B64398" w:rsidP="00386A9D">
            <w:pPr>
              <w:spacing w:line="480" w:lineRule="auto"/>
              <w:rPr>
                <w:rFonts w:cs="Arial"/>
                <w:szCs w:val="22"/>
              </w:rPr>
            </w:pPr>
          </w:p>
        </w:tc>
      </w:tr>
      <w:tr w:rsidR="00B64398" w:rsidRPr="00E84D1D" w14:paraId="5F0F5BA4" w14:textId="77777777" w:rsidTr="00386A9D">
        <w:trPr>
          <w:trHeight w:val="20"/>
          <w:jc w:val="left"/>
        </w:trPr>
        <w:tc>
          <w:tcPr>
            <w:tcW w:w="1596" w:type="pct"/>
            <w:tcBorders>
              <w:left w:val="nil"/>
            </w:tcBorders>
            <w:hideMark/>
          </w:tcPr>
          <w:p w14:paraId="3E03D438" w14:textId="77777777" w:rsidR="00B64398" w:rsidRPr="00E84D1D" w:rsidRDefault="00B64398" w:rsidP="00386A9D">
            <w:pPr>
              <w:spacing w:line="480" w:lineRule="auto"/>
              <w:ind w:left="288"/>
              <w:rPr>
                <w:rFonts w:cs="Arial"/>
                <w:szCs w:val="22"/>
              </w:rPr>
            </w:pPr>
            <w:r w:rsidRPr="00E84D1D">
              <w:rPr>
                <w:rFonts w:cs="Arial"/>
                <w:color w:val="000000"/>
                <w:kern w:val="24"/>
                <w:szCs w:val="22"/>
              </w:rPr>
              <w:t>Persistent</w:t>
            </w:r>
          </w:p>
        </w:tc>
        <w:tc>
          <w:tcPr>
            <w:tcW w:w="1160" w:type="pct"/>
            <w:hideMark/>
          </w:tcPr>
          <w:p w14:paraId="33F1354C" w14:textId="77777777" w:rsidR="00B64398" w:rsidRPr="00E84D1D" w:rsidRDefault="00B64398" w:rsidP="00386A9D">
            <w:pPr>
              <w:tabs>
                <w:tab w:val="decimal" w:pos="8"/>
              </w:tabs>
              <w:spacing w:line="480" w:lineRule="auto"/>
              <w:ind w:left="43"/>
              <w:rPr>
                <w:rFonts w:cs="Arial"/>
                <w:szCs w:val="22"/>
              </w:rPr>
            </w:pPr>
            <w:r w:rsidRPr="00E84D1D">
              <w:rPr>
                <w:rFonts w:cs="Arial"/>
                <w:color w:val="000000"/>
                <w:kern w:val="24"/>
                <w:szCs w:val="22"/>
              </w:rPr>
              <w:t>120 (23.9)</w:t>
            </w:r>
          </w:p>
        </w:tc>
        <w:tc>
          <w:tcPr>
            <w:tcW w:w="1267" w:type="pct"/>
            <w:hideMark/>
          </w:tcPr>
          <w:p w14:paraId="47966CFD" w14:textId="77777777" w:rsidR="00B64398" w:rsidRPr="00E84D1D" w:rsidRDefault="00B64398" w:rsidP="00386A9D">
            <w:pPr>
              <w:tabs>
                <w:tab w:val="decimal" w:pos="0"/>
              </w:tabs>
              <w:spacing w:line="480" w:lineRule="auto"/>
              <w:ind w:left="43"/>
              <w:rPr>
                <w:rFonts w:cs="Arial"/>
                <w:szCs w:val="22"/>
              </w:rPr>
            </w:pPr>
            <w:r w:rsidRPr="00E84D1D">
              <w:rPr>
                <w:rFonts w:cs="Arial"/>
                <w:color w:val="000000"/>
                <w:kern w:val="24"/>
                <w:szCs w:val="22"/>
              </w:rPr>
              <w:t>803 (12.8)</w:t>
            </w:r>
          </w:p>
        </w:tc>
        <w:tc>
          <w:tcPr>
            <w:tcW w:w="977" w:type="pct"/>
            <w:tcBorders>
              <w:right w:val="nil"/>
            </w:tcBorders>
            <w:hideMark/>
          </w:tcPr>
          <w:p w14:paraId="70E01194" w14:textId="77777777" w:rsidR="00B64398" w:rsidRPr="00E84D1D" w:rsidRDefault="00B64398" w:rsidP="00386A9D">
            <w:pPr>
              <w:spacing w:line="480" w:lineRule="auto"/>
              <w:rPr>
                <w:rFonts w:cs="Arial"/>
                <w:szCs w:val="22"/>
              </w:rPr>
            </w:pPr>
          </w:p>
        </w:tc>
      </w:tr>
      <w:tr w:rsidR="00B64398" w:rsidRPr="00E84D1D" w14:paraId="7D89A6C1" w14:textId="77777777" w:rsidTr="00386A9D">
        <w:trPr>
          <w:trHeight w:val="20"/>
          <w:jc w:val="left"/>
        </w:trPr>
        <w:tc>
          <w:tcPr>
            <w:tcW w:w="1596" w:type="pct"/>
            <w:tcBorders>
              <w:left w:val="nil"/>
            </w:tcBorders>
            <w:hideMark/>
          </w:tcPr>
          <w:p w14:paraId="6B3B8C99" w14:textId="77777777" w:rsidR="00B64398" w:rsidRPr="00E84D1D" w:rsidRDefault="00B64398" w:rsidP="00386A9D">
            <w:pPr>
              <w:spacing w:line="480" w:lineRule="auto"/>
              <w:ind w:left="288"/>
              <w:rPr>
                <w:rFonts w:cs="Arial"/>
                <w:szCs w:val="22"/>
              </w:rPr>
            </w:pPr>
            <w:r w:rsidRPr="00E84D1D">
              <w:rPr>
                <w:rFonts w:cs="Arial"/>
                <w:color w:val="000000"/>
                <w:kern w:val="24"/>
                <w:szCs w:val="22"/>
              </w:rPr>
              <w:t>Permanent</w:t>
            </w:r>
          </w:p>
        </w:tc>
        <w:tc>
          <w:tcPr>
            <w:tcW w:w="1160" w:type="pct"/>
            <w:hideMark/>
          </w:tcPr>
          <w:p w14:paraId="668DCA9B" w14:textId="77777777" w:rsidR="00B64398" w:rsidRPr="00E84D1D" w:rsidRDefault="00B64398" w:rsidP="00386A9D">
            <w:pPr>
              <w:tabs>
                <w:tab w:val="decimal" w:pos="8"/>
              </w:tabs>
              <w:spacing w:line="480" w:lineRule="auto"/>
              <w:ind w:left="43"/>
              <w:rPr>
                <w:rFonts w:cs="Arial"/>
                <w:szCs w:val="22"/>
              </w:rPr>
            </w:pPr>
            <w:r w:rsidRPr="00E84D1D">
              <w:rPr>
                <w:rFonts w:cs="Arial"/>
                <w:color w:val="000000"/>
                <w:kern w:val="24"/>
                <w:szCs w:val="22"/>
              </w:rPr>
              <w:t>22 (4.4)</w:t>
            </w:r>
          </w:p>
        </w:tc>
        <w:tc>
          <w:tcPr>
            <w:tcW w:w="1267" w:type="pct"/>
            <w:hideMark/>
          </w:tcPr>
          <w:p w14:paraId="68A29444" w14:textId="77777777" w:rsidR="00B64398" w:rsidRPr="00E84D1D" w:rsidRDefault="00B64398" w:rsidP="00386A9D">
            <w:pPr>
              <w:tabs>
                <w:tab w:val="decimal" w:pos="0"/>
              </w:tabs>
              <w:spacing w:line="480" w:lineRule="auto"/>
              <w:ind w:left="43"/>
              <w:rPr>
                <w:rFonts w:cs="Arial"/>
                <w:szCs w:val="22"/>
              </w:rPr>
            </w:pPr>
            <w:r w:rsidRPr="00E84D1D">
              <w:rPr>
                <w:rFonts w:cs="Arial"/>
                <w:color w:val="000000"/>
                <w:kern w:val="24"/>
                <w:szCs w:val="22"/>
              </w:rPr>
              <w:t>1813 (28.9)</w:t>
            </w:r>
          </w:p>
        </w:tc>
        <w:tc>
          <w:tcPr>
            <w:tcW w:w="977" w:type="pct"/>
            <w:tcBorders>
              <w:right w:val="nil"/>
            </w:tcBorders>
            <w:hideMark/>
          </w:tcPr>
          <w:p w14:paraId="401EED7D" w14:textId="77777777" w:rsidR="00B64398" w:rsidRPr="00E84D1D" w:rsidRDefault="00B64398" w:rsidP="00386A9D">
            <w:pPr>
              <w:spacing w:line="480" w:lineRule="auto"/>
              <w:rPr>
                <w:rFonts w:cs="Arial"/>
                <w:szCs w:val="22"/>
              </w:rPr>
            </w:pPr>
          </w:p>
        </w:tc>
      </w:tr>
      <w:tr w:rsidR="00B64398" w:rsidRPr="00E84D1D" w14:paraId="1957239D" w14:textId="77777777" w:rsidTr="00386A9D">
        <w:trPr>
          <w:trHeight w:val="20"/>
          <w:jc w:val="left"/>
        </w:trPr>
        <w:tc>
          <w:tcPr>
            <w:tcW w:w="1596" w:type="pct"/>
            <w:tcBorders>
              <w:left w:val="nil"/>
            </w:tcBorders>
            <w:hideMark/>
          </w:tcPr>
          <w:p w14:paraId="24CF2BDB" w14:textId="77777777" w:rsidR="00B64398" w:rsidRPr="00E84D1D" w:rsidRDefault="00B64398" w:rsidP="00386A9D">
            <w:pPr>
              <w:spacing w:line="480" w:lineRule="auto"/>
              <w:rPr>
                <w:rFonts w:cs="Arial"/>
                <w:szCs w:val="22"/>
              </w:rPr>
            </w:pPr>
            <w:r w:rsidRPr="00E84D1D">
              <w:rPr>
                <w:rFonts w:cs="Arial"/>
                <w:color w:val="000000" w:themeColor="text1"/>
                <w:kern w:val="24"/>
                <w:szCs w:val="22"/>
              </w:rPr>
              <w:t>Blood pressure,</w:t>
            </w:r>
            <w:r w:rsidRPr="00E84D1D">
              <w:rPr>
                <w:rFonts w:cs="Arial"/>
                <w:color w:val="000000" w:themeColor="text1"/>
                <w:kern w:val="24"/>
                <w:szCs w:val="22"/>
                <w:vertAlign w:val="superscript"/>
              </w:rPr>
              <w:t>b</w:t>
            </w:r>
            <w:r w:rsidRPr="00E84D1D">
              <w:rPr>
                <w:rFonts w:cs="Arial"/>
                <w:color w:val="000000" w:themeColor="text1"/>
                <w:kern w:val="24"/>
                <w:szCs w:val="22"/>
              </w:rPr>
              <w:t xml:space="preserve"> </w:t>
            </w:r>
            <w:r w:rsidRPr="00E84D1D">
              <w:rPr>
                <w:rFonts w:cs="Arial"/>
                <w:i/>
                <w:color w:val="000000" w:themeColor="text1"/>
                <w:kern w:val="24"/>
                <w:szCs w:val="22"/>
              </w:rPr>
              <w:t>n</w:t>
            </w:r>
            <w:r w:rsidRPr="00E84D1D">
              <w:rPr>
                <w:rFonts w:cs="Arial"/>
                <w:color w:val="000000" w:themeColor="text1"/>
                <w:kern w:val="24"/>
                <w:szCs w:val="22"/>
              </w:rPr>
              <w:t xml:space="preserve"> (%)</w:t>
            </w:r>
          </w:p>
        </w:tc>
        <w:tc>
          <w:tcPr>
            <w:tcW w:w="1160" w:type="pct"/>
            <w:hideMark/>
          </w:tcPr>
          <w:p w14:paraId="3AD2400F" w14:textId="77777777" w:rsidR="00B64398" w:rsidRPr="00E84D1D" w:rsidRDefault="00B64398" w:rsidP="00386A9D">
            <w:pPr>
              <w:spacing w:line="480" w:lineRule="auto"/>
              <w:rPr>
                <w:rFonts w:cs="Arial"/>
                <w:szCs w:val="22"/>
              </w:rPr>
            </w:pPr>
          </w:p>
        </w:tc>
        <w:tc>
          <w:tcPr>
            <w:tcW w:w="1267" w:type="pct"/>
            <w:hideMark/>
          </w:tcPr>
          <w:p w14:paraId="2EF04E93" w14:textId="77777777" w:rsidR="00B64398" w:rsidRPr="00E84D1D" w:rsidRDefault="00B64398" w:rsidP="00386A9D">
            <w:pPr>
              <w:spacing w:line="480" w:lineRule="auto"/>
              <w:rPr>
                <w:rFonts w:cs="Arial"/>
                <w:szCs w:val="22"/>
              </w:rPr>
            </w:pPr>
          </w:p>
        </w:tc>
        <w:tc>
          <w:tcPr>
            <w:tcW w:w="977" w:type="pct"/>
            <w:tcBorders>
              <w:right w:val="nil"/>
            </w:tcBorders>
            <w:hideMark/>
          </w:tcPr>
          <w:p w14:paraId="5403300C" w14:textId="77777777" w:rsidR="00B64398" w:rsidRPr="00E84D1D" w:rsidRDefault="00B64398" w:rsidP="00386A9D">
            <w:pPr>
              <w:spacing w:line="480" w:lineRule="auto"/>
              <w:rPr>
                <w:rFonts w:cs="Arial"/>
                <w:szCs w:val="22"/>
              </w:rPr>
            </w:pPr>
          </w:p>
        </w:tc>
      </w:tr>
      <w:tr w:rsidR="00B64398" w:rsidRPr="00E84D1D" w14:paraId="7073BE78" w14:textId="77777777" w:rsidTr="00386A9D">
        <w:trPr>
          <w:trHeight w:val="20"/>
          <w:jc w:val="left"/>
        </w:trPr>
        <w:tc>
          <w:tcPr>
            <w:tcW w:w="1596" w:type="pct"/>
            <w:tcBorders>
              <w:left w:val="nil"/>
            </w:tcBorders>
            <w:hideMark/>
          </w:tcPr>
          <w:p w14:paraId="3EFDFD0D" w14:textId="77777777" w:rsidR="00B64398" w:rsidRPr="00E84D1D" w:rsidRDefault="00B64398" w:rsidP="00386A9D">
            <w:pPr>
              <w:spacing w:line="480" w:lineRule="auto"/>
              <w:ind w:left="274"/>
              <w:rPr>
                <w:rFonts w:cs="Arial"/>
                <w:szCs w:val="22"/>
              </w:rPr>
            </w:pPr>
            <w:r w:rsidRPr="00E84D1D">
              <w:rPr>
                <w:rFonts w:cs="Arial"/>
                <w:color w:val="000000" w:themeColor="text1"/>
                <w:kern w:val="24"/>
                <w:szCs w:val="22"/>
              </w:rPr>
              <w:t>Systolic mmHg, mean (SD)</w:t>
            </w:r>
          </w:p>
        </w:tc>
        <w:tc>
          <w:tcPr>
            <w:tcW w:w="1160" w:type="pct"/>
            <w:hideMark/>
          </w:tcPr>
          <w:p w14:paraId="30E1AC59" w14:textId="77777777" w:rsidR="00B64398" w:rsidRPr="00E84D1D" w:rsidRDefault="00B64398" w:rsidP="00386A9D">
            <w:pPr>
              <w:spacing w:line="480" w:lineRule="auto"/>
              <w:ind w:left="43"/>
              <w:rPr>
                <w:rFonts w:cs="Arial"/>
                <w:szCs w:val="22"/>
              </w:rPr>
            </w:pPr>
            <w:r w:rsidRPr="00E84D1D">
              <w:rPr>
                <w:rFonts w:cs="Arial"/>
                <w:bCs/>
                <w:color w:val="000000"/>
                <w:kern w:val="24"/>
                <w:szCs w:val="22"/>
              </w:rPr>
              <w:t>133.6 (18.58)</w:t>
            </w:r>
          </w:p>
        </w:tc>
        <w:tc>
          <w:tcPr>
            <w:tcW w:w="1267" w:type="pct"/>
            <w:hideMark/>
          </w:tcPr>
          <w:p w14:paraId="5C9D96E4" w14:textId="77777777" w:rsidR="00B64398" w:rsidRPr="00E84D1D" w:rsidRDefault="00B64398" w:rsidP="00386A9D">
            <w:pPr>
              <w:spacing w:line="480" w:lineRule="auto"/>
              <w:ind w:left="43"/>
              <w:rPr>
                <w:rFonts w:cs="Arial"/>
                <w:szCs w:val="22"/>
              </w:rPr>
            </w:pPr>
            <w:r w:rsidRPr="00E84D1D">
              <w:rPr>
                <w:rFonts w:cs="Arial"/>
                <w:bCs/>
                <w:color w:val="000000"/>
                <w:kern w:val="24"/>
                <w:szCs w:val="22"/>
              </w:rPr>
              <w:t>134.6 (17.77)</w:t>
            </w:r>
          </w:p>
        </w:tc>
        <w:tc>
          <w:tcPr>
            <w:tcW w:w="977" w:type="pct"/>
            <w:tcBorders>
              <w:right w:val="nil"/>
            </w:tcBorders>
            <w:hideMark/>
          </w:tcPr>
          <w:p w14:paraId="24B28A63" w14:textId="77777777" w:rsidR="00B64398" w:rsidRPr="00E84D1D" w:rsidRDefault="00B64398" w:rsidP="00386A9D">
            <w:pPr>
              <w:spacing w:line="480" w:lineRule="auto"/>
              <w:ind w:left="43"/>
              <w:rPr>
                <w:rFonts w:cs="Arial"/>
                <w:szCs w:val="22"/>
              </w:rPr>
            </w:pPr>
            <w:r w:rsidRPr="00E84D1D">
              <w:rPr>
                <w:rFonts w:cs="Arial"/>
                <w:bCs/>
                <w:color w:val="000000"/>
                <w:kern w:val="24"/>
                <w:szCs w:val="22"/>
              </w:rPr>
              <w:t>0.2474</w:t>
            </w:r>
          </w:p>
        </w:tc>
      </w:tr>
      <w:tr w:rsidR="00B64398" w:rsidRPr="00E84D1D" w14:paraId="779D0ADA" w14:textId="77777777" w:rsidTr="00386A9D">
        <w:trPr>
          <w:trHeight w:val="20"/>
          <w:jc w:val="left"/>
        </w:trPr>
        <w:tc>
          <w:tcPr>
            <w:tcW w:w="1596" w:type="pct"/>
            <w:tcBorders>
              <w:left w:val="nil"/>
            </w:tcBorders>
            <w:hideMark/>
          </w:tcPr>
          <w:p w14:paraId="235EFEE0" w14:textId="77777777" w:rsidR="00B64398" w:rsidRPr="00E84D1D" w:rsidRDefault="00B64398" w:rsidP="00386A9D">
            <w:pPr>
              <w:spacing w:line="480" w:lineRule="auto"/>
              <w:ind w:left="274"/>
              <w:rPr>
                <w:rFonts w:cs="Arial"/>
                <w:szCs w:val="22"/>
              </w:rPr>
            </w:pPr>
            <w:r w:rsidRPr="00E84D1D">
              <w:rPr>
                <w:rFonts w:cs="Arial"/>
                <w:color w:val="000000" w:themeColor="text1"/>
                <w:kern w:val="24"/>
                <w:szCs w:val="22"/>
              </w:rPr>
              <w:t>Diastolic mmHg, mean (SD)</w:t>
            </w:r>
          </w:p>
        </w:tc>
        <w:tc>
          <w:tcPr>
            <w:tcW w:w="1160" w:type="pct"/>
            <w:hideMark/>
          </w:tcPr>
          <w:p w14:paraId="0E64A5D4" w14:textId="77777777" w:rsidR="00B64398" w:rsidRPr="00E84D1D" w:rsidRDefault="00B64398" w:rsidP="00386A9D">
            <w:pPr>
              <w:spacing w:line="480" w:lineRule="auto"/>
              <w:ind w:left="43"/>
              <w:rPr>
                <w:rFonts w:cs="Arial"/>
                <w:szCs w:val="22"/>
              </w:rPr>
            </w:pPr>
            <w:r w:rsidRPr="00E84D1D">
              <w:rPr>
                <w:rFonts w:cs="Arial"/>
                <w:color w:val="000000"/>
                <w:kern w:val="24"/>
                <w:szCs w:val="22"/>
              </w:rPr>
              <w:t>80.2 (11.40)</w:t>
            </w:r>
          </w:p>
        </w:tc>
        <w:tc>
          <w:tcPr>
            <w:tcW w:w="1267" w:type="pct"/>
            <w:hideMark/>
          </w:tcPr>
          <w:p w14:paraId="463A704F" w14:textId="77777777" w:rsidR="00B64398" w:rsidRPr="00E84D1D" w:rsidRDefault="00B64398" w:rsidP="00386A9D">
            <w:pPr>
              <w:spacing w:line="480" w:lineRule="auto"/>
              <w:ind w:left="43"/>
              <w:rPr>
                <w:rFonts w:cs="Arial"/>
                <w:szCs w:val="22"/>
              </w:rPr>
            </w:pPr>
            <w:r w:rsidRPr="00E84D1D">
              <w:rPr>
                <w:rFonts w:cs="Arial"/>
                <w:color w:val="000000"/>
                <w:kern w:val="24"/>
                <w:szCs w:val="22"/>
              </w:rPr>
              <w:t>79.2 (10.58)</w:t>
            </w:r>
          </w:p>
        </w:tc>
        <w:tc>
          <w:tcPr>
            <w:tcW w:w="977" w:type="pct"/>
            <w:tcBorders>
              <w:right w:val="nil"/>
            </w:tcBorders>
            <w:hideMark/>
          </w:tcPr>
          <w:p w14:paraId="4AF36CAD" w14:textId="77777777" w:rsidR="00B64398" w:rsidRPr="00E84D1D" w:rsidRDefault="00B64398" w:rsidP="00386A9D">
            <w:pPr>
              <w:spacing w:line="480" w:lineRule="auto"/>
              <w:ind w:left="43"/>
              <w:rPr>
                <w:rFonts w:cs="Arial"/>
                <w:szCs w:val="22"/>
              </w:rPr>
            </w:pPr>
            <w:r w:rsidRPr="00E84D1D">
              <w:rPr>
                <w:rFonts w:cs="Arial"/>
                <w:color w:val="000000"/>
                <w:kern w:val="24"/>
                <w:szCs w:val="22"/>
              </w:rPr>
              <w:t>0.0387</w:t>
            </w:r>
          </w:p>
        </w:tc>
      </w:tr>
      <w:tr w:rsidR="00B64398" w:rsidRPr="00E84D1D" w14:paraId="42277EF2" w14:textId="77777777" w:rsidTr="00386A9D">
        <w:trPr>
          <w:trHeight w:val="20"/>
          <w:jc w:val="left"/>
        </w:trPr>
        <w:tc>
          <w:tcPr>
            <w:tcW w:w="1596" w:type="pct"/>
            <w:tcBorders>
              <w:left w:val="nil"/>
            </w:tcBorders>
            <w:hideMark/>
          </w:tcPr>
          <w:p w14:paraId="5EB63D83" w14:textId="77777777" w:rsidR="00B64398" w:rsidRPr="00E84D1D" w:rsidRDefault="00B64398" w:rsidP="00386A9D">
            <w:pPr>
              <w:spacing w:line="480" w:lineRule="auto"/>
              <w:rPr>
                <w:rFonts w:cs="Arial"/>
                <w:szCs w:val="22"/>
              </w:rPr>
            </w:pPr>
            <w:r w:rsidRPr="00E84D1D">
              <w:rPr>
                <w:rFonts w:eastAsiaTheme="minorEastAsia" w:cs="Arial"/>
                <w:bCs/>
                <w:color w:val="000000" w:themeColor="text1"/>
                <w:kern w:val="24"/>
                <w:szCs w:val="22"/>
              </w:rPr>
              <w:lastRenderedPageBreak/>
              <w:t xml:space="preserve">Existing co-morbidities, </w:t>
            </w:r>
            <w:r w:rsidRPr="00E84D1D">
              <w:rPr>
                <w:rFonts w:eastAsiaTheme="minorEastAsia" w:cs="Arial"/>
                <w:bCs/>
                <w:i/>
                <w:color w:val="000000" w:themeColor="text1"/>
                <w:kern w:val="24"/>
                <w:szCs w:val="22"/>
              </w:rPr>
              <w:t>n</w:t>
            </w:r>
            <w:r w:rsidRPr="00E84D1D">
              <w:rPr>
                <w:rFonts w:eastAsiaTheme="minorEastAsia" w:cs="Arial"/>
                <w:bCs/>
                <w:color w:val="000000" w:themeColor="text1"/>
                <w:kern w:val="24"/>
                <w:szCs w:val="22"/>
              </w:rPr>
              <w:t xml:space="preserve"> (%)</w:t>
            </w:r>
          </w:p>
        </w:tc>
        <w:tc>
          <w:tcPr>
            <w:tcW w:w="1160" w:type="pct"/>
            <w:hideMark/>
          </w:tcPr>
          <w:p w14:paraId="1062AF39" w14:textId="77777777" w:rsidR="00B64398" w:rsidRPr="00E84D1D" w:rsidRDefault="00B64398" w:rsidP="00386A9D">
            <w:pPr>
              <w:spacing w:line="480" w:lineRule="auto"/>
              <w:rPr>
                <w:rFonts w:cs="Arial"/>
                <w:szCs w:val="22"/>
              </w:rPr>
            </w:pPr>
          </w:p>
        </w:tc>
        <w:tc>
          <w:tcPr>
            <w:tcW w:w="1267" w:type="pct"/>
            <w:hideMark/>
          </w:tcPr>
          <w:p w14:paraId="34E8CF03" w14:textId="77777777" w:rsidR="00B64398" w:rsidRPr="00E84D1D" w:rsidRDefault="00B64398" w:rsidP="00386A9D">
            <w:pPr>
              <w:spacing w:line="480" w:lineRule="auto"/>
              <w:rPr>
                <w:rFonts w:cs="Arial"/>
                <w:szCs w:val="22"/>
              </w:rPr>
            </w:pPr>
          </w:p>
        </w:tc>
        <w:tc>
          <w:tcPr>
            <w:tcW w:w="977" w:type="pct"/>
            <w:tcBorders>
              <w:right w:val="nil"/>
            </w:tcBorders>
            <w:hideMark/>
          </w:tcPr>
          <w:p w14:paraId="625A6D7F" w14:textId="77777777" w:rsidR="00B64398" w:rsidRPr="00E84D1D" w:rsidRDefault="00B64398" w:rsidP="00386A9D">
            <w:pPr>
              <w:spacing w:line="480" w:lineRule="auto"/>
              <w:rPr>
                <w:rFonts w:cs="Arial"/>
                <w:szCs w:val="22"/>
              </w:rPr>
            </w:pPr>
          </w:p>
        </w:tc>
      </w:tr>
      <w:tr w:rsidR="00B64398" w:rsidRPr="00E84D1D" w14:paraId="297827AA" w14:textId="77777777" w:rsidTr="00386A9D">
        <w:trPr>
          <w:trHeight w:val="20"/>
          <w:jc w:val="left"/>
        </w:trPr>
        <w:tc>
          <w:tcPr>
            <w:tcW w:w="1596" w:type="pct"/>
            <w:tcBorders>
              <w:left w:val="nil"/>
            </w:tcBorders>
            <w:hideMark/>
          </w:tcPr>
          <w:p w14:paraId="003DF3A4" w14:textId="77777777" w:rsidR="00B64398" w:rsidRPr="00E84D1D" w:rsidRDefault="00B64398" w:rsidP="00386A9D">
            <w:pPr>
              <w:tabs>
                <w:tab w:val="left" w:pos="130"/>
              </w:tabs>
              <w:spacing w:line="480" w:lineRule="auto"/>
              <w:ind w:left="274"/>
              <w:rPr>
                <w:rFonts w:cs="Arial"/>
                <w:szCs w:val="22"/>
              </w:rPr>
            </w:pPr>
            <w:r w:rsidRPr="00E84D1D">
              <w:rPr>
                <w:rFonts w:cs="Arial"/>
                <w:color w:val="000000" w:themeColor="text1"/>
                <w:kern w:val="24"/>
                <w:szCs w:val="22"/>
              </w:rPr>
              <w:t>Hypertension</w:t>
            </w:r>
          </w:p>
        </w:tc>
        <w:tc>
          <w:tcPr>
            <w:tcW w:w="1160" w:type="pct"/>
            <w:hideMark/>
          </w:tcPr>
          <w:p w14:paraId="63B8995E" w14:textId="77777777" w:rsidR="00B64398" w:rsidRPr="00E84D1D" w:rsidRDefault="00B64398" w:rsidP="00386A9D">
            <w:pPr>
              <w:tabs>
                <w:tab w:val="decimal" w:pos="36"/>
              </w:tabs>
              <w:spacing w:line="480" w:lineRule="auto"/>
              <w:ind w:left="43"/>
              <w:rPr>
                <w:rFonts w:cs="Arial"/>
                <w:szCs w:val="22"/>
              </w:rPr>
            </w:pPr>
            <w:r w:rsidRPr="00E84D1D">
              <w:rPr>
                <w:rFonts w:cs="Arial"/>
                <w:color w:val="000000"/>
                <w:kern w:val="24"/>
                <w:szCs w:val="22"/>
              </w:rPr>
              <w:t>348 (69.3)</w:t>
            </w:r>
          </w:p>
        </w:tc>
        <w:tc>
          <w:tcPr>
            <w:tcW w:w="1267" w:type="pct"/>
            <w:hideMark/>
          </w:tcPr>
          <w:p w14:paraId="3BE08D3B"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4717 (75.1)</w:t>
            </w:r>
          </w:p>
        </w:tc>
        <w:tc>
          <w:tcPr>
            <w:tcW w:w="977" w:type="pct"/>
            <w:tcBorders>
              <w:right w:val="nil"/>
            </w:tcBorders>
            <w:hideMark/>
          </w:tcPr>
          <w:p w14:paraId="3096EFBE" w14:textId="77777777" w:rsidR="00B64398" w:rsidRPr="00E84D1D" w:rsidRDefault="00B64398" w:rsidP="00386A9D">
            <w:pPr>
              <w:spacing w:line="480" w:lineRule="auto"/>
              <w:rPr>
                <w:rFonts w:cs="Arial"/>
                <w:szCs w:val="22"/>
              </w:rPr>
            </w:pPr>
            <w:r w:rsidRPr="00E84D1D">
              <w:rPr>
                <w:rFonts w:eastAsiaTheme="minorEastAsia" w:cs="Arial"/>
                <w:color w:val="000000" w:themeColor="text1"/>
                <w:kern w:val="24"/>
                <w:szCs w:val="22"/>
              </w:rPr>
              <w:t>0.0043</w:t>
            </w:r>
          </w:p>
        </w:tc>
      </w:tr>
      <w:tr w:rsidR="00B64398" w:rsidRPr="00E84D1D" w14:paraId="21EAB98B" w14:textId="77777777" w:rsidTr="00386A9D">
        <w:trPr>
          <w:trHeight w:val="20"/>
          <w:jc w:val="left"/>
        </w:trPr>
        <w:tc>
          <w:tcPr>
            <w:tcW w:w="1596" w:type="pct"/>
            <w:tcBorders>
              <w:left w:val="nil"/>
            </w:tcBorders>
            <w:hideMark/>
          </w:tcPr>
          <w:p w14:paraId="01965DDB" w14:textId="77777777" w:rsidR="00B64398" w:rsidRPr="00E84D1D" w:rsidRDefault="00B64398" w:rsidP="00386A9D">
            <w:pPr>
              <w:tabs>
                <w:tab w:val="left" w:pos="130"/>
              </w:tabs>
              <w:spacing w:line="480" w:lineRule="auto"/>
              <w:ind w:left="274"/>
              <w:rPr>
                <w:rFonts w:cs="Arial"/>
                <w:szCs w:val="22"/>
              </w:rPr>
            </w:pPr>
            <w:r w:rsidRPr="00E84D1D">
              <w:rPr>
                <w:rFonts w:eastAsiaTheme="minorEastAsia" w:cs="Arial"/>
                <w:color w:val="000000" w:themeColor="text1"/>
                <w:kern w:val="24"/>
                <w:szCs w:val="22"/>
              </w:rPr>
              <w:t>Diabetes mellitus</w:t>
            </w:r>
          </w:p>
        </w:tc>
        <w:tc>
          <w:tcPr>
            <w:tcW w:w="1160" w:type="pct"/>
            <w:hideMark/>
          </w:tcPr>
          <w:p w14:paraId="009B5DC6"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79 (15.7)</w:t>
            </w:r>
          </w:p>
        </w:tc>
        <w:tc>
          <w:tcPr>
            <w:tcW w:w="1267" w:type="pct"/>
            <w:hideMark/>
          </w:tcPr>
          <w:p w14:paraId="636925C8"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1254 (20.0)</w:t>
            </w:r>
          </w:p>
        </w:tc>
        <w:tc>
          <w:tcPr>
            <w:tcW w:w="977" w:type="pct"/>
            <w:tcBorders>
              <w:right w:val="nil"/>
            </w:tcBorders>
            <w:hideMark/>
          </w:tcPr>
          <w:p w14:paraId="53DB5F7A" w14:textId="77777777" w:rsidR="00B64398" w:rsidRPr="00E84D1D" w:rsidRDefault="00B64398" w:rsidP="00386A9D">
            <w:pPr>
              <w:spacing w:line="480" w:lineRule="auto"/>
              <w:rPr>
                <w:rFonts w:cs="Arial"/>
                <w:szCs w:val="22"/>
              </w:rPr>
            </w:pPr>
            <w:r w:rsidRPr="00E84D1D">
              <w:rPr>
                <w:rFonts w:eastAsiaTheme="minorEastAsia" w:cs="Arial"/>
                <w:color w:val="000000" w:themeColor="text1"/>
                <w:kern w:val="24"/>
                <w:szCs w:val="22"/>
              </w:rPr>
              <w:t>0.0219</w:t>
            </w:r>
          </w:p>
        </w:tc>
      </w:tr>
      <w:tr w:rsidR="00B64398" w:rsidRPr="00E84D1D" w14:paraId="2C660E84" w14:textId="77777777" w:rsidTr="00386A9D">
        <w:trPr>
          <w:trHeight w:val="20"/>
          <w:jc w:val="left"/>
        </w:trPr>
        <w:tc>
          <w:tcPr>
            <w:tcW w:w="1596" w:type="pct"/>
            <w:tcBorders>
              <w:left w:val="nil"/>
            </w:tcBorders>
            <w:hideMark/>
          </w:tcPr>
          <w:p w14:paraId="44DCC464" w14:textId="77777777" w:rsidR="00B64398" w:rsidRPr="00E84D1D" w:rsidRDefault="00B64398" w:rsidP="00386A9D">
            <w:pPr>
              <w:tabs>
                <w:tab w:val="left" w:pos="130"/>
              </w:tabs>
              <w:spacing w:line="480" w:lineRule="auto"/>
              <w:ind w:left="274"/>
              <w:rPr>
                <w:rFonts w:cs="Arial"/>
                <w:szCs w:val="22"/>
              </w:rPr>
            </w:pPr>
            <w:r w:rsidRPr="00E84D1D">
              <w:rPr>
                <w:rFonts w:eastAsiaTheme="minorEastAsia" w:cs="Arial"/>
                <w:color w:val="000000" w:themeColor="text1"/>
                <w:kern w:val="24"/>
                <w:szCs w:val="22"/>
              </w:rPr>
              <w:t>Prior stroke/non-CNS SE/TIA</w:t>
            </w:r>
          </w:p>
        </w:tc>
        <w:tc>
          <w:tcPr>
            <w:tcW w:w="1160" w:type="pct"/>
            <w:hideMark/>
          </w:tcPr>
          <w:p w14:paraId="64670153"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47 (9.4)</w:t>
            </w:r>
          </w:p>
        </w:tc>
        <w:tc>
          <w:tcPr>
            <w:tcW w:w="1267" w:type="pct"/>
            <w:hideMark/>
          </w:tcPr>
          <w:p w14:paraId="5EAAB48D"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1244 (19.8)</w:t>
            </w:r>
          </w:p>
        </w:tc>
        <w:tc>
          <w:tcPr>
            <w:tcW w:w="977" w:type="pct"/>
            <w:tcBorders>
              <w:right w:val="nil"/>
            </w:tcBorders>
            <w:hideMark/>
          </w:tcPr>
          <w:p w14:paraId="55DD7889" w14:textId="77777777" w:rsidR="00B64398" w:rsidRPr="00E84D1D" w:rsidRDefault="00B64398" w:rsidP="00386A9D">
            <w:pPr>
              <w:spacing w:line="480" w:lineRule="auto"/>
              <w:rPr>
                <w:rFonts w:cs="Arial"/>
                <w:szCs w:val="22"/>
              </w:rPr>
            </w:pPr>
            <w:r w:rsidRPr="00E84D1D">
              <w:rPr>
                <w:rFonts w:eastAsiaTheme="minorEastAsia" w:cs="Arial"/>
                <w:color w:val="000000" w:themeColor="text1"/>
                <w:kern w:val="24"/>
                <w:szCs w:val="22"/>
              </w:rPr>
              <w:t>&lt;0.0001</w:t>
            </w:r>
          </w:p>
        </w:tc>
      </w:tr>
      <w:tr w:rsidR="00B64398" w:rsidRPr="00E84D1D" w14:paraId="06906533" w14:textId="77777777" w:rsidTr="00386A9D">
        <w:trPr>
          <w:trHeight w:val="20"/>
          <w:jc w:val="left"/>
        </w:trPr>
        <w:tc>
          <w:tcPr>
            <w:tcW w:w="1596" w:type="pct"/>
            <w:tcBorders>
              <w:left w:val="nil"/>
            </w:tcBorders>
            <w:hideMark/>
          </w:tcPr>
          <w:p w14:paraId="6247A343" w14:textId="77777777" w:rsidR="00B64398" w:rsidRPr="00E84D1D" w:rsidRDefault="00B64398" w:rsidP="00386A9D">
            <w:pPr>
              <w:tabs>
                <w:tab w:val="left" w:pos="130"/>
              </w:tabs>
              <w:spacing w:line="480" w:lineRule="auto"/>
              <w:ind w:left="274"/>
              <w:rPr>
                <w:rFonts w:cs="Arial"/>
                <w:szCs w:val="22"/>
              </w:rPr>
            </w:pPr>
            <w:r w:rsidRPr="00E84D1D">
              <w:rPr>
                <w:rFonts w:eastAsiaTheme="minorEastAsia" w:cs="Arial"/>
                <w:color w:val="000000" w:themeColor="text1"/>
                <w:kern w:val="24"/>
                <w:szCs w:val="22"/>
              </w:rPr>
              <w:t>Prior MI</w:t>
            </w:r>
          </w:p>
        </w:tc>
        <w:tc>
          <w:tcPr>
            <w:tcW w:w="1160" w:type="pct"/>
            <w:hideMark/>
          </w:tcPr>
          <w:p w14:paraId="714F1BDA"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46 (9.2)</w:t>
            </w:r>
          </w:p>
        </w:tc>
        <w:tc>
          <w:tcPr>
            <w:tcW w:w="1267" w:type="pct"/>
            <w:hideMark/>
          </w:tcPr>
          <w:p w14:paraId="02EC6439"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642 (10.2)</w:t>
            </w:r>
          </w:p>
        </w:tc>
        <w:tc>
          <w:tcPr>
            <w:tcW w:w="977" w:type="pct"/>
            <w:tcBorders>
              <w:right w:val="nil"/>
            </w:tcBorders>
            <w:hideMark/>
          </w:tcPr>
          <w:p w14:paraId="41CD9315" w14:textId="77777777" w:rsidR="00B64398" w:rsidRPr="00E84D1D" w:rsidRDefault="00B64398" w:rsidP="00386A9D">
            <w:pPr>
              <w:spacing w:line="480" w:lineRule="auto"/>
              <w:rPr>
                <w:rFonts w:cs="Arial"/>
                <w:szCs w:val="22"/>
              </w:rPr>
            </w:pPr>
            <w:r w:rsidRPr="00E84D1D">
              <w:rPr>
                <w:rFonts w:eastAsiaTheme="minorEastAsia" w:cs="Arial"/>
                <w:color w:val="000000" w:themeColor="text1"/>
                <w:kern w:val="24"/>
                <w:szCs w:val="22"/>
              </w:rPr>
              <w:t>0.4506</w:t>
            </w:r>
          </w:p>
        </w:tc>
      </w:tr>
      <w:tr w:rsidR="00B64398" w:rsidRPr="00E84D1D" w14:paraId="2C3930DD" w14:textId="77777777" w:rsidTr="00386A9D">
        <w:trPr>
          <w:trHeight w:val="20"/>
          <w:jc w:val="left"/>
        </w:trPr>
        <w:tc>
          <w:tcPr>
            <w:tcW w:w="1596" w:type="pct"/>
            <w:tcBorders>
              <w:left w:val="nil"/>
            </w:tcBorders>
            <w:hideMark/>
          </w:tcPr>
          <w:p w14:paraId="6C871477" w14:textId="77777777" w:rsidR="00B64398" w:rsidRPr="00E84D1D" w:rsidRDefault="00B64398" w:rsidP="00386A9D">
            <w:pPr>
              <w:tabs>
                <w:tab w:val="left" w:pos="130"/>
              </w:tabs>
              <w:spacing w:line="480" w:lineRule="auto"/>
              <w:ind w:left="274"/>
              <w:rPr>
                <w:rFonts w:cs="Arial"/>
                <w:szCs w:val="22"/>
              </w:rPr>
            </w:pPr>
            <w:r w:rsidRPr="00E84D1D">
              <w:rPr>
                <w:rFonts w:eastAsiaTheme="minorEastAsia" w:cs="Arial"/>
                <w:color w:val="000000" w:themeColor="text1"/>
                <w:kern w:val="24"/>
                <w:szCs w:val="22"/>
              </w:rPr>
              <w:t>CHF</w:t>
            </w:r>
          </w:p>
        </w:tc>
        <w:tc>
          <w:tcPr>
            <w:tcW w:w="1160" w:type="pct"/>
            <w:hideMark/>
          </w:tcPr>
          <w:p w14:paraId="15290940"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72 (14.3)</w:t>
            </w:r>
          </w:p>
        </w:tc>
        <w:tc>
          <w:tcPr>
            <w:tcW w:w="1267" w:type="pct"/>
            <w:hideMark/>
          </w:tcPr>
          <w:p w14:paraId="6254A501"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1193 (19.0)</w:t>
            </w:r>
          </w:p>
        </w:tc>
        <w:tc>
          <w:tcPr>
            <w:tcW w:w="977" w:type="pct"/>
            <w:tcBorders>
              <w:right w:val="nil"/>
            </w:tcBorders>
            <w:hideMark/>
          </w:tcPr>
          <w:p w14:paraId="644AFF83" w14:textId="77777777" w:rsidR="00B64398" w:rsidRPr="00E84D1D" w:rsidRDefault="00B64398" w:rsidP="00386A9D">
            <w:pPr>
              <w:spacing w:line="480" w:lineRule="auto"/>
              <w:rPr>
                <w:rFonts w:cs="Arial"/>
                <w:szCs w:val="22"/>
              </w:rPr>
            </w:pPr>
            <w:r w:rsidRPr="00E84D1D">
              <w:rPr>
                <w:rFonts w:eastAsiaTheme="minorEastAsia" w:cs="Arial"/>
                <w:color w:val="000000" w:themeColor="text1"/>
                <w:kern w:val="24"/>
                <w:szCs w:val="22"/>
              </w:rPr>
              <w:t>0.0101</w:t>
            </w:r>
          </w:p>
        </w:tc>
      </w:tr>
      <w:tr w:rsidR="00B64398" w:rsidRPr="00E84D1D" w14:paraId="6F9E33D3" w14:textId="77777777" w:rsidTr="00386A9D">
        <w:trPr>
          <w:trHeight w:val="20"/>
          <w:jc w:val="left"/>
        </w:trPr>
        <w:tc>
          <w:tcPr>
            <w:tcW w:w="1596" w:type="pct"/>
            <w:tcBorders>
              <w:left w:val="nil"/>
            </w:tcBorders>
            <w:hideMark/>
          </w:tcPr>
          <w:p w14:paraId="291453D2" w14:textId="77777777" w:rsidR="00B64398" w:rsidRPr="00E84D1D" w:rsidRDefault="00B64398" w:rsidP="00386A9D">
            <w:pPr>
              <w:tabs>
                <w:tab w:val="decimal" w:pos="1000"/>
              </w:tabs>
              <w:spacing w:line="480" w:lineRule="auto"/>
              <w:rPr>
                <w:rFonts w:cs="Arial"/>
                <w:szCs w:val="22"/>
              </w:rPr>
            </w:pPr>
            <w:r w:rsidRPr="00E84D1D">
              <w:rPr>
                <w:rFonts w:cs="Arial"/>
                <w:color w:val="000000"/>
                <w:kern w:val="24"/>
                <w:szCs w:val="22"/>
              </w:rPr>
              <w:t xml:space="preserve">Cancer at baseline, </w:t>
            </w:r>
            <w:r w:rsidRPr="00E84D1D">
              <w:rPr>
                <w:rFonts w:cs="Arial"/>
                <w:i/>
                <w:color w:val="000000"/>
                <w:kern w:val="24"/>
                <w:szCs w:val="22"/>
              </w:rPr>
              <w:t>n</w:t>
            </w:r>
            <w:r w:rsidRPr="00E84D1D">
              <w:rPr>
                <w:rFonts w:cs="Arial"/>
                <w:color w:val="000000"/>
                <w:kern w:val="24"/>
                <w:szCs w:val="22"/>
              </w:rPr>
              <w:t xml:space="preserve"> (%)</w:t>
            </w:r>
          </w:p>
        </w:tc>
        <w:tc>
          <w:tcPr>
            <w:tcW w:w="1160" w:type="pct"/>
            <w:hideMark/>
          </w:tcPr>
          <w:p w14:paraId="0BE06859"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10 (2.0)</w:t>
            </w:r>
          </w:p>
        </w:tc>
        <w:tc>
          <w:tcPr>
            <w:tcW w:w="1267" w:type="pct"/>
            <w:hideMark/>
          </w:tcPr>
          <w:p w14:paraId="3B0FD5A1"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95 (1.5)</w:t>
            </w:r>
          </w:p>
        </w:tc>
        <w:tc>
          <w:tcPr>
            <w:tcW w:w="977" w:type="pct"/>
            <w:tcBorders>
              <w:right w:val="nil"/>
            </w:tcBorders>
            <w:hideMark/>
          </w:tcPr>
          <w:p w14:paraId="69835D46" w14:textId="77777777" w:rsidR="00B64398" w:rsidRPr="00E84D1D" w:rsidRDefault="00B64398" w:rsidP="00386A9D">
            <w:pPr>
              <w:tabs>
                <w:tab w:val="decimal" w:pos="0"/>
              </w:tabs>
              <w:spacing w:line="480" w:lineRule="auto"/>
              <w:rPr>
                <w:rFonts w:cs="Arial"/>
                <w:szCs w:val="22"/>
              </w:rPr>
            </w:pPr>
            <w:r w:rsidRPr="00E84D1D">
              <w:rPr>
                <w:rFonts w:eastAsiaTheme="minorEastAsia" w:cs="Arial"/>
                <w:color w:val="000000" w:themeColor="text1"/>
                <w:kern w:val="24"/>
                <w:szCs w:val="22"/>
              </w:rPr>
              <w:t>0.4020</w:t>
            </w:r>
          </w:p>
        </w:tc>
      </w:tr>
      <w:tr w:rsidR="00B64398" w:rsidRPr="00E84D1D" w14:paraId="19E707AC" w14:textId="77777777" w:rsidTr="00386A9D">
        <w:trPr>
          <w:trHeight w:val="20"/>
          <w:jc w:val="left"/>
        </w:trPr>
        <w:tc>
          <w:tcPr>
            <w:tcW w:w="1596" w:type="pct"/>
            <w:tcBorders>
              <w:left w:val="nil"/>
            </w:tcBorders>
            <w:hideMark/>
          </w:tcPr>
          <w:p w14:paraId="233706FC" w14:textId="77777777" w:rsidR="00B64398" w:rsidRPr="00E84D1D" w:rsidRDefault="00B64398" w:rsidP="00386A9D">
            <w:pPr>
              <w:tabs>
                <w:tab w:val="left" w:pos="1125"/>
              </w:tabs>
              <w:spacing w:line="480" w:lineRule="auto"/>
              <w:rPr>
                <w:rFonts w:cs="Arial"/>
                <w:szCs w:val="22"/>
              </w:rPr>
            </w:pPr>
            <w:r w:rsidRPr="00E84D1D">
              <w:rPr>
                <w:rFonts w:cs="Arial"/>
                <w:color w:val="000000" w:themeColor="text1"/>
                <w:kern w:val="24"/>
                <w:szCs w:val="22"/>
              </w:rPr>
              <w:t xml:space="preserve">Anaemia/reduced Hb levels, </w:t>
            </w:r>
            <w:r w:rsidRPr="00E84D1D">
              <w:rPr>
                <w:rFonts w:cs="Arial"/>
                <w:i/>
                <w:color w:val="000000" w:themeColor="text1"/>
                <w:kern w:val="24"/>
                <w:szCs w:val="22"/>
              </w:rPr>
              <w:t>n</w:t>
            </w:r>
            <w:r w:rsidRPr="00E84D1D">
              <w:rPr>
                <w:rFonts w:cs="Arial"/>
                <w:color w:val="000000" w:themeColor="text1"/>
                <w:kern w:val="24"/>
                <w:szCs w:val="22"/>
              </w:rPr>
              <w:t xml:space="preserve"> (%)</w:t>
            </w:r>
          </w:p>
        </w:tc>
        <w:tc>
          <w:tcPr>
            <w:tcW w:w="1160" w:type="pct"/>
            <w:hideMark/>
          </w:tcPr>
          <w:p w14:paraId="1113C997"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7 (1.4)</w:t>
            </w:r>
          </w:p>
        </w:tc>
        <w:tc>
          <w:tcPr>
            <w:tcW w:w="1267" w:type="pct"/>
            <w:hideMark/>
          </w:tcPr>
          <w:p w14:paraId="3F2969BE" w14:textId="77777777" w:rsidR="00B64398" w:rsidRPr="00E84D1D" w:rsidRDefault="00B64398" w:rsidP="00386A9D">
            <w:pPr>
              <w:tabs>
                <w:tab w:val="decimal" w:pos="36"/>
              </w:tabs>
              <w:spacing w:line="480" w:lineRule="auto"/>
              <w:ind w:left="43"/>
              <w:rPr>
                <w:rFonts w:cs="Arial"/>
                <w:color w:val="000000"/>
                <w:kern w:val="24"/>
                <w:szCs w:val="22"/>
              </w:rPr>
            </w:pPr>
            <w:r w:rsidRPr="00E84D1D">
              <w:rPr>
                <w:rFonts w:cs="Arial"/>
                <w:color w:val="000000"/>
                <w:kern w:val="24"/>
                <w:szCs w:val="22"/>
              </w:rPr>
              <w:t>196 (3.1)</w:t>
            </w:r>
          </w:p>
        </w:tc>
        <w:tc>
          <w:tcPr>
            <w:tcW w:w="977" w:type="pct"/>
            <w:tcBorders>
              <w:right w:val="nil"/>
            </w:tcBorders>
            <w:hideMark/>
          </w:tcPr>
          <w:p w14:paraId="32CA673B" w14:textId="77777777" w:rsidR="00B64398" w:rsidRPr="00E84D1D" w:rsidRDefault="00B64398" w:rsidP="00386A9D">
            <w:pPr>
              <w:tabs>
                <w:tab w:val="decimal" w:pos="0"/>
              </w:tabs>
              <w:spacing w:line="480" w:lineRule="auto"/>
              <w:rPr>
                <w:rFonts w:cs="Arial"/>
                <w:szCs w:val="22"/>
              </w:rPr>
            </w:pPr>
            <w:r w:rsidRPr="00E84D1D">
              <w:rPr>
                <w:rFonts w:eastAsiaTheme="minorEastAsia" w:cs="Arial"/>
                <w:color w:val="000000" w:themeColor="text1"/>
                <w:kern w:val="24"/>
                <w:szCs w:val="22"/>
              </w:rPr>
              <w:t>0.0290</w:t>
            </w:r>
          </w:p>
        </w:tc>
      </w:tr>
      <w:tr w:rsidR="00B64398" w:rsidRPr="00E84D1D" w14:paraId="48CEAA8A" w14:textId="77777777" w:rsidTr="00386A9D">
        <w:trPr>
          <w:trHeight w:val="20"/>
          <w:jc w:val="left"/>
        </w:trPr>
        <w:tc>
          <w:tcPr>
            <w:tcW w:w="1596" w:type="pct"/>
            <w:tcBorders>
              <w:left w:val="nil"/>
            </w:tcBorders>
            <w:hideMark/>
          </w:tcPr>
          <w:p w14:paraId="4F1DFEAA" w14:textId="77777777" w:rsidR="00B64398" w:rsidRPr="00E84D1D" w:rsidRDefault="00B64398" w:rsidP="00386A9D">
            <w:pPr>
              <w:tabs>
                <w:tab w:val="left" w:pos="33"/>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 xml:space="preserve">Prior anticoagulation therapy (before study baseline),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60" w:type="pct"/>
            <w:hideMark/>
          </w:tcPr>
          <w:p w14:paraId="4CBFADE7" w14:textId="77777777" w:rsidR="00B64398" w:rsidRPr="00E84D1D" w:rsidRDefault="00B64398" w:rsidP="00386A9D">
            <w:pPr>
              <w:tabs>
                <w:tab w:val="left" w:pos="33"/>
                <w:tab w:val="decimal" w:pos="1000"/>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341 (67.9)</w:t>
            </w:r>
          </w:p>
        </w:tc>
        <w:tc>
          <w:tcPr>
            <w:tcW w:w="1267" w:type="pct"/>
            <w:hideMark/>
          </w:tcPr>
          <w:p w14:paraId="707F5134" w14:textId="77777777" w:rsidR="00B64398" w:rsidRPr="00E84D1D" w:rsidRDefault="00B64398" w:rsidP="00386A9D">
            <w:pPr>
              <w:tabs>
                <w:tab w:val="left" w:pos="33"/>
                <w:tab w:val="decimal" w:pos="1000"/>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4831 (76.9)</w:t>
            </w:r>
          </w:p>
        </w:tc>
        <w:tc>
          <w:tcPr>
            <w:tcW w:w="977" w:type="pct"/>
            <w:tcBorders>
              <w:right w:val="nil"/>
            </w:tcBorders>
            <w:hideMark/>
          </w:tcPr>
          <w:p w14:paraId="5F5B335F" w14:textId="77777777" w:rsidR="00B64398" w:rsidRPr="00E84D1D" w:rsidRDefault="00B64398" w:rsidP="00386A9D">
            <w:pPr>
              <w:tabs>
                <w:tab w:val="left" w:pos="33"/>
                <w:tab w:val="decimal" w:pos="1000"/>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&lt;0.0001</w:t>
            </w:r>
          </w:p>
        </w:tc>
      </w:tr>
      <w:tr w:rsidR="00B64398" w:rsidRPr="00E84D1D" w14:paraId="13ABCFDD" w14:textId="77777777" w:rsidTr="00386A9D">
        <w:trPr>
          <w:trHeight w:val="20"/>
          <w:jc w:val="left"/>
        </w:trPr>
        <w:tc>
          <w:tcPr>
            <w:tcW w:w="1596" w:type="pct"/>
            <w:tcBorders>
              <w:left w:val="nil"/>
            </w:tcBorders>
            <w:hideMark/>
          </w:tcPr>
          <w:p w14:paraId="3B71409B" w14:textId="77777777" w:rsidR="00B64398" w:rsidRPr="00E84D1D" w:rsidRDefault="00B64398" w:rsidP="00386A9D">
            <w:pPr>
              <w:tabs>
                <w:tab w:val="left" w:pos="33"/>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 xml:space="preserve">Concomitant antiplatelet/NSAID use,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60" w:type="pct"/>
            <w:hideMark/>
          </w:tcPr>
          <w:p w14:paraId="02C8574C" w14:textId="77777777" w:rsidR="00B64398" w:rsidRPr="00E84D1D" w:rsidRDefault="00B64398" w:rsidP="00386A9D">
            <w:pPr>
              <w:tabs>
                <w:tab w:val="left" w:pos="33"/>
                <w:tab w:val="decimal" w:pos="1000"/>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104 (20.7)</w:t>
            </w:r>
          </w:p>
        </w:tc>
        <w:tc>
          <w:tcPr>
            <w:tcW w:w="1267" w:type="pct"/>
            <w:hideMark/>
          </w:tcPr>
          <w:p w14:paraId="5AC9C20B" w14:textId="77777777" w:rsidR="00B64398" w:rsidRPr="00E84D1D" w:rsidRDefault="00B64398" w:rsidP="00386A9D">
            <w:pPr>
              <w:tabs>
                <w:tab w:val="left" w:pos="33"/>
                <w:tab w:val="decimal" w:pos="1000"/>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1136 (18.1)</w:t>
            </w:r>
          </w:p>
        </w:tc>
        <w:tc>
          <w:tcPr>
            <w:tcW w:w="977" w:type="pct"/>
            <w:tcBorders>
              <w:right w:val="nil"/>
            </w:tcBorders>
            <w:hideMark/>
          </w:tcPr>
          <w:p w14:paraId="09260C20" w14:textId="77777777" w:rsidR="00B64398" w:rsidRPr="00E84D1D" w:rsidRDefault="00B64398" w:rsidP="00386A9D">
            <w:pPr>
              <w:tabs>
                <w:tab w:val="left" w:pos="33"/>
              </w:tabs>
              <w:spacing w:line="480" w:lineRule="auto"/>
              <w:ind w:firstLine="33"/>
              <w:rPr>
                <w:rFonts w:eastAsiaTheme="minorEastAsia" w:cs="Arial"/>
                <w:color w:val="000000" w:themeColor="text1"/>
                <w:kern w:val="24"/>
                <w:szCs w:val="22"/>
              </w:rPr>
            </w:pPr>
            <w:r w:rsidRPr="00E84D1D">
              <w:rPr>
                <w:rFonts w:eastAsiaTheme="minorEastAsia" w:cs="Arial"/>
                <w:color w:val="000000" w:themeColor="text1"/>
                <w:kern w:val="24"/>
                <w:szCs w:val="22"/>
              </w:rPr>
              <w:t>0.1418</w:t>
            </w:r>
          </w:p>
        </w:tc>
      </w:tr>
      <w:tr w:rsidR="00B64398" w:rsidRPr="00E84D1D" w14:paraId="621DB01B" w14:textId="77777777" w:rsidTr="00386A9D">
        <w:trPr>
          <w:trHeight w:val="19"/>
          <w:jc w:val="left"/>
        </w:trPr>
        <w:tc>
          <w:tcPr>
            <w:tcW w:w="1596" w:type="pct"/>
            <w:tcBorders>
              <w:left w:val="nil"/>
            </w:tcBorders>
            <w:hideMark/>
          </w:tcPr>
          <w:p w14:paraId="41521984"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Hospitalization at study baseline,</w:t>
            </w:r>
            <w:r w:rsidRPr="00E84D1D">
              <w:rPr>
                <w:rFonts w:eastAsiaTheme="minorEastAsia" w:cs="Arial"/>
                <w:color w:val="000000" w:themeColor="text1"/>
                <w:kern w:val="24"/>
                <w:szCs w:val="22"/>
                <w:vertAlign w:val="superscript"/>
              </w:rPr>
              <w:t>b,c</w:t>
            </w:r>
            <w:r w:rsidRPr="00E84D1D">
              <w:rPr>
                <w:rFonts w:eastAsiaTheme="minorEastAsia" w:cs="Arial"/>
                <w:color w:val="000000" w:themeColor="text1"/>
                <w:kern w:val="24"/>
                <w:szCs w:val="22"/>
              </w:rPr>
              <w:t xml:space="preserve"> </w:t>
            </w:r>
            <w:r w:rsidRPr="00E84D1D">
              <w:rPr>
                <w:rFonts w:eastAsiaTheme="minorEastAsia" w:cs="Arial"/>
                <w:i/>
                <w:color w:val="000000" w:themeColor="text1"/>
                <w:kern w:val="24"/>
                <w:szCs w:val="22"/>
              </w:rPr>
              <w:t>n</w:t>
            </w:r>
            <w:r w:rsidRPr="00E84D1D">
              <w:rPr>
                <w:rFonts w:eastAsiaTheme="minorEastAsia" w:cs="Arial"/>
                <w:color w:val="000000" w:themeColor="text1"/>
                <w:kern w:val="24"/>
                <w:szCs w:val="22"/>
              </w:rPr>
              <w:t xml:space="preserve"> (%)</w:t>
            </w:r>
          </w:p>
        </w:tc>
        <w:tc>
          <w:tcPr>
            <w:tcW w:w="1160" w:type="pct"/>
            <w:hideMark/>
          </w:tcPr>
          <w:p w14:paraId="05A9BAB1" w14:textId="77777777" w:rsidR="00B64398" w:rsidRPr="00E84D1D" w:rsidRDefault="00B64398" w:rsidP="00386A9D">
            <w:pPr>
              <w:tabs>
                <w:tab w:val="left" w:pos="-109"/>
                <w:tab w:val="decimal" w:pos="1000"/>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159 (31.7)</w:t>
            </w:r>
          </w:p>
        </w:tc>
        <w:tc>
          <w:tcPr>
            <w:tcW w:w="1267" w:type="pct"/>
            <w:hideMark/>
          </w:tcPr>
          <w:p w14:paraId="5B6BD4B1" w14:textId="77777777" w:rsidR="00B64398" w:rsidRPr="00E84D1D" w:rsidRDefault="00B64398" w:rsidP="00386A9D">
            <w:pPr>
              <w:tabs>
                <w:tab w:val="left" w:pos="-109"/>
                <w:tab w:val="decimal" w:pos="1000"/>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1067 (17.0)</w:t>
            </w:r>
          </w:p>
        </w:tc>
        <w:tc>
          <w:tcPr>
            <w:tcW w:w="977" w:type="pct"/>
            <w:tcBorders>
              <w:right w:val="nil"/>
            </w:tcBorders>
            <w:hideMark/>
          </w:tcPr>
          <w:p w14:paraId="52CB7393" w14:textId="77777777" w:rsidR="00B64398" w:rsidRPr="00E84D1D" w:rsidRDefault="00B64398" w:rsidP="00386A9D">
            <w:pPr>
              <w:tabs>
                <w:tab w:val="left" w:pos="-109"/>
                <w:tab w:val="decimal" w:pos="1000"/>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&lt;0.0001</w:t>
            </w:r>
          </w:p>
        </w:tc>
      </w:tr>
      <w:tr w:rsidR="00B64398" w:rsidRPr="00E84D1D" w14:paraId="4473AF94" w14:textId="77777777" w:rsidTr="00386A9D">
        <w:trPr>
          <w:trHeight w:val="20"/>
          <w:jc w:val="left"/>
        </w:trPr>
        <w:tc>
          <w:tcPr>
            <w:tcW w:w="1596" w:type="pct"/>
            <w:tcBorders>
              <w:left w:val="nil"/>
            </w:tcBorders>
            <w:hideMark/>
          </w:tcPr>
          <w:p w14:paraId="27F9F69E" w14:textId="77777777" w:rsidR="00B64398" w:rsidRPr="00E84D1D" w:rsidRDefault="00B64398" w:rsidP="00386A9D">
            <w:pPr>
              <w:tabs>
                <w:tab w:val="left" w:pos="-109"/>
              </w:tabs>
              <w:spacing w:line="480" w:lineRule="auto"/>
              <w:rPr>
                <w:rFonts w:eastAsiaTheme="minorEastAsia"/>
              </w:rPr>
            </w:pPr>
            <w:r w:rsidRPr="00E84D1D">
              <w:rPr>
                <w:rFonts w:eastAsiaTheme="minorEastAsia"/>
              </w:rPr>
              <w:t>HAS-BLED score,</w:t>
            </w:r>
            <w:r w:rsidRPr="00E84D1D">
              <w:rPr>
                <w:rFonts w:eastAsiaTheme="minorEastAsia" w:cs="Arial"/>
                <w:color w:val="000000" w:themeColor="text1"/>
                <w:kern w:val="24"/>
                <w:szCs w:val="22"/>
                <w:vertAlign w:val="superscript"/>
              </w:rPr>
              <w:t>b</w:t>
            </w:r>
            <w:r w:rsidRPr="00E84D1D">
              <w:rPr>
                <w:rFonts w:eastAsiaTheme="minorEastAsia"/>
              </w:rPr>
              <w:t xml:space="preserve"> mean (SD)</w:t>
            </w:r>
          </w:p>
        </w:tc>
        <w:tc>
          <w:tcPr>
            <w:tcW w:w="1160" w:type="pct"/>
            <w:hideMark/>
          </w:tcPr>
          <w:p w14:paraId="3B76DA13" w14:textId="77777777" w:rsidR="00B64398" w:rsidRPr="00E84D1D" w:rsidRDefault="00B64398" w:rsidP="00386A9D">
            <w:pPr>
              <w:tabs>
                <w:tab w:val="left" w:pos="-109"/>
              </w:tabs>
              <w:spacing w:line="480" w:lineRule="auto"/>
              <w:rPr>
                <w:rFonts w:eastAsiaTheme="minorEastAsia"/>
              </w:rPr>
            </w:pPr>
            <w:r w:rsidRPr="00E84D1D">
              <w:t>1.7 (0.96)</w:t>
            </w:r>
          </w:p>
        </w:tc>
        <w:tc>
          <w:tcPr>
            <w:tcW w:w="1267" w:type="pct"/>
            <w:hideMark/>
          </w:tcPr>
          <w:p w14:paraId="5998DA1A" w14:textId="77777777" w:rsidR="00B64398" w:rsidRPr="00E84D1D" w:rsidRDefault="00B64398" w:rsidP="00386A9D">
            <w:pPr>
              <w:tabs>
                <w:tab w:val="left" w:pos="-109"/>
              </w:tabs>
              <w:spacing w:line="480" w:lineRule="auto"/>
              <w:rPr>
                <w:rFonts w:eastAsiaTheme="minorEastAsia"/>
              </w:rPr>
            </w:pPr>
            <w:r w:rsidRPr="00E84D1D">
              <w:t>2.0 (1.01)</w:t>
            </w:r>
          </w:p>
        </w:tc>
        <w:tc>
          <w:tcPr>
            <w:tcW w:w="977" w:type="pct"/>
            <w:tcBorders>
              <w:right w:val="nil"/>
            </w:tcBorders>
            <w:hideMark/>
          </w:tcPr>
          <w:p w14:paraId="57F3F10F" w14:textId="77777777" w:rsidR="00B64398" w:rsidRPr="00E84D1D" w:rsidRDefault="00B64398" w:rsidP="00386A9D">
            <w:pPr>
              <w:tabs>
                <w:tab w:val="left" w:pos="-109"/>
              </w:tabs>
              <w:spacing w:line="480" w:lineRule="auto"/>
              <w:rPr>
                <w:rFonts w:eastAsiaTheme="minorEastAsia"/>
              </w:rPr>
            </w:pPr>
            <w:r w:rsidRPr="00E84D1D">
              <w:rPr>
                <w:rFonts w:eastAsiaTheme="minorEastAsia"/>
              </w:rPr>
              <w:t>&lt;0.0001</w:t>
            </w:r>
          </w:p>
        </w:tc>
      </w:tr>
      <w:tr w:rsidR="00B64398" w:rsidRPr="00E84D1D" w14:paraId="0C5FA7EA" w14:textId="77777777" w:rsidTr="00386A9D">
        <w:trPr>
          <w:trHeight w:val="20"/>
          <w:jc w:val="left"/>
        </w:trPr>
        <w:tc>
          <w:tcPr>
            <w:tcW w:w="1596" w:type="pct"/>
            <w:tcBorders>
              <w:left w:val="nil"/>
            </w:tcBorders>
            <w:hideMark/>
          </w:tcPr>
          <w:p w14:paraId="2523A685"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lastRenderedPageBreak/>
              <w:t>CHADS</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 xml:space="preserve"> score, mean (SD)</w:t>
            </w:r>
          </w:p>
        </w:tc>
        <w:tc>
          <w:tcPr>
            <w:tcW w:w="1160" w:type="pct"/>
            <w:hideMark/>
          </w:tcPr>
          <w:p w14:paraId="63B8096A"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cs="Arial"/>
                <w:color w:val="000000"/>
                <w:kern w:val="24"/>
                <w:szCs w:val="22"/>
              </w:rPr>
              <w:t>1.5 (1.10)</w:t>
            </w:r>
          </w:p>
        </w:tc>
        <w:tc>
          <w:tcPr>
            <w:tcW w:w="1267" w:type="pct"/>
            <w:hideMark/>
          </w:tcPr>
          <w:p w14:paraId="264E2431"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cs="Arial"/>
                <w:color w:val="000000"/>
                <w:kern w:val="24"/>
                <w:szCs w:val="22"/>
              </w:rPr>
              <w:t>2.0 (1.28)</w:t>
            </w:r>
          </w:p>
        </w:tc>
        <w:tc>
          <w:tcPr>
            <w:tcW w:w="977" w:type="pct"/>
            <w:tcBorders>
              <w:right w:val="nil"/>
            </w:tcBorders>
            <w:hideMark/>
          </w:tcPr>
          <w:p w14:paraId="1ECF28DF"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&lt;0.0001</w:t>
            </w:r>
          </w:p>
        </w:tc>
      </w:tr>
      <w:tr w:rsidR="00B64398" w:rsidRPr="00E84D1D" w14:paraId="55B9F0F4" w14:textId="77777777" w:rsidTr="00386A9D">
        <w:trPr>
          <w:trHeight w:val="20"/>
          <w:jc w:val="left"/>
        </w:trPr>
        <w:tc>
          <w:tcPr>
            <w:tcW w:w="1596" w:type="pct"/>
            <w:tcBorders>
              <w:left w:val="nil"/>
            </w:tcBorders>
            <w:hideMark/>
          </w:tcPr>
          <w:p w14:paraId="4CB978A0"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CHA</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DS</w:t>
            </w:r>
            <w:r w:rsidRPr="00E84D1D">
              <w:rPr>
                <w:rFonts w:eastAsiaTheme="minorEastAsia" w:cs="Arial"/>
                <w:color w:val="000000" w:themeColor="text1"/>
                <w:kern w:val="24"/>
                <w:szCs w:val="22"/>
                <w:vertAlign w:val="subscript"/>
              </w:rPr>
              <w:t>2</w:t>
            </w:r>
            <w:r w:rsidRPr="00E84D1D">
              <w:rPr>
                <w:rFonts w:eastAsiaTheme="minorEastAsia" w:cs="Arial"/>
                <w:color w:val="000000" w:themeColor="text1"/>
                <w:kern w:val="24"/>
                <w:szCs w:val="22"/>
              </w:rPr>
              <w:t>-VASc score,</w:t>
            </w:r>
            <w:r w:rsidRPr="00E84D1D">
              <w:rPr>
                <w:rFonts w:eastAsiaTheme="minorEastAsia" w:cs="Arial"/>
                <w:color w:val="000000" w:themeColor="text1"/>
                <w:kern w:val="24"/>
                <w:szCs w:val="22"/>
                <w:vertAlign w:val="superscript"/>
              </w:rPr>
              <w:t>b</w:t>
            </w:r>
            <w:r w:rsidRPr="00E84D1D">
              <w:rPr>
                <w:rFonts w:eastAsiaTheme="minorEastAsia" w:cs="Arial"/>
                <w:color w:val="000000" w:themeColor="text1"/>
                <w:kern w:val="24"/>
                <w:szCs w:val="22"/>
              </w:rPr>
              <w:t xml:space="preserve"> mean (SD)</w:t>
            </w:r>
          </w:p>
        </w:tc>
        <w:tc>
          <w:tcPr>
            <w:tcW w:w="1160" w:type="pct"/>
            <w:tcBorders>
              <w:bottom w:val="single" w:sz="4" w:space="0" w:color="auto"/>
            </w:tcBorders>
            <w:hideMark/>
          </w:tcPr>
          <w:p w14:paraId="025569F2"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cs="Arial"/>
                <w:color w:val="000000"/>
                <w:kern w:val="24"/>
                <w:szCs w:val="22"/>
              </w:rPr>
              <w:t>2.7 (1.59)</w:t>
            </w:r>
          </w:p>
        </w:tc>
        <w:tc>
          <w:tcPr>
            <w:tcW w:w="1267" w:type="pct"/>
            <w:tcBorders>
              <w:bottom w:val="single" w:sz="4" w:space="0" w:color="auto"/>
            </w:tcBorders>
            <w:hideMark/>
          </w:tcPr>
          <w:p w14:paraId="21CE17E5"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cs="Arial"/>
                <w:color w:val="000000"/>
                <w:kern w:val="24"/>
                <w:szCs w:val="22"/>
              </w:rPr>
              <w:t>3.4 (1.69)</w:t>
            </w:r>
          </w:p>
        </w:tc>
        <w:tc>
          <w:tcPr>
            <w:tcW w:w="977" w:type="pct"/>
            <w:tcBorders>
              <w:bottom w:val="single" w:sz="4" w:space="0" w:color="auto"/>
              <w:right w:val="nil"/>
            </w:tcBorders>
            <w:hideMark/>
          </w:tcPr>
          <w:p w14:paraId="7A7781C2" w14:textId="77777777" w:rsidR="00B64398" w:rsidRPr="00E84D1D" w:rsidRDefault="00B64398" w:rsidP="00386A9D">
            <w:pPr>
              <w:tabs>
                <w:tab w:val="left" w:pos="-109"/>
              </w:tabs>
              <w:spacing w:line="480" w:lineRule="auto"/>
              <w:rPr>
                <w:rFonts w:eastAsiaTheme="minorEastAsia" w:cs="Arial"/>
                <w:color w:val="000000" w:themeColor="text1"/>
                <w:kern w:val="24"/>
                <w:szCs w:val="22"/>
              </w:rPr>
            </w:pPr>
            <w:r w:rsidRPr="00E84D1D">
              <w:rPr>
                <w:rFonts w:eastAsiaTheme="minorEastAsia" w:cs="Arial"/>
                <w:color w:val="000000" w:themeColor="text1"/>
                <w:kern w:val="24"/>
                <w:szCs w:val="22"/>
              </w:rPr>
              <w:t>&lt;0.0001</w:t>
            </w:r>
          </w:p>
        </w:tc>
      </w:tr>
    </w:tbl>
    <w:p w14:paraId="595D95AF" w14:textId="77777777" w:rsidR="00B64398" w:rsidRPr="00E84D1D" w:rsidRDefault="00B64398" w:rsidP="00B64398">
      <w:pPr>
        <w:pStyle w:val="Text"/>
      </w:pPr>
      <w:r w:rsidRPr="00E84D1D">
        <w:rPr>
          <w:rFonts w:cs="Arial"/>
          <w:bCs/>
          <w:color w:val="000000"/>
          <w:kern w:val="24"/>
          <w:szCs w:val="22"/>
          <w:vertAlign w:val="superscript"/>
        </w:rPr>
        <w:t>a</w:t>
      </w:r>
      <w:r w:rsidRPr="00E84D1D">
        <w:rPr>
          <w:rFonts w:cs="Arial"/>
          <w:bCs/>
          <w:color w:val="000000"/>
          <w:kern w:val="24"/>
          <w:szCs w:val="22"/>
        </w:rPr>
        <w:t>Denotes significant interaction between patients undergoing cardioversion and those not undergoing cardioversion.</w:t>
      </w:r>
    </w:p>
    <w:p w14:paraId="76443AA1" w14:textId="77777777" w:rsidR="00B64398" w:rsidRPr="00E84D1D" w:rsidRDefault="00B64398" w:rsidP="00B64398">
      <w:pPr>
        <w:pStyle w:val="Text"/>
      </w:pPr>
      <w:r w:rsidRPr="00E84D1D">
        <w:rPr>
          <w:vertAlign w:val="superscript"/>
        </w:rPr>
        <w:t>b</w:t>
      </w:r>
      <w:r w:rsidRPr="00E84D1D">
        <w:t>Denotes some missing data.</w:t>
      </w:r>
    </w:p>
    <w:p w14:paraId="328A2D72" w14:textId="77777777" w:rsidR="00B64398" w:rsidRPr="00E84D1D" w:rsidRDefault="00B64398" w:rsidP="00B64398">
      <w:pPr>
        <w:pStyle w:val="Text"/>
      </w:pPr>
      <w:r w:rsidRPr="00E84D1D">
        <w:rPr>
          <w:vertAlign w:val="superscript"/>
        </w:rPr>
        <w:t>c</w:t>
      </w:r>
      <w:r w:rsidRPr="00E84D1D">
        <w:t>Prior to enrolment in XANTUS.</w:t>
      </w:r>
    </w:p>
    <w:p w14:paraId="79FE4B19" w14:textId="77777777" w:rsidR="00B64398" w:rsidRPr="00E84D1D" w:rsidRDefault="00B64398" w:rsidP="00B64398">
      <w:pPr>
        <w:pStyle w:val="Text"/>
      </w:pPr>
      <w:r w:rsidRPr="00E84D1D">
        <w:t xml:space="preserve">AF, atrial fibrillation; CHF, congestive heart failure; CNS, central nervous system; Hb, haemoglobin; MI, myocardial infarction; </w:t>
      </w:r>
      <w:r w:rsidRPr="00E84D1D">
        <w:rPr>
          <w:rFonts w:eastAsiaTheme="minorEastAsia" w:cs="Arial"/>
          <w:color w:val="000000" w:themeColor="text1"/>
          <w:kern w:val="24"/>
          <w:szCs w:val="22"/>
        </w:rPr>
        <w:t xml:space="preserve">NSAID, non-steroidal anti-inflammatory drug; </w:t>
      </w:r>
      <w:r w:rsidRPr="00E84D1D">
        <w:t xml:space="preserve">SD, standard deviation; </w:t>
      </w:r>
      <w:r w:rsidRPr="00E84D1D">
        <w:rPr>
          <w:rFonts w:eastAsiaTheme="minorEastAsia" w:cs="Arial"/>
          <w:color w:val="000000" w:themeColor="text1"/>
          <w:kern w:val="24"/>
          <w:szCs w:val="22"/>
        </w:rPr>
        <w:t>SE, systemic embolism; TIA, transient ischaemic attack.</w:t>
      </w:r>
    </w:p>
    <w:p w14:paraId="2B93F25F" w14:textId="77777777" w:rsidR="00B64398" w:rsidRPr="00E84D1D" w:rsidRDefault="00B64398" w:rsidP="00B64398">
      <w:pPr>
        <w:pStyle w:val="Text"/>
        <w:sectPr w:rsidR="00B64398" w:rsidRPr="00E84D1D" w:rsidSect="00B64398">
          <w:footerReference w:type="even" r:id="rId8"/>
          <w:footerReference w:type="default" r:id="rId9"/>
          <w:pgSz w:w="11906" w:h="16838" w:code="9"/>
          <w:pgMar w:top="1418" w:right="1418" w:bottom="1418" w:left="1418" w:header="284" w:footer="720" w:gutter="0"/>
          <w:cols w:space="720"/>
          <w:docGrid w:linePitch="326"/>
        </w:sectPr>
      </w:pPr>
    </w:p>
    <w:p w14:paraId="65C5FCC1" w14:textId="2EFFA09A" w:rsidR="00B64398" w:rsidRPr="00E84D1D" w:rsidRDefault="00B64398" w:rsidP="00B64398">
      <w:pPr>
        <w:pStyle w:val="Text"/>
      </w:pPr>
      <w:r w:rsidRPr="00E84D1D">
        <w:rPr>
          <w:b/>
        </w:rPr>
        <w:lastRenderedPageBreak/>
        <w:t>Table 3</w:t>
      </w:r>
      <w:r w:rsidRPr="00E84D1D">
        <w:t xml:space="preserve"> Number of patients with major bleeding and symptomatic thromboembolic events within 30 days </w:t>
      </w:r>
      <w:r w:rsidR="00B47C1C">
        <w:t>of</w:t>
      </w:r>
      <w:r w:rsidR="00B47C1C" w:rsidRPr="00E84D1D">
        <w:t xml:space="preserve"> </w:t>
      </w:r>
      <w:r w:rsidRPr="00E84D1D">
        <w:t>intervention in patients with non-valvular atrial fibrillation undergoing catheter ablation or cardioversion in the XANTUS study</w:t>
      </w:r>
    </w:p>
    <w:tbl>
      <w:tblPr>
        <w:tblStyle w:val="TableGrid"/>
        <w:tblW w:w="11577" w:type="dxa"/>
        <w:jc w:val="lef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054"/>
        <w:gridCol w:w="2529"/>
        <w:gridCol w:w="2360"/>
        <w:gridCol w:w="2634"/>
      </w:tblGrid>
      <w:tr w:rsidR="00B64398" w:rsidRPr="00E84D1D" w14:paraId="673083B3" w14:textId="77777777" w:rsidTr="00386A9D">
        <w:trPr>
          <w:trHeight w:val="20"/>
          <w:jc w:val="left"/>
        </w:trPr>
        <w:tc>
          <w:tcPr>
            <w:tcW w:w="4054" w:type="dxa"/>
            <w:tcBorders>
              <w:top w:val="single" w:sz="4" w:space="0" w:color="auto"/>
              <w:bottom w:val="nil"/>
            </w:tcBorders>
            <w:hideMark/>
          </w:tcPr>
          <w:p w14:paraId="777E5492" w14:textId="77777777" w:rsidR="00B64398" w:rsidRPr="00E84D1D" w:rsidRDefault="00B64398" w:rsidP="00386A9D">
            <w:pPr>
              <w:spacing w:line="480" w:lineRule="auto"/>
              <w:rPr>
                <w:rFonts w:cs="Arial"/>
                <w:szCs w:val="22"/>
              </w:rPr>
            </w:pPr>
          </w:p>
        </w:tc>
        <w:tc>
          <w:tcPr>
            <w:tcW w:w="7523" w:type="dxa"/>
            <w:gridSpan w:val="3"/>
            <w:tcBorders>
              <w:top w:val="single" w:sz="4" w:space="0" w:color="auto"/>
              <w:bottom w:val="single" w:sz="4" w:space="0" w:color="auto"/>
            </w:tcBorders>
            <w:hideMark/>
          </w:tcPr>
          <w:p w14:paraId="447F6AC9" w14:textId="77777777" w:rsidR="00B64398" w:rsidRPr="00E84D1D" w:rsidRDefault="00B64398" w:rsidP="00386A9D">
            <w:pPr>
              <w:spacing w:line="480" w:lineRule="auto"/>
              <w:rPr>
                <w:rFonts w:cs="Arial"/>
                <w:szCs w:val="22"/>
              </w:rPr>
            </w:pPr>
            <w:r w:rsidRPr="00E84D1D">
              <w:rPr>
                <w:rFonts w:eastAsiaTheme="minorEastAsia" w:cs="Arial"/>
                <w:b/>
                <w:bCs/>
                <w:kern w:val="24"/>
                <w:szCs w:val="22"/>
              </w:rPr>
              <w:t xml:space="preserve">Patients with events, </w:t>
            </w:r>
            <w:r w:rsidRPr="00E84D1D">
              <w:rPr>
                <w:rFonts w:eastAsiaTheme="minorEastAsia" w:cs="Arial"/>
                <w:b/>
                <w:bCs/>
                <w:i/>
                <w:kern w:val="24"/>
                <w:szCs w:val="22"/>
              </w:rPr>
              <w:t>n</w:t>
            </w:r>
            <w:r w:rsidRPr="00E84D1D">
              <w:rPr>
                <w:rFonts w:eastAsiaTheme="minorEastAsia" w:cs="Arial"/>
                <w:b/>
                <w:bCs/>
                <w:kern w:val="24"/>
                <w:szCs w:val="22"/>
              </w:rPr>
              <w:t xml:space="preserve"> (%)</w:t>
            </w:r>
          </w:p>
        </w:tc>
      </w:tr>
      <w:tr w:rsidR="00B64398" w:rsidRPr="00E84D1D" w14:paraId="3C2219A3" w14:textId="77777777" w:rsidTr="00386A9D">
        <w:trPr>
          <w:trHeight w:val="20"/>
          <w:jc w:val="left"/>
        </w:trPr>
        <w:tc>
          <w:tcPr>
            <w:tcW w:w="4054" w:type="dxa"/>
            <w:tcBorders>
              <w:top w:val="nil"/>
              <w:bottom w:val="single" w:sz="4" w:space="0" w:color="auto"/>
            </w:tcBorders>
            <w:hideMark/>
          </w:tcPr>
          <w:p w14:paraId="4B394C55" w14:textId="77777777" w:rsidR="00B64398" w:rsidRPr="00E84D1D" w:rsidRDefault="00B64398" w:rsidP="00386A9D">
            <w:pPr>
              <w:spacing w:line="480" w:lineRule="auto"/>
              <w:rPr>
                <w:rFonts w:cs="Arial"/>
                <w:szCs w:val="22"/>
              </w:rPr>
            </w:pPr>
          </w:p>
        </w:tc>
        <w:tc>
          <w:tcPr>
            <w:tcW w:w="2529" w:type="dxa"/>
            <w:tcBorders>
              <w:top w:val="single" w:sz="4" w:space="0" w:color="auto"/>
              <w:bottom w:val="single" w:sz="4" w:space="0" w:color="auto"/>
            </w:tcBorders>
            <w:hideMark/>
          </w:tcPr>
          <w:p w14:paraId="70323EB4" w14:textId="4B54B409" w:rsidR="00B64398" w:rsidRPr="00E84D1D" w:rsidRDefault="00B64398" w:rsidP="00386A9D">
            <w:pPr>
              <w:spacing w:line="480" w:lineRule="auto"/>
              <w:rPr>
                <w:rFonts w:cs="Arial"/>
                <w:szCs w:val="22"/>
              </w:rPr>
            </w:pPr>
            <w:r w:rsidRPr="00E84D1D">
              <w:rPr>
                <w:rFonts w:eastAsiaTheme="minorEastAsia" w:cs="Arial"/>
                <w:b/>
                <w:bCs/>
                <w:kern w:val="24"/>
                <w:szCs w:val="22"/>
              </w:rPr>
              <w:t>Catheter ablation</w:t>
            </w:r>
            <w:r w:rsidRPr="00E84D1D">
              <w:rPr>
                <w:rFonts w:eastAsiaTheme="minorEastAsia" w:cs="Arial"/>
                <w:b/>
                <w:bCs/>
                <w:kern w:val="24"/>
                <w:szCs w:val="22"/>
              </w:rPr>
              <w:br/>
            </w:r>
            <w:r w:rsidRPr="00E84D1D">
              <w:rPr>
                <w:rFonts w:eastAsiaTheme="minorEastAsia" w:cs="Arial"/>
                <w:b/>
                <w:bCs/>
                <w:i/>
                <w:kern w:val="24"/>
                <w:szCs w:val="22"/>
              </w:rPr>
              <w:t>n</w:t>
            </w:r>
            <w:r w:rsidRPr="00E84D1D">
              <w:rPr>
                <w:rFonts w:eastAsiaTheme="minorEastAsia" w:cs="Arial"/>
                <w:b/>
                <w:bCs/>
                <w:kern w:val="24"/>
                <w:szCs w:val="22"/>
              </w:rPr>
              <w:t xml:space="preserve"> = 173</w:t>
            </w:r>
          </w:p>
        </w:tc>
        <w:tc>
          <w:tcPr>
            <w:tcW w:w="2360" w:type="dxa"/>
            <w:tcBorders>
              <w:top w:val="single" w:sz="4" w:space="0" w:color="auto"/>
              <w:bottom w:val="single" w:sz="4" w:space="0" w:color="auto"/>
            </w:tcBorders>
          </w:tcPr>
          <w:p w14:paraId="529C79D3" w14:textId="0889784F" w:rsidR="00B64398" w:rsidRPr="00E84D1D" w:rsidRDefault="00B64398" w:rsidP="00386A9D">
            <w:pPr>
              <w:spacing w:line="480" w:lineRule="auto"/>
              <w:rPr>
                <w:rFonts w:cs="Arial"/>
                <w:szCs w:val="22"/>
              </w:rPr>
            </w:pPr>
            <w:r w:rsidRPr="00E84D1D">
              <w:rPr>
                <w:rFonts w:eastAsiaTheme="minorEastAsia" w:cs="Arial"/>
                <w:b/>
                <w:bCs/>
                <w:kern w:val="24"/>
                <w:szCs w:val="22"/>
              </w:rPr>
              <w:t xml:space="preserve">Cardioversion </w:t>
            </w:r>
            <w:r w:rsidRPr="00E84D1D">
              <w:rPr>
                <w:rFonts w:eastAsiaTheme="minorEastAsia" w:cs="Arial"/>
                <w:b/>
                <w:bCs/>
                <w:kern w:val="24"/>
                <w:szCs w:val="22"/>
              </w:rPr>
              <w:br/>
            </w:r>
            <w:r w:rsidRPr="00E84D1D">
              <w:rPr>
                <w:rFonts w:eastAsiaTheme="minorEastAsia" w:cs="Arial"/>
                <w:b/>
                <w:bCs/>
                <w:i/>
                <w:kern w:val="24"/>
                <w:szCs w:val="22"/>
              </w:rPr>
              <w:t>n</w:t>
            </w:r>
            <w:r w:rsidRPr="00E84D1D">
              <w:rPr>
                <w:rFonts w:eastAsiaTheme="minorEastAsia" w:cs="Arial"/>
                <w:b/>
                <w:bCs/>
                <w:kern w:val="24"/>
                <w:szCs w:val="22"/>
              </w:rPr>
              <w:t xml:space="preserve"> = 502</w:t>
            </w:r>
          </w:p>
        </w:tc>
        <w:tc>
          <w:tcPr>
            <w:tcW w:w="2634" w:type="dxa"/>
            <w:tcBorders>
              <w:top w:val="single" w:sz="4" w:space="0" w:color="auto"/>
              <w:bottom w:val="single" w:sz="4" w:space="0" w:color="auto"/>
            </w:tcBorders>
            <w:hideMark/>
          </w:tcPr>
          <w:p w14:paraId="57FA65D9" w14:textId="50DE6B92" w:rsidR="00B64398" w:rsidRPr="00E84D1D" w:rsidRDefault="00B64398" w:rsidP="00386A9D">
            <w:pPr>
              <w:spacing w:line="480" w:lineRule="auto"/>
              <w:rPr>
                <w:rFonts w:cs="Arial"/>
                <w:szCs w:val="22"/>
              </w:rPr>
            </w:pPr>
            <w:r w:rsidRPr="00E84D1D">
              <w:rPr>
                <w:rFonts w:cs="Arial"/>
                <w:b/>
                <w:bCs/>
                <w:kern w:val="24"/>
                <w:szCs w:val="22"/>
              </w:rPr>
              <w:t xml:space="preserve">Catheter ablation or cardioversion </w:t>
            </w:r>
            <w:r w:rsidRPr="00E84D1D">
              <w:rPr>
                <w:rFonts w:cs="Arial"/>
                <w:b/>
                <w:bCs/>
                <w:kern w:val="24"/>
                <w:szCs w:val="22"/>
              </w:rPr>
              <w:br/>
            </w:r>
            <w:r w:rsidRPr="00E84D1D">
              <w:rPr>
                <w:rFonts w:cs="Arial"/>
                <w:b/>
                <w:bCs/>
                <w:i/>
                <w:kern w:val="24"/>
                <w:szCs w:val="22"/>
              </w:rPr>
              <w:t>n</w:t>
            </w:r>
            <w:r w:rsidRPr="00E84D1D">
              <w:rPr>
                <w:rFonts w:cs="Arial"/>
                <w:b/>
                <w:bCs/>
                <w:kern w:val="24"/>
                <w:szCs w:val="22"/>
              </w:rPr>
              <w:t xml:space="preserve"> = 626</w:t>
            </w:r>
          </w:p>
        </w:tc>
      </w:tr>
      <w:tr w:rsidR="00B64398" w:rsidRPr="00E84D1D" w14:paraId="7FE1A614" w14:textId="77777777" w:rsidTr="00386A9D">
        <w:trPr>
          <w:trHeight w:val="20"/>
          <w:jc w:val="left"/>
        </w:trPr>
        <w:tc>
          <w:tcPr>
            <w:tcW w:w="4054" w:type="dxa"/>
            <w:tcBorders>
              <w:top w:val="single" w:sz="4" w:space="0" w:color="auto"/>
            </w:tcBorders>
            <w:hideMark/>
          </w:tcPr>
          <w:p w14:paraId="033E59F6" w14:textId="77777777" w:rsidR="00B64398" w:rsidRPr="00E84D1D" w:rsidRDefault="00B64398" w:rsidP="00386A9D">
            <w:pPr>
              <w:spacing w:line="480" w:lineRule="auto"/>
              <w:rPr>
                <w:rFonts w:cs="Arial"/>
                <w:szCs w:val="22"/>
              </w:rPr>
            </w:pPr>
            <w:r w:rsidRPr="00E84D1D">
              <w:rPr>
                <w:rFonts w:cs="Arial"/>
                <w:color w:val="000000"/>
                <w:kern w:val="24"/>
                <w:szCs w:val="22"/>
              </w:rPr>
              <w:t>Major bleeding</w:t>
            </w:r>
            <w:r w:rsidRPr="00E84D1D">
              <w:rPr>
                <w:rFonts w:cs="Arial"/>
                <w:color w:val="000000"/>
                <w:kern w:val="24"/>
                <w:szCs w:val="22"/>
                <w:vertAlign w:val="superscript"/>
              </w:rPr>
              <w:t>a</w:t>
            </w:r>
          </w:p>
        </w:tc>
        <w:tc>
          <w:tcPr>
            <w:tcW w:w="2529" w:type="dxa"/>
            <w:tcBorders>
              <w:top w:val="single" w:sz="4" w:space="0" w:color="auto"/>
            </w:tcBorders>
            <w:hideMark/>
          </w:tcPr>
          <w:p w14:paraId="0A0DDA62" w14:textId="77777777" w:rsidR="00B64398" w:rsidRPr="00E84D1D" w:rsidRDefault="00B64398" w:rsidP="00386A9D">
            <w:pPr>
              <w:spacing w:line="480" w:lineRule="auto"/>
              <w:rPr>
                <w:rFonts w:cs="Arial"/>
                <w:szCs w:val="22"/>
              </w:rPr>
            </w:pPr>
            <w:r w:rsidRPr="00E84D1D">
              <w:rPr>
                <w:rFonts w:cs="Arial"/>
                <w:kern w:val="24"/>
                <w:szCs w:val="22"/>
              </w:rPr>
              <w:t>5 (2.9)</w:t>
            </w:r>
          </w:p>
        </w:tc>
        <w:tc>
          <w:tcPr>
            <w:tcW w:w="2360" w:type="dxa"/>
            <w:tcBorders>
              <w:top w:val="single" w:sz="4" w:space="0" w:color="auto"/>
            </w:tcBorders>
          </w:tcPr>
          <w:p w14:paraId="507F94EE" w14:textId="77777777" w:rsidR="00B64398" w:rsidRPr="00E84D1D" w:rsidRDefault="00B64398" w:rsidP="00386A9D">
            <w:pPr>
              <w:spacing w:line="480" w:lineRule="auto"/>
              <w:rPr>
                <w:rFonts w:cs="Arial"/>
                <w:szCs w:val="22"/>
              </w:rPr>
            </w:pPr>
            <w:r w:rsidRPr="00E84D1D">
              <w:rPr>
                <w:rFonts w:cs="Arial"/>
                <w:kern w:val="24"/>
                <w:szCs w:val="22"/>
              </w:rPr>
              <w:t>2 (0.4)</w:t>
            </w:r>
          </w:p>
        </w:tc>
        <w:tc>
          <w:tcPr>
            <w:tcW w:w="2634" w:type="dxa"/>
            <w:tcBorders>
              <w:top w:val="single" w:sz="4" w:space="0" w:color="auto"/>
            </w:tcBorders>
            <w:hideMark/>
          </w:tcPr>
          <w:p w14:paraId="49814931" w14:textId="77777777" w:rsidR="00B64398" w:rsidRPr="00E84D1D" w:rsidRDefault="00B64398" w:rsidP="00386A9D">
            <w:pPr>
              <w:spacing w:line="480" w:lineRule="auto"/>
              <w:rPr>
                <w:rFonts w:cs="Arial"/>
                <w:szCs w:val="22"/>
              </w:rPr>
            </w:pPr>
            <w:r w:rsidRPr="00E84D1D">
              <w:rPr>
                <w:rFonts w:cs="Arial"/>
                <w:kern w:val="24"/>
                <w:szCs w:val="22"/>
              </w:rPr>
              <w:t>6 (1.0)</w:t>
            </w:r>
          </w:p>
        </w:tc>
      </w:tr>
      <w:tr w:rsidR="00B64398" w:rsidRPr="00E84D1D" w14:paraId="4DEF08B6" w14:textId="77777777" w:rsidTr="00386A9D">
        <w:trPr>
          <w:trHeight w:val="20"/>
          <w:jc w:val="left"/>
        </w:trPr>
        <w:tc>
          <w:tcPr>
            <w:tcW w:w="4054" w:type="dxa"/>
            <w:hideMark/>
          </w:tcPr>
          <w:p w14:paraId="0EAD3FD6" w14:textId="77777777" w:rsidR="00B64398" w:rsidRPr="00E84D1D" w:rsidRDefault="00B64398" w:rsidP="00386A9D">
            <w:pPr>
              <w:spacing w:line="480" w:lineRule="auto"/>
              <w:rPr>
                <w:rFonts w:cs="Arial"/>
                <w:szCs w:val="22"/>
              </w:rPr>
            </w:pPr>
            <w:r w:rsidRPr="00E84D1D">
              <w:rPr>
                <w:rFonts w:cs="Arial"/>
                <w:color w:val="000000"/>
                <w:kern w:val="24"/>
                <w:szCs w:val="22"/>
              </w:rPr>
              <w:t>Cardiovascular death</w:t>
            </w:r>
          </w:p>
        </w:tc>
        <w:tc>
          <w:tcPr>
            <w:tcW w:w="2529" w:type="dxa"/>
            <w:hideMark/>
          </w:tcPr>
          <w:p w14:paraId="27769DE1" w14:textId="77777777" w:rsidR="00B64398" w:rsidRPr="00E84D1D" w:rsidRDefault="00B64398" w:rsidP="00386A9D">
            <w:pPr>
              <w:tabs>
                <w:tab w:val="decimal" w:pos="7"/>
              </w:tabs>
              <w:spacing w:line="480" w:lineRule="auto"/>
              <w:rPr>
                <w:rFonts w:cs="Arial"/>
                <w:szCs w:val="22"/>
              </w:rPr>
            </w:pPr>
            <w:r w:rsidRPr="00E84D1D">
              <w:rPr>
                <w:rFonts w:cs="Arial"/>
                <w:kern w:val="24"/>
                <w:szCs w:val="22"/>
              </w:rPr>
              <w:t>0</w:t>
            </w:r>
          </w:p>
        </w:tc>
        <w:tc>
          <w:tcPr>
            <w:tcW w:w="2360" w:type="dxa"/>
          </w:tcPr>
          <w:p w14:paraId="0C938FDE" w14:textId="77777777" w:rsidR="00B64398" w:rsidRPr="00E84D1D" w:rsidRDefault="00B64398" w:rsidP="00386A9D">
            <w:pPr>
              <w:tabs>
                <w:tab w:val="decimal" w:pos="0"/>
              </w:tabs>
              <w:spacing w:line="480" w:lineRule="auto"/>
              <w:rPr>
                <w:rFonts w:cs="Arial"/>
                <w:szCs w:val="22"/>
              </w:rPr>
            </w:pPr>
            <w:r w:rsidRPr="00E84D1D">
              <w:rPr>
                <w:rFonts w:cs="Arial"/>
                <w:kern w:val="24"/>
                <w:szCs w:val="22"/>
              </w:rPr>
              <w:t>0</w:t>
            </w:r>
          </w:p>
        </w:tc>
        <w:tc>
          <w:tcPr>
            <w:tcW w:w="2634" w:type="dxa"/>
            <w:hideMark/>
          </w:tcPr>
          <w:p w14:paraId="1402E3EF" w14:textId="77777777" w:rsidR="00B64398" w:rsidRPr="00E84D1D" w:rsidRDefault="00B64398" w:rsidP="00386A9D">
            <w:pPr>
              <w:tabs>
                <w:tab w:val="decimal" w:pos="0"/>
              </w:tabs>
              <w:spacing w:line="480" w:lineRule="auto"/>
              <w:rPr>
                <w:rFonts w:cs="Arial"/>
                <w:szCs w:val="22"/>
              </w:rPr>
            </w:pPr>
            <w:r w:rsidRPr="00E84D1D">
              <w:rPr>
                <w:rFonts w:cs="Arial"/>
                <w:kern w:val="24"/>
                <w:szCs w:val="22"/>
              </w:rPr>
              <w:t>0</w:t>
            </w:r>
          </w:p>
        </w:tc>
      </w:tr>
      <w:tr w:rsidR="00B64398" w:rsidRPr="00E84D1D" w14:paraId="7EFDEF8A" w14:textId="77777777" w:rsidTr="00386A9D">
        <w:trPr>
          <w:trHeight w:val="20"/>
          <w:jc w:val="left"/>
        </w:trPr>
        <w:tc>
          <w:tcPr>
            <w:tcW w:w="4054" w:type="dxa"/>
            <w:tcBorders>
              <w:bottom w:val="nil"/>
            </w:tcBorders>
            <w:hideMark/>
          </w:tcPr>
          <w:p w14:paraId="662E137E" w14:textId="77777777" w:rsidR="00B64398" w:rsidRPr="00E84D1D" w:rsidRDefault="00B64398" w:rsidP="00386A9D">
            <w:pPr>
              <w:spacing w:line="480" w:lineRule="auto"/>
              <w:rPr>
                <w:rFonts w:cs="Arial"/>
                <w:color w:val="000000"/>
                <w:kern w:val="24"/>
                <w:szCs w:val="22"/>
              </w:rPr>
            </w:pPr>
            <w:r w:rsidRPr="00E84D1D">
              <w:rPr>
                <w:rFonts w:cs="Arial"/>
                <w:color w:val="000000"/>
                <w:kern w:val="24"/>
                <w:szCs w:val="22"/>
              </w:rPr>
              <w:t>All-cause death</w:t>
            </w:r>
          </w:p>
        </w:tc>
        <w:tc>
          <w:tcPr>
            <w:tcW w:w="2529" w:type="dxa"/>
            <w:tcBorders>
              <w:bottom w:val="nil"/>
            </w:tcBorders>
            <w:hideMark/>
          </w:tcPr>
          <w:p w14:paraId="10AEBFC3" w14:textId="77777777" w:rsidR="00B64398" w:rsidRPr="00E84D1D" w:rsidRDefault="00B64398" w:rsidP="00386A9D">
            <w:pPr>
              <w:spacing w:line="480" w:lineRule="auto"/>
              <w:rPr>
                <w:rFonts w:cs="Arial"/>
                <w:color w:val="000000"/>
                <w:kern w:val="24"/>
                <w:szCs w:val="22"/>
              </w:rPr>
            </w:pPr>
            <w:r w:rsidRPr="00E84D1D">
              <w:rPr>
                <w:rFonts w:cs="Arial"/>
                <w:color w:val="000000"/>
                <w:kern w:val="24"/>
                <w:szCs w:val="22"/>
              </w:rPr>
              <w:t>0</w:t>
            </w:r>
          </w:p>
        </w:tc>
        <w:tc>
          <w:tcPr>
            <w:tcW w:w="2360" w:type="dxa"/>
            <w:tcBorders>
              <w:bottom w:val="nil"/>
            </w:tcBorders>
          </w:tcPr>
          <w:p w14:paraId="1AFF6067" w14:textId="77777777" w:rsidR="00B64398" w:rsidRPr="00E84D1D" w:rsidRDefault="00B64398" w:rsidP="00386A9D">
            <w:pPr>
              <w:spacing w:line="480" w:lineRule="auto"/>
              <w:rPr>
                <w:rFonts w:cs="Arial"/>
                <w:color w:val="000000"/>
                <w:kern w:val="24"/>
                <w:szCs w:val="22"/>
              </w:rPr>
            </w:pPr>
            <w:r w:rsidRPr="00E84D1D">
              <w:rPr>
                <w:rFonts w:cs="Arial"/>
                <w:color w:val="000000"/>
                <w:kern w:val="24"/>
                <w:szCs w:val="22"/>
              </w:rPr>
              <w:t>0</w:t>
            </w:r>
          </w:p>
        </w:tc>
        <w:tc>
          <w:tcPr>
            <w:tcW w:w="2634" w:type="dxa"/>
            <w:tcBorders>
              <w:bottom w:val="nil"/>
            </w:tcBorders>
            <w:hideMark/>
          </w:tcPr>
          <w:p w14:paraId="52220A9C" w14:textId="77777777" w:rsidR="00B64398" w:rsidRPr="00E84D1D" w:rsidRDefault="00B64398" w:rsidP="00386A9D">
            <w:pPr>
              <w:spacing w:line="480" w:lineRule="auto"/>
              <w:rPr>
                <w:rFonts w:cs="Arial"/>
                <w:color w:val="000000"/>
                <w:kern w:val="24"/>
                <w:szCs w:val="22"/>
              </w:rPr>
            </w:pPr>
            <w:r w:rsidRPr="00E84D1D">
              <w:rPr>
                <w:rFonts w:cs="Arial"/>
                <w:color w:val="000000"/>
                <w:kern w:val="24"/>
                <w:szCs w:val="22"/>
              </w:rPr>
              <w:t>0</w:t>
            </w:r>
          </w:p>
        </w:tc>
      </w:tr>
      <w:tr w:rsidR="00B64398" w:rsidRPr="00E84D1D" w14:paraId="441AFA48" w14:textId="77777777" w:rsidTr="00386A9D">
        <w:trPr>
          <w:trHeight w:val="20"/>
          <w:jc w:val="left"/>
        </w:trPr>
        <w:tc>
          <w:tcPr>
            <w:tcW w:w="4054" w:type="dxa"/>
            <w:tcBorders>
              <w:top w:val="nil"/>
              <w:left w:val="nil"/>
              <w:right w:val="nil"/>
            </w:tcBorders>
            <w:hideMark/>
          </w:tcPr>
          <w:p w14:paraId="6EDB7E69" w14:textId="77777777" w:rsidR="00B64398" w:rsidRPr="00E84D1D" w:rsidRDefault="00B64398" w:rsidP="00386A9D">
            <w:pPr>
              <w:spacing w:line="480" w:lineRule="auto"/>
              <w:rPr>
                <w:rFonts w:cs="Arial"/>
                <w:szCs w:val="22"/>
              </w:rPr>
            </w:pPr>
            <w:r w:rsidRPr="00E84D1D">
              <w:rPr>
                <w:rFonts w:cs="Arial"/>
                <w:bCs/>
                <w:color w:val="000000"/>
                <w:kern w:val="24"/>
                <w:szCs w:val="22"/>
              </w:rPr>
              <w:t>Symptomatic thromboembolic event</w:t>
            </w:r>
          </w:p>
        </w:tc>
        <w:tc>
          <w:tcPr>
            <w:tcW w:w="2529" w:type="dxa"/>
            <w:tcBorders>
              <w:top w:val="nil"/>
              <w:left w:val="nil"/>
              <w:bottom w:val="nil"/>
              <w:right w:val="nil"/>
            </w:tcBorders>
            <w:hideMark/>
          </w:tcPr>
          <w:p w14:paraId="758D76F4" w14:textId="77777777" w:rsidR="00B64398" w:rsidRPr="00E84D1D" w:rsidRDefault="00B64398" w:rsidP="00386A9D">
            <w:pPr>
              <w:spacing w:line="480" w:lineRule="auto"/>
              <w:rPr>
                <w:rFonts w:cs="Arial"/>
                <w:szCs w:val="22"/>
              </w:rPr>
            </w:pPr>
            <w:r w:rsidRPr="00E84D1D">
              <w:rPr>
                <w:rFonts w:cs="Arial"/>
                <w:bCs/>
                <w:color w:val="000000"/>
                <w:kern w:val="24"/>
                <w:szCs w:val="22"/>
              </w:rPr>
              <w:t>2 (1.2)</w:t>
            </w:r>
          </w:p>
        </w:tc>
        <w:tc>
          <w:tcPr>
            <w:tcW w:w="2360" w:type="dxa"/>
            <w:tcBorders>
              <w:top w:val="nil"/>
              <w:left w:val="nil"/>
              <w:bottom w:val="nil"/>
              <w:right w:val="nil"/>
            </w:tcBorders>
          </w:tcPr>
          <w:p w14:paraId="4F1975BC" w14:textId="77777777" w:rsidR="00B64398" w:rsidRPr="00E84D1D" w:rsidRDefault="00B64398" w:rsidP="00386A9D">
            <w:pPr>
              <w:spacing w:line="480" w:lineRule="auto"/>
              <w:rPr>
                <w:rFonts w:cs="Arial"/>
                <w:szCs w:val="22"/>
              </w:rPr>
            </w:pPr>
            <w:r w:rsidRPr="00E84D1D">
              <w:rPr>
                <w:rFonts w:cs="Arial"/>
                <w:bCs/>
                <w:color w:val="000000"/>
                <w:kern w:val="24"/>
                <w:szCs w:val="22"/>
              </w:rPr>
              <w:t>3 (0.6)</w:t>
            </w:r>
          </w:p>
        </w:tc>
        <w:tc>
          <w:tcPr>
            <w:tcW w:w="2634" w:type="dxa"/>
            <w:tcBorders>
              <w:top w:val="nil"/>
              <w:left w:val="nil"/>
              <w:bottom w:val="nil"/>
            </w:tcBorders>
            <w:hideMark/>
          </w:tcPr>
          <w:p w14:paraId="1EC69A52" w14:textId="77777777" w:rsidR="00B64398" w:rsidRPr="00E84D1D" w:rsidRDefault="00B64398" w:rsidP="00386A9D">
            <w:pPr>
              <w:spacing w:line="480" w:lineRule="auto"/>
              <w:rPr>
                <w:rFonts w:cs="Arial"/>
                <w:szCs w:val="22"/>
              </w:rPr>
            </w:pPr>
            <w:r w:rsidRPr="00E84D1D">
              <w:rPr>
                <w:rFonts w:cs="Arial"/>
                <w:bCs/>
                <w:color w:val="000000"/>
                <w:kern w:val="24"/>
                <w:szCs w:val="22"/>
              </w:rPr>
              <w:t>5 (0.8)</w:t>
            </w:r>
          </w:p>
        </w:tc>
      </w:tr>
      <w:tr w:rsidR="00B64398" w:rsidRPr="00E84D1D" w14:paraId="28F1D235" w14:textId="77777777" w:rsidTr="00386A9D">
        <w:trPr>
          <w:trHeight w:val="20"/>
          <w:jc w:val="left"/>
        </w:trPr>
        <w:tc>
          <w:tcPr>
            <w:tcW w:w="4054" w:type="dxa"/>
            <w:tcBorders>
              <w:top w:val="nil"/>
              <w:left w:val="nil"/>
              <w:right w:val="nil"/>
            </w:tcBorders>
            <w:hideMark/>
          </w:tcPr>
          <w:p w14:paraId="5A00625D" w14:textId="77777777" w:rsidR="00B64398" w:rsidRPr="00E84D1D" w:rsidRDefault="00B64398" w:rsidP="00386A9D">
            <w:pPr>
              <w:spacing w:line="480" w:lineRule="auto"/>
              <w:ind w:left="292"/>
              <w:rPr>
                <w:rFonts w:cs="Arial"/>
                <w:szCs w:val="22"/>
              </w:rPr>
            </w:pPr>
            <w:r w:rsidRPr="00E84D1D">
              <w:rPr>
                <w:rFonts w:cs="Arial"/>
                <w:color w:val="000000"/>
                <w:kern w:val="24"/>
                <w:szCs w:val="22"/>
              </w:rPr>
              <w:t>Stroke</w:t>
            </w:r>
          </w:p>
        </w:tc>
        <w:tc>
          <w:tcPr>
            <w:tcW w:w="2529" w:type="dxa"/>
            <w:tcBorders>
              <w:top w:val="nil"/>
              <w:left w:val="nil"/>
              <w:bottom w:val="nil"/>
              <w:right w:val="nil"/>
            </w:tcBorders>
            <w:hideMark/>
          </w:tcPr>
          <w:p w14:paraId="5BCA6B31" w14:textId="77777777" w:rsidR="00B64398" w:rsidRPr="00E84D1D" w:rsidRDefault="00B64398" w:rsidP="00386A9D">
            <w:pPr>
              <w:spacing w:line="480" w:lineRule="auto"/>
              <w:rPr>
                <w:rFonts w:cs="Arial"/>
                <w:szCs w:val="22"/>
              </w:rPr>
            </w:pPr>
            <w:r w:rsidRPr="00E84D1D">
              <w:rPr>
                <w:rFonts w:cs="Arial"/>
                <w:color w:val="000000"/>
                <w:kern w:val="24"/>
                <w:szCs w:val="22"/>
              </w:rPr>
              <w:t>2 (1.2)</w:t>
            </w:r>
          </w:p>
        </w:tc>
        <w:tc>
          <w:tcPr>
            <w:tcW w:w="2360" w:type="dxa"/>
            <w:tcBorders>
              <w:top w:val="nil"/>
              <w:left w:val="nil"/>
              <w:bottom w:val="nil"/>
              <w:right w:val="nil"/>
            </w:tcBorders>
          </w:tcPr>
          <w:p w14:paraId="7F7F15BB"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634" w:type="dxa"/>
            <w:tcBorders>
              <w:top w:val="nil"/>
              <w:left w:val="nil"/>
              <w:bottom w:val="nil"/>
            </w:tcBorders>
            <w:hideMark/>
          </w:tcPr>
          <w:p w14:paraId="4971AC75" w14:textId="77777777" w:rsidR="00B64398" w:rsidRPr="00E84D1D" w:rsidRDefault="00B64398" w:rsidP="00386A9D">
            <w:pPr>
              <w:spacing w:line="480" w:lineRule="auto"/>
              <w:rPr>
                <w:rFonts w:cs="Arial"/>
                <w:szCs w:val="22"/>
              </w:rPr>
            </w:pPr>
            <w:r w:rsidRPr="00E84D1D">
              <w:rPr>
                <w:rFonts w:cs="Arial"/>
                <w:color w:val="000000"/>
                <w:kern w:val="24"/>
                <w:szCs w:val="22"/>
              </w:rPr>
              <w:t>2 (0.3)</w:t>
            </w:r>
          </w:p>
        </w:tc>
      </w:tr>
      <w:tr w:rsidR="00B64398" w:rsidRPr="00E84D1D" w14:paraId="0BA915A2" w14:textId="77777777" w:rsidTr="00386A9D">
        <w:trPr>
          <w:trHeight w:val="20"/>
          <w:jc w:val="left"/>
        </w:trPr>
        <w:tc>
          <w:tcPr>
            <w:tcW w:w="4054" w:type="dxa"/>
            <w:tcBorders>
              <w:top w:val="nil"/>
              <w:left w:val="nil"/>
              <w:right w:val="nil"/>
            </w:tcBorders>
            <w:vAlign w:val="center"/>
          </w:tcPr>
          <w:p w14:paraId="6019FC97" w14:textId="77777777" w:rsidR="00B64398" w:rsidRPr="00E84D1D" w:rsidRDefault="00B64398" w:rsidP="00386A9D">
            <w:pPr>
              <w:spacing w:line="480" w:lineRule="auto"/>
              <w:ind w:left="567"/>
              <w:rPr>
                <w:rFonts w:cs="Arial"/>
                <w:color w:val="000000" w:themeColor="text1"/>
                <w:kern w:val="24"/>
                <w:szCs w:val="22"/>
              </w:rPr>
            </w:pPr>
            <w:r w:rsidRPr="00E84D1D">
              <w:rPr>
                <w:rFonts w:cs="Arial"/>
                <w:bCs/>
                <w:color w:val="000000" w:themeColor="text1"/>
                <w:kern w:val="24"/>
                <w:szCs w:val="28"/>
              </w:rPr>
              <w:t>Primary haemorrhagic stroke</w:t>
            </w:r>
          </w:p>
        </w:tc>
        <w:tc>
          <w:tcPr>
            <w:tcW w:w="2529" w:type="dxa"/>
            <w:tcBorders>
              <w:top w:val="nil"/>
              <w:left w:val="nil"/>
              <w:bottom w:val="nil"/>
              <w:right w:val="nil"/>
            </w:tcBorders>
            <w:vAlign w:val="center"/>
          </w:tcPr>
          <w:p w14:paraId="5FFC15AE" w14:textId="77777777" w:rsidR="00B64398" w:rsidRPr="00E84D1D" w:rsidRDefault="00B64398" w:rsidP="00386A9D">
            <w:pPr>
              <w:spacing w:line="480" w:lineRule="auto"/>
              <w:rPr>
                <w:rFonts w:cs="Arial"/>
                <w:color w:val="000000" w:themeColor="text1"/>
                <w:kern w:val="24"/>
                <w:szCs w:val="22"/>
              </w:rPr>
            </w:pPr>
            <w:r w:rsidRPr="00E84D1D">
              <w:rPr>
                <w:rFonts w:cs="Arial"/>
                <w:bCs/>
                <w:color w:val="000000" w:themeColor="text1"/>
                <w:kern w:val="24"/>
                <w:szCs w:val="28"/>
              </w:rPr>
              <w:t>0</w:t>
            </w:r>
          </w:p>
        </w:tc>
        <w:tc>
          <w:tcPr>
            <w:tcW w:w="2360" w:type="dxa"/>
            <w:tcBorders>
              <w:top w:val="nil"/>
              <w:left w:val="nil"/>
              <w:bottom w:val="nil"/>
              <w:right w:val="nil"/>
            </w:tcBorders>
            <w:vAlign w:val="center"/>
          </w:tcPr>
          <w:p w14:paraId="64D89278" w14:textId="77777777" w:rsidR="00B64398" w:rsidRPr="00E84D1D" w:rsidRDefault="00B64398" w:rsidP="00386A9D">
            <w:pPr>
              <w:tabs>
                <w:tab w:val="decimal" w:pos="0"/>
              </w:tabs>
              <w:spacing w:line="480" w:lineRule="auto"/>
              <w:rPr>
                <w:rFonts w:cs="Arial"/>
                <w:color w:val="000000" w:themeColor="text1"/>
                <w:kern w:val="24"/>
                <w:szCs w:val="22"/>
              </w:rPr>
            </w:pPr>
            <w:r w:rsidRPr="00E84D1D">
              <w:rPr>
                <w:rFonts w:cs="Arial"/>
                <w:bCs/>
                <w:color w:val="000000" w:themeColor="text1"/>
                <w:kern w:val="24"/>
                <w:szCs w:val="28"/>
              </w:rPr>
              <w:t>0</w:t>
            </w:r>
          </w:p>
        </w:tc>
        <w:tc>
          <w:tcPr>
            <w:tcW w:w="2634" w:type="dxa"/>
            <w:tcBorders>
              <w:top w:val="nil"/>
              <w:left w:val="nil"/>
              <w:bottom w:val="nil"/>
            </w:tcBorders>
            <w:vAlign w:val="center"/>
          </w:tcPr>
          <w:p w14:paraId="6377F2C3" w14:textId="77777777" w:rsidR="00B64398" w:rsidRPr="00E84D1D" w:rsidRDefault="00B64398" w:rsidP="00386A9D">
            <w:pPr>
              <w:spacing w:line="480" w:lineRule="auto"/>
              <w:rPr>
                <w:rFonts w:cs="Arial"/>
                <w:color w:val="000000" w:themeColor="text1"/>
                <w:kern w:val="24"/>
                <w:szCs w:val="22"/>
              </w:rPr>
            </w:pPr>
            <w:r w:rsidRPr="00E84D1D">
              <w:rPr>
                <w:rFonts w:cs="Arial"/>
                <w:bCs/>
                <w:color w:val="000000" w:themeColor="text1"/>
                <w:kern w:val="24"/>
                <w:szCs w:val="28"/>
              </w:rPr>
              <w:t>0</w:t>
            </w:r>
          </w:p>
        </w:tc>
      </w:tr>
      <w:tr w:rsidR="00B64398" w:rsidRPr="00E84D1D" w14:paraId="5BA6B1EF" w14:textId="77777777" w:rsidTr="00386A9D">
        <w:trPr>
          <w:trHeight w:val="20"/>
          <w:jc w:val="left"/>
        </w:trPr>
        <w:tc>
          <w:tcPr>
            <w:tcW w:w="4054" w:type="dxa"/>
            <w:tcBorders>
              <w:top w:val="nil"/>
              <w:left w:val="nil"/>
              <w:bottom w:val="nil"/>
              <w:right w:val="nil"/>
            </w:tcBorders>
            <w:vAlign w:val="center"/>
          </w:tcPr>
          <w:p w14:paraId="70AFA5D1" w14:textId="77777777" w:rsidR="00B64398" w:rsidRPr="00E84D1D" w:rsidRDefault="00B64398" w:rsidP="00386A9D">
            <w:pPr>
              <w:spacing w:line="480" w:lineRule="auto"/>
              <w:ind w:left="567"/>
              <w:rPr>
                <w:rFonts w:cs="Arial"/>
                <w:color w:val="000000"/>
                <w:kern w:val="24"/>
                <w:szCs w:val="22"/>
              </w:rPr>
            </w:pPr>
            <w:r w:rsidRPr="00E84D1D">
              <w:rPr>
                <w:rFonts w:cs="Arial"/>
                <w:color w:val="000000" w:themeColor="dark1"/>
                <w:kern w:val="24"/>
                <w:szCs w:val="28"/>
              </w:rPr>
              <w:t>Primary ischaemic stroke</w:t>
            </w:r>
          </w:p>
        </w:tc>
        <w:tc>
          <w:tcPr>
            <w:tcW w:w="2529" w:type="dxa"/>
            <w:tcBorders>
              <w:top w:val="nil"/>
              <w:left w:val="nil"/>
              <w:bottom w:val="nil"/>
              <w:right w:val="nil"/>
            </w:tcBorders>
            <w:vAlign w:val="center"/>
          </w:tcPr>
          <w:p w14:paraId="1D792516" w14:textId="77777777" w:rsidR="00B64398" w:rsidRPr="00E84D1D" w:rsidRDefault="00B64398" w:rsidP="00386A9D">
            <w:pPr>
              <w:spacing w:line="480" w:lineRule="auto"/>
              <w:rPr>
                <w:rFonts w:cs="Arial"/>
                <w:color w:val="000000"/>
                <w:kern w:val="24"/>
                <w:szCs w:val="22"/>
              </w:rPr>
            </w:pPr>
            <w:r w:rsidRPr="00E84D1D">
              <w:rPr>
                <w:rFonts w:cs="Arial"/>
                <w:color w:val="000000" w:themeColor="dark1"/>
                <w:kern w:val="24"/>
                <w:szCs w:val="28"/>
              </w:rPr>
              <w:t>2 (1.2)</w:t>
            </w:r>
          </w:p>
        </w:tc>
        <w:tc>
          <w:tcPr>
            <w:tcW w:w="2360" w:type="dxa"/>
            <w:tcBorders>
              <w:top w:val="nil"/>
              <w:left w:val="nil"/>
              <w:bottom w:val="nil"/>
              <w:right w:val="nil"/>
            </w:tcBorders>
            <w:vAlign w:val="center"/>
          </w:tcPr>
          <w:p w14:paraId="4B906E85" w14:textId="77777777" w:rsidR="00B64398" w:rsidRPr="00E84D1D" w:rsidRDefault="00B64398" w:rsidP="00386A9D">
            <w:pPr>
              <w:tabs>
                <w:tab w:val="decimal" w:pos="0"/>
              </w:tabs>
              <w:spacing w:line="480" w:lineRule="auto"/>
              <w:rPr>
                <w:rFonts w:cs="Arial"/>
                <w:color w:val="000000"/>
                <w:kern w:val="24"/>
                <w:szCs w:val="22"/>
              </w:rPr>
            </w:pPr>
            <w:r w:rsidRPr="00E84D1D">
              <w:rPr>
                <w:rFonts w:cs="Arial"/>
                <w:color w:val="000000" w:themeColor="dark1"/>
                <w:kern w:val="24"/>
                <w:szCs w:val="28"/>
              </w:rPr>
              <w:t>0</w:t>
            </w:r>
          </w:p>
        </w:tc>
        <w:tc>
          <w:tcPr>
            <w:tcW w:w="2634" w:type="dxa"/>
            <w:tcBorders>
              <w:top w:val="nil"/>
              <w:left w:val="nil"/>
              <w:bottom w:val="nil"/>
            </w:tcBorders>
            <w:vAlign w:val="center"/>
          </w:tcPr>
          <w:p w14:paraId="7EECC0A0" w14:textId="77777777" w:rsidR="00B64398" w:rsidRPr="00E84D1D" w:rsidRDefault="00B64398" w:rsidP="00386A9D">
            <w:pPr>
              <w:spacing w:line="480" w:lineRule="auto"/>
              <w:rPr>
                <w:rFonts w:cs="Arial"/>
                <w:color w:val="000000"/>
                <w:kern w:val="24"/>
                <w:szCs w:val="22"/>
              </w:rPr>
            </w:pPr>
            <w:r w:rsidRPr="00E84D1D">
              <w:rPr>
                <w:rFonts w:cs="Arial"/>
                <w:color w:val="000000" w:themeColor="dark1"/>
                <w:kern w:val="24"/>
                <w:szCs w:val="28"/>
              </w:rPr>
              <w:t>2 (0.3)</w:t>
            </w:r>
          </w:p>
        </w:tc>
      </w:tr>
      <w:tr w:rsidR="00B64398" w:rsidRPr="00E84D1D" w14:paraId="7A87B69D" w14:textId="77777777" w:rsidTr="00386A9D">
        <w:trPr>
          <w:trHeight w:val="20"/>
          <w:jc w:val="left"/>
        </w:trPr>
        <w:tc>
          <w:tcPr>
            <w:tcW w:w="4054" w:type="dxa"/>
            <w:tcBorders>
              <w:top w:val="nil"/>
              <w:left w:val="nil"/>
              <w:bottom w:val="nil"/>
              <w:right w:val="nil"/>
            </w:tcBorders>
            <w:hideMark/>
          </w:tcPr>
          <w:p w14:paraId="250508C0" w14:textId="77777777" w:rsidR="00B64398" w:rsidRPr="00E84D1D" w:rsidRDefault="00B64398" w:rsidP="00386A9D">
            <w:pPr>
              <w:spacing w:line="480" w:lineRule="auto"/>
              <w:ind w:left="292"/>
              <w:rPr>
                <w:rFonts w:cs="Arial"/>
                <w:szCs w:val="22"/>
              </w:rPr>
            </w:pPr>
            <w:r w:rsidRPr="00E84D1D">
              <w:rPr>
                <w:rFonts w:cs="Arial"/>
                <w:color w:val="000000"/>
                <w:kern w:val="24"/>
                <w:szCs w:val="22"/>
              </w:rPr>
              <w:lastRenderedPageBreak/>
              <w:t>Non-CNS embolism</w:t>
            </w:r>
          </w:p>
        </w:tc>
        <w:tc>
          <w:tcPr>
            <w:tcW w:w="2529" w:type="dxa"/>
            <w:tcBorders>
              <w:top w:val="nil"/>
              <w:left w:val="nil"/>
              <w:bottom w:val="nil"/>
              <w:right w:val="nil"/>
            </w:tcBorders>
            <w:hideMark/>
          </w:tcPr>
          <w:p w14:paraId="4D2D68F1"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360" w:type="dxa"/>
            <w:tcBorders>
              <w:top w:val="nil"/>
              <w:left w:val="nil"/>
              <w:bottom w:val="nil"/>
              <w:right w:val="nil"/>
            </w:tcBorders>
          </w:tcPr>
          <w:p w14:paraId="621FD26B"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634" w:type="dxa"/>
            <w:tcBorders>
              <w:top w:val="nil"/>
              <w:left w:val="nil"/>
              <w:bottom w:val="nil"/>
            </w:tcBorders>
            <w:hideMark/>
          </w:tcPr>
          <w:p w14:paraId="79D85026"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r>
      <w:tr w:rsidR="00B64398" w:rsidRPr="00E84D1D" w14:paraId="6C1576A6" w14:textId="77777777" w:rsidTr="00386A9D">
        <w:trPr>
          <w:trHeight w:val="20"/>
          <w:jc w:val="left"/>
        </w:trPr>
        <w:tc>
          <w:tcPr>
            <w:tcW w:w="4054" w:type="dxa"/>
            <w:tcBorders>
              <w:top w:val="nil"/>
              <w:left w:val="nil"/>
              <w:right w:val="nil"/>
            </w:tcBorders>
            <w:hideMark/>
          </w:tcPr>
          <w:p w14:paraId="4375AC22" w14:textId="77777777" w:rsidR="00B64398" w:rsidRPr="00E84D1D" w:rsidRDefault="00B64398" w:rsidP="00386A9D">
            <w:pPr>
              <w:spacing w:line="480" w:lineRule="auto"/>
              <w:ind w:left="292"/>
              <w:rPr>
                <w:rFonts w:cs="Arial"/>
                <w:szCs w:val="22"/>
              </w:rPr>
            </w:pPr>
            <w:r w:rsidRPr="00E84D1D">
              <w:rPr>
                <w:rFonts w:cs="Arial"/>
                <w:color w:val="000000"/>
                <w:kern w:val="24"/>
                <w:szCs w:val="22"/>
              </w:rPr>
              <w:t>TIA</w:t>
            </w:r>
          </w:p>
        </w:tc>
        <w:tc>
          <w:tcPr>
            <w:tcW w:w="2529" w:type="dxa"/>
            <w:tcBorders>
              <w:top w:val="nil"/>
              <w:left w:val="nil"/>
              <w:bottom w:val="nil"/>
              <w:right w:val="nil"/>
            </w:tcBorders>
            <w:hideMark/>
          </w:tcPr>
          <w:p w14:paraId="14595B03"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360" w:type="dxa"/>
            <w:tcBorders>
              <w:top w:val="nil"/>
              <w:left w:val="nil"/>
              <w:bottom w:val="nil"/>
              <w:right w:val="nil"/>
            </w:tcBorders>
          </w:tcPr>
          <w:p w14:paraId="43054095" w14:textId="77777777" w:rsidR="00B64398" w:rsidRPr="00E84D1D" w:rsidRDefault="00B64398" w:rsidP="00386A9D">
            <w:pPr>
              <w:spacing w:line="480" w:lineRule="auto"/>
              <w:rPr>
                <w:rFonts w:cs="Arial"/>
                <w:szCs w:val="22"/>
              </w:rPr>
            </w:pPr>
            <w:r w:rsidRPr="00E84D1D">
              <w:rPr>
                <w:rFonts w:cs="Arial"/>
                <w:color w:val="000000"/>
                <w:kern w:val="24"/>
                <w:szCs w:val="22"/>
              </w:rPr>
              <w:t>3 (0.6)</w:t>
            </w:r>
          </w:p>
        </w:tc>
        <w:tc>
          <w:tcPr>
            <w:tcW w:w="2634" w:type="dxa"/>
            <w:tcBorders>
              <w:top w:val="nil"/>
              <w:left w:val="nil"/>
              <w:bottom w:val="nil"/>
            </w:tcBorders>
            <w:hideMark/>
          </w:tcPr>
          <w:p w14:paraId="3B8B5A56" w14:textId="77777777" w:rsidR="00B64398" w:rsidRPr="00E84D1D" w:rsidRDefault="00B64398" w:rsidP="00386A9D">
            <w:pPr>
              <w:spacing w:line="480" w:lineRule="auto"/>
              <w:rPr>
                <w:rFonts w:cs="Arial"/>
                <w:szCs w:val="22"/>
              </w:rPr>
            </w:pPr>
            <w:r w:rsidRPr="00E84D1D">
              <w:rPr>
                <w:rFonts w:cs="Arial"/>
                <w:color w:val="000000"/>
                <w:kern w:val="24"/>
                <w:szCs w:val="22"/>
              </w:rPr>
              <w:t>3 (0.5)</w:t>
            </w:r>
          </w:p>
        </w:tc>
      </w:tr>
      <w:tr w:rsidR="00B64398" w:rsidRPr="00E84D1D" w14:paraId="13B1ED34" w14:textId="77777777" w:rsidTr="00386A9D">
        <w:trPr>
          <w:trHeight w:val="20"/>
          <w:jc w:val="left"/>
        </w:trPr>
        <w:tc>
          <w:tcPr>
            <w:tcW w:w="4054" w:type="dxa"/>
            <w:tcBorders>
              <w:top w:val="nil"/>
              <w:left w:val="nil"/>
              <w:right w:val="nil"/>
            </w:tcBorders>
            <w:shd w:val="clear" w:color="auto" w:fill="auto"/>
            <w:hideMark/>
          </w:tcPr>
          <w:p w14:paraId="0E759D3E" w14:textId="7FD1A484" w:rsidR="00B64398" w:rsidRPr="00E84D1D" w:rsidRDefault="00B64398" w:rsidP="00386A9D">
            <w:pPr>
              <w:spacing w:line="480" w:lineRule="auto"/>
              <w:ind w:left="292"/>
              <w:rPr>
                <w:rFonts w:cs="Arial"/>
                <w:szCs w:val="22"/>
              </w:rPr>
            </w:pPr>
            <w:r w:rsidRPr="00572E41">
              <w:rPr>
                <w:rFonts w:cs="Arial"/>
                <w:color w:val="000000"/>
                <w:kern w:val="24"/>
                <w:szCs w:val="22"/>
              </w:rPr>
              <w:t>M</w:t>
            </w:r>
            <w:r w:rsidRPr="00E84D1D">
              <w:rPr>
                <w:rFonts w:cs="Arial"/>
                <w:color w:val="000000"/>
                <w:kern w:val="24"/>
                <w:szCs w:val="22"/>
              </w:rPr>
              <w:t>I</w:t>
            </w:r>
          </w:p>
        </w:tc>
        <w:tc>
          <w:tcPr>
            <w:tcW w:w="2529" w:type="dxa"/>
            <w:tcBorders>
              <w:top w:val="nil"/>
              <w:left w:val="nil"/>
              <w:bottom w:val="single" w:sz="4" w:space="0" w:color="auto"/>
              <w:right w:val="nil"/>
            </w:tcBorders>
            <w:hideMark/>
          </w:tcPr>
          <w:p w14:paraId="511E0C65"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360" w:type="dxa"/>
            <w:tcBorders>
              <w:top w:val="nil"/>
              <w:left w:val="nil"/>
              <w:bottom w:val="single" w:sz="4" w:space="0" w:color="auto"/>
              <w:right w:val="nil"/>
            </w:tcBorders>
          </w:tcPr>
          <w:p w14:paraId="08CE535D"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c>
          <w:tcPr>
            <w:tcW w:w="2634" w:type="dxa"/>
            <w:tcBorders>
              <w:top w:val="nil"/>
              <w:left w:val="nil"/>
              <w:bottom w:val="single" w:sz="4" w:space="0" w:color="auto"/>
            </w:tcBorders>
            <w:hideMark/>
          </w:tcPr>
          <w:p w14:paraId="6E60D400" w14:textId="77777777" w:rsidR="00B64398" w:rsidRPr="00E84D1D" w:rsidRDefault="00B64398" w:rsidP="00386A9D">
            <w:pPr>
              <w:tabs>
                <w:tab w:val="decimal" w:pos="0"/>
              </w:tabs>
              <w:spacing w:line="480" w:lineRule="auto"/>
              <w:rPr>
                <w:rFonts w:cs="Arial"/>
                <w:szCs w:val="22"/>
              </w:rPr>
            </w:pPr>
            <w:r w:rsidRPr="00E84D1D">
              <w:rPr>
                <w:rFonts w:cs="Arial"/>
                <w:color w:val="000000"/>
                <w:kern w:val="24"/>
                <w:szCs w:val="22"/>
              </w:rPr>
              <w:t>0</w:t>
            </w:r>
          </w:p>
        </w:tc>
      </w:tr>
    </w:tbl>
    <w:p w14:paraId="2BE59844" w14:textId="77777777" w:rsidR="00B64398" w:rsidRPr="00E84D1D" w:rsidRDefault="00B64398" w:rsidP="00B64398">
      <w:pPr>
        <w:pStyle w:val="Text"/>
      </w:pPr>
      <w:r w:rsidRPr="00E84D1D">
        <w:rPr>
          <w:vertAlign w:val="superscript"/>
        </w:rPr>
        <w:t>a</w:t>
      </w:r>
      <w:r w:rsidRPr="00E84D1D">
        <w:t>Includes procedure-related bleedings and events during rivaroxaban interruption.</w:t>
      </w:r>
    </w:p>
    <w:p w14:paraId="220F4145" w14:textId="77777777" w:rsidR="00B64398" w:rsidRPr="00E84D1D" w:rsidRDefault="00B64398" w:rsidP="00B64398">
      <w:pPr>
        <w:pStyle w:val="Text"/>
      </w:pPr>
      <w:r w:rsidRPr="00E84D1D">
        <w:t>CNS, central nervous system; MI, myocardial infarction; TIA, transient ischaemic attack.</w:t>
      </w:r>
    </w:p>
    <w:p w14:paraId="3E47C25E" w14:textId="77777777" w:rsidR="00B64398" w:rsidRPr="00E84D1D" w:rsidRDefault="00B64398" w:rsidP="00B64398">
      <w:pPr>
        <w:pStyle w:val="Text"/>
      </w:pPr>
    </w:p>
    <w:p w14:paraId="61F862DE" w14:textId="77777777" w:rsidR="00B64398" w:rsidRPr="00E84D1D" w:rsidRDefault="00B64398" w:rsidP="00B64398">
      <w:pPr>
        <w:pStyle w:val="Manuscriptheading2"/>
        <w:spacing w:before="0" w:after="0"/>
        <w:rPr>
          <w:lang w:val="en-GB"/>
        </w:rPr>
        <w:sectPr w:rsidR="00B64398" w:rsidRPr="00E84D1D" w:rsidSect="00CF05BB">
          <w:pgSz w:w="16838" w:h="11906" w:orient="landscape" w:code="9"/>
          <w:pgMar w:top="1418" w:right="1418" w:bottom="1418" w:left="1418" w:header="284" w:footer="720" w:gutter="0"/>
          <w:cols w:space="720"/>
          <w:docGrid w:linePitch="326"/>
        </w:sectPr>
      </w:pPr>
    </w:p>
    <w:p w14:paraId="10F5CCDF" w14:textId="77777777" w:rsidR="00B64398" w:rsidRPr="00E84D1D" w:rsidRDefault="00B64398" w:rsidP="00B64398">
      <w:pPr>
        <w:pStyle w:val="Text"/>
      </w:pPr>
      <w:r w:rsidRPr="00E84D1D">
        <w:rPr>
          <w:b/>
        </w:rPr>
        <w:lastRenderedPageBreak/>
        <w:t>Table 4</w:t>
      </w:r>
      <w:r w:rsidRPr="00E84D1D">
        <w:t xml:space="preserve"> Individual adverse outcomes occurring in patients undergoing cardioversion or catheter ablation in the XANTUS study</w:t>
      </w:r>
    </w:p>
    <w:tbl>
      <w:tblPr>
        <w:tblStyle w:val="TableGrid"/>
        <w:tblW w:w="0" w:type="auto"/>
        <w:jc w:val="left"/>
        <w:tblBorders>
          <w:left w:val="none" w:sz="0" w:space="0" w:color="auto"/>
          <w:right w:val="none" w:sz="0" w:space="0" w:color="auto"/>
          <w:insideV w:val="none" w:sz="0" w:space="0" w:color="auto"/>
        </w:tblBorders>
        <w:tblLook w:val="04A0" w:firstRow="1" w:lastRow="0" w:firstColumn="1" w:lastColumn="0" w:noHBand="0" w:noVBand="1"/>
      </w:tblPr>
      <w:tblGrid>
        <w:gridCol w:w="1526"/>
        <w:gridCol w:w="1831"/>
        <w:gridCol w:w="2280"/>
        <w:gridCol w:w="3543"/>
        <w:gridCol w:w="4256"/>
      </w:tblGrid>
      <w:tr w:rsidR="00B64398" w:rsidRPr="00E84D1D" w14:paraId="34B4C677" w14:textId="77777777" w:rsidTr="00386A9D">
        <w:trPr>
          <w:trHeight w:val="1214"/>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bottom w:val="single" w:sz="4" w:space="0" w:color="auto"/>
              <w:right w:val="nil"/>
            </w:tcBorders>
          </w:tcPr>
          <w:p w14:paraId="40C141E8" w14:textId="77777777" w:rsidR="00B64398" w:rsidRPr="00E84D1D" w:rsidRDefault="00B64398" w:rsidP="00386A9D">
            <w:pPr>
              <w:pStyle w:val="Text"/>
              <w:rPr>
                <w:b/>
                <w:szCs w:val="22"/>
              </w:rPr>
            </w:pPr>
            <w:r w:rsidRPr="00E84D1D">
              <w:rPr>
                <w:b/>
                <w:szCs w:val="22"/>
              </w:rPr>
              <w:t>Subject</w:t>
            </w:r>
          </w:p>
        </w:tc>
        <w:tc>
          <w:tcPr>
            <w:tcW w:w="1831" w:type="dxa"/>
            <w:tcBorders>
              <w:left w:val="nil"/>
              <w:bottom w:val="single" w:sz="4" w:space="0" w:color="auto"/>
            </w:tcBorders>
          </w:tcPr>
          <w:p w14:paraId="510A324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b/>
                <w:szCs w:val="22"/>
              </w:rPr>
            </w:pPr>
            <w:r w:rsidRPr="00E84D1D">
              <w:rPr>
                <w:b/>
                <w:szCs w:val="22"/>
              </w:rPr>
              <w:t>Procedure</w:t>
            </w:r>
          </w:p>
        </w:tc>
        <w:tc>
          <w:tcPr>
            <w:tcW w:w="2280" w:type="dxa"/>
            <w:tcBorders>
              <w:bottom w:val="single" w:sz="4" w:space="0" w:color="auto"/>
            </w:tcBorders>
          </w:tcPr>
          <w:p w14:paraId="0F37B53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b/>
                <w:szCs w:val="22"/>
              </w:rPr>
            </w:pPr>
            <w:r w:rsidRPr="00E84D1D">
              <w:rPr>
                <w:b/>
                <w:szCs w:val="22"/>
              </w:rPr>
              <w:t>Event</w:t>
            </w:r>
          </w:p>
        </w:tc>
        <w:tc>
          <w:tcPr>
            <w:tcW w:w="3543" w:type="dxa"/>
            <w:tcBorders>
              <w:bottom w:val="single" w:sz="4" w:space="0" w:color="auto"/>
            </w:tcBorders>
          </w:tcPr>
          <w:p w14:paraId="672F0C1D"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b/>
                <w:szCs w:val="22"/>
              </w:rPr>
            </w:pPr>
            <w:r w:rsidRPr="00E84D1D">
              <w:rPr>
                <w:b/>
                <w:szCs w:val="22"/>
              </w:rPr>
              <w:t>Treatment interruption</w:t>
            </w:r>
          </w:p>
        </w:tc>
        <w:tc>
          <w:tcPr>
            <w:tcW w:w="4256" w:type="dxa"/>
            <w:tcBorders>
              <w:bottom w:val="single" w:sz="4" w:space="0" w:color="auto"/>
            </w:tcBorders>
          </w:tcPr>
          <w:p w14:paraId="12F0A348"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b/>
                <w:szCs w:val="22"/>
              </w:rPr>
            </w:pPr>
            <w:r w:rsidRPr="00E84D1D">
              <w:rPr>
                <w:b/>
                <w:szCs w:val="22"/>
              </w:rPr>
              <w:t>Description of the event</w:t>
            </w:r>
          </w:p>
        </w:tc>
      </w:tr>
      <w:tr w:rsidR="00B64398" w:rsidRPr="00E84D1D" w14:paraId="01B0F0D5"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162E9DBF" w14:textId="77777777" w:rsidR="00B64398" w:rsidRPr="00E84D1D" w:rsidRDefault="00B64398" w:rsidP="00386A9D">
            <w:pPr>
              <w:spacing w:line="480" w:lineRule="auto"/>
              <w:rPr>
                <w:szCs w:val="22"/>
              </w:rPr>
            </w:pPr>
            <w:r w:rsidRPr="00E84D1D">
              <w:rPr>
                <w:szCs w:val="22"/>
              </w:rPr>
              <w:t xml:space="preserve">Female, </w:t>
            </w:r>
            <w:r w:rsidRPr="00E84D1D">
              <w:rPr>
                <w:szCs w:val="22"/>
              </w:rPr>
              <w:br/>
              <w:t>75 years old</w:t>
            </w:r>
          </w:p>
        </w:tc>
        <w:tc>
          <w:tcPr>
            <w:tcW w:w="1831" w:type="dxa"/>
            <w:tcBorders>
              <w:top w:val="nil"/>
              <w:left w:val="nil"/>
              <w:bottom w:val="nil"/>
            </w:tcBorders>
          </w:tcPr>
          <w:p w14:paraId="15666C0D"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Electrical </w:t>
            </w:r>
            <w:r w:rsidRPr="00E84D1D">
              <w:t>cardioversion</w:t>
            </w:r>
          </w:p>
        </w:tc>
        <w:tc>
          <w:tcPr>
            <w:tcW w:w="2280" w:type="dxa"/>
            <w:tcBorders>
              <w:top w:val="nil"/>
              <w:bottom w:val="nil"/>
            </w:tcBorders>
          </w:tcPr>
          <w:p w14:paraId="154BE30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p>
        </w:tc>
        <w:tc>
          <w:tcPr>
            <w:tcW w:w="3543" w:type="dxa"/>
            <w:tcBorders>
              <w:top w:val="nil"/>
              <w:bottom w:val="nil"/>
            </w:tcBorders>
          </w:tcPr>
          <w:p w14:paraId="1B512EC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No</w:t>
            </w:r>
          </w:p>
        </w:tc>
        <w:tc>
          <w:tcPr>
            <w:tcW w:w="4256" w:type="dxa"/>
            <w:tcBorders>
              <w:top w:val="nil"/>
              <w:bottom w:val="nil"/>
            </w:tcBorders>
          </w:tcPr>
          <w:p w14:paraId="147C5AB8"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Aortic aneurysm rupture &gt;2 weeks after </w:t>
            </w:r>
            <w:r w:rsidRPr="00E84D1D">
              <w:t>cardioversion</w:t>
            </w:r>
          </w:p>
        </w:tc>
      </w:tr>
      <w:tr w:rsidR="00B64398" w:rsidRPr="00E84D1D" w14:paraId="5AE1070E"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7C13C064" w14:textId="77777777" w:rsidR="00B64398" w:rsidRPr="00E84D1D" w:rsidRDefault="00B64398" w:rsidP="00386A9D">
            <w:pPr>
              <w:spacing w:line="480" w:lineRule="auto"/>
              <w:rPr>
                <w:rFonts w:cs="Arial"/>
                <w:szCs w:val="22"/>
              </w:rPr>
            </w:pPr>
            <w:r w:rsidRPr="00E84D1D">
              <w:rPr>
                <w:szCs w:val="22"/>
              </w:rPr>
              <w:t xml:space="preserve">Female, </w:t>
            </w:r>
            <w:r w:rsidRPr="00E84D1D">
              <w:rPr>
                <w:szCs w:val="22"/>
              </w:rPr>
              <w:br/>
              <w:t>70 years old</w:t>
            </w:r>
          </w:p>
        </w:tc>
        <w:tc>
          <w:tcPr>
            <w:tcW w:w="1831" w:type="dxa"/>
            <w:tcBorders>
              <w:top w:val="nil"/>
              <w:left w:val="nil"/>
              <w:bottom w:val="nil"/>
            </w:tcBorders>
          </w:tcPr>
          <w:p w14:paraId="1CC8B232"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Electrical </w:t>
            </w:r>
            <w:r w:rsidRPr="00E84D1D">
              <w:t>cardioversion</w:t>
            </w:r>
            <w:r w:rsidRPr="00E84D1D" w:rsidDel="00442AE2">
              <w:rPr>
                <w:szCs w:val="22"/>
              </w:rPr>
              <w:t xml:space="preserve"> </w:t>
            </w:r>
            <w:r w:rsidRPr="00E84D1D">
              <w:rPr>
                <w:szCs w:val="22"/>
              </w:rPr>
              <w:t>and catheter ablation</w:t>
            </w:r>
          </w:p>
        </w:tc>
        <w:tc>
          <w:tcPr>
            <w:tcW w:w="2280" w:type="dxa"/>
            <w:tcBorders>
              <w:top w:val="nil"/>
              <w:bottom w:val="nil"/>
            </w:tcBorders>
          </w:tcPr>
          <w:p w14:paraId="5A68E7ED"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Ischaemic stroke and </w:t>
            </w:r>
            <w:r w:rsidRPr="00E84D1D">
              <w:t>major bleeding</w:t>
            </w:r>
          </w:p>
        </w:tc>
        <w:tc>
          <w:tcPr>
            <w:tcW w:w="3543" w:type="dxa"/>
            <w:tcBorders>
              <w:top w:val="nil"/>
              <w:bottom w:val="nil"/>
            </w:tcBorders>
          </w:tcPr>
          <w:p w14:paraId="05965F0B"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No</w:t>
            </w:r>
          </w:p>
        </w:tc>
        <w:tc>
          <w:tcPr>
            <w:tcW w:w="4256" w:type="dxa"/>
            <w:tcBorders>
              <w:top w:val="nil"/>
              <w:bottom w:val="nil"/>
            </w:tcBorders>
          </w:tcPr>
          <w:p w14:paraId="74C8EAB5" w14:textId="28A14C0C" w:rsidR="00B64398" w:rsidRPr="00E84D1D" w:rsidRDefault="00B64398" w:rsidP="00B47C1C">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Primary ischaemic stroke with haemorrhagic transformation after cardioversion, adjudicated as both stroke and major bleeding within 42 days </w:t>
            </w:r>
            <w:r w:rsidR="00B47C1C">
              <w:rPr>
                <w:szCs w:val="22"/>
              </w:rPr>
              <w:t>of</w:t>
            </w:r>
            <w:r w:rsidR="00B47C1C" w:rsidRPr="00E84D1D">
              <w:rPr>
                <w:szCs w:val="22"/>
              </w:rPr>
              <w:t xml:space="preserve"> </w:t>
            </w:r>
            <w:r w:rsidRPr="00E84D1D">
              <w:rPr>
                <w:szCs w:val="22"/>
              </w:rPr>
              <w:t>cardioversion.</w:t>
            </w:r>
            <w:r w:rsidRPr="00E84D1D">
              <w:rPr>
                <w:szCs w:val="22"/>
                <w:vertAlign w:val="superscript"/>
              </w:rPr>
              <w:t>a</w:t>
            </w:r>
            <w:r w:rsidRPr="00E84D1D">
              <w:rPr>
                <w:szCs w:val="22"/>
              </w:rPr>
              <w:t xml:space="preserve"> Second event of brain stem ischaemia on the day of catheter ablation, recorded as stroke within 30 days of catheter ablation and within 42 days of cardioversion</w:t>
            </w:r>
          </w:p>
        </w:tc>
      </w:tr>
      <w:tr w:rsidR="00B64398" w:rsidRPr="00E84D1D" w14:paraId="3C67121C"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05D8941C" w14:textId="77777777" w:rsidR="00B64398" w:rsidRPr="00E84D1D" w:rsidRDefault="00B64398" w:rsidP="00386A9D">
            <w:pPr>
              <w:pStyle w:val="Text"/>
              <w:rPr>
                <w:szCs w:val="22"/>
              </w:rPr>
            </w:pPr>
            <w:r w:rsidRPr="00E84D1D">
              <w:rPr>
                <w:szCs w:val="22"/>
              </w:rPr>
              <w:lastRenderedPageBreak/>
              <w:t>Female,</w:t>
            </w:r>
            <w:r w:rsidRPr="00E84D1D">
              <w:rPr>
                <w:szCs w:val="22"/>
              </w:rPr>
              <w:br/>
              <w:t>75 years old</w:t>
            </w:r>
          </w:p>
        </w:tc>
        <w:tc>
          <w:tcPr>
            <w:tcW w:w="1831" w:type="dxa"/>
            <w:tcBorders>
              <w:top w:val="nil"/>
              <w:left w:val="nil"/>
              <w:bottom w:val="nil"/>
            </w:tcBorders>
          </w:tcPr>
          <w:p w14:paraId="60B6987D" w14:textId="77777777" w:rsidR="00B64398" w:rsidRPr="00572E41"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Catheter ablation and electrical </w:t>
            </w:r>
            <w:r w:rsidRPr="00E84D1D">
              <w:t>cardioversion</w:t>
            </w:r>
            <w:r w:rsidRPr="00E84D1D" w:rsidDel="00442AE2">
              <w:rPr>
                <w:szCs w:val="22"/>
              </w:rPr>
              <w:t xml:space="preserve"> </w:t>
            </w:r>
          </w:p>
        </w:tc>
        <w:tc>
          <w:tcPr>
            <w:tcW w:w="2280" w:type="dxa"/>
            <w:tcBorders>
              <w:top w:val="nil"/>
              <w:bottom w:val="nil"/>
            </w:tcBorders>
          </w:tcPr>
          <w:p w14:paraId="5804D49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Two events of maj</w:t>
            </w:r>
            <w:r w:rsidRPr="00E84D1D">
              <w:t>or bleeding</w:t>
            </w:r>
            <w:r w:rsidRPr="00E84D1D" w:rsidDel="00442AE2">
              <w:rPr>
                <w:szCs w:val="22"/>
              </w:rPr>
              <w:t xml:space="preserve"> </w:t>
            </w:r>
          </w:p>
          <w:p w14:paraId="4C5C953F"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(pericardial haemorrhage and pericardial effusion)</w:t>
            </w:r>
          </w:p>
        </w:tc>
        <w:tc>
          <w:tcPr>
            <w:tcW w:w="3543" w:type="dxa"/>
            <w:tcBorders>
              <w:top w:val="nil"/>
              <w:bottom w:val="nil"/>
            </w:tcBorders>
          </w:tcPr>
          <w:p w14:paraId="16D67D69"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 xml:space="preserve">Yes – treatment interruption on day before catheter ablation/reintroduced day after procedure at reduced dose of </w:t>
            </w:r>
            <w:r w:rsidRPr="00E84D1D">
              <w:rPr>
                <w:szCs w:val="22"/>
              </w:rPr>
              <w:br/>
              <w:t>15 mg once daily</w:t>
            </w:r>
          </w:p>
        </w:tc>
        <w:tc>
          <w:tcPr>
            <w:tcW w:w="4256" w:type="dxa"/>
            <w:tcBorders>
              <w:top w:val="nil"/>
              <w:bottom w:val="nil"/>
            </w:tcBorders>
          </w:tcPr>
          <w:p w14:paraId="3D95F1B9"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First event of pericardial haemorrhage on day of catheter ablation and second event of pericardial effusion on day of cardioversion. Both events adjudicated as major bleeding events</w:t>
            </w:r>
          </w:p>
        </w:tc>
      </w:tr>
      <w:tr w:rsidR="00B64398" w:rsidRPr="00E84D1D" w14:paraId="25174CB1"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592E9616" w14:textId="77777777" w:rsidR="00B64398" w:rsidRPr="00E84D1D" w:rsidRDefault="00B64398" w:rsidP="00386A9D">
            <w:pPr>
              <w:pStyle w:val="Text"/>
              <w:rPr>
                <w:szCs w:val="22"/>
              </w:rPr>
            </w:pPr>
            <w:r w:rsidRPr="00E84D1D">
              <w:rPr>
                <w:szCs w:val="22"/>
              </w:rPr>
              <w:t xml:space="preserve">Female, </w:t>
            </w:r>
            <w:r w:rsidRPr="00E84D1D">
              <w:rPr>
                <w:szCs w:val="22"/>
              </w:rPr>
              <w:br/>
              <w:t>66 years old</w:t>
            </w:r>
          </w:p>
        </w:tc>
        <w:tc>
          <w:tcPr>
            <w:tcW w:w="1831" w:type="dxa"/>
            <w:tcBorders>
              <w:top w:val="nil"/>
              <w:left w:val="nil"/>
              <w:bottom w:val="nil"/>
            </w:tcBorders>
          </w:tcPr>
          <w:p w14:paraId="6B40A2A1"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Catheter ablation</w:t>
            </w:r>
          </w:p>
        </w:tc>
        <w:tc>
          <w:tcPr>
            <w:tcW w:w="2280" w:type="dxa"/>
            <w:tcBorders>
              <w:top w:val="nil"/>
              <w:bottom w:val="nil"/>
            </w:tcBorders>
          </w:tcPr>
          <w:p w14:paraId="29ABF61F"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r w:rsidRPr="00E84D1D" w:rsidDel="00442AE2">
              <w:rPr>
                <w:szCs w:val="22"/>
              </w:rPr>
              <w:t xml:space="preserve"> </w:t>
            </w:r>
          </w:p>
        </w:tc>
        <w:tc>
          <w:tcPr>
            <w:tcW w:w="3543" w:type="dxa"/>
            <w:tcBorders>
              <w:top w:val="nil"/>
              <w:bottom w:val="nil"/>
            </w:tcBorders>
          </w:tcPr>
          <w:p w14:paraId="450DD1DD"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No</w:t>
            </w:r>
          </w:p>
        </w:tc>
        <w:tc>
          <w:tcPr>
            <w:tcW w:w="4256" w:type="dxa"/>
            <w:tcBorders>
              <w:top w:val="nil"/>
              <w:bottom w:val="nil"/>
            </w:tcBorders>
          </w:tcPr>
          <w:p w14:paraId="3E38D384"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r w:rsidRPr="00E84D1D" w:rsidDel="00442AE2">
              <w:rPr>
                <w:szCs w:val="22"/>
              </w:rPr>
              <w:t xml:space="preserve"> </w:t>
            </w:r>
            <w:r w:rsidRPr="00E84D1D">
              <w:rPr>
                <w:szCs w:val="22"/>
              </w:rPr>
              <w:t>(haemoptysis with haemoglobin drop) on day of catheter ablation; no further details available</w:t>
            </w:r>
          </w:p>
        </w:tc>
      </w:tr>
      <w:tr w:rsidR="00B64398" w:rsidRPr="00E84D1D" w14:paraId="4BEEFBF9"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09E5DEB2" w14:textId="77777777" w:rsidR="00B64398" w:rsidRPr="00E84D1D" w:rsidRDefault="00B64398" w:rsidP="00386A9D">
            <w:pPr>
              <w:pStyle w:val="Text"/>
              <w:rPr>
                <w:szCs w:val="22"/>
              </w:rPr>
            </w:pPr>
            <w:r w:rsidRPr="00E84D1D">
              <w:rPr>
                <w:szCs w:val="22"/>
              </w:rPr>
              <w:t xml:space="preserve">Male, </w:t>
            </w:r>
            <w:r w:rsidRPr="00E84D1D">
              <w:rPr>
                <w:szCs w:val="22"/>
              </w:rPr>
              <w:br/>
              <w:t>74 years old</w:t>
            </w:r>
          </w:p>
        </w:tc>
        <w:tc>
          <w:tcPr>
            <w:tcW w:w="1831" w:type="dxa"/>
            <w:tcBorders>
              <w:top w:val="nil"/>
              <w:left w:val="nil"/>
              <w:bottom w:val="nil"/>
            </w:tcBorders>
          </w:tcPr>
          <w:p w14:paraId="529D159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Catheter ablation</w:t>
            </w:r>
          </w:p>
        </w:tc>
        <w:tc>
          <w:tcPr>
            <w:tcW w:w="2280" w:type="dxa"/>
            <w:tcBorders>
              <w:top w:val="nil"/>
              <w:bottom w:val="nil"/>
            </w:tcBorders>
          </w:tcPr>
          <w:p w14:paraId="6F518A1B"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r w:rsidRPr="00E84D1D" w:rsidDel="00442AE2">
              <w:rPr>
                <w:szCs w:val="22"/>
              </w:rPr>
              <w:t xml:space="preserve"> </w:t>
            </w:r>
          </w:p>
        </w:tc>
        <w:tc>
          <w:tcPr>
            <w:tcW w:w="3543" w:type="dxa"/>
            <w:tcBorders>
              <w:top w:val="nil"/>
              <w:bottom w:val="nil"/>
            </w:tcBorders>
          </w:tcPr>
          <w:p w14:paraId="262C289E"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No</w:t>
            </w:r>
          </w:p>
        </w:tc>
        <w:tc>
          <w:tcPr>
            <w:tcW w:w="4256" w:type="dxa"/>
            <w:tcBorders>
              <w:top w:val="nil"/>
              <w:bottom w:val="nil"/>
            </w:tcBorders>
          </w:tcPr>
          <w:p w14:paraId="071F042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Anaemia recorded 20 days after catheter ablation; no further details available</w:t>
            </w:r>
          </w:p>
        </w:tc>
      </w:tr>
      <w:tr w:rsidR="00B64398" w:rsidRPr="00E84D1D" w14:paraId="03A047CB"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2A4554F4" w14:textId="77777777" w:rsidR="00B64398" w:rsidRPr="00E84D1D" w:rsidRDefault="00B64398" w:rsidP="00386A9D">
            <w:pPr>
              <w:pStyle w:val="Text"/>
              <w:rPr>
                <w:szCs w:val="22"/>
              </w:rPr>
            </w:pPr>
            <w:r w:rsidRPr="00E84D1D">
              <w:rPr>
                <w:szCs w:val="22"/>
              </w:rPr>
              <w:t xml:space="preserve">Female, </w:t>
            </w:r>
            <w:r w:rsidRPr="00E84D1D">
              <w:rPr>
                <w:szCs w:val="22"/>
              </w:rPr>
              <w:br/>
              <w:t>67 years old</w:t>
            </w:r>
          </w:p>
        </w:tc>
        <w:tc>
          <w:tcPr>
            <w:tcW w:w="1831" w:type="dxa"/>
            <w:tcBorders>
              <w:top w:val="nil"/>
              <w:left w:val="nil"/>
              <w:bottom w:val="nil"/>
            </w:tcBorders>
          </w:tcPr>
          <w:p w14:paraId="40D8D1C8"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Catheter ablation</w:t>
            </w:r>
          </w:p>
        </w:tc>
        <w:tc>
          <w:tcPr>
            <w:tcW w:w="2280" w:type="dxa"/>
            <w:tcBorders>
              <w:top w:val="nil"/>
              <w:bottom w:val="nil"/>
            </w:tcBorders>
          </w:tcPr>
          <w:p w14:paraId="58F4C7E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r w:rsidRPr="00E84D1D" w:rsidDel="00442AE2">
              <w:rPr>
                <w:szCs w:val="22"/>
              </w:rPr>
              <w:t xml:space="preserve"> </w:t>
            </w:r>
          </w:p>
        </w:tc>
        <w:tc>
          <w:tcPr>
            <w:tcW w:w="3543" w:type="dxa"/>
            <w:tcBorders>
              <w:top w:val="nil"/>
              <w:bottom w:val="nil"/>
            </w:tcBorders>
          </w:tcPr>
          <w:p w14:paraId="41A52E5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Yes – treatment interruption two days before catheter ablation/reintroduced two days after procedure</w:t>
            </w:r>
          </w:p>
        </w:tc>
        <w:tc>
          <w:tcPr>
            <w:tcW w:w="4256" w:type="dxa"/>
            <w:tcBorders>
              <w:top w:val="nil"/>
              <w:bottom w:val="nil"/>
            </w:tcBorders>
          </w:tcPr>
          <w:p w14:paraId="78EEFE5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Haematoma in groin on day after catheter ablation</w:t>
            </w:r>
          </w:p>
        </w:tc>
      </w:tr>
      <w:tr w:rsidR="00B64398" w:rsidRPr="00E84D1D" w14:paraId="4031B2EF"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36EEF7B6" w14:textId="77777777" w:rsidR="00B64398" w:rsidRPr="00E84D1D" w:rsidRDefault="00B64398" w:rsidP="00386A9D">
            <w:pPr>
              <w:pStyle w:val="Text"/>
              <w:rPr>
                <w:szCs w:val="22"/>
              </w:rPr>
            </w:pPr>
            <w:r w:rsidRPr="00E84D1D">
              <w:rPr>
                <w:szCs w:val="22"/>
              </w:rPr>
              <w:lastRenderedPageBreak/>
              <w:t>Male,</w:t>
            </w:r>
            <w:r w:rsidRPr="00E84D1D">
              <w:rPr>
                <w:szCs w:val="22"/>
              </w:rPr>
              <w:br/>
              <w:t>68 years old</w:t>
            </w:r>
          </w:p>
        </w:tc>
        <w:tc>
          <w:tcPr>
            <w:tcW w:w="1831" w:type="dxa"/>
            <w:tcBorders>
              <w:top w:val="nil"/>
              <w:left w:val="nil"/>
              <w:bottom w:val="nil"/>
            </w:tcBorders>
          </w:tcPr>
          <w:p w14:paraId="08A1C71B"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Catheter ablation</w:t>
            </w:r>
          </w:p>
        </w:tc>
        <w:tc>
          <w:tcPr>
            <w:tcW w:w="2280" w:type="dxa"/>
            <w:tcBorders>
              <w:top w:val="nil"/>
              <w:bottom w:val="nil"/>
            </w:tcBorders>
          </w:tcPr>
          <w:p w14:paraId="415FFCF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Ischaemic stroke</w:t>
            </w:r>
          </w:p>
        </w:tc>
        <w:tc>
          <w:tcPr>
            <w:tcW w:w="3543" w:type="dxa"/>
            <w:tcBorders>
              <w:top w:val="nil"/>
              <w:bottom w:val="nil"/>
            </w:tcBorders>
          </w:tcPr>
          <w:p w14:paraId="1A77BB37"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No</w:t>
            </w:r>
          </w:p>
        </w:tc>
        <w:tc>
          <w:tcPr>
            <w:tcW w:w="4256" w:type="dxa"/>
            <w:tcBorders>
              <w:top w:val="nil"/>
              <w:bottom w:val="nil"/>
            </w:tcBorders>
          </w:tcPr>
          <w:p w14:paraId="7E55E4A6"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Ischaemic stroke on day of catheter ablation</w:t>
            </w:r>
          </w:p>
        </w:tc>
      </w:tr>
      <w:tr w:rsidR="00B64398" w:rsidRPr="00E84D1D" w14:paraId="1A2D85C6" w14:textId="77777777" w:rsidTr="00386A9D">
        <w:trPr>
          <w:jc w:val="left"/>
        </w:trPr>
        <w:tc>
          <w:tcPr>
            <w:cnfStyle w:val="001000000000" w:firstRow="0" w:lastRow="0" w:firstColumn="1" w:lastColumn="0" w:oddVBand="0" w:evenVBand="0" w:oddHBand="0" w:evenHBand="0" w:firstRowFirstColumn="0" w:firstRowLastColumn="0" w:lastRowFirstColumn="0" w:lastRowLastColumn="0"/>
            <w:tcW w:w="1526" w:type="dxa"/>
            <w:tcBorders>
              <w:left w:val="nil"/>
              <w:right w:val="nil"/>
            </w:tcBorders>
          </w:tcPr>
          <w:p w14:paraId="4DAA539D" w14:textId="77777777" w:rsidR="00B64398" w:rsidRPr="00E84D1D" w:rsidRDefault="00B64398" w:rsidP="00386A9D">
            <w:pPr>
              <w:pStyle w:val="Text"/>
              <w:rPr>
                <w:szCs w:val="22"/>
              </w:rPr>
            </w:pPr>
            <w:r w:rsidRPr="00E84D1D">
              <w:rPr>
                <w:szCs w:val="22"/>
              </w:rPr>
              <w:t xml:space="preserve">Female, </w:t>
            </w:r>
            <w:r w:rsidRPr="00E84D1D">
              <w:rPr>
                <w:szCs w:val="22"/>
              </w:rPr>
              <w:br/>
              <w:t>61 years old</w:t>
            </w:r>
          </w:p>
        </w:tc>
        <w:tc>
          <w:tcPr>
            <w:tcW w:w="1831" w:type="dxa"/>
            <w:tcBorders>
              <w:top w:val="nil"/>
              <w:left w:val="nil"/>
            </w:tcBorders>
          </w:tcPr>
          <w:p w14:paraId="1A56913E"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Catheter ablation</w:t>
            </w:r>
          </w:p>
        </w:tc>
        <w:tc>
          <w:tcPr>
            <w:tcW w:w="2280" w:type="dxa"/>
            <w:tcBorders>
              <w:top w:val="nil"/>
            </w:tcBorders>
          </w:tcPr>
          <w:p w14:paraId="060EBDE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t>Major bleeding</w:t>
            </w:r>
            <w:r w:rsidRPr="00E84D1D" w:rsidDel="00442AE2">
              <w:rPr>
                <w:szCs w:val="22"/>
              </w:rPr>
              <w:t xml:space="preserve"> </w:t>
            </w:r>
          </w:p>
        </w:tc>
        <w:tc>
          <w:tcPr>
            <w:tcW w:w="3543" w:type="dxa"/>
            <w:tcBorders>
              <w:top w:val="nil"/>
            </w:tcBorders>
          </w:tcPr>
          <w:p w14:paraId="7E975014" w14:textId="77777777" w:rsidR="00B64398" w:rsidRPr="00E84D1D" w:rsidRDefault="00B64398" w:rsidP="00386A9D">
            <w:pPr>
              <w:pStyle w:val="Text"/>
              <w:tabs>
                <w:tab w:val="center" w:pos="972"/>
              </w:tabs>
              <w:cnfStyle w:val="000000000000" w:firstRow="0" w:lastRow="0" w:firstColumn="0" w:lastColumn="0" w:oddVBand="0" w:evenVBand="0" w:oddHBand="0" w:evenHBand="0" w:firstRowFirstColumn="0" w:firstRowLastColumn="0" w:lastRowFirstColumn="0" w:lastRowLastColumn="0"/>
              <w:rPr>
                <w:szCs w:val="22"/>
              </w:rPr>
            </w:pPr>
            <w:r w:rsidRPr="00E84D1D">
              <w:rPr>
                <w:szCs w:val="22"/>
              </w:rPr>
              <w:t>Yes – treatment interruption for two days, starting on day of catheter ablation</w:t>
            </w:r>
          </w:p>
        </w:tc>
        <w:tc>
          <w:tcPr>
            <w:tcW w:w="4256" w:type="dxa"/>
            <w:tcBorders>
              <w:top w:val="nil"/>
            </w:tcBorders>
          </w:tcPr>
          <w:p w14:paraId="0DE80C53" w14:textId="77777777" w:rsidR="00B64398" w:rsidRPr="00E84D1D" w:rsidRDefault="00B64398" w:rsidP="00386A9D">
            <w:pPr>
              <w:pStyle w:val="Text"/>
              <w:cnfStyle w:val="000000000000" w:firstRow="0" w:lastRow="0" w:firstColumn="0" w:lastColumn="0" w:oddVBand="0" w:evenVBand="0" w:oddHBand="0" w:evenHBand="0" w:firstRowFirstColumn="0" w:firstRowLastColumn="0" w:lastRowFirstColumn="0" w:lastRowLastColumn="0"/>
              <w:rPr>
                <w:szCs w:val="22"/>
              </w:rPr>
            </w:pPr>
            <w:r w:rsidRPr="00E84D1D">
              <w:rPr>
                <w:szCs w:val="22"/>
              </w:rPr>
              <w:t>Pericardial haemorrhage on day of catheter ablation</w:t>
            </w:r>
          </w:p>
        </w:tc>
      </w:tr>
    </w:tbl>
    <w:p w14:paraId="5F71CA8E" w14:textId="77777777" w:rsidR="00B64398" w:rsidRPr="00E84D1D" w:rsidRDefault="00B64398" w:rsidP="00B64398">
      <w:pPr>
        <w:pStyle w:val="CommentText"/>
        <w:spacing w:line="480" w:lineRule="auto"/>
        <w:rPr>
          <w:sz w:val="22"/>
        </w:rPr>
      </w:pPr>
      <w:r w:rsidRPr="00E84D1D">
        <w:rPr>
          <w:sz w:val="22"/>
          <w:vertAlign w:val="superscript"/>
        </w:rPr>
        <w:t>a</w:t>
      </w:r>
      <w:r w:rsidRPr="00E84D1D">
        <w:rPr>
          <w:sz w:val="22"/>
        </w:rPr>
        <w:t>Haemorrhagic transformations of ischaemic stroke were adjudicated as major bleeding in XANTUS.</w:t>
      </w:r>
    </w:p>
    <w:p w14:paraId="2B748A52" w14:textId="77777777" w:rsidR="00B64398" w:rsidRPr="00E84D1D" w:rsidRDefault="00B64398" w:rsidP="00B64398">
      <w:pPr>
        <w:pStyle w:val="Text"/>
      </w:pPr>
      <w:r w:rsidRPr="00E84D1D">
        <w:t>Full narratives for the three events of transient ischaemic attack are not available.</w:t>
      </w:r>
    </w:p>
    <w:p w14:paraId="30EB325F" w14:textId="77777777" w:rsidR="00B64398" w:rsidRPr="00E84D1D" w:rsidRDefault="00B64398" w:rsidP="00B64398">
      <w:pPr>
        <w:pStyle w:val="Text"/>
      </w:pPr>
    </w:p>
    <w:p w14:paraId="49F84466" w14:textId="77777777" w:rsidR="00B64398" w:rsidRPr="00E84D1D" w:rsidRDefault="00B64398" w:rsidP="00B64398">
      <w:pPr>
        <w:pStyle w:val="Text"/>
        <w:sectPr w:rsidR="00B64398" w:rsidRPr="00E84D1D" w:rsidSect="00052F54">
          <w:pgSz w:w="16838" w:h="11906" w:orient="landscape" w:code="9"/>
          <w:pgMar w:top="1418" w:right="1418" w:bottom="1418" w:left="1418" w:header="284" w:footer="720" w:gutter="0"/>
          <w:cols w:space="720"/>
          <w:docGrid w:linePitch="326"/>
        </w:sectPr>
      </w:pPr>
    </w:p>
    <w:p w14:paraId="5464C762" w14:textId="4EEF3802" w:rsidR="00B64398" w:rsidRPr="00E84D1D" w:rsidRDefault="00B64398" w:rsidP="00B64398">
      <w:pPr>
        <w:pStyle w:val="Text"/>
      </w:pPr>
      <w:r w:rsidRPr="00E84D1D">
        <w:rPr>
          <w:b/>
        </w:rPr>
        <w:lastRenderedPageBreak/>
        <w:t>Table 5</w:t>
      </w:r>
      <w:r w:rsidRPr="00E84D1D">
        <w:t xml:space="preserve"> Incidence of adverse outcomes after intervention in patients with </w:t>
      </w:r>
      <w:r w:rsidR="00B47C1C">
        <w:t>AF</w:t>
      </w:r>
      <w:r w:rsidRPr="00E84D1D">
        <w:t xml:space="preserve"> undergoing catheter ablation and/or cardioversion and receiving anticoagulation therapy with rivaroxaban: data across four prospective studies</w:t>
      </w:r>
      <w:r w:rsidRPr="00E84D1D">
        <w:rPr>
          <w:vertAlign w:val="superscript"/>
        </w:rPr>
        <w:t>a</w:t>
      </w:r>
    </w:p>
    <w:tbl>
      <w:tblPr>
        <w:tblStyle w:val="TableGrid"/>
        <w:tblpPr w:leftFromText="180" w:rightFromText="180" w:vertAnchor="text" w:tblpY="1"/>
        <w:tblOverlap w:val="never"/>
        <w:tblW w:w="14142" w:type="dxa"/>
        <w:jc w:val="lef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2002"/>
        <w:gridCol w:w="2003"/>
        <w:gridCol w:w="2003"/>
        <w:gridCol w:w="1899"/>
        <w:gridCol w:w="2126"/>
        <w:gridCol w:w="1815"/>
        <w:gridCol w:w="28"/>
      </w:tblGrid>
      <w:tr w:rsidR="00B64398" w:rsidRPr="00E84D1D" w14:paraId="367CF960"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vMerge w:val="restart"/>
            <w:tcBorders>
              <w:left w:val="nil"/>
              <w:right w:val="nil"/>
            </w:tcBorders>
          </w:tcPr>
          <w:p w14:paraId="3941DBA2" w14:textId="77777777" w:rsidR="00B64398" w:rsidRPr="00E84D1D" w:rsidRDefault="00B64398" w:rsidP="00386A9D">
            <w:pPr>
              <w:pStyle w:val="Text"/>
              <w:rPr>
                <w:b/>
              </w:rPr>
            </w:pPr>
            <w:r w:rsidRPr="00E84D1D">
              <w:rPr>
                <w:b/>
              </w:rPr>
              <w:t>n/N (%)</w:t>
            </w:r>
          </w:p>
        </w:tc>
        <w:tc>
          <w:tcPr>
            <w:tcW w:w="2002" w:type="dxa"/>
            <w:vMerge w:val="restart"/>
            <w:tcBorders>
              <w:top w:val="single" w:sz="4" w:space="0" w:color="auto"/>
              <w:left w:val="nil"/>
              <w:right w:val="nil"/>
            </w:tcBorders>
          </w:tcPr>
          <w:p w14:paraId="2E93B84F" w14:textId="5C8570E2"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ROCKET AF</w:t>
            </w:r>
            <w:r w:rsidRPr="00E84D1D">
              <w:rPr>
                <w:sz w:val="22"/>
                <w:szCs w:val="22"/>
                <w:vertAlign w:val="superscript"/>
                <w:lang w:val="en-GB"/>
              </w:rPr>
              <w:t>b</w:t>
            </w:r>
            <w:r w:rsidRPr="00B64398">
              <w:rPr>
                <w:sz w:val="22"/>
                <w:szCs w:val="22"/>
                <w:lang w:val="en-GB"/>
              </w:rPr>
              <w:fldChar w:fldCharType="begin"/>
            </w:r>
            <w:r w:rsidR="00465856">
              <w:rPr>
                <w:sz w:val="22"/>
                <w:szCs w:val="22"/>
                <w:lang w:val="en-GB"/>
              </w:rPr>
              <w:instrText xml:space="preserve"> ADDIN REFMGR.CITE &lt;Refman&gt;&lt;Cite&gt;&lt;Author&gt;Piccini&lt;/Author&gt;&lt;Year&gt;2013&lt;/Year&gt;&lt;RecNum&gt;PICCINI2013A&lt;/RecNum&gt;&lt;IDText&gt;Outcomes following cardioversion and atrial fibrillation ablation in patients treated with rivaroxaban and warfarin in the ROCKET AF trial&lt;/IDText&gt;&lt;MDL Ref_Type="Journal"&gt;&lt;Ref_Type&gt;Journal&lt;/Ref_Type&gt;&lt;Ref_ID&gt;PICCINI2013A&lt;/Ref_ID&gt;&lt;Title_Primary&gt;Outcomes following cardioversion and atrial fibrillation ablation in patients treated with rivaroxaban and warfarin in the ROCKET AF trial&lt;/Title_Primary&gt;&lt;Authors_Primary&gt;Piccini,J.P.&lt;/Authors_Primary&gt;&lt;Authors_Primary&gt;Stevens,S.R.&lt;/Authors_Primary&gt;&lt;Authors_Primary&gt;Lokhnygina,Y.&lt;/Authors_Primary&gt;&lt;Authors_Primary&gt;Patel,M.R.&lt;/Authors_Primary&gt;&lt;Authors_Primary&gt;Halperin,J.L.&lt;/Authors_Primary&gt;&lt;Authors_Primary&gt;Singer,D.E.&lt;/Authors_Primary&gt;&lt;Authors_Primary&gt;Hankey,G.J.&lt;/Authors_Primary&gt;&lt;Authors_Primary&gt;Hacke,W.&lt;/Authors_Primary&gt;&lt;Authors_Primary&gt;Becker,R.C.&lt;/Authors_Primary&gt;&lt;Authors_Primary&gt;Nessel,C.C.&lt;/Authors_Primary&gt;&lt;Authors_Primary&gt;Mahaffey,K.W.&lt;/Authors_Primary&gt;&lt;Authors_Primary&gt;Fox,K.A.A.&lt;/Authors_Primary&gt;&lt;Authors_Primary&gt;Califf,R.M.&lt;/Authors_Primary&gt;&lt;Authors_Primary&gt;Breithardt,G.&lt;/Authors_Primary&gt;&lt;Authors_Primary&gt;ROCKET AF Steering Committee &amp;amp; Investigators,.&lt;/Authors_Primary&gt;&lt;Date_Primary&gt;2013/3/13&lt;/Date_Primary&gt;&lt;Keywords&gt;ablation&lt;/Keywords&gt;&lt;Keywords&gt;analysis&lt;/Keywords&gt;&lt;Keywords&gt;Arm&lt;/Keywords&gt;&lt;Keywords&gt;Atrial Fibrillation&lt;/Keywords&gt;&lt;Keywords&gt;cardioversion&lt;/Keywords&gt;&lt;Keywords&gt;Catheter Ablation&lt;/Keywords&gt;&lt;Keywords&gt;Death&lt;/Keywords&gt;&lt;Keywords&gt;Embolism&lt;/Keywords&gt;&lt;Keywords&gt;Factor Xa&lt;/Keywords&gt;&lt;Keywords&gt;Factor Xa inhibitor&lt;/Keywords&gt;&lt;Keywords&gt;Hospitalization&lt;/Keywords&gt;&lt;Keywords&gt;Incidence&lt;/Keywords&gt;&lt;Keywords&gt;inhibitors&lt;/Keywords&gt;&lt;Keywords&gt;methods&lt;/Keywords&gt;&lt;Keywords&gt;Patients&lt;/Keywords&gt;&lt;Keywords&gt;Research&lt;/Keywords&gt;&lt;Keywords&gt;rivaroxaban&lt;/Keywords&gt;&lt;Keywords&gt;ROCKET&lt;/Keywords&gt;&lt;Keywords&gt;ROCKET AF&lt;/Keywords&gt;&lt;Keywords&gt;Stroke&lt;/Keywords&gt;&lt;Keywords&gt;Survival&lt;/Keywords&gt;&lt;Keywords&gt;Universities&lt;/Keywords&gt;&lt;Keywords&gt;Warfarin&lt;/Keywords&gt;&lt;Reprint&gt;Not in File&lt;/Reprint&gt;&lt;Start_Page&gt;1998&lt;/Start_Page&gt;&lt;End_Page&gt;2006&lt;/End_Page&gt;&lt;Periodical&gt;J.Am.Coll.Cardiol.&lt;/Periodical&gt;&lt;Volume&gt;61&lt;/Volume&gt;&lt;Issue&gt;19&lt;/Issue&gt;&lt;Address&gt;Duke Clinical Research Institute, Duke University Medical Center, Durham, NC. Electronic address: jonathan.piccini@duke.edu&lt;/Address&gt;&lt;Web_URL&gt;PM:23500298&lt;/Web_URL&gt;&lt;ZZ_JournalFull&gt;&lt;f name="System"&gt;Journal of the American College of Cardiology&lt;/f&gt;&lt;/ZZ_JournalFull&gt;&lt;ZZ_JournalStdAbbrev&gt;&lt;f name="System"&gt;J.Am.Coll.Cardiol.&lt;/f&gt;&lt;/ZZ_JournalStdAbbrev&gt;&lt;ZZ_WorkformID&gt;1&lt;/ZZ_WorkformID&gt;&lt;/MDL&gt;&lt;/Cite&gt;&lt;/Refman&gt;</w:instrText>
            </w:r>
            <w:r w:rsidRPr="00B64398">
              <w:rPr>
                <w:sz w:val="22"/>
                <w:szCs w:val="22"/>
                <w:lang w:val="en-GB"/>
              </w:rPr>
              <w:fldChar w:fldCharType="separate"/>
            </w:r>
            <w:r w:rsidR="00A91372" w:rsidRPr="00A91372">
              <w:rPr>
                <w:sz w:val="22"/>
                <w:szCs w:val="22"/>
                <w:vertAlign w:val="superscript"/>
                <w:lang w:val="en-GB"/>
              </w:rPr>
              <w:t>16</w:t>
            </w:r>
            <w:r w:rsidRPr="00B64398">
              <w:rPr>
                <w:sz w:val="22"/>
                <w:szCs w:val="22"/>
                <w:lang w:val="en-GB"/>
              </w:rPr>
              <w:fldChar w:fldCharType="end"/>
            </w:r>
          </w:p>
        </w:tc>
        <w:tc>
          <w:tcPr>
            <w:tcW w:w="5905" w:type="dxa"/>
            <w:gridSpan w:val="3"/>
            <w:tcBorders>
              <w:top w:val="single" w:sz="4" w:space="0" w:color="auto"/>
              <w:left w:val="nil"/>
              <w:bottom w:val="single" w:sz="4" w:space="0" w:color="auto"/>
              <w:right w:val="nil"/>
            </w:tcBorders>
          </w:tcPr>
          <w:p w14:paraId="74127C19" w14:textId="77777777" w:rsidR="00B64398" w:rsidRPr="00E84D1D" w:rsidRDefault="00B64398" w:rsidP="00386A9D">
            <w:pPr>
              <w:pStyle w:val="Manuscriptheading2"/>
              <w:spacing w:before="0" w:after="0"/>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At 30 days</w:t>
            </w:r>
          </w:p>
        </w:tc>
        <w:tc>
          <w:tcPr>
            <w:tcW w:w="3969" w:type="dxa"/>
            <w:gridSpan w:val="3"/>
            <w:tcBorders>
              <w:top w:val="single" w:sz="4" w:space="0" w:color="auto"/>
              <w:left w:val="nil"/>
              <w:bottom w:val="single" w:sz="4" w:space="0" w:color="auto"/>
              <w:right w:val="nil"/>
            </w:tcBorders>
          </w:tcPr>
          <w:p w14:paraId="042FBD47" w14:textId="77777777" w:rsidR="00B64398" w:rsidRPr="00E84D1D" w:rsidRDefault="00B64398" w:rsidP="00386A9D">
            <w:pPr>
              <w:pStyle w:val="Manuscriptheading2"/>
              <w:spacing w:before="0" w:after="0"/>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At 42 days</w:t>
            </w:r>
          </w:p>
        </w:tc>
      </w:tr>
      <w:tr w:rsidR="00B64398" w:rsidRPr="00E84D1D" w14:paraId="24E2D567"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vMerge/>
            <w:tcBorders>
              <w:left w:val="nil"/>
              <w:right w:val="nil"/>
            </w:tcBorders>
          </w:tcPr>
          <w:p w14:paraId="7377B4A2" w14:textId="77777777" w:rsidR="00B64398" w:rsidRPr="00E84D1D" w:rsidRDefault="00B64398" w:rsidP="00386A9D">
            <w:pPr>
              <w:pStyle w:val="Text"/>
            </w:pPr>
          </w:p>
        </w:tc>
        <w:tc>
          <w:tcPr>
            <w:tcW w:w="2002" w:type="dxa"/>
            <w:vMerge/>
            <w:tcBorders>
              <w:left w:val="nil"/>
              <w:bottom w:val="single" w:sz="4" w:space="0" w:color="auto"/>
              <w:right w:val="nil"/>
            </w:tcBorders>
          </w:tcPr>
          <w:p w14:paraId="5259A61C"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2003" w:type="dxa"/>
            <w:tcBorders>
              <w:top w:val="single" w:sz="4" w:space="0" w:color="auto"/>
              <w:left w:val="nil"/>
              <w:bottom w:val="single" w:sz="4" w:space="0" w:color="auto"/>
              <w:right w:val="nil"/>
            </w:tcBorders>
          </w:tcPr>
          <w:p w14:paraId="5446525E"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XANTUS</w:t>
            </w:r>
          </w:p>
        </w:tc>
        <w:tc>
          <w:tcPr>
            <w:tcW w:w="2003" w:type="dxa"/>
            <w:tcBorders>
              <w:top w:val="single" w:sz="4" w:space="0" w:color="auto"/>
              <w:left w:val="nil"/>
              <w:bottom w:val="single" w:sz="4" w:space="0" w:color="auto"/>
              <w:right w:val="nil"/>
            </w:tcBorders>
          </w:tcPr>
          <w:p w14:paraId="28D2C3F4" w14:textId="2ABB7209"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VENTURE-AF</w:t>
            </w:r>
            <w:r w:rsidRPr="00B64398">
              <w:rPr>
                <w:sz w:val="22"/>
                <w:szCs w:val="22"/>
                <w:lang w:val="en-GB"/>
              </w:rPr>
              <w:fldChar w:fldCharType="begin"/>
            </w:r>
            <w:r w:rsidR="00465856">
              <w:rPr>
                <w:sz w:val="22"/>
                <w:szCs w:val="22"/>
                <w:lang w:val="en-GB"/>
              </w:rPr>
              <w:instrText xml:space="preserve"> ADDIN REFMGR.CITE &lt;Refman&gt;&lt;Cite&gt;&lt;Author&gt;Cappato&lt;/Author&gt;&lt;Year&gt;2015&lt;/Year&gt;&lt;RecNum&gt;CAPPATO2015&lt;/RecNum&gt;&lt;IDText&gt;Uninterrupted rivaroxaban vs. uninterrupted vitamin K antagonists for catheter ablation in non-valvular atrial fibrillation&lt;/IDText&gt;&lt;MDL Ref_Type="Journal"&gt;&lt;Ref_Type&gt;Journal&lt;/Ref_Type&gt;&lt;Ref_ID&gt;CAPPATO2015&lt;/Ref_ID&gt;&lt;Title_Primary&gt;Uninterrupted rivaroxaban vs. uninterrupted vitamin K antagonists for catheter ablation in non-valvular atrial fibrillation&lt;/Title_Primary&gt;&lt;Authors_Primary&gt;Cappato,R.&lt;/Authors_Primary&gt;&lt;Authors_Primary&gt;Marchlinski,F.E.&lt;/Authors_Primary&gt;&lt;Authors_Primary&gt;Hohnloser,S.H.&lt;/Authors_Primary&gt;&lt;Authors_Primary&gt;Naccarelli,G.V.&lt;/Authors_Primary&gt;&lt;Authors_Primary&gt;Xiang,J.&lt;/Authors_Primary&gt;&lt;Authors_Primary&gt;Wilber,D.J.&lt;/Authors_Primary&gt;&lt;Authors_Primary&gt;Ma,C.S.&lt;/Authors_Primary&gt;&lt;Authors_Primary&gt;Hess,S.&lt;/Authors_Primary&gt;&lt;Authors_Primary&gt;Wells,D.S.&lt;/Authors_Primary&gt;&lt;Authors_Primary&gt;Juang,G.&lt;/Authors_Primary&gt;&lt;Authors_Primary&gt;Vijgen,J.&lt;/Authors_Primary&gt;&lt;Authors_Primary&gt;Huegl,B.J.&lt;/Authors_Primary&gt;&lt;Authors_Primary&gt;Balasubramaniam,R.&lt;/Authors_Primary&gt;&lt;Authors_Primary&gt;De Chillou,C.&lt;/Authors_Primary&gt;&lt;Authors_Primary&gt;Wyn Davies,D.&lt;/Authors_Primary&gt;&lt;Authors_Primary&gt;Fields,L.E.&lt;/Authors_Primary&gt;&lt;Authors_Primary&gt;Natale,A.&lt;/Authors_Primary&gt;&lt;Authors_Primary&gt;on behalf of the VENTURE-AF Investigators,.&lt;/Authors_Primary&gt;&lt;Date_Primary&gt;2015/7/21&lt;/Date_Primary&gt;&lt;Keywords&gt;rivaroxaban&lt;/Keywords&gt;&lt;Keywords&gt;Vitamin K&lt;/Keywords&gt;&lt;Keywords&gt;Catheter Ablation&lt;/Keywords&gt;&lt;Keywords&gt;ablation&lt;/Keywords&gt;&lt;Keywords&gt;Atrial Fibrillation&lt;/Keywords&gt;&lt;Start_Page&gt;1805&lt;/Start_Page&gt;&lt;End_Page&gt;1811&lt;/End_Page&gt;&lt;Periodical&gt;Eur.Heart J.&lt;/Periodical&gt;&lt;Volume&gt;36&lt;/Volume&gt;&lt;Issue&gt;28&lt;/Issue&gt;&lt;Web_URL_Link1&gt;&lt;u&gt;http://eurheartj.oxfordjournals.org/content/ehj/early/2015/05/07/eurheartj.ehv177.full.pdf&lt;/u&gt;&lt;/Web_URL_Link1&gt;&lt;ZZ_JournalFull&gt;&lt;f name="System"&gt;European Heart Journal&lt;/f&gt;&lt;/ZZ_JournalFull&gt;&lt;ZZ_JournalStdAbbrev&gt;&lt;f name="System"&gt;Eur.Heart J.&lt;/f&gt;&lt;/ZZ_JournalStdAbbrev&gt;&lt;ZZ_WorkformID&gt;1&lt;/ZZ_WorkformID&gt;&lt;/MDL&gt;&lt;/Cite&gt;&lt;/Refman&gt;</w:instrText>
            </w:r>
            <w:r w:rsidRPr="00B64398">
              <w:rPr>
                <w:sz w:val="22"/>
                <w:szCs w:val="22"/>
                <w:lang w:val="en-GB"/>
              </w:rPr>
              <w:fldChar w:fldCharType="separate"/>
            </w:r>
            <w:r w:rsidR="00F33255" w:rsidRPr="00F33255">
              <w:rPr>
                <w:sz w:val="22"/>
                <w:szCs w:val="22"/>
                <w:vertAlign w:val="superscript"/>
                <w:lang w:val="en-GB"/>
              </w:rPr>
              <w:t>13</w:t>
            </w:r>
            <w:r w:rsidRPr="00B64398">
              <w:rPr>
                <w:sz w:val="22"/>
                <w:szCs w:val="22"/>
                <w:lang w:val="en-GB"/>
              </w:rPr>
              <w:fldChar w:fldCharType="end"/>
            </w:r>
          </w:p>
        </w:tc>
        <w:tc>
          <w:tcPr>
            <w:tcW w:w="1899" w:type="dxa"/>
            <w:tcBorders>
              <w:top w:val="single" w:sz="4" w:space="0" w:color="auto"/>
              <w:left w:val="nil"/>
              <w:bottom w:val="single" w:sz="4" w:space="0" w:color="auto"/>
              <w:right w:val="nil"/>
            </w:tcBorders>
          </w:tcPr>
          <w:p w14:paraId="38B43F62"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XANTUS</w:t>
            </w:r>
          </w:p>
        </w:tc>
        <w:tc>
          <w:tcPr>
            <w:tcW w:w="2126" w:type="dxa"/>
            <w:tcBorders>
              <w:top w:val="single" w:sz="4" w:space="0" w:color="auto"/>
              <w:left w:val="nil"/>
              <w:bottom w:val="single" w:sz="4" w:space="0" w:color="auto"/>
              <w:right w:val="nil"/>
            </w:tcBorders>
          </w:tcPr>
          <w:p w14:paraId="75F060F9" w14:textId="08B0764A"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X-VeRT</w:t>
            </w:r>
            <w:r w:rsidRPr="00B64398">
              <w:rPr>
                <w:sz w:val="22"/>
                <w:szCs w:val="22"/>
                <w:lang w:val="en-GB"/>
              </w:rPr>
              <w:fldChar w:fldCharType="begin"/>
            </w:r>
            <w:r w:rsidR="00465856">
              <w:rPr>
                <w:sz w:val="22"/>
                <w:szCs w:val="22"/>
                <w:lang w:val="en-GB"/>
              </w:rPr>
              <w:instrText xml:space="preserve"> ADDIN REFMGR.CITE &lt;Refman&gt;&lt;Cite&gt;&lt;Author&gt;Cappato&lt;/Author&gt;&lt;Year&gt;2014&lt;/Year&gt;&lt;RecNum&gt;CAPPATO2014&lt;/RecNum&gt;&lt;IDText&gt;Rivaroxaban vs. vitamin K antagonists for cardioversion in atrial fibrillation&lt;/IDText&gt;&lt;MDL Ref_Type="Journal"&gt;&lt;Ref_Type&gt;Journal&lt;/Ref_Type&gt;&lt;Ref_ID&gt;CAPPATO2014&lt;/Ref_ID&gt;&lt;Title_Primary&gt;Rivaroxaban vs. vitamin K antagonists for cardioversion in atrial fibrillation&lt;/Title_Primary&gt;&lt;Authors_Primary&gt;Cappato,R.&lt;/Authors_Primary&gt;&lt;Authors_Primary&gt;Ezekowitz,M.D.&lt;/Authors_Primary&gt;&lt;Authors_Primary&gt;Klein,A.L.&lt;/Authors_Primary&gt;&lt;Authors_Primary&gt;Camm,A.J.&lt;/Authors_Primary&gt;&lt;Authors_Primary&gt;Ma,C.S.&lt;/Authors_Primary&gt;&lt;Authors_Primary&gt;Le Heuzey,J.Y.&lt;/Authors_Primary&gt;&lt;Authors_Primary&gt;Talajic,M.&lt;/Authors_Primary&gt;&lt;Authors_Primary&gt;Scanavacca,M.&lt;/Authors_Primary&gt;&lt;Authors_Primary&gt;Vardas,P.E.&lt;/Authors_Primary&gt;&lt;Authors_Primary&gt;Kirchhof,P.&lt;/Authors_Primary&gt;&lt;Authors_Primary&gt;Hemmrich,M.&lt;/Authors_Primary&gt;&lt;Authors_Primary&gt;Lanius,V.&lt;/Authors_Primary&gt;&lt;Authors_Primary&gt;Meng,I.L.&lt;/Authors_Primary&gt;&lt;Authors_Primary&gt;Wildgoose,P.&lt;/Authors_Primary&gt;&lt;Authors_Primary&gt;van Eickels,M.&lt;/Authors_Primary&gt;&lt;Authors_Primary&gt;Hohnloser,S.H.&lt;/Authors_Primary&gt;&lt;Date_Primary&gt;2014/12/14&lt;/Date_Primary&gt;&lt;Keywords&gt;Arrhythmia&lt;/Keywords&gt;&lt;Keywords&gt;Atrial Fibrillation&lt;/Keywords&gt;&lt;Keywords&gt;Berlin&lt;/Keywords&gt;&lt;Keywords&gt;bleeding&lt;/Keywords&gt;&lt;Keywords&gt;Brazil&lt;/Keywords&gt;&lt;Keywords&gt;Canada&lt;/Keywords&gt;&lt;Keywords&gt;Cardiology&lt;/Keywords&gt;&lt;Keywords&gt;cardioversion&lt;/Keywords&gt;&lt;Keywords&gt;China&lt;/Keywords&gt;&lt;Keywords&gt;Creatinine&lt;/Keywords&gt;&lt;Keywords&gt;Death&lt;/Keywords&gt;&lt;Keywords&gt;efficacy&lt;/Keywords&gt;&lt;Keywords&gt;Electrophysiology&lt;/Keywords&gt;&lt;Keywords&gt;Embolism&lt;/Keywords&gt;&lt;Keywords&gt;France&lt;/Keywords&gt;&lt;Keywords&gt;Germany&lt;/Keywords&gt;&lt;Keywords&gt;Greece&lt;/Keywords&gt;&lt;Keywords&gt;Heart&lt;/Keywords&gt;&lt;Keywords&gt;Infarction&lt;/Keywords&gt;&lt;Keywords&gt;Italy&lt;/Keywords&gt;&lt;Keywords&gt;London&lt;/Keywords&gt;&lt;Keywords&gt;Medicine&lt;/Keywords&gt;&lt;Keywords&gt;methods&lt;/Keywords&gt;&lt;Keywords&gt;Myocardial Infarction&lt;/Keywords&gt;&lt;Keywords&gt;oral anticoagulant&lt;/Keywords&gt;&lt;Keywords&gt;Paris&lt;/Keywords&gt;&lt;Keywords&gt;Patients&lt;/Keywords&gt;&lt;Keywords&gt;RANDOMIZED-TRIAL&lt;/Keywords&gt;&lt;Keywords&gt;Registries&lt;/Keywords&gt;&lt;Keywords&gt;Research&lt;/Keywords&gt;&lt;Keywords&gt;Risk&lt;/Keywords&gt;&lt;Keywords&gt;rivaroxaban&lt;/Keywords&gt;&lt;Keywords&gt;Safety&lt;/Keywords&gt;&lt;Keywords&gt;Statistics&lt;/Keywords&gt;&lt;Keywords&gt;Stroke&lt;/Keywords&gt;&lt;Keywords&gt;Time&lt;/Keywords&gt;&lt;Keywords&gt;Trust&lt;/Keywords&gt;&lt;Keywords&gt;Universities&lt;/Keywords&gt;&lt;Keywords&gt;Vitamin K&lt;/Keywords&gt;&lt;Reprint&gt;Not in File&lt;/Reprint&gt;&lt;Start_Page&gt;3346&lt;/Start_Page&gt;&lt;End_Page&gt;3355&lt;/End_Page&gt;&lt;Periodical&gt;Eur.Heart J.&lt;/Periodical&gt;&lt;Volume&gt;35&lt;/Volume&gt;&lt;Issue&gt;47&lt;/Issue&gt;&lt;Address&gt;Arrhythmia and Electrophysiology Center, University of Milan, IRCCS Policlinico San Donato, San Donato Milanese, Milan, Italy&amp;#xA;The Sidney Kimell Medical College at Thomas Jefferson University, 1999 Sproul Rd, Suite 25, Broomall, PA 19008, USA michael.ezekowitz@comcast.net&amp;#xA;Department of Cardiovascular Medicine, Cleveland Clinic Heart and Vascular Institute, Cleveland, OH, USA&amp;#xA;Division of Clinical Sciences, St George&amp;apos;s, University of London, London, UK&amp;#xA;Cardiology Division, Beijing AnZhen Hospital, Capital Medical University, Beijing, China&amp;#xA;Division of Cardiology and Arrhythmology, Hopital Europeen Georges Pompidou, Universite Paris V Rene-Descartes, Paris, France&amp;#xA;Department of Medicine, Research Center, Montreal Heart Institute, Universite de Montreal, Montreal, Canada&amp;#xA;Arrhythmia Clinical Unit of Heart Institute (InCor), University of Sao Paulo Medical School, Sao Paulo, Brazil&amp;#xA;Department of Cardiology, Heraklion University Hospital, Heraklion (Crete), Greece&amp;#xA;Centre for Cardiovascular Sciences, School of Clinical and Experimental Medicine, University of Birmingham, Birmingham, UK SWBH NHS Trust, Birmingham, UK Department of Cardiovascular Medicine, Hospital of the University of Munster, Munster, Germany&amp;#xA;Global Medical Affairs, Bayer HealthCare, Berlin, Germany&amp;#xA;Global Research and Development Statistics, Bayer HealthCare, Berlin, Germany&amp;#xA;Global Medical Affairs, Bayer HealthCare, Berlin, Germany&amp;#xA;Janssen Scientific Affairs, LLC, Raritan, NJ, USA&amp;#xA;Global Medical Affairs, Bayer HealthCare, Berlin, Germany&amp;#xA;Department of Cardiology, Division of Clinical Electrophysiology, J.W. Goethe University, Frankfurt, Germany&lt;/Address&gt;&lt;Web_URL&gt;PM:25182247&lt;/Web_URL&gt;&lt;ZZ_JournalFull&gt;&lt;f name="System"&gt;European Heart Journal&lt;/f&gt;&lt;/ZZ_JournalFull&gt;&lt;ZZ_JournalStdAbbrev&gt;&lt;f name="System"&gt;Eur.Heart J.&lt;/f&gt;&lt;/ZZ_JournalStdAbbrev&gt;&lt;ZZ_WorkformID&gt;1&lt;/ZZ_WorkformID&gt;&lt;/MDL&gt;&lt;/Cite&gt;&lt;/Refman&gt;</w:instrText>
            </w:r>
            <w:r w:rsidRPr="00B64398">
              <w:rPr>
                <w:sz w:val="22"/>
                <w:szCs w:val="22"/>
                <w:lang w:val="en-GB"/>
              </w:rPr>
              <w:fldChar w:fldCharType="separate"/>
            </w:r>
            <w:r w:rsidR="00A91372" w:rsidRPr="00A91372">
              <w:rPr>
                <w:sz w:val="22"/>
                <w:szCs w:val="22"/>
                <w:vertAlign w:val="superscript"/>
                <w:lang w:val="en-GB"/>
              </w:rPr>
              <w:t>17</w:t>
            </w:r>
            <w:r w:rsidRPr="00B64398">
              <w:rPr>
                <w:sz w:val="22"/>
                <w:szCs w:val="22"/>
                <w:lang w:val="en-GB"/>
              </w:rPr>
              <w:fldChar w:fldCharType="end"/>
            </w:r>
          </w:p>
        </w:tc>
        <w:tc>
          <w:tcPr>
            <w:tcW w:w="1843" w:type="dxa"/>
            <w:gridSpan w:val="2"/>
            <w:tcBorders>
              <w:top w:val="single" w:sz="4" w:space="0" w:color="auto"/>
              <w:left w:val="nil"/>
              <w:bottom w:val="single" w:sz="4" w:space="0" w:color="auto"/>
              <w:right w:val="nil"/>
            </w:tcBorders>
          </w:tcPr>
          <w:p w14:paraId="21C53083"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XANTUS</w:t>
            </w:r>
          </w:p>
        </w:tc>
      </w:tr>
      <w:tr w:rsidR="00B64398" w:rsidRPr="00E84D1D" w14:paraId="47F69BEA"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vMerge/>
            <w:tcBorders>
              <w:left w:val="nil"/>
              <w:bottom w:val="single" w:sz="4" w:space="0" w:color="auto"/>
              <w:right w:val="nil"/>
            </w:tcBorders>
          </w:tcPr>
          <w:p w14:paraId="2D2192A8" w14:textId="77777777" w:rsidR="00B64398" w:rsidRPr="00E84D1D" w:rsidRDefault="00B64398" w:rsidP="00386A9D">
            <w:pPr>
              <w:pStyle w:val="Text"/>
            </w:pPr>
          </w:p>
        </w:tc>
        <w:tc>
          <w:tcPr>
            <w:tcW w:w="2002" w:type="dxa"/>
            <w:tcBorders>
              <w:top w:val="single" w:sz="4" w:space="0" w:color="auto"/>
              <w:left w:val="nil"/>
              <w:bottom w:val="single" w:sz="4" w:space="0" w:color="auto"/>
              <w:right w:val="nil"/>
            </w:tcBorders>
          </w:tcPr>
          <w:p w14:paraId="7C040062"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Catheter ablation/</w:t>
            </w:r>
            <w:r w:rsidRPr="00E84D1D">
              <w:rPr>
                <w:sz w:val="22"/>
                <w:szCs w:val="22"/>
                <w:lang w:val="en-GB"/>
              </w:rPr>
              <w:br/>
              <w:t>cardioversion</w:t>
            </w:r>
          </w:p>
        </w:tc>
        <w:tc>
          <w:tcPr>
            <w:tcW w:w="2003" w:type="dxa"/>
            <w:tcBorders>
              <w:top w:val="single" w:sz="4" w:space="0" w:color="auto"/>
              <w:left w:val="nil"/>
              <w:bottom w:val="single" w:sz="4" w:space="0" w:color="auto"/>
              <w:right w:val="nil"/>
            </w:tcBorders>
          </w:tcPr>
          <w:p w14:paraId="408FA923"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Catheter ablation/</w:t>
            </w:r>
            <w:r w:rsidRPr="00E84D1D">
              <w:rPr>
                <w:sz w:val="22"/>
                <w:szCs w:val="22"/>
                <w:lang w:val="en-GB"/>
              </w:rPr>
              <w:br/>
              <w:t>cardioversion</w:t>
            </w:r>
          </w:p>
        </w:tc>
        <w:tc>
          <w:tcPr>
            <w:tcW w:w="2003" w:type="dxa"/>
            <w:tcBorders>
              <w:top w:val="single" w:sz="4" w:space="0" w:color="auto"/>
              <w:left w:val="nil"/>
              <w:bottom w:val="single" w:sz="4" w:space="0" w:color="auto"/>
              <w:right w:val="nil"/>
            </w:tcBorders>
          </w:tcPr>
          <w:p w14:paraId="62586F04"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Catheter ablation</w:t>
            </w:r>
          </w:p>
        </w:tc>
        <w:tc>
          <w:tcPr>
            <w:tcW w:w="1899" w:type="dxa"/>
            <w:tcBorders>
              <w:top w:val="single" w:sz="4" w:space="0" w:color="auto"/>
              <w:left w:val="nil"/>
              <w:bottom w:val="single" w:sz="4" w:space="0" w:color="auto"/>
              <w:right w:val="nil"/>
            </w:tcBorders>
          </w:tcPr>
          <w:p w14:paraId="75A7DB58"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Catheter ablation</w:t>
            </w:r>
          </w:p>
        </w:tc>
        <w:tc>
          <w:tcPr>
            <w:tcW w:w="2126" w:type="dxa"/>
            <w:tcBorders>
              <w:top w:val="single" w:sz="4" w:space="0" w:color="auto"/>
              <w:left w:val="nil"/>
              <w:bottom w:val="single" w:sz="4" w:space="0" w:color="auto"/>
              <w:right w:val="nil"/>
            </w:tcBorders>
          </w:tcPr>
          <w:p w14:paraId="4396B894"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Cardioversion</w:t>
            </w:r>
          </w:p>
        </w:tc>
        <w:tc>
          <w:tcPr>
            <w:tcW w:w="1843" w:type="dxa"/>
            <w:gridSpan w:val="2"/>
            <w:tcBorders>
              <w:top w:val="single" w:sz="4" w:space="0" w:color="auto"/>
              <w:left w:val="nil"/>
              <w:bottom w:val="single" w:sz="4" w:space="0" w:color="auto"/>
              <w:right w:val="nil"/>
            </w:tcBorders>
          </w:tcPr>
          <w:p w14:paraId="0833D81E"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sz w:val="22"/>
                <w:szCs w:val="22"/>
                <w:lang w:val="en-GB"/>
              </w:rPr>
            </w:pPr>
            <w:r w:rsidRPr="00E84D1D">
              <w:rPr>
                <w:sz w:val="22"/>
                <w:szCs w:val="22"/>
                <w:lang w:val="en-GB"/>
              </w:rPr>
              <w:t>Cardioversion</w:t>
            </w:r>
          </w:p>
        </w:tc>
      </w:tr>
      <w:tr w:rsidR="00B64398" w:rsidRPr="00E84D1D" w14:paraId="4D43ABD1"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nil"/>
              <w:right w:val="nil"/>
            </w:tcBorders>
          </w:tcPr>
          <w:p w14:paraId="5AC82F81" w14:textId="77777777" w:rsidR="00B64398" w:rsidRPr="00E84D1D" w:rsidRDefault="00B64398" w:rsidP="00386A9D">
            <w:pPr>
              <w:spacing w:line="480" w:lineRule="auto"/>
              <w:ind w:left="8"/>
              <w:rPr>
                <w:rFonts w:cs="Arial"/>
                <w:szCs w:val="22"/>
              </w:rPr>
            </w:pPr>
            <w:r w:rsidRPr="00E84D1D">
              <w:rPr>
                <w:rFonts w:cs="Arial"/>
                <w:color w:val="000000"/>
                <w:kern w:val="24"/>
                <w:szCs w:val="22"/>
              </w:rPr>
              <w:t>Major bleeding</w:t>
            </w:r>
          </w:p>
        </w:tc>
        <w:tc>
          <w:tcPr>
            <w:tcW w:w="2002" w:type="dxa"/>
            <w:tcBorders>
              <w:top w:val="single" w:sz="4" w:space="0" w:color="auto"/>
              <w:left w:val="nil"/>
              <w:right w:val="nil"/>
            </w:tcBorders>
          </w:tcPr>
          <w:p w14:paraId="4CD35D5A"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30/160 (18.75)</w:t>
            </w:r>
            <w:r w:rsidRPr="00E84D1D">
              <w:rPr>
                <w:b w:val="0"/>
                <w:sz w:val="22"/>
                <w:szCs w:val="22"/>
                <w:vertAlign w:val="superscript"/>
                <w:lang w:val="en-GB"/>
              </w:rPr>
              <w:t>c</w:t>
            </w:r>
          </w:p>
        </w:tc>
        <w:tc>
          <w:tcPr>
            <w:tcW w:w="2003" w:type="dxa"/>
            <w:tcBorders>
              <w:top w:val="single" w:sz="4" w:space="0" w:color="auto"/>
              <w:left w:val="nil"/>
              <w:right w:val="nil"/>
            </w:tcBorders>
          </w:tcPr>
          <w:p w14:paraId="63B11857"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6/626 (1.0)</w:t>
            </w:r>
          </w:p>
        </w:tc>
        <w:tc>
          <w:tcPr>
            <w:tcW w:w="2003" w:type="dxa"/>
            <w:tcBorders>
              <w:top w:val="single" w:sz="4" w:space="0" w:color="auto"/>
              <w:left w:val="nil"/>
              <w:right w:val="nil"/>
            </w:tcBorders>
          </w:tcPr>
          <w:p w14:paraId="1BFFA8DC"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0/123</w:t>
            </w:r>
          </w:p>
        </w:tc>
        <w:tc>
          <w:tcPr>
            <w:tcW w:w="1899" w:type="dxa"/>
            <w:tcBorders>
              <w:top w:val="single" w:sz="4" w:space="0" w:color="auto"/>
              <w:left w:val="nil"/>
              <w:right w:val="nil"/>
            </w:tcBorders>
          </w:tcPr>
          <w:p w14:paraId="39FDBEF0"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5/173 (2.9)</w:t>
            </w:r>
          </w:p>
        </w:tc>
        <w:tc>
          <w:tcPr>
            <w:tcW w:w="2126" w:type="dxa"/>
            <w:tcBorders>
              <w:top w:val="single" w:sz="4" w:space="0" w:color="auto"/>
              <w:left w:val="nil"/>
              <w:right w:val="nil"/>
            </w:tcBorders>
          </w:tcPr>
          <w:p w14:paraId="5692CDCF"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6/988 (0.61)</w:t>
            </w:r>
            <w:r w:rsidRPr="00E84D1D">
              <w:rPr>
                <w:b w:val="0"/>
                <w:sz w:val="22"/>
                <w:szCs w:val="22"/>
                <w:vertAlign w:val="superscript"/>
                <w:lang w:val="en-GB"/>
              </w:rPr>
              <w:t>d</w:t>
            </w:r>
          </w:p>
        </w:tc>
        <w:tc>
          <w:tcPr>
            <w:tcW w:w="1843" w:type="dxa"/>
            <w:gridSpan w:val="2"/>
            <w:tcBorders>
              <w:top w:val="single" w:sz="4" w:space="0" w:color="auto"/>
              <w:left w:val="nil"/>
              <w:right w:val="nil"/>
            </w:tcBorders>
          </w:tcPr>
          <w:p w14:paraId="58EE691F"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color w:val="000000"/>
                <w:sz w:val="22"/>
                <w:szCs w:val="22"/>
                <w:lang w:val="en-GB"/>
              </w:rPr>
              <w:t>3/502 (0.6)</w:t>
            </w:r>
          </w:p>
        </w:tc>
      </w:tr>
      <w:tr w:rsidR="00B64398" w:rsidRPr="00E84D1D" w14:paraId="18755DF4"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38235DCC" w14:textId="77777777" w:rsidR="00B64398" w:rsidRPr="00E84D1D" w:rsidRDefault="00B64398" w:rsidP="00386A9D">
            <w:pPr>
              <w:spacing w:line="480" w:lineRule="auto"/>
              <w:ind w:left="8"/>
              <w:rPr>
                <w:rFonts w:cs="Arial"/>
                <w:szCs w:val="22"/>
              </w:rPr>
            </w:pPr>
            <w:r w:rsidRPr="00E84D1D">
              <w:rPr>
                <w:rFonts w:cs="Arial"/>
                <w:color w:val="000000"/>
                <w:kern w:val="24"/>
                <w:szCs w:val="22"/>
              </w:rPr>
              <w:t>Cardiovascular death</w:t>
            </w:r>
          </w:p>
        </w:tc>
        <w:tc>
          <w:tcPr>
            <w:tcW w:w="2002" w:type="dxa"/>
            <w:tcBorders>
              <w:left w:val="nil"/>
              <w:right w:val="nil"/>
            </w:tcBorders>
          </w:tcPr>
          <w:p w14:paraId="3FD23207"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2/160 (1.25)</w:t>
            </w:r>
          </w:p>
        </w:tc>
        <w:tc>
          <w:tcPr>
            <w:tcW w:w="2003" w:type="dxa"/>
            <w:tcBorders>
              <w:left w:val="nil"/>
              <w:right w:val="nil"/>
            </w:tcBorders>
          </w:tcPr>
          <w:p w14:paraId="7DD604FD"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0/626</w:t>
            </w:r>
          </w:p>
        </w:tc>
        <w:tc>
          <w:tcPr>
            <w:tcW w:w="2003" w:type="dxa"/>
            <w:tcBorders>
              <w:left w:val="nil"/>
              <w:right w:val="nil"/>
            </w:tcBorders>
          </w:tcPr>
          <w:p w14:paraId="168A64EF"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0/124</w:t>
            </w:r>
            <w:r w:rsidRPr="00E84D1D">
              <w:rPr>
                <w:b w:val="0"/>
                <w:sz w:val="22"/>
                <w:szCs w:val="22"/>
                <w:vertAlign w:val="superscript"/>
                <w:lang w:val="en-GB"/>
              </w:rPr>
              <w:t>e</w:t>
            </w:r>
          </w:p>
        </w:tc>
        <w:tc>
          <w:tcPr>
            <w:tcW w:w="1899" w:type="dxa"/>
            <w:tcBorders>
              <w:left w:val="nil"/>
              <w:right w:val="nil"/>
            </w:tcBorders>
          </w:tcPr>
          <w:p w14:paraId="564EE470"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0/173</w:t>
            </w:r>
          </w:p>
        </w:tc>
        <w:tc>
          <w:tcPr>
            <w:tcW w:w="2126" w:type="dxa"/>
            <w:tcBorders>
              <w:left w:val="nil"/>
              <w:right w:val="nil"/>
            </w:tcBorders>
          </w:tcPr>
          <w:p w14:paraId="2B9E7EB2"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4/978 (0.41)</w:t>
            </w:r>
            <w:r w:rsidRPr="00E84D1D">
              <w:rPr>
                <w:b w:val="0"/>
                <w:sz w:val="22"/>
                <w:szCs w:val="22"/>
                <w:vertAlign w:val="superscript"/>
                <w:lang w:val="en-GB"/>
              </w:rPr>
              <w:t>f</w:t>
            </w:r>
          </w:p>
        </w:tc>
        <w:tc>
          <w:tcPr>
            <w:tcW w:w="1843" w:type="dxa"/>
            <w:gridSpan w:val="2"/>
            <w:tcBorders>
              <w:left w:val="nil"/>
              <w:right w:val="nil"/>
            </w:tcBorders>
          </w:tcPr>
          <w:p w14:paraId="7A6F3C9D"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0/502</w:t>
            </w:r>
          </w:p>
        </w:tc>
      </w:tr>
      <w:tr w:rsidR="00B64398" w:rsidRPr="00E84D1D" w14:paraId="3D28F2F4"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69A22A56" w14:textId="77777777" w:rsidR="00B64398" w:rsidRPr="00E84D1D" w:rsidRDefault="00B64398" w:rsidP="00386A9D">
            <w:pPr>
              <w:spacing w:line="480" w:lineRule="auto"/>
              <w:ind w:left="8"/>
              <w:rPr>
                <w:rFonts w:cs="Arial"/>
                <w:color w:val="000000"/>
                <w:kern w:val="24"/>
                <w:szCs w:val="22"/>
              </w:rPr>
            </w:pPr>
            <w:r w:rsidRPr="00E84D1D">
              <w:rPr>
                <w:rFonts w:cs="Arial"/>
                <w:color w:val="000000"/>
                <w:kern w:val="24"/>
                <w:szCs w:val="22"/>
              </w:rPr>
              <w:t>All-cause death</w:t>
            </w:r>
          </w:p>
        </w:tc>
        <w:tc>
          <w:tcPr>
            <w:tcW w:w="2002" w:type="dxa"/>
            <w:tcBorders>
              <w:left w:val="nil"/>
              <w:right w:val="nil"/>
            </w:tcBorders>
          </w:tcPr>
          <w:p w14:paraId="0D3F1723"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3/160 (1.88)</w:t>
            </w:r>
          </w:p>
        </w:tc>
        <w:tc>
          <w:tcPr>
            <w:tcW w:w="2003" w:type="dxa"/>
            <w:tcBorders>
              <w:left w:val="nil"/>
              <w:right w:val="nil"/>
            </w:tcBorders>
          </w:tcPr>
          <w:p w14:paraId="486750C9"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0/626</w:t>
            </w:r>
          </w:p>
        </w:tc>
        <w:tc>
          <w:tcPr>
            <w:tcW w:w="2003" w:type="dxa"/>
            <w:tcBorders>
              <w:left w:val="nil"/>
              <w:right w:val="nil"/>
            </w:tcBorders>
          </w:tcPr>
          <w:p w14:paraId="3E931C44"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1899" w:type="dxa"/>
            <w:tcBorders>
              <w:left w:val="nil"/>
              <w:right w:val="nil"/>
            </w:tcBorders>
          </w:tcPr>
          <w:p w14:paraId="2CB0301A" w14:textId="77777777" w:rsidR="00B64398" w:rsidRPr="00E84D1D" w:rsidRDefault="00B64398" w:rsidP="00386A9D">
            <w:pPr>
              <w:pStyle w:val="Manuscriptheading2"/>
              <w:tabs>
                <w:tab w:val="clear" w:pos="1134"/>
                <w:tab w:val="center" w:pos="841"/>
              </w:tabs>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0/173</w:t>
            </w:r>
          </w:p>
        </w:tc>
        <w:tc>
          <w:tcPr>
            <w:tcW w:w="2126" w:type="dxa"/>
            <w:tcBorders>
              <w:left w:val="nil"/>
              <w:right w:val="nil"/>
            </w:tcBorders>
          </w:tcPr>
          <w:p w14:paraId="7E320F49"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5/978 (0.51)</w:t>
            </w:r>
            <w:r w:rsidRPr="00E84D1D">
              <w:rPr>
                <w:b w:val="0"/>
                <w:sz w:val="22"/>
                <w:szCs w:val="22"/>
                <w:vertAlign w:val="superscript"/>
                <w:lang w:val="en-GB"/>
              </w:rPr>
              <w:t>f</w:t>
            </w:r>
          </w:p>
        </w:tc>
        <w:tc>
          <w:tcPr>
            <w:tcW w:w="1843" w:type="dxa"/>
            <w:gridSpan w:val="2"/>
            <w:tcBorders>
              <w:left w:val="nil"/>
              <w:right w:val="nil"/>
            </w:tcBorders>
          </w:tcPr>
          <w:p w14:paraId="61816C69"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0/502</w:t>
            </w:r>
          </w:p>
        </w:tc>
      </w:tr>
      <w:tr w:rsidR="00B64398" w:rsidRPr="00E84D1D" w14:paraId="3D76BB28"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66FD4950" w14:textId="77777777" w:rsidR="00B64398" w:rsidRPr="00E84D1D" w:rsidRDefault="00B64398" w:rsidP="00386A9D">
            <w:pPr>
              <w:spacing w:line="480" w:lineRule="auto"/>
              <w:rPr>
                <w:rFonts w:cs="Arial"/>
                <w:szCs w:val="22"/>
              </w:rPr>
            </w:pPr>
            <w:r w:rsidRPr="00E84D1D">
              <w:rPr>
                <w:rFonts w:cs="Arial"/>
                <w:bCs/>
                <w:color w:val="000000"/>
                <w:kern w:val="24"/>
                <w:szCs w:val="22"/>
              </w:rPr>
              <w:t>Symptomatic thromboembolic event</w:t>
            </w:r>
          </w:p>
        </w:tc>
        <w:tc>
          <w:tcPr>
            <w:tcW w:w="2002" w:type="dxa"/>
            <w:tcBorders>
              <w:left w:val="nil"/>
              <w:right w:val="nil"/>
            </w:tcBorders>
          </w:tcPr>
          <w:p w14:paraId="1DF277A1"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2003" w:type="dxa"/>
            <w:tcBorders>
              <w:left w:val="nil"/>
              <w:right w:val="nil"/>
            </w:tcBorders>
          </w:tcPr>
          <w:p w14:paraId="79E40EBC"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5/626 (0.8)</w:t>
            </w:r>
          </w:p>
        </w:tc>
        <w:tc>
          <w:tcPr>
            <w:tcW w:w="2003" w:type="dxa"/>
            <w:tcBorders>
              <w:left w:val="nil"/>
              <w:right w:val="nil"/>
            </w:tcBorders>
          </w:tcPr>
          <w:p w14:paraId="3D164BCA"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0/124</w:t>
            </w:r>
          </w:p>
        </w:tc>
        <w:tc>
          <w:tcPr>
            <w:tcW w:w="1899" w:type="dxa"/>
            <w:tcBorders>
              <w:left w:val="nil"/>
              <w:right w:val="nil"/>
            </w:tcBorders>
          </w:tcPr>
          <w:p w14:paraId="1B666A37"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bCs w:val="0"/>
                <w:color w:val="000000"/>
                <w:kern w:val="24"/>
                <w:sz w:val="22"/>
                <w:szCs w:val="22"/>
                <w:lang w:val="en-GB"/>
              </w:rPr>
              <w:t>2/173 (1.2)</w:t>
            </w:r>
          </w:p>
        </w:tc>
        <w:tc>
          <w:tcPr>
            <w:tcW w:w="2126" w:type="dxa"/>
            <w:tcBorders>
              <w:left w:val="nil"/>
              <w:right w:val="nil"/>
            </w:tcBorders>
          </w:tcPr>
          <w:p w14:paraId="43056DB0"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3/978 (0.31)</w:t>
            </w:r>
            <w:r w:rsidRPr="00E84D1D">
              <w:rPr>
                <w:b w:val="0"/>
                <w:sz w:val="22"/>
                <w:szCs w:val="22"/>
                <w:vertAlign w:val="superscript"/>
                <w:lang w:val="en-GB"/>
              </w:rPr>
              <w:t>f</w:t>
            </w:r>
          </w:p>
        </w:tc>
        <w:tc>
          <w:tcPr>
            <w:tcW w:w="1843" w:type="dxa"/>
            <w:gridSpan w:val="2"/>
            <w:tcBorders>
              <w:left w:val="nil"/>
              <w:right w:val="nil"/>
            </w:tcBorders>
          </w:tcPr>
          <w:p w14:paraId="424DCB22"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color w:val="000000"/>
                <w:sz w:val="22"/>
                <w:szCs w:val="22"/>
                <w:lang w:val="en-GB"/>
              </w:rPr>
              <w:t>4/502 (0.8)</w:t>
            </w:r>
          </w:p>
        </w:tc>
      </w:tr>
      <w:tr w:rsidR="00B64398" w:rsidRPr="00E84D1D" w14:paraId="6C7DEF59"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0EF6C547" w14:textId="77777777" w:rsidR="00B64398" w:rsidRPr="00E84D1D" w:rsidRDefault="00B64398" w:rsidP="00386A9D">
            <w:pPr>
              <w:spacing w:line="480" w:lineRule="auto"/>
              <w:ind w:left="286"/>
              <w:rPr>
                <w:rFonts w:cs="Arial"/>
                <w:szCs w:val="22"/>
              </w:rPr>
            </w:pPr>
            <w:r w:rsidRPr="00E84D1D">
              <w:rPr>
                <w:rFonts w:cs="Arial"/>
                <w:color w:val="000000"/>
                <w:kern w:val="24"/>
                <w:szCs w:val="22"/>
              </w:rPr>
              <w:lastRenderedPageBreak/>
              <w:t>Stroke</w:t>
            </w:r>
          </w:p>
        </w:tc>
        <w:tc>
          <w:tcPr>
            <w:tcW w:w="2002" w:type="dxa"/>
            <w:tcBorders>
              <w:left w:val="nil"/>
              <w:right w:val="nil"/>
            </w:tcBorders>
          </w:tcPr>
          <w:p w14:paraId="2BFADCCE"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3/160 (1.88)</w:t>
            </w:r>
            <w:r w:rsidRPr="00E84D1D">
              <w:rPr>
                <w:b w:val="0"/>
                <w:sz w:val="22"/>
                <w:szCs w:val="22"/>
                <w:vertAlign w:val="superscript"/>
                <w:lang w:val="en-GB"/>
              </w:rPr>
              <w:t>g</w:t>
            </w:r>
          </w:p>
        </w:tc>
        <w:tc>
          <w:tcPr>
            <w:tcW w:w="2003" w:type="dxa"/>
            <w:tcBorders>
              <w:left w:val="nil"/>
              <w:right w:val="nil"/>
            </w:tcBorders>
          </w:tcPr>
          <w:p w14:paraId="51F5A486"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2/626 (0.3)</w:t>
            </w:r>
          </w:p>
        </w:tc>
        <w:tc>
          <w:tcPr>
            <w:tcW w:w="2003" w:type="dxa"/>
            <w:tcBorders>
              <w:left w:val="nil"/>
              <w:right w:val="nil"/>
            </w:tcBorders>
          </w:tcPr>
          <w:p w14:paraId="57B592C7"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0/124</w:t>
            </w:r>
            <w:r w:rsidRPr="00E84D1D">
              <w:rPr>
                <w:b w:val="0"/>
                <w:sz w:val="22"/>
                <w:szCs w:val="22"/>
                <w:vertAlign w:val="superscript"/>
                <w:lang w:val="en-GB"/>
              </w:rPr>
              <w:t>h</w:t>
            </w:r>
          </w:p>
        </w:tc>
        <w:tc>
          <w:tcPr>
            <w:tcW w:w="1899" w:type="dxa"/>
            <w:tcBorders>
              <w:left w:val="nil"/>
              <w:right w:val="nil"/>
            </w:tcBorders>
          </w:tcPr>
          <w:p w14:paraId="6BCCBDEC"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color w:val="000000"/>
                <w:kern w:val="24"/>
                <w:sz w:val="22"/>
                <w:szCs w:val="22"/>
                <w:lang w:val="en-GB"/>
              </w:rPr>
              <w:t>2/173 (1.2)</w:t>
            </w:r>
          </w:p>
        </w:tc>
        <w:tc>
          <w:tcPr>
            <w:tcW w:w="2126" w:type="dxa"/>
            <w:tcBorders>
              <w:left w:val="nil"/>
              <w:right w:val="nil"/>
            </w:tcBorders>
          </w:tcPr>
          <w:p w14:paraId="289EFA93"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2/978 (0.20)</w:t>
            </w:r>
            <w:r w:rsidRPr="00E84D1D">
              <w:rPr>
                <w:b w:val="0"/>
                <w:sz w:val="22"/>
                <w:szCs w:val="22"/>
                <w:vertAlign w:val="superscript"/>
                <w:lang w:val="en-GB"/>
              </w:rPr>
              <w:t>f</w:t>
            </w:r>
          </w:p>
        </w:tc>
        <w:tc>
          <w:tcPr>
            <w:tcW w:w="1843" w:type="dxa"/>
            <w:gridSpan w:val="2"/>
            <w:tcBorders>
              <w:left w:val="nil"/>
              <w:right w:val="nil"/>
            </w:tcBorders>
          </w:tcPr>
          <w:p w14:paraId="75FFAC32"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color w:val="000000"/>
                <w:sz w:val="22"/>
                <w:szCs w:val="22"/>
                <w:lang w:val="en-GB"/>
              </w:rPr>
              <w:t>1/502 (0.2)</w:t>
            </w:r>
          </w:p>
        </w:tc>
      </w:tr>
      <w:tr w:rsidR="00B64398" w:rsidRPr="00E84D1D" w14:paraId="5EEF556A"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36542CD5" w14:textId="77777777" w:rsidR="00B64398" w:rsidRPr="00E84D1D" w:rsidRDefault="00B64398" w:rsidP="00386A9D">
            <w:pPr>
              <w:pStyle w:val="NormalWeb"/>
              <w:spacing w:before="0" w:beforeAutospacing="0" w:after="0" w:afterAutospacing="0" w:line="480" w:lineRule="auto"/>
              <w:ind w:left="286"/>
              <w:rPr>
                <w:rFonts w:ascii="Arial" w:hAnsi="Arial" w:cs="Arial"/>
                <w:sz w:val="22"/>
                <w:szCs w:val="22"/>
              </w:rPr>
            </w:pPr>
            <w:r w:rsidRPr="00E84D1D">
              <w:rPr>
                <w:rFonts w:ascii="Arial" w:hAnsi="Arial" w:cs="Arial"/>
                <w:bCs/>
                <w:color w:val="000000"/>
                <w:kern w:val="24"/>
                <w:sz w:val="22"/>
                <w:szCs w:val="22"/>
              </w:rPr>
              <w:t>Non-CNS embolism</w:t>
            </w:r>
          </w:p>
        </w:tc>
        <w:tc>
          <w:tcPr>
            <w:tcW w:w="2002" w:type="dxa"/>
            <w:tcBorders>
              <w:left w:val="nil"/>
              <w:right w:val="nil"/>
            </w:tcBorders>
          </w:tcPr>
          <w:p w14:paraId="5648B8D3"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2003" w:type="dxa"/>
            <w:tcBorders>
              <w:left w:val="nil"/>
              <w:right w:val="nil"/>
            </w:tcBorders>
          </w:tcPr>
          <w:p w14:paraId="3EE76180"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0/626</w:t>
            </w:r>
          </w:p>
        </w:tc>
        <w:tc>
          <w:tcPr>
            <w:tcW w:w="2003" w:type="dxa"/>
            <w:tcBorders>
              <w:left w:val="nil"/>
              <w:right w:val="nil"/>
            </w:tcBorders>
          </w:tcPr>
          <w:p w14:paraId="4D944616"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NR</w:t>
            </w:r>
          </w:p>
        </w:tc>
        <w:tc>
          <w:tcPr>
            <w:tcW w:w="1899" w:type="dxa"/>
            <w:tcBorders>
              <w:left w:val="nil"/>
              <w:right w:val="nil"/>
            </w:tcBorders>
          </w:tcPr>
          <w:p w14:paraId="4C51AAFC"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0/173</w:t>
            </w:r>
          </w:p>
        </w:tc>
        <w:tc>
          <w:tcPr>
            <w:tcW w:w="2126" w:type="dxa"/>
            <w:tcBorders>
              <w:left w:val="nil"/>
              <w:right w:val="nil"/>
            </w:tcBorders>
          </w:tcPr>
          <w:p w14:paraId="74195C16"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szCs w:val="22"/>
              </w:rPr>
              <w:t>0/978</w:t>
            </w:r>
            <w:r w:rsidRPr="00E84D1D">
              <w:rPr>
                <w:szCs w:val="22"/>
                <w:vertAlign w:val="superscript"/>
              </w:rPr>
              <w:t>f</w:t>
            </w:r>
          </w:p>
        </w:tc>
        <w:tc>
          <w:tcPr>
            <w:tcW w:w="1843" w:type="dxa"/>
            <w:gridSpan w:val="2"/>
            <w:tcBorders>
              <w:left w:val="nil"/>
              <w:right w:val="nil"/>
            </w:tcBorders>
          </w:tcPr>
          <w:p w14:paraId="0BEEB055"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szCs w:val="22"/>
              </w:rPr>
              <w:t>0/502</w:t>
            </w:r>
          </w:p>
        </w:tc>
      </w:tr>
      <w:tr w:rsidR="00B64398" w:rsidRPr="00E84D1D" w14:paraId="23A06072" w14:textId="77777777" w:rsidTr="00386A9D">
        <w:trPr>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1EACA79D" w14:textId="77777777" w:rsidR="00B64398" w:rsidRPr="00E84D1D" w:rsidRDefault="00B64398" w:rsidP="00386A9D">
            <w:pPr>
              <w:pStyle w:val="NormalWeb"/>
              <w:spacing w:before="0" w:beforeAutospacing="0" w:after="0" w:afterAutospacing="0" w:line="480" w:lineRule="auto"/>
              <w:ind w:left="286"/>
              <w:rPr>
                <w:rFonts w:ascii="Arial" w:hAnsi="Arial" w:cs="Arial"/>
                <w:sz w:val="22"/>
                <w:szCs w:val="22"/>
              </w:rPr>
            </w:pPr>
            <w:r w:rsidRPr="00E84D1D">
              <w:rPr>
                <w:rFonts w:ascii="Arial" w:hAnsi="Arial" w:cs="Arial"/>
                <w:color w:val="000000"/>
                <w:kern w:val="24"/>
                <w:sz w:val="22"/>
                <w:szCs w:val="22"/>
              </w:rPr>
              <w:t>TIA</w:t>
            </w:r>
          </w:p>
        </w:tc>
        <w:tc>
          <w:tcPr>
            <w:tcW w:w="2002" w:type="dxa"/>
            <w:tcBorders>
              <w:left w:val="nil"/>
              <w:right w:val="nil"/>
            </w:tcBorders>
          </w:tcPr>
          <w:p w14:paraId="60A6FF49"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2003" w:type="dxa"/>
            <w:tcBorders>
              <w:left w:val="nil"/>
              <w:right w:val="nil"/>
            </w:tcBorders>
          </w:tcPr>
          <w:p w14:paraId="019C77C7"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3/626 (0.5)</w:t>
            </w:r>
          </w:p>
        </w:tc>
        <w:tc>
          <w:tcPr>
            <w:tcW w:w="2003" w:type="dxa"/>
            <w:tcBorders>
              <w:left w:val="nil"/>
              <w:right w:val="nil"/>
            </w:tcBorders>
          </w:tcPr>
          <w:p w14:paraId="6AABC21D"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NR</w:t>
            </w:r>
          </w:p>
        </w:tc>
        <w:tc>
          <w:tcPr>
            <w:tcW w:w="1899" w:type="dxa"/>
            <w:tcBorders>
              <w:left w:val="nil"/>
              <w:right w:val="nil"/>
            </w:tcBorders>
          </w:tcPr>
          <w:p w14:paraId="5A42D4E9"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szCs w:val="22"/>
              </w:rPr>
            </w:pPr>
            <w:r w:rsidRPr="00E84D1D">
              <w:rPr>
                <w:szCs w:val="22"/>
              </w:rPr>
              <w:t>0/173</w:t>
            </w:r>
          </w:p>
        </w:tc>
        <w:tc>
          <w:tcPr>
            <w:tcW w:w="2126" w:type="dxa"/>
            <w:tcBorders>
              <w:left w:val="nil"/>
              <w:right w:val="nil"/>
            </w:tcBorders>
          </w:tcPr>
          <w:p w14:paraId="50EED60B"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szCs w:val="22"/>
              </w:rPr>
              <w:t>0/978</w:t>
            </w:r>
            <w:r w:rsidRPr="00E84D1D">
              <w:rPr>
                <w:szCs w:val="22"/>
                <w:vertAlign w:val="superscript"/>
              </w:rPr>
              <w:t>f</w:t>
            </w:r>
          </w:p>
        </w:tc>
        <w:tc>
          <w:tcPr>
            <w:tcW w:w="1843" w:type="dxa"/>
            <w:gridSpan w:val="2"/>
            <w:tcBorders>
              <w:left w:val="nil"/>
              <w:right w:val="nil"/>
            </w:tcBorders>
          </w:tcPr>
          <w:p w14:paraId="7596574F"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szCs w:val="22"/>
              </w:rPr>
              <w:t>3/502 (0.6)</w:t>
            </w:r>
          </w:p>
        </w:tc>
      </w:tr>
      <w:tr w:rsidR="00B64398" w:rsidRPr="00E84D1D" w14:paraId="1BCF27CF" w14:textId="77777777" w:rsidTr="00386A9D">
        <w:trPr>
          <w:gridAfter w:val="1"/>
          <w:wAfter w:w="28" w:type="dxa"/>
          <w:trHeight w:val="76"/>
          <w:jc w:val="left"/>
        </w:trPr>
        <w:tc>
          <w:tcPr>
            <w:cnfStyle w:val="001000000000" w:firstRow="0" w:lastRow="0" w:firstColumn="1" w:lastColumn="0" w:oddVBand="0" w:evenVBand="0" w:oddHBand="0" w:evenHBand="0" w:firstRowFirstColumn="0" w:firstRowLastColumn="0" w:lastRowFirstColumn="0" w:lastRowLastColumn="0"/>
            <w:tcW w:w="2266" w:type="dxa"/>
            <w:tcBorders>
              <w:left w:val="nil"/>
              <w:right w:val="nil"/>
            </w:tcBorders>
          </w:tcPr>
          <w:p w14:paraId="5AA0BAB9" w14:textId="4A4481CA" w:rsidR="00B64398" w:rsidRPr="00E84D1D" w:rsidRDefault="00B64398" w:rsidP="00386A9D">
            <w:pPr>
              <w:pStyle w:val="NormalWeb"/>
              <w:spacing w:before="0" w:beforeAutospacing="0" w:after="0" w:afterAutospacing="0" w:line="480" w:lineRule="auto"/>
              <w:ind w:left="286"/>
              <w:rPr>
                <w:rFonts w:ascii="Arial" w:hAnsi="Arial" w:cs="Arial"/>
                <w:color w:val="000000"/>
                <w:kern w:val="24"/>
                <w:sz w:val="22"/>
                <w:szCs w:val="22"/>
              </w:rPr>
            </w:pPr>
            <w:r w:rsidRPr="00E84D1D">
              <w:rPr>
                <w:rFonts w:ascii="Arial" w:hAnsi="Arial" w:cs="Arial"/>
                <w:color w:val="000000"/>
                <w:kern w:val="24"/>
                <w:sz w:val="22"/>
                <w:szCs w:val="22"/>
              </w:rPr>
              <w:t>MI</w:t>
            </w:r>
          </w:p>
        </w:tc>
        <w:tc>
          <w:tcPr>
            <w:tcW w:w="2002" w:type="dxa"/>
            <w:tcBorders>
              <w:left w:val="nil"/>
              <w:right w:val="nil"/>
            </w:tcBorders>
          </w:tcPr>
          <w:p w14:paraId="632825B8"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2003" w:type="dxa"/>
            <w:tcBorders>
              <w:left w:val="nil"/>
              <w:right w:val="nil"/>
            </w:tcBorders>
          </w:tcPr>
          <w:p w14:paraId="163BEDDF"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0/626</w:t>
            </w:r>
          </w:p>
        </w:tc>
        <w:tc>
          <w:tcPr>
            <w:tcW w:w="2003" w:type="dxa"/>
            <w:tcBorders>
              <w:left w:val="nil"/>
              <w:right w:val="nil"/>
            </w:tcBorders>
          </w:tcPr>
          <w:p w14:paraId="14213851"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NR</w:t>
            </w:r>
          </w:p>
        </w:tc>
        <w:tc>
          <w:tcPr>
            <w:tcW w:w="1899" w:type="dxa"/>
            <w:tcBorders>
              <w:left w:val="nil"/>
              <w:right w:val="nil"/>
            </w:tcBorders>
          </w:tcPr>
          <w:p w14:paraId="597A26A8" w14:textId="77777777" w:rsidR="00B64398" w:rsidRPr="00E84D1D" w:rsidRDefault="00B64398" w:rsidP="00386A9D">
            <w:pPr>
              <w:pStyle w:val="Manuscriptheading2"/>
              <w:spacing w:before="0" w:after="0"/>
              <w:cnfStyle w:val="000000000000" w:firstRow="0" w:lastRow="0" w:firstColumn="0" w:lastColumn="0" w:oddVBand="0" w:evenVBand="0" w:oddHBand="0" w:evenHBand="0" w:firstRowFirstColumn="0" w:firstRowLastColumn="0" w:lastRowFirstColumn="0" w:lastRowLastColumn="0"/>
              <w:rPr>
                <w:b w:val="0"/>
                <w:sz w:val="22"/>
                <w:szCs w:val="22"/>
                <w:lang w:val="en-GB"/>
              </w:rPr>
            </w:pPr>
            <w:r w:rsidRPr="00E84D1D">
              <w:rPr>
                <w:b w:val="0"/>
                <w:sz w:val="22"/>
                <w:szCs w:val="22"/>
                <w:lang w:val="en-GB"/>
              </w:rPr>
              <w:t>0/173</w:t>
            </w:r>
          </w:p>
        </w:tc>
        <w:tc>
          <w:tcPr>
            <w:tcW w:w="2126" w:type="dxa"/>
            <w:tcBorders>
              <w:left w:val="nil"/>
              <w:right w:val="nil"/>
            </w:tcBorders>
          </w:tcPr>
          <w:p w14:paraId="3E29F3D1" w14:textId="77777777" w:rsidR="00B64398" w:rsidRPr="00E84D1D" w:rsidRDefault="00B64398" w:rsidP="00386A9D">
            <w:pPr>
              <w:spacing w:line="48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84D1D">
              <w:rPr>
                <w:szCs w:val="22"/>
              </w:rPr>
              <w:t>1/978 (0.1)</w:t>
            </w:r>
            <w:r w:rsidRPr="00E84D1D">
              <w:rPr>
                <w:szCs w:val="22"/>
                <w:vertAlign w:val="superscript"/>
              </w:rPr>
              <w:t>f</w:t>
            </w:r>
          </w:p>
        </w:tc>
        <w:tc>
          <w:tcPr>
            <w:tcW w:w="1815" w:type="dxa"/>
            <w:tcBorders>
              <w:left w:val="nil"/>
              <w:right w:val="nil"/>
            </w:tcBorders>
          </w:tcPr>
          <w:p w14:paraId="6A7B6B45" w14:textId="77777777" w:rsidR="00B64398" w:rsidRPr="00E84D1D" w:rsidRDefault="00B64398" w:rsidP="00386A9D">
            <w:pPr>
              <w:spacing w:line="480" w:lineRule="auto"/>
              <w:ind w:left="8"/>
              <w:cnfStyle w:val="000000000000" w:firstRow="0" w:lastRow="0" w:firstColumn="0" w:lastColumn="0" w:oddVBand="0" w:evenVBand="0" w:oddHBand="0" w:evenHBand="0" w:firstRowFirstColumn="0" w:firstRowLastColumn="0" w:lastRowFirstColumn="0" w:lastRowLastColumn="0"/>
              <w:rPr>
                <w:rFonts w:cs="Arial"/>
                <w:szCs w:val="22"/>
              </w:rPr>
            </w:pPr>
            <w:r w:rsidRPr="00E84D1D">
              <w:rPr>
                <w:rFonts w:cs="Arial"/>
                <w:color w:val="000000"/>
                <w:szCs w:val="22"/>
              </w:rPr>
              <w:t>0/502</w:t>
            </w:r>
          </w:p>
        </w:tc>
      </w:tr>
    </w:tbl>
    <w:p w14:paraId="7536FFB2" w14:textId="4133ECC9" w:rsidR="00B64398" w:rsidRPr="00E84D1D" w:rsidRDefault="00B64398" w:rsidP="00B64398">
      <w:pPr>
        <w:pStyle w:val="Text"/>
      </w:pPr>
      <w:r w:rsidRPr="00E84D1D">
        <w:rPr>
          <w:vertAlign w:val="superscript"/>
        </w:rPr>
        <w:t>a</w:t>
      </w:r>
      <w:r w:rsidRPr="00E84D1D">
        <w:t>The rivaroxaban dose was 20 mg once daily, with the ROCKET AF, X-VeRT and XANTUS studies also having a 15 mg dose in patients with renal impairment (30–49 mL/min in ROCKET AF and X-VeRT; 15–49 mL/min in XANTUS). Dose selection was at the investigator’s discretion.</w:t>
      </w:r>
    </w:p>
    <w:p w14:paraId="59FC4526" w14:textId="77777777" w:rsidR="00B64398" w:rsidRPr="00E84D1D" w:rsidRDefault="00B64398" w:rsidP="00B64398">
      <w:pPr>
        <w:pStyle w:val="Text"/>
      </w:pPr>
      <w:r w:rsidRPr="00E84D1D">
        <w:rPr>
          <w:vertAlign w:val="superscript"/>
        </w:rPr>
        <w:t>b</w:t>
      </w:r>
      <w:r w:rsidRPr="00E84D1D">
        <w:t>Event rates over a median follow-up of 2.1 years (therefore, this dataset is not directly comparable with other datasets presented in this table).</w:t>
      </w:r>
    </w:p>
    <w:p w14:paraId="3DF5BBD0" w14:textId="77777777" w:rsidR="00B64398" w:rsidRPr="00E84D1D" w:rsidRDefault="00B64398" w:rsidP="00B64398">
      <w:pPr>
        <w:pStyle w:val="Text"/>
      </w:pPr>
      <w:r w:rsidRPr="00E84D1D">
        <w:rPr>
          <w:vertAlign w:val="superscript"/>
        </w:rPr>
        <w:t>c</w:t>
      </w:r>
      <w:r w:rsidRPr="00E84D1D">
        <w:t>Major or non-major clinically relevant bleeding.</w:t>
      </w:r>
    </w:p>
    <w:p w14:paraId="173301D1" w14:textId="77777777" w:rsidR="00B64398" w:rsidRPr="00E84D1D" w:rsidRDefault="00B64398" w:rsidP="00B64398">
      <w:pPr>
        <w:pStyle w:val="Text"/>
      </w:pPr>
      <w:r w:rsidRPr="00E84D1D">
        <w:rPr>
          <w:vertAlign w:val="superscript"/>
        </w:rPr>
        <w:t>d</w:t>
      </w:r>
      <w:r w:rsidRPr="00E84D1D">
        <w:t>Safety population.</w:t>
      </w:r>
    </w:p>
    <w:p w14:paraId="1AD96DF1" w14:textId="77777777" w:rsidR="00B64398" w:rsidRPr="00E84D1D" w:rsidRDefault="00B64398" w:rsidP="00B64398">
      <w:pPr>
        <w:pStyle w:val="Text"/>
      </w:pPr>
      <w:r w:rsidRPr="00E84D1D">
        <w:rPr>
          <w:szCs w:val="22"/>
          <w:vertAlign w:val="superscript"/>
        </w:rPr>
        <w:t>e</w:t>
      </w:r>
      <w:r w:rsidRPr="00E84D1D">
        <w:t>Vascular death.</w:t>
      </w:r>
    </w:p>
    <w:p w14:paraId="225B872D" w14:textId="77777777" w:rsidR="00B64398" w:rsidRPr="00E84D1D" w:rsidRDefault="00B64398" w:rsidP="00B64398">
      <w:pPr>
        <w:pStyle w:val="Text"/>
      </w:pPr>
      <w:r w:rsidRPr="00E84D1D">
        <w:rPr>
          <w:vertAlign w:val="superscript"/>
        </w:rPr>
        <w:t>f</w:t>
      </w:r>
      <w:r w:rsidRPr="00E84D1D">
        <w:t>Modified ITT population.</w:t>
      </w:r>
    </w:p>
    <w:p w14:paraId="2C5D8DE9" w14:textId="77777777" w:rsidR="00B64398" w:rsidRPr="00E84D1D" w:rsidRDefault="00B64398" w:rsidP="00B64398">
      <w:pPr>
        <w:pStyle w:val="Text"/>
        <w:rPr>
          <w:szCs w:val="22"/>
        </w:rPr>
      </w:pPr>
      <w:r w:rsidRPr="00E84D1D">
        <w:rPr>
          <w:vertAlign w:val="superscript"/>
        </w:rPr>
        <w:t>g</w:t>
      </w:r>
      <w:r w:rsidRPr="00E84D1D">
        <w:t>S</w:t>
      </w:r>
      <w:r w:rsidRPr="00E84D1D">
        <w:rPr>
          <w:szCs w:val="22"/>
        </w:rPr>
        <w:t>troke/non-CNS systemic embolism.</w:t>
      </w:r>
    </w:p>
    <w:p w14:paraId="1C19DED7" w14:textId="77777777" w:rsidR="00B64398" w:rsidRPr="00E84D1D" w:rsidRDefault="00B64398" w:rsidP="00B64398">
      <w:pPr>
        <w:pStyle w:val="Text"/>
      </w:pPr>
      <w:r w:rsidRPr="00E84D1D">
        <w:rPr>
          <w:szCs w:val="22"/>
          <w:vertAlign w:val="superscript"/>
        </w:rPr>
        <w:t>h</w:t>
      </w:r>
      <w:r w:rsidRPr="00E84D1D">
        <w:rPr>
          <w:szCs w:val="22"/>
        </w:rPr>
        <w:t>Ischaemic stroke.</w:t>
      </w:r>
    </w:p>
    <w:p w14:paraId="2786A49D" w14:textId="000FC306" w:rsidR="00B64398" w:rsidRPr="00E84D1D" w:rsidRDefault="00B64398" w:rsidP="00B64398">
      <w:pPr>
        <w:pStyle w:val="Text"/>
      </w:pPr>
      <w:r w:rsidRPr="00E84D1D">
        <w:t>AF, atrial fibrillation; CNS, central nervous system; MI, myocardial infarction; NR, not reported; TIA, transient ischaemic attack.</w:t>
      </w:r>
    </w:p>
    <w:p w14:paraId="7365F1F3" w14:textId="77777777" w:rsidR="00B64398" w:rsidRPr="00E84D1D" w:rsidRDefault="00B64398" w:rsidP="00B64398">
      <w:pPr>
        <w:pStyle w:val="Text"/>
        <w:sectPr w:rsidR="00B64398" w:rsidRPr="00E84D1D" w:rsidSect="00052F54">
          <w:pgSz w:w="16838" w:h="11906" w:orient="landscape" w:code="9"/>
          <w:pgMar w:top="1418" w:right="1418" w:bottom="1418" w:left="1418" w:header="284" w:footer="720" w:gutter="0"/>
          <w:cols w:space="720"/>
          <w:docGrid w:linePitch="326"/>
        </w:sectPr>
      </w:pPr>
    </w:p>
    <w:p w14:paraId="28FFEC18" w14:textId="77B97526" w:rsidR="00B64398" w:rsidRPr="00E84D1D" w:rsidRDefault="00B64398" w:rsidP="00B64398">
      <w:pPr>
        <w:pStyle w:val="Manuscriptheading2"/>
        <w:spacing w:before="0" w:after="0"/>
        <w:rPr>
          <w:lang w:val="en-GB"/>
        </w:rPr>
      </w:pPr>
      <w:r w:rsidRPr="00E84D1D">
        <w:rPr>
          <w:lang w:val="en-GB"/>
        </w:rPr>
        <w:lastRenderedPageBreak/>
        <w:t>Figure legend</w:t>
      </w:r>
    </w:p>
    <w:p w14:paraId="127CABF1" w14:textId="77777777" w:rsidR="00B64398" w:rsidRPr="00E84D1D" w:rsidRDefault="00B64398" w:rsidP="00B64398">
      <w:pPr>
        <w:pStyle w:val="Text"/>
      </w:pPr>
      <w:r w:rsidRPr="00E84D1D">
        <w:rPr>
          <w:b/>
        </w:rPr>
        <w:t>Figure 1</w:t>
      </w:r>
      <w:r w:rsidRPr="00E84D1D">
        <w:t xml:space="preserve"> Patient flow in the population of patients who underwent cardioversion or ablation in the XANTUS study.</w:t>
      </w:r>
    </w:p>
    <w:p w14:paraId="140CB990" w14:textId="77777777" w:rsidR="006163A3" w:rsidRDefault="006163A3">
      <w:pPr>
        <w:spacing w:line="240" w:lineRule="auto"/>
        <w:sectPr w:rsidR="006163A3" w:rsidSect="00D10B4B">
          <w:pgSz w:w="11906" w:h="16838" w:code="9"/>
          <w:pgMar w:top="1418" w:right="1418" w:bottom="1418" w:left="1418" w:header="284" w:footer="720" w:gutter="0"/>
          <w:cols w:space="720"/>
          <w:docGrid w:linePitch="326"/>
        </w:sectPr>
      </w:pPr>
    </w:p>
    <w:p w14:paraId="6CB21684" w14:textId="40155005" w:rsidR="006163A3" w:rsidRPr="00E84D1D" w:rsidRDefault="006163A3" w:rsidP="006163A3">
      <w:pPr>
        <w:pStyle w:val="Text"/>
      </w:pPr>
      <w:r>
        <w:rPr>
          <w:b/>
        </w:rPr>
        <w:lastRenderedPageBreak/>
        <w:t xml:space="preserve">Supplementary </w:t>
      </w:r>
      <w:r w:rsidRPr="006163A3">
        <w:rPr>
          <w:b/>
        </w:rPr>
        <w:t xml:space="preserve">Table </w:t>
      </w:r>
      <w:r w:rsidR="00914EAF">
        <w:rPr>
          <w:b/>
        </w:rPr>
        <w:t>S</w:t>
      </w:r>
      <w:r>
        <w:rPr>
          <w:b/>
        </w:rPr>
        <w:t xml:space="preserve">1. </w:t>
      </w:r>
      <w:bookmarkStart w:id="10" w:name="_GoBack"/>
      <w:bookmarkEnd w:id="10"/>
      <w:r w:rsidRPr="00E84D1D">
        <w:t xml:space="preserve">Number of patients with major bleeding and symptomatic thromboembolic events within 30 days </w:t>
      </w:r>
      <w:r>
        <w:t>of</w:t>
      </w:r>
      <w:r w:rsidRPr="00E84D1D">
        <w:t xml:space="preserve"> intervention</w:t>
      </w:r>
      <w:r>
        <w:t xml:space="preserve"> by rivaroxaban use on the day of the intervention </w:t>
      </w:r>
      <w:r w:rsidRPr="00E84D1D">
        <w:t>in patients with non-valvular atrial fibrillation undergoing catheter ablation or cardioversion in the XANTUS study</w:t>
      </w:r>
    </w:p>
    <w:tbl>
      <w:tblPr>
        <w:tblStyle w:val="TableGrid"/>
        <w:tblW w:w="14218" w:type="dxa"/>
        <w:jc w:val="lef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208"/>
        <w:gridCol w:w="1835"/>
        <w:gridCol w:w="1835"/>
        <w:gridCol w:w="1835"/>
        <w:gridCol w:w="1835"/>
        <w:gridCol w:w="1835"/>
        <w:gridCol w:w="1835"/>
      </w:tblGrid>
      <w:tr w:rsidR="00E130D7" w:rsidRPr="00E84D1D" w14:paraId="0CC11B41" w14:textId="78371237" w:rsidTr="00140127">
        <w:trPr>
          <w:trHeight w:val="20"/>
          <w:jc w:val="left"/>
        </w:trPr>
        <w:tc>
          <w:tcPr>
            <w:tcW w:w="3208" w:type="dxa"/>
            <w:tcBorders>
              <w:top w:val="single" w:sz="4" w:space="0" w:color="auto"/>
              <w:bottom w:val="nil"/>
            </w:tcBorders>
            <w:hideMark/>
          </w:tcPr>
          <w:p w14:paraId="0716A8B6" w14:textId="77777777" w:rsidR="00E130D7" w:rsidRPr="00E84D1D" w:rsidRDefault="00E130D7" w:rsidP="00140127">
            <w:pPr>
              <w:spacing w:line="480" w:lineRule="auto"/>
              <w:rPr>
                <w:rFonts w:cs="Arial"/>
                <w:szCs w:val="22"/>
              </w:rPr>
            </w:pPr>
          </w:p>
        </w:tc>
        <w:tc>
          <w:tcPr>
            <w:tcW w:w="11010" w:type="dxa"/>
            <w:gridSpan w:val="6"/>
            <w:tcBorders>
              <w:top w:val="single" w:sz="4" w:space="0" w:color="auto"/>
              <w:bottom w:val="single" w:sz="4" w:space="0" w:color="auto"/>
            </w:tcBorders>
          </w:tcPr>
          <w:p w14:paraId="73C2C7CE" w14:textId="44528457" w:rsidR="00E130D7" w:rsidRPr="00E84D1D" w:rsidRDefault="00E130D7" w:rsidP="00E130D7">
            <w:pPr>
              <w:spacing w:line="480" w:lineRule="auto"/>
              <w:rPr>
                <w:rFonts w:eastAsiaTheme="minorEastAsia" w:cs="Arial"/>
                <w:b/>
                <w:bCs/>
                <w:kern w:val="24"/>
                <w:szCs w:val="22"/>
              </w:rPr>
            </w:pPr>
            <w:r w:rsidRPr="00E84D1D">
              <w:rPr>
                <w:rFonts w:eastAsiaTheme="minorEastAsia" w:cs="Arial"/>
                <w:b/>
                <w:bCs/>
                <w:kern w:val="24"/>
                <w:szCs w:val="22"/>
              </w:rPr>
              <w:t xml:space="preserve">Patients with events, </w:t>
            </w:r>
            <w:r w:rsidRPr="00E84D1D">
              <w:rPr>
                <w:rFonts w:eastAsiaTheme="minorEastAsia" w:cs="Arial"/>
                <w:b/>
                <w:bCs/>
                <w:i/>
                <w:kern w:val="24"/>
                <w:szCs w:val="22"/>
              </w:rPr>
              <w:t>n</w:t>
            </w:r>
            <w:r w:rsidRPr="00E84D1D">
              <w:rPr>
                <w:rFonts w:eastAsiaTheme="minorEastAsia" w:cs="Arial"/>
                <w:b/>
                <w:bCs/>
                <w:kern w:val="24"/>
                <w:szCs w:val="22"/>
              </w:rPr>
              <w:t xml:space="preserve"> (%)</w:t>
            </w:r>
          </w:p>
        </w:tc>
      </w:tr>
      <w:tr w:rsidR="006163A3" w:rsidRPr="00E84D1D" w14:paraId="36E72FC7" w14:textId="12782565" w:rsidTr="00E130D7">
        <w:trPr>
          <w:trHeight w:val="20"/>
          <w:jc w:val="left"/>
        </w:trPr>
        <w:tc>
          <w:tcPr>
            <w:tcW w:w="3208" w:type="dxa"/>
            <w:tcBorders>
              <w:top w:val="nil"/>
              <w:bottom w:val="single" w:sz="4" w:space="0" w:color="auto"/>
            </w:tcBorders>
            <w:hideMark/>
          </w:tcPr>
          <w:p w14:paraId="673F3AB1" w14:textId="77777777" w:rsidR="006163A3" w:rsidRPr="00E84D1D" w:rsidRDefault="006163A3" w:rsidP="00140127">
            <w:pPr>
              <w:spacing w:line="480" w:lineRule="auto"/>
              <w:rPr>
                <w:rFonts w:cs="Arial"/>
                <w:szCs w:val="22"/>
              </w:rPr>
            </w:pPr>
          </w:p>
        </w:tc>
        <w:tc>
          <w:tcPr>
            <w:tcW w:w="3670" w:type="dxa"/>
            <w:gridSpan w:val="2"/>
            <w:tcBorders>
              <w:top w:val="single" w:sz="4" w:space="0" w:color="auto"/>
              <w:bottom w:val="single" w:sz="4" w:space="0" w:color="auto"/>
            </w:tcBorders>
            <w:hideMark/>
          </w:tcPr>
          <w:p w14:paraId="7EE5537A" w14:textId="6C5C0385" w:rsidR="006163A3" w:rsidRPr="00E84D1D" w:rsidRDefault="006163A3" w:rsidP="00E130D7">
            <w:pPr>
              <w:spacing w:line="480" w:lineRule="auto"/>
              <w:rPr>
                <w:rFonts w:eastAsiaTheme="minorEastAsia" w:cs="Arial"/>
                <w:b/>
                <w:bCs/>
                <w:kern w:val="24"/>
                <w:szCs w:val="22"/>
              </w:rPr>
            </w:pPr>
            <w:r w:rsidRPr="00E84D1D">
              <w:rPr>
                <w:rFonts w:eastAsiaTheme="minorEastAsia" w:cs="Arial"/>
                <w:b/>
                <w:bCs/>
                <w:kern w:val="24"/>
                <w:szCs w:val="22"/>
              </w:rPr>
              <w:t>Catheter ablation</w:t>
            </w:r>
            <w:r w:rsidRPr="00E84D1D">
              <w:rPr>
                <w:rFonts w:eastAsiaTheme="minorEastAsia" w:cs="Arial"/>
                <w:b/>
                <w:bCs/>
                <w:kern w:val="24"/>
                <w:szCs w:val="22"/>
              </w:rPr>
              <w:br/>
            </w:r>
            <w:r w:rsidRPr="00E84D1D">
              <w:rPr>
                <w:rFonts w:eastAsiaTheme="minorEastAsia" w:cs="Arial"/>
                <w:b/>
                <w:bCs/>
                <w:i/>
                <w:kern w:val="24"/>
                <w:szCs w:val="22"/>
              </w:rPr>
              <w:t>n</w:t>
            </w:r>
            <w:r w:rsidRPr="00E84D1D">
              <w:rPr>
                <w:rFonts w:eastAsiaTheme="minorEastAsia" w:cs="Arial"/>
                <w:b/>
                <w:bCs/>
                <w:kern w:val="24"/>
                <w:szCs w:val="22"/>
              </w:rPr>
              <w:t xml:space="preserve"> = 173</w:t>
            </w:r>
          </w:p>
        </w:tc>
        <w:tc>
          <w:tcPr>
            <w:tcW w:w="3670" w:type="dxa"/>
            <w:gridSpan w:val="2"/>
            <w:tcBorders>
              <w:top w:val="single" w:sz="4" w:space="0" w:color="auto"/>
              <w:bottom w:val="single" w:sz="4" w:space="0" w:color="auto"/>
            </w:tcBorders>
          </w:tcPr>
          <w:p w14:paraId="515D99FC" w14:textId="67097A9A" w:rsidR="006163A3" w:rsidRPr="00E84D1D" w:rsidRDefault="006163A3" w:rsidP="00E130D7">
            <w:pPr>
              <w:spacing w:line="480" w:lineRule="auto"/>
              <w:rPr>
                <w:rFonts w:cs="Arial"/>
                <w:b/>
                <w:bCs/>
                <w:kern w:val="24"/>
                <w:szCs w:val="22"/>
              </w:rPr>
            </w:pPr>
            <w:r w:rsidRPr="00E84D1D">
              <w:rPr>
                <w:rFonts w:eastAsiaTheme="minorEastAsia" w:cs="Arial"/>
                <w:b/>
                <w:bCs/>
                <w:kern w:val="24"/>
                <w:szCs w:val="22"/>
              </w:rPr>
              <w:t xml:space="preserve">Cardioversion </w:t>
            </w:r>
            <w:r w:rsidRPr="00E84D1D">
              <w:rPr>
                <w:rFonts w:eastAsiaTheme="minorEastAsia" w:cs="Arial"/>
                <w:b/>
                <w:bCs/>
                <w:kern w:val="24"/>
                <w:szCs w:val="22"/>
              </w:rPr>
              <w:br/>
            </w:r>
            <w:r w:rsidRPr="00E84D1D">
              <w:rPr>
                <w:rFonts w:eastAsiaTheme="minorEastAsia" w:cs="Arial"/>
                <w:b/>
                <w:bCs/>
                <w:i/>
                <w:kern w:val="24"/>
                <w:szCs w:val="22"/>
              </w:rPr>
              <w:t>n</w:t>
            </w:r>
            <w:r w:rsidRPr="00E84D1D">
              <w:rPr>
                <w:rFonts w:eastAsiaTheme="minorEastAsia" w:cs="Arial"/>
                <w:b/>
                <w:bCs/>
                <w:kern w:val="24"/>
                <w:szCs w:val="22"/>
              </w:rPr>
              <w:t xml:space="preserve"> = 502</w:t>
            </w:r>
          </w:p>
        </w:tc>
        <w:tc>
          <w:tcPr>
            <w:tcW w:w="3670" w:type="dxa"/>
            <w:gridSpan w:val="2"/>
            <w:tcBorders>
              <w:top w:val="single" w:sz="4" w:space="0" w:color="auto"/>
              <w:bottom w:val="single" w:sz="4" w:space="0" w:color="auto"/>
            </w:tcBorders>
            <w:hideMark/>
          </w:tcPr>
          <w:p w14:paraId="263F5B66" w14:textId="35005EF1" w:rsidR="006163A3" w:rsidRPr="00E84D1D" w:rsidRDefault="006163A3" w:rsidP="00E130D7">
            <w:pPr>
              <w:spacing w:line="480" w:lineRule="auto"/>
              <w:rPr>
                <w:rFonts w:cs="Arial"/>
                <w:b/>
                <w:bCs/>
                <w:kern w:val="24"/>
                <w:szCs w:val="22"/>
              </w:rPr>
            </w:pPr>
            <w:r w:rsidRPr="00E84D1D">
              <w:rPr>
                <w:rFonts w:cs="Arial"/>
                <w:b/>
                <w:bCs/>
                <w:kern w:val="24"/>
                <w:szCs w:val="22"/>
              </w:rPr>
              <w:t xml:space="preserve">Catheter ablation or cardioversion </w:t>
            </w:r>
            <w:r w:rsidRPr="00E84D1D">
              <w:rPr>
                <w:rFonts w:cs="Arial"/>
                <w:b/>
                <w:bCs/>
                <w:kern w:val="24"/>
                <w:szCs w:val="22"/>
              </w:rPr>
              <w:br/>
            </w:r>
            <w:r w:rsidRPr="00E84D1D">
              <w:rPr>
                <w:rFonts w:cs="Arial"/>
                <w:b/>
                <w:bCs/>
                <w:i/>
                <w:kern w:val="24"/>
                <w:szCs w:val="22"/>
              </w:rPr>
              <w:t>n</w:t>
            </w:r>
            <w:r w:rsidRPr="00E84D1D">
              <w:rPr>
                <w:rFonts w:cs="Arial"/>
                <w:b/>
                <w:bCs/>
                <w:kern w:val="24"/>
                <w:szCs w:val="22"/>
              </w:rPr>
              <w:t xml:space="preserve"> = 626</w:t>
            </w:r>
          </w:p>
        </w:tc>
      </w:tr>
      <w:tr w:rsidR="00436E0D" w:rsidRPr="00E84D1D" w14:paraId="0C0B6EC2" w14:textId="77777777" w:rsidTr="00E130D7">
        <w:trPr>
          <w:trHeight w:val="81"/>
          <w:jc w:val="left"/>
        </w:trPr>
        <w:tc>
          <w:tcPr>
            <w:tcW w:w="3208" w:type="dxa"/>
            <w:tcBorders>
              <w:top w:val="nil"/>
              <w:bottom w:val="single" w:sz="4" w:space="0" w:color="auto"/>
            </w:tcBorders>
          </w:tcPr>
          <w:p w14:paraId="35E0B5E4" w14:textId="77777777" w:rsidR="00436E0D" w:rsidRPr="00E84D1D" w:rsidRDefault="00436E0D" w:rsidP="00140127">
            <w:pPr>
              <w:spacing w:line="480" w:lineRule="auto"/>
              <w:rPr>
                <w:rFonts w:cs="Arial"/>
                <w:szCs w:val="22"/>
              </w:rPr>
            </w:pPr>
          </w:p>
        </w:tc>
        <w:tc>
          <w:tcPr>
            <w:tcW w:w="3670" w:type="dxa"/>
            <w:gridSpan w:val="2"/>
            <w:tcBorders>
              <w:top w:val="single" w:sz="4" w:space="0" w:color="auto"/>
              <w:bottom w:val="single" w:sz="4" w:space="0" w:color="auto"/>
            </w:tcBorders>
          </w:tcPr>
          <w:p w14:paraId="33CDE3B3" w14:textId="75EA62DF" w:rsidR="00436E0D" w:rsidRDefault="00436E0D" w:rsidP="00E130D7">
            <w:pPr>
              <w:spacing w:line="480" w:lineRule="auto"/>
              <w:rPr>
                <w:rFonts w:eastAsiaTheme="minorEastAsia" w:cs="Arial"/>
                <w:bCs/>
                <w:kern w:val="24"/>
                <w:szCs w:val="22"/>
              </w:rPr>
            </w:pPr>
            <w:r>
              <w:rPr>
                <w:rFonts w:eastAsiaTheme="minorEastAsia" w:cs="Arial"/>
                <w:bCs/>
                <w:kern w:val="24"/>
                <w:szCs w:val="22"/>
              </w:rPr>
              <w:t>Rivaroxaban on day of procedure</w:t>
            </w:r>
          </w:p>
        </w:tc>
        <w:tc>
          <w:tcPr>
            <w:tcW w:w="3670" w:type="dxa"/>
            <w:gridSpan w:val="2"/>
            <w:tcBorders>
              <w:top w:val="single" w:sz="4" w:space="0" w:color="auto"/>
              <w:bottom w:val="single" w:sz="4" w:space="0" w:color="auto"/>
            </w:tcBorders>
          </w:tcPr>
          <w:p w14:paraId="64DF7E85" w14:textId="75C31B35" w:rsidR="00436E0D" w:rsidRDefault="00436E0D" w:rsidP="00E130D7">
            <w:pPr>
              <w:spacing w:line="480" w:lineRule="auto"/>
              <w:rPr>
                <w:rFonts w:eastAsiaTheme="minorEastAsia" w:cs="Arial"/>
                <w:bCs/>
                <w:kern w:val="24"/>
                <w:szCs w:val="22"/>
              </w:rPr>
            </w:pPr>
            <w:r>
              <w:rPr>
                <w:rFonts w:eastAsiaTheme="minorEastAsia" w:cs="Arial"/>
                <w:bCs/>
                <w:kern w:val="24"/>
                <w:szCs w:val="22"/>
              </w:rPr>
              <w:t>Rivaroxaban on day of procedure</w:t>
            </w:r>
          </w:p>
        </w:tc>
        <w:tc>
          <w:tcPr>
            <w:tcW w:w="3670" w:type="dxa"/>
            <w:gridSpan w:val="2"/>
            <w:tcBorders>
              <w:top w:val="single" w:sz="4" w:space="0" w:color="auto"/>
              <w:bottom w:val="single" w:sz="4" w:space="0" w:color="auto"/>
            </w:tcBorders>
          </w:tcPr>
          <w:p w14:paraId="0AC393D8" w14:textId="58F7AD6C" w:rsidR="00436E0D" w:rsidRDefault="00436E0D" w:rsidP="00E130D7">
            <w:pPr>
              <w:spacing w:line="480" w:lineRule="auto"/>
              <w:rPr>
                <w:rFonts w:eastAsiaTheme="minorEastAsia" w:cs="Arial"/>
                <w:bCs/>
                <w:kern w:val="24"/>
                <w:szCs w:val="22"/>
              </w:rPr>
            </w:pPr>
            <w:r>
              <w:rPr>
                <w:rFonts w:eastAsiaTheme="minorEastAsia" w:cs="Arial"/>
                <w:bCs/>
                <w:kern w:val="24"/>
                <w:szCs w:val="22"/>
              </w:rPr>
              <w:t>Rivaroxaban on day of procedure</w:t>
            </w:r>
          </w:p>
        </w:tc>
      </w:tr>
      <w:tr w:rsidR="006163A3" w:rsidRPr="00E84D1D" w14:paraId="5FA19E53" w14:textId="77777777" w:rsidTr="00092FB7">
        <w:trPr>
          <w:trHeight w:val="30"/>
          <w:jc w:val="left"/>
        </w:trPr>
        <w:tc>
          <w:tcPr>
            <w:tcW w:w="3208" w:type="dxa"/>
            <w:tcBorders>
              <w:top w:val="nil"/>
              <w:bottom w:val="single" w:sz="4" w:space="0" w:color="auto"/>
            </w:tcBorders>
          </w:tcPr>
          <w:p w14:paraId="5A7B99DC" w14:textId="77777777" w:rsidR="006163A3" w:rsidRPr="00E84D1D" w:rsidRDefault="006163A3" w:rsidP="00140127">
            <w:pPr>
              <w:spacing w:line="480" w:lineRule="auto"/>
              <w:rPr>
                <w:rFonts w:cs="Arial"/>
                <w:szCs w:val="22"/>
              </w:rPr>
            </w:pPr>
          </w:p>
        </w:tc>
        <w:tc>
          <w:tcPr>
            <w:tcW w:w="1835" w:type="dxa"/>
            <w:tcBorders>
              <w:top w:val="single" w:sz="4" w:space="0" w:color="auto"/>
              <w:bottom w:val="single" w:sz="4" w:space="0" w:color="auto"/>
            </w:tcBorders>
          </w:tcPr>
          <w:p w14:paraId="30C4FB1A" w14:textId="77777777" w:rsidR="006163A3" w:rsidRDefault="00436E0D" w:rsidP="00140127">
            <w:pPr>
              <w:spacing w:line="480" w:lineRule="auto"/>
              <w:rPr>
                <w:rFonts w:eastAsiaTheme="minorEastAsia" w:cs="Arial"/>
                <w:bCs/>
                <w:kern w:val="24"/>
                <w:szCs w:val="22"/>
              </w:rPr>
            </w:pPr>
            <w:r>
              <w:rPr>
                <w:rFonts w:eastAsiaTheme="minorEastAsia" w:cs="Arial"/>
                <w:bCs/>
                <w:kern w:val="24"/>
                <w:szCs w:val="22"/>
              </w:rPr>
              <w:t>Yes</w:t>
            </w:r>
          </w:p>
          <w:p w14:paraId="52CA74D9" w14:textId="21DE21B3" w:rsidR="00436E0D" w:rsidRPr="00E130D7" w:rsidRDefault="00436E0D" w:rsidP="00140127">
            <w:pPr>
              <w:spacing w:line="480" w:lineRule="auto"/>
              <w:rPr>
                <w:rFonts w:eastAsiaTheme="minorEastAsia" w:cs="Arial"/>
                <w:bCs/>
                <w:kern w:val="24"/>
                <w:szCs w:val="22"/>
              </w:rPr>
            </w:pPr>
            <w:r>
              <w:rPr>
                <w:rFonts w:eastAsiaTheme="minorEastAsia" w:cs="Arial"/>
                <w:bCs/>
                <w:kern w:val="24"/>
                <w:szCs w:val="22"/>
              </w:rPr>
              <w:t>(</w:t>
            </w:r>
            <w:r w:rsidRPr="00E130D7">
              <w:rPr>
                <w:rFonts w:eastAsiaTheme="minorEastAsia" w:cs="Arial"/>
                <w:bCs/>
                <w:i/>
                <w:kern w:val="24"/>
                <w:szCs w:val="22"/>
              </w:rPr>
              <w:t xml:space="preserve">n </w:t>
            </w:r>
            <w:r>
              <w:rPr>
                <w:rFonts w:eastAsiaTheme="minorEastAsia" w:cs="Arial"/>
                <w:bCs/>
                <w:kern w:val="24"/>
                <w:szCs w:val="22"/>
              </w:rPr>
              <w:t>= 102)</w:t>
            </w:r>
          </w:p>
        </w:tc>
        <w:tc>
          <w:tcPr>
            <w:tcW w:w="1835" w:type="dxa"/>
            <w:tcBorders>
              <w:top w:val="single" w:sz="4" w:space="0" w:color="auto"/>
              <w:bottom w:val="single" w:sz="4" w:space="0" w:color="auto"/>
            </w:tcBorders>
          </w:tcPr>
          <w:p w14:paraId="61BF8274" w14:textId="77777777" w:rsidR="006163A3" w:rsidRDefault="006163A3" w:rsidP="00436E0D">
            <w:pPr>
              <w:spacing w:line="480" w:lineRule="auto"/>
              <w:rPr>
                <w:rFonts w:eastAsiaTheme="minorEastAsia" w:cs="Arial"/>
                <w:bCs/>
                <w:kern w:val="24"/>
                <w:szCs w:val="22"/>
              </w:rPr>
            </w:pPr>
            <w:r>
              <w:rPr>
                <w:rFonts w:eastAsiaTheme="minorEastAsia" w:cs="Arial"/>
                <w:bCs/>
                <w:kern w:val="24"/>
                <w:szCs w:val="22"/>
              </w:rPr>
              <w:t xml:space="preserve">No </w:t>
            </w:r>
          </w:p>
          <w:p w14:paraId="3BF18033" w14:textId="2D51C6BE" w:rsidR="00436E0D" w:rsidRPr="00E130D7" w:rsidRDefault="00436E0D" w:rsidP="00436E0D">
            <w:pPr>
              <w:spacing w:line="480" w:lineRule="auto"/>
              <w:rPr>
                <w:rFonts w:eastAsiaTheme="minorEastAsia"/>
              </w:rPr>
            </w:pPr>
            <w:r>
              <w:rPr>
                <w:rFonts w:eastAsiaTheme="minorEastAsia" w:cs="Arial"/>
                <w:bCs/>
                <w:kern w:val="24"/>
                <w:szCs w:val="22"/>
              </w:rPr>
              <w:t>(</w:t>
            </w:r>
            <w:r>
              <w:rPr>
                <w:rFonts w:eastAsiaTheme="minorEastAsia" w:cs="Arial"/>
                <w:bCs/>
                <w:i/>
                <w:kern w:val="24"/>
                <w:szCs w:val="22"/>
              </w:rPr>
              <w:t xml:space="preserve">n </w:t>
            </w:r>
            <w:r w:rsidRPr="00E130D7">
              <w:rPr>
                <w:rFonts w:eastAsiaTheme="minorEastAsia"/>
              </w:rPr>
              <w:t>=</w:t>
            </w:r>
            <w:r>
              <w:rPr>
                <w:rFonts w:eastAsiaTheme="minorEastAsia"/>
                <w:i/>
              </w:rPr>
              <w:t xml:space="preserve"> </w:t>
            </w:r>
            <w:r>
              <w:rPr>
                <w:rFonts w:eastAsiaTheme="minorEastAsia"/>
              </w:rPr>
              <w:t>71)</w:t>
            </w:r>
          </w:p>
        </w:tc>
        <w:tc>
          <w:tcPr>
            <w:tcW w:w="1835" w:type="dxa"/>
            <w:tcBorders>
              <w:top w:val="single" w:sz="4" w:space="0" w:color="auto"/>
              <w:bottom w:val="single" w:sz="4" w:space="0" w:color="auto"/>
            </w:tcBorders>
          </w:tcPr>
          <w:p w14:paraId="35422DAF" w14:textId="77777777" w:rsidR="006163A3" w:rsidRDefault="00436E0D" w:rsidP="00140127">
            <w:pPr>
              <w:spacing w:line="480" w:lineRule="auto"/>
              <w:rPr>
                <w:rFonts w:eastAsiaTheme="minorEastAsia" w:cs="Arial"/>
                <w:bCs/>
                <w:kern w:val="24"/>
                <w:szCs w:val="22"/>
              </w:rPr>
            </w:pPr>
            <w:r>
              <w:rPr>
                <w:rFonts w:eastAsiaTheme="minorEastAsia" w:cs="Arial"/>
                <w:bCs/>
                <w:kern w:val="24"/>
                <w:szCs w:val="22"/>
              </w:rPr>
              <w:t>Yes</w:t>
            </w:r>
          </w:p>
          <w:p w14:paraId="3ACFF66D" w14:textId="28FBF403" w:rsidR="00436E0D" w:rsidRPr="00436E0D" w:rsidRDefault="00436E0D" w:rsidP="00140127">
            <w:pPr>
              <w:spacing w:line="480" w:lineRule="auto"/>
              <w:rPr>
                <w:rFonts w:eastAsiaTheme="minorEastAsia" w:cs="Arial"/>
                <w:b/>
                <w:bCs/>
                <w:kern w:val="24"/>
                <w:szCs w:val="22"/>
              </w:rPr>
            </w:pPr>
            <w:r>
              <w:rPr>
                <w:rFonts w:eastAsiaTheme="minorEastAsia" w:cs="Arial"/>
                <w:bCs/>
                <w:kern w:val="24"/>
                <w:szCs w:val="22"/>
              </w:rPr>
              <w:t>(</w:t>
            </w:r>
            <w:r>
              <w:rPr>
                <w:rFonts w:eastAsiaTheme="minorEastAsia" w:cs="Arial"/>
                <w:bCs/>
                <w:i/>
                <w:kern w:val="24"/>
                <w:szCs w:val="22"/>
              </w:rPr>
              <w:t>n</w:t>
            </w:r>
            <w:r>
              <w:rPr>
                <w:rFonts w:eastAsiaTheme="minorEastAsia" w:cs="Arial"/>
                <w:bCs/>
                <w:kern w:val="24"/>
                <w:szCs w:val="22"/>
              </w:rPr>
              <w:t xml:space="preserve"> = 301)</w:t>
            </w:r>
          </w:p>
        </w:tc>
        <w:tc>
          <w:tcPr>
            <w:tcW w:w="1835" w:type="dxa"/>
            <w:tcBorders>
              <w:top w:val="single" w:sz="4" w:space="0" w:color="auto"/>
              <w:bottom w:val="single" w:sz="4" w:space="0" w:color="auto"/>
            </w:tcBorders>
          </w:tcPr>
          <w:p w14:paraId="64CCCFA9" w14:textId="77777777" w:rsidR="006163A3" w:rsidRDefault="00436E0D" w:rsidP="00436E0D">
            <w:pPr>
              <w:spacing w:line="480" w:lineRule="auto"/>
              <w:rPr>
                <w:rFonts w:eastAsiaTheme="minorEastAsia" w:cs="Arial"/>
                <w:bCs/>
                <w:kern w:val="24"/>
                <w:szCs w:val="22"/>
              </w:rPr>
            </w:pPr>
            <w:r>
              <w:rPr>
                <w:rFonts w:eastAsiaTheme="minorEastAsia" w:cs="Arial"/>
                <w:bCs/>
                <w:kern w:val="24"/>
                <w:szCs w:val="22"/>
              </w:rPr>
              <w:t>No</w:t>
            </w:r>
          </w:p>
          <w:p w14:paraId="572D7B87" w14:textId="2306313B" w:rsidR="00436E0D" w:rsidRPr="00436E0D" w:rsidRDefault="00436E0D" w:rsidP="00436E0D">
            <w:pPr>
              <w:spacing w:line="480" w:lineRule="auto"/>
              <w:rPr>
                <w:rFonts w:cs="Arial"/>
                <w:b/>
                <w:bCs/>
                <w:kern w:val="24"/>
                <w:szCs w:val="22"/>
              </w:rPr>
            </w:pPr>
            <w:r>
              <w:rPr>
                <w:rFonts w:eastAsiaTheme="minorEastAsia" w:cs="Arial"/>
                <w:bCs/>
                <w:kern w:val="24"/>
                <w:szCs w:val="22"/>
              </w:rPr>
              <w:t>(</w:t>
            </w:r>
            <w:r>
              <w:rPr>
                <w:rFonts w:eastAsiaTheme="minorEastAsia" w:cs="Arial"/>
                <w:bCs/>
                <w:i/>
                <w:kern w:val="24"/>
                <w:szCs w:val="22"/>
              </w:rPr>
              <w:t>n</w:t>
            </w:r>
            <w:r>
              <w:rPr>
                <w:rFonts w:eastAsiaTheme="minorEastAsia" w:cs="Arial"/>
                <w:bCs/>
                <w:kern w:val="24"/>
                <w:szCs w:val="22"/>
              </w:rPr>
              <w:t xml:space="preserve"> = 201)</w:t>
            </w:r>
          </w:p>
        </w:tc>
        <w:tc>
          <w:tcPr>
            <w:tcW w:w="1835" w:type="dxa"/>
            <w:tcBorders>
              <w:top w:val="single" w:sz="4" w:space="0" w:color="auto"/>
              <w:bottom w:val="single" w:sz="4" w:space="0" w:color="auto"/>
            </w:tcBorders>
          </w:tcPr>
          <w:p w14:paraId="3F9B621A" w14:textId="77777777" w:rsidR="006163A3" w:rsidRDefault="00436E0D" w:rsidP="00140127">
            <w:pPr>
              <w:spacing w:line="480" w:lineRule="auto"/>
              <w:rPr>
                <w:rFonts w:eastAsiaTheme="minorEastAsia" w:cs="Arial"/>
                <w:bCs/>
                <w:kern w:val="24"/>
                <w:szCs w:val="22"/>
              </w:rPr>
            </w:pPr>
            <w:r>
              <w:rPr>
                <w:rFonts w:eastAsiaTheme="minorEastAsia" w:cs="Arial"/>
                <w:bCs/>
                <w:kern w:val="24"/>
                <w:szCs w:val="22"/>
              </w:rPr>
              <w:t>Yes</w:t>
            </w:r>
          </w:p>
          <w:p w14:paraId="06E8D246" w14:textId="127996BB" w:rsidR="00436E0D" w:rsidRPr="00E130D7" w:rsidRDefault="00436E0D" w:rsidP="00140127">
            <w:pPr>
              <w:spacing w:line="480" w:lineRule="auto"/>
            </w:pPr>
            <w:r>
              <w:rPr>
                <w:rFonts w:eastAsiaTheme="minorEastAsia" w:cs="Arial"/>
                <w:bCs/>
                <w:kern w:val="24"/>
                <w:szCs w:val="22"/>
              </w:rPr>
              <w:t>(</w:t>
            </w:r>
            <w:r>
              <w:rPr>
                <w:rFonts w:eastAsiaTheme="minorEastAsia" w:cs="Arial"/>
                <w:bCs/>
                <w:i/>
                <w:kern w:val="24"/>
                <w:szCs w:val="22"/>
              </w:rPr>
              <w:t>n</w:t>
            </w:r>
            <w:r>
              <w:rPr>
                <w:rFonts w:eastAsiaTheme="minorEastAsia"/>
              </w:rPr>
              <w:t>= 371)</w:t>
            </w:r>
          </w:p>
        </w:tc>
        <w:tc>
          <w:tcPr>
            <w:tcW w:w="1835" w:type="dxa"/>
            <w:tcBorders>
              <w:top w:val="single" w:sz="4" w:space="0" w:color="auto"/>
              <w:bottom w:val="single" w:sz="4" w:space="0" w:color="auto"/>
            </w:tcBorders>
          </w:tcPr>
          <w:p w14:paraId="5D983D1A" w14:textId="77777777" w:rsidR="006163A3" w:rsidRDefault="006163A3" w:rsidP="00436E0D">
            <w:pPr>
              <w:spacing w:line="480" w:lineRule="auto"/>
              <w:rPr>
                <w:rFonts w:eastAsiaTheme="minorEastAsia" w:cs="Arial"/>
                <w:bCs/>
                <w:kern w:val="24"/>
                <w:szCs w:val="22"/>
              </w:rPr>
            </w:pPr>
            <w:r>
              <w:rPr>
                <w:rFonts w:eastAsiaTheme="minorEastAsia" w:cs="Arial"/>
                <w:bCs/>
                <w:kern w:val="24"/>
                <w:szCs w:val="22"/>
              </w:rPr>
              <w:t xml:space="preserve">No </w:t>
            </w:r>
          </w:p>
          <w:p w14:paraId="2CD76DF2" w14:textId="3944BA77" w:rsidR="00436E0D" w:rsidRPr="00436E0D" w:rsidRDefault="00436E0D" w:rsidP="00436E0D">
            <w:pPr>
              <w:spacing w:line="480" w:lineRule="auto"/>
              <w:rPr>
                <w:rFonts w:cs="Arial"/>
                <w:b/>
                <w:bCs/>
                <w:kern w:val="24"/>
                <w:szCs w:val="22"/>
              </w:rPr>
            </w:pPr>
            <w:r>
              <w:rPr>
                <w:rFonts w:eastAsiaTheme="minorEastAsia" w:cs="Arial"/>
                <w:bCs/>
                <w:kern w:val="24"/>
                <w:szCs w:val="22"/>
              </w:rPr>
              <w:t>(</w:t>
            </w:r>
            <w:r>
              <w:rPr>
                <w:rFonts w:eastAsiaTheme="minorEastAsia" w:cs="Arial"/>
                <w:bCs/>
                <w:i/>
                <w:kern w:val="24"/>
                <w:szCs w:val="22"/>
              </w:rPr>
              <w:t>n</w:t>
            </w:r>
            <w:r>
              <w:rPr>
                <w:rFonts w:eastAsiaTheme="minorEastAsia" w:cs="Arial"/>
                <w:bCs/>
                <w:kern w:val="24"/>
                <w:szCs w:val="22"/>
              </w:rPr>
              <w:t xml:space="preserve"> = 255)</w:t>
            </w:r>
          </w:p>
        </w:tc>
      </w:tr>
      <w:tr w:rsidR="006163A3" w:rsidRPr="00E84D1D" w14:paraId="7C8E85D4" w14:textId="67A22B5F" w:rsidTr="00092FB7">
        <w:trPr>
          <w:trHeight w:val="20"/>
          <w:jc w:val="left"/>
        </w:trPr>
        <w:tc>
          <w:tcPr>
            <w:tcW w:w="3208" w:type="dxa"/>
            <w:tcBorders>
              <w:top w:val="single" w:sz="4" w:space="0" w:color="auto"/>
            </w:tcBorders>
            <w:hideMark/>
          </w:tcPr>
          <w:p w14:paraId="5E20C6EC" w14:textId="77777777" w:rsidR="006163A3" w:rsidRPr="00E84D1D" w:rsidRDefault="006163A3" w:rsidP="00140127">
            <w:pPr>
              <w:spacing w:line="480" w:lineRule="auto"/>
              <w:rPr>
                <w:rFonts w:cs="Arial"/>
                <w:szCs w:val="22"/>
              </w:rPr>
            </w:pPr>
            <w:r w:rsidRPr="00E84D1D">
              <w:rPr>
                <w:rFonts w:cs="Arial"/>
                <w:color w:val="000000"/>
                <w:kern w:val="24"/>
                <w:szCs w:val="22"/>
              </w:rPr>
              <w:t>Major bleeding</w:t>
            </w:r>
            <w:r w:rsidRPr="00E84D1D">
              <w:rPr>
                <w:rFonts w:cs="Arial"/>
                <w:color w:val="000000"/>
                <w:kern w:val="24"/>
                <w:szCs w:val="22"/>
                <w:vertAlign w:val="superscript"/>
              </w:rPr>
              <w:t>a</w:t>
            </w:r>
          </w:p>
        </w:tc>
        <w:tc>
          <w:tcPr>
            <w:tcW w:w="1835" w:type="dxa"/>
            <w:tcBorders>
              <w:top w:val="single" w:sz="4" w:space="0" w:color="auto"/>
            </w:tcBorders>
            <w:hideMark/>
          </w:tcPr>
          <w:p w14:paraId="2A7C3F93" w14:textId="6A07A672" w:rsidR="006163A3" w:rsidRPr="00E84D1D" w:rsidRDefault="00AC6F9A" w:rsidP="00140127">
            <w:pPr>
              <w:spacing w:line="480" w:lineRule="auto"/>
              <w:rPr>
                <w:rFonts w:cs="Arial"/>
                <w:szCs w:val="22"/>
              </w:rPr>
            </w:pPr>
            <w:r>
              <w:rPr>
                <w:rFonts w:cs="Arial"/>
                <w:kern w:val="24"/>
                <w:szCs w:val="22"/>
              </w:rPr>
              <w:t>1 (1.0</w:t>
            </w:r>
            <w:r w:rsidR="006163A3" w:rsidRPr="00E84D1D">
              <w:rPr>
                <w:rFonts w:cs="Arial"/>
                <w:kern w:val="24"/>
                <w:szCs w:val="22"/>
              </w:rPr>
              <w:t>)</w:t>
            </w:r>
          </w:p>
        </w:tc>
        <w:tc>
          <w:tcPr>
            <w:tcW w:w="1835" w:type="dxa"/>
            <w:tcBorders>
              <w:top w:val="single" w:sz="4" w:space="0" w:color="auto"/>
            </w:tcBorders>
          </w:tcPr>
          <w:p w14:paraId="7521D4D7" w14:textId="428946C5" w:rsidR="006163A3" w:rsidRPr="00E84D1D" w:rsidRDefault="00AC6F9A" w:rsidP="00140127">
            <w:pPr>
              <w:spacing w:line="480" w:lineRule="auto"/>
              <w:rPr>
                <w:rFonts w:cs="Arial"/>
                <w:kern w:val="24"/>
                <w:szCs w:val="22"/>
              </w:rPr>
            </w:pPr>
            <w:r>
              <w:rPr>
                <w:rFonts w:cs="Arial"/>
                <w:kern w:val="24"/>
                <w:szCs w:val="22"/>
              </w:rPr>
              <w:t>4 (5.6)</w:t>
            </w:r>
          </w:p>
        </w:tc>
        <w:tc>
          <w:tcPr>
            <w:tcW w:w="1835" w:type="dxa"/>
            <w:tcBorders>
              <w:top w:val="single" w:sz="4" w:space="0" w:color="auto"/>
            </w:tcBorders>
          </w:tcPr>
          <w:p w14:paraId="7B9FBD32" w14:textId="0624FFA0" w:rsidR="006163A3" w:rsidRPr="00E84D1D" w:rsidRDefault="00AC6F9A" w:rsidP="00140127">
            <w:pPr>
              <w:spacing w:line="480" w:lineRule="auto"/>
              <w:rPr>
                <w:rFonts w:cs="Arial"/>
                <w:szCs w:val="22"/>
              </w:rPr>
            </w:pPr>
            <w:r>
              <w:rPr>
                <w:rFonts w:cs="Arial"/>
                <w:kern w:val="24"/>
                <w:szCs w:val="22"/>
              </w:rPr>
              <w:t>2 (0.7</w:t>
            </w:r>
            <w:r w:rsidR="006163A3" w:rsidRPr="00E84D1D">
              <w:rPr>
                <w:rFonts w:cs="Arial"/>
                <w:kern w:val="24"/>
                <w:szCs w:val="22"/>
              </w:rPr>
              <w:t>)</w:t>
            </w:r>
          </w:p>
        </w:tc>
        <w:tc>
          <w:tcPr>
            <w:tcW w:w="1835" w:type="dxa"/>
            <w:tcBorders>
              <w:top w:val="single" w:sz="4" w:space="0" w:color="auto"/>
            </w:tcBorders>
          </w:tcPr>
          <w:p w14:paraId="21C64295" w14:textId="546F4FA0" w:rsidR="006163A3" w:rsidRPr="00E84D1D" w:rsidRDefault="00AC6F9A" w:rsidP="00140127">
            <w:pPr>
              <w:spacing w:line="480" w:lineRule="auto"/>
              <w:rPr>
                <w:rFonts w:cs="Arial"/>
                <w:kern w:val="24"/>
                <w:szCs w:val="22"/>
              </w:rPr>
            </w:pPr>
            <w:r>
              <w:rPr>
                <w:rFonts w:cs="Arial"/>
                <w:kern w:val="24"/>
                <w:szCs w:val="22"/>
              </w:rPr>
              <w:t>0</w:t>
            </w:r>
          </w:p>
        </w:tc>
        <w:tc>
          <w:tcPr>
            <w:tcW w:w="1835" w:type="dxa"/>
            <w:tcBorders>
              <w:top w:val="single" w:sz="4" w:space="0" w:color="auto"/>
            </w:tcBorders>
            <w:hideMark/>
          </w:tcPr>
          <w:p w14:paraId="3A2A1C5A" w14:textId="6F600BF8" w:rsidR="006163A3" w:rsidRPr="00E84D1D" w:rsidRDefault="00AC6F9A" w:rsidP="00140127">
            <w:pPr>
              <w:spacing w:line="480" w:lineRule="auto"/>
              <w:rPr>
                <w:rFonts w:cs="Arial"/>
                <w:szCs w:val="22"/>
              </w:rPr>
            </w:pPr>
            <w:r>
              <w:rPr>
                <w:rFonts w:cs="Arial"/>
                <w:kern w:val="24"/>
                <w:szCs w:val="22"/>
              </w:rPr>
              <w:t>3 (0.8)</w:t>
            </w:r>
          </w:p>
        </w:tc>
        <w:tc>
          <w:tcPr>
            <w:tcW w:w="1835" w:type="dxa"/>
            <w:tcBorders>
              <w:top w:val="single" w:sz="4" w:space="0" w:color="auto"/>
            </w:tcBorders>
          </w:tcPr>
          <w:p w14:paraId="5366DB1D" w14:textId="52B822A0" w:rsidR="006163A3" w:rsidRPr="00E84D1D" w:rsidRDefault="00AC6F9A" w:rsidP="00140127">
            <w:pPr>
              <w:spacing w:line="480" w:lineRule="auto"/>
              <w:rPr>
                <w:rFonts w:cs="Arial"/>
                <w:kern w:val="24"/>
                <w:szCs w:val="22"/>
              </w:rPr>
            </w:pPr>
            <w:r>
              <w:rPr>
                <w:rFonts w:cs="Arial"/>
                <w:kern w:val="24"/>
                <w:szCs w:val="22"/>
              </w:rPr>
              <w:t>4 (1.6)</w:t>
            </w:r>
          </w:p>
        </w:tc>
      </w:tr>
      <w:tr w:rsidR="006163A3" w:rsidRPr="00E84D1D" w14:paraId="4C4B6204" w14:textId="2BF0CE30" w:rsidTr="00092FB7">
        <w:trPr>
          <w:trHeight w:val="20"/>
          <w:jc w:val="left"/>
        </w:trPr>
        <w:tc>
          <w:tcPr>
            <w:tcW w:w="3208" w:type="dxa"/>
            <w:hideMark/>
          </w:tcPr>
          <w:p w14:paraId="02B10DC1" w14:textId="77777777" w:rsidR="006163A3" w:rsidRPr="00E84D1D" w:rsidRDefault="006163A3" w:rsidP="00140127">
            <w:pPr>
              <w:spacing w:line="480" w:lineRule="auto"/>
              <w:rPr>
                <w:rFonts w:cs="Arial"/>
                <w:szCs w:val="22"/>
              </w:rPr>
            </w:pPr>
            <w:r w:rsidRPr="00E84D1D">
              <w:rPr>
                <w:rFonts w:cs="Arial"/>
                <w:color w:val="000000"/>
                <w:kern w:val="24"/>
                <w:szCs w:val="22"/>
              </w:rPr>
              <w:t>Cardiovascular death</w:t>
            </w:r>
          </w:p>
        </w:tc>
        <w:tc>
          <w:tcPr>
            <w:tcW w:w="1835" w:type="dxa"/>
            <w:hideMark/>
          </w:tcPr>
          <w:p w14:paraId="5D6962A1" w14:textId="77777777" w:rsidR="006163A3" w:rsidRPr="00E84D1D" w:rsidRDefault="006163A3" w:rsidP="00140127">
            <w:pPr>
              <w:tabs>
                <w:tab w:val="decimal" w:pos="7"/>
              </w:tabs>
              <w:spacing w:line="480" w:lineRule="auto"/>
              <w:rPr>
                <w:rFonts w:cs="Arial"/>
                <w:szCs w:val="22"/>
              </w:rPr>
            </w:pPr>
            <w:r w:rsidRPr="00E84D1D">
              <w:rPr>
                <w:rFonts w:cs="Arial"/>
                <w:kern w:val="24"/>
                <w:szCs w:val="22"/>
              </w:rPr>
              <w:t>0</w:t>
            </w:r>
          </w:p>
        </w:tc>
        <w:tc>
          <w:tcPr>
            <w:tcW w:w="1835" w:type="dxa"/>
          </w:tcPr>
          <w:p w14:paraId="4D96181F" w14:textId="7D1545CA" w:rsidR="006163A3" w:rsidRPr="00E84D1D" w:rsidRDefault="00AC6F9A" w:rsidP="00140127">
            <w:pPr>
              <w:tabs>
                <w:tab w:val="decimal" w:pos="0"/>
              </w:tabs>
              <w:spacing w:line="480" w:lineRule="auto"/>
              <w:rPr>
                <w:rFonts w:cs="Arial"/>
                <w:kern w:val="24"/>
                <w:szCs w:val="22"/>
              </w:rPr>
            </w:pPr>
            <w:r>
              <w:rPr>
                <w:rFonts w:cs="Arial"/>
                <w:kern w:val="24"/>
                <w:szCs w:val="22"/>
              </w:rPr>
              <w:t>0</w:t>
            </w:r>
          </w:p>
        </w:tc>
        <w:tc>
          <w:tcPr>
            <w:tcW w:w="1835" w:type="dxa"/>
          </w:tcPr>
          <w:p w14:paraId="2EF99934" w14:textId="2DEF3A23" w:rsidR="006163A3" w:rsidRPr="00E84D1D" w:rsidRDefault="006163A3" w:rsidP="00140127">
            <w:pPr>
              <w:tabs>
                <w:tab w:val="decimal" w:pos="0"/>
              </w:tabs>
              <w:spacing w:line="480" w:lineRule="auto"/>
              <w:rPr>
                <w:rFonts w:cs="Arial"/>
                <w:szCs w:val="22"/>
              </w:rPr>
            </w:pPr>
            <w:r w:rsidRPr="00E84D1D">
              <w:rPr>
                <w:rFonts w:cs="Arial"/>
                <w:kern w:val="24"/>
                <w:szCs w:val="22"/>
              </w:rPr>
              <w:t>0</w:t>
            </w:r>
          </w:p>
        </w:tc>
        <w:tc>
          <w:tcPr>
            <w:tcW w:w="1835" w:type="dxa"/>
          </w:tcPr>
          <w:p w14:paraId="4BA484F9" w14:textId="34234547" w:rsidR="006163A3" w:rsidRPr="00E84D1D" w:rsidRDefault="00AC6F9A" w:rsidP="00140127">
            <w:pPr>
              <w:tabs>
                <w:tab w:val="decimal" w:pos="0"/>
              </w:tabs>
              <w:spacing w:line="480" w:lineRule="auto"/>
              <w:rPr>
                <w:rFonts w:cs="Arial"/>
                <w:kern w:val="24"/>
                <w:szCs w:val="22"/>
              </w:rPr>
            </w:pPr>
            <w:r>
              <w:rPr>
                <w:rFonts w:cs="Arial"/>
                <w:kern w:val="24"/>
                <w:szCs w:val="22"/>
              </w:rPr>
              <w:t>0</w:t>
            </w:r>
          </w:p>
        </w:tc>
        <w:tc>
          <w:tcPr>
            <w:tcW w:w="1835" w:type="dxa"/>
            <w:hideMark/>
          </w:tcPr>
          <w:p w14:paraId="38771AC9" w14:textId="4DF503ED" w:rsidR="006163A3" w:rsidRPr="00E84D1D" w:rsidRDefault="006163A3" w:rsidP="00140127">
            <w:pPr>
              <w:tabs>
                <w:tab w:val="decimal" w:pos="0"/>
              </w:tabs>
              <w:spacing w:line="480" w:lineRule="auto"/>
              <w:rPr>
                <w:rFonts w:cs="Arial"/>
                <w:szCs w:val="22"/>
              </w:rPr>
            </w:pPr>
            <w:r w:rsidRPr="00E84D1D">
              <w:rPr>
                <w:rFonts w:cs="Arial"/>
                <w:kern w:val="24"/>
                <w:szCs w:val="22"/>
              </w:rPr>
              <w:t>0</w:t>
            </w:r>
          </w:p>
        </w:tc>
        <w:tc>
          <w:tcPr>
            <w:tcW w:w="1835" w:type="dxa"/>
          </w:tcPr>
          <w:p w14:paraId="5022DB6E" w14:textId="4825880A" w:rsidR="006163A3" w:rsidRPr="00E84D1D" w:rsidRDefault="00AC6F9A" w:rsidP="00140127">
            <w:pPr>
              <w:tabs>
                <w:tab w:val="decimal" w:pos="0"/>
              </w:tabs>
              <w:spacing w:line="480" w:lineRule="auto"/>
              <w:rPr>
                <w:rFonts w:cs="Arial"/>
                <w:kern w:val="24"/>
                <w:szCs w:val="22"/>
              </w:rPr>
            </w:pPr>
            <w:r>
              <w:rPr>
                <w:rFonts w:cs="Arial"/>
                <w:kern w:val="24"/>
                <w:szCs w:val="22"/>
              </w:rPr>
              <w:t>0</w:t>
            </w:r>
          </w:p>
        </w:tc>
      </w:tr>
      <w:tr w:rsidR="006163A3" w:rsidRPr="00E84D1D" w14:paraId="037F1404" w14:textId="6448FC8D" w:rsidTr="00092FB7">
        <w:trPr>
          <w:trHeight w:val="20"/>
          <w:jc w:val="left"/>
        </w:trPr>
        <w:tc>
          <w:tcPr>
            <w:tcW w:w="3208" w:type="dxa"/>
            <w:tcBorders>
              <w:bottom w:val="nil"/>
            </w:tcBorders>
            <w:hideMark/>
          </w:tcPr>
          <w:p w14:paraId="02FC1ADC" w14:textId="77777777" w:rsidR="006163A3" w:rsidRPr="00E84D1D" w:rsidRDefault="006163A3" w:rsidP="00140127">
            <w:pPr>
              <w:spacing w:line="480" w:lineRule="auto"/>
              <w:rPr>
                <w:rFonts w:cs="Arial"/>
                <w:color w:val="000000"/>
                <w:kern w:val="24"/>
                <w:szCs w:val="22"/>
              </w:rPr>
            </w:pPr>
            <w:r w:rsidRPr="00E84D1D">
              <w:rPr>
                <w:rFonts w:cs="Arial"/>
                <w:color w:val="000000"/>
                <w:kern w:val="24"/>
                <w:szCs w:val="22"/>
              </w:rPr>
              <w:t>All-cause death</w:t>
            </w:r>
          </w:p>
        </w:tc>
        <w:tc>
          <w:tcPr>
            <w:tcW w:w="1835" w:type="dxa"/>
            <w:tcBorders>
              <w:bottom w:val="nil"/>
            </w:tcBorders>
            <w:hideMark/>
          </w:tcPr>
          <w:p w14:paraId="1C9F1083" w14:textId="77777777" w:rsidR="006163A3" w:rsidRPr="00E84D1D" w:rsidRDefault="006163A3" w:rsidP="00140127">
            <w:pPr>
              <w:spacing w:line="480" w:lineRule="auto"/>
              <w:rPr>
                <w:rFonts w:cs="Arial"/>
                <w:color w:val="000000"/>
                <w:kern w:val="24"/>
                <w:szCs w:val="22"/>
              </w:rPr>
            </w:pPr>
            <w:r w:rsidRPr="00E84D1D">
              <w:rPr>
                <w:rFonts w:cs="Arial"/>
                <w:color w:val="000000"/>
                <w:kern w:val="24"/>
                <w:szCs w:val="22"/>
              </w:rPr>
              <w:t>0</w:t>
            </w:r>
          </w:p>
        </w:tc>
        <w:tc>
          <w:tcPr>
            <w:tcW w:w="1835" w:type="dxa"/>
            <w:tcBorders>
              <w:bottom w:val="nil"/>
            </w:tcBorders>
          </w:tcPr>
          <w:p w14:paraId="2C6F0B44" w14:textId="62E0B9E7" w:rsidR="006163A3" w:rsidRPr="00E84D1D" w:rsidRDefault="00AC6F9A" w:rsidP="00140127">
            <w:pPr>
              <w:spacing w:line="480" w:lineRule="auto"/>
              <w:rPr>
                <w:rFonts w:cs="Arial"/>
                <w:color w:val="000000"/>
                <w:kern w:val="24"/>
                <w:szCs w:val="22"/>
              </w:rPr>
            </w:pPr>
            <w:r>
              <w:rPr>
                <w:rFonts w:cs="Arial"/>
                <w:color w:val="000000"/>
                <w:kern w:val="24"/>
                <w:szCs w:val="22"/>
              </w:rPr>
              <w:t>0</w:t>
            </w:r>
          </w:p>
        </w:tc>
        <w:tc>
          <w:tcPr>
            <w:tcW w:w="1835" w:type="dxa"/>
            <w:tcBorders>
              <w:bottom w:val="nil"/>
            </w:tcBorders>
          </w:tcPr>
          <w:p w14:paraId="1D4939FA" w14:textId="12283B13" w:rsidR="006163A3" w:rsidRPr="00E84D1D" w:rsidRDefault="006163A3" w:rsidP="00140127">
            <w:pPr>
              <w:spacing w:line="480" w:lineRule="auto"/>
              <w:rPr>
                <w:rFonts w:cs="Arial"/>
                <w:color w:val="000000"/>
                <w:kern w:val="24"/>
                <w:szCs w:val="22"/>
              </w:rPr>
            </w:pPr>
            <w:r w:rsidRPr="00E84D1D">
              <w:rPr>
                <w:rFonts w:cs="Arial"/>
                <w:color w:val="000000"/>
                <w:kern w:val="24"/>
                <w:szCs w:val="22"/>
              </w:rPr>
              <w:t>0</w:t>
            </w:r>
          </w:p>
        </w:tc>
        <w:tc>
          <w:tcPr>
            <w:tcW w:w="1835" w:type="dxa"/>
            <w:tcBorders>
              <w:bottom w:val="nil"/>
            </w:tcBorders>
          </w:tcPr>
          <w:p w14:paraId="423611EA" w14:textId="6248BDB0" w:rsidR="006163A3" w:rsidRPr="00E84D1D" w:rsidRDefault="00AC6F9A" w:rsidP="00140127">
            <w:pPr>
              <w:spacing w:line="480" w:lineRule="auto"/>
              <w:rPr>
                <w:rFonts w:cs="Arial"/>
                <w:color w:val="000000"/>
                <w:kern w:val="24"/>
                <w:szCs w:val="22"/>
              </w:rPr>
            </w:pPr>
            <w:r>
              <w:rPr>
                <w:rFonts w:cs="Arial"/>
                <w:color w:val="000000"/>
                <w:kern w:val="24"/>
                <w:szCs w:val="22"/>
              </w:rPr>
              <w:t>0</w:t>
            </w:r>
          </w:p>
        </w:tc>
        <w:tc>
          <w:tcPr>
            <w:tcW w:w="1835" w:type="dxa"/>
            <w:tcBorders>
              <w:bottom w:val="nil"/>
            </w:tcBorders>
            <w:hideMark/>
          </w:tcPr>
          <w:p w14:paraId="1D41E1C5" w14:textId="018E1130" w:rsidR="006163A3" w:rsidRPr="00E84D1D" w:rsidRDefault="006163A3" w:rsidP="00140127">
            <w:pPr>
              <w:spacing w:line="480" w:lineRule="auto"/>
              <w:rPr>
                <w:rFonts w:cs="Arial"/>
                <w:color w:val="000000"/>
                <w:kern w:val="24"/>
                <w:szCs w:val="22"/>
              </w:rPr>
            </w:pPr>
            <w:r w:rsidRPr="00E84D1D">
              <w:rPr>
                <w:rFonts w:cs="Arial"/>
                <w:color w:val="000000"/>
                <w:kern w:val="24"/>
                <w:szCs w:val="22"/>
              </w:rPr>
              <w:t>0</w:t>
            </w:r>
          </w:p>
        </w:tc>
        <w:tc>
          <w:tcPr>
            <w:tcW w:w="1835" w:type="dxa"/>
            <w:tcBorders>
              <w:bottom w:val="nil"/>
            </w:tcBorders>
          </w:tcPr>
          <w:p w14:paraId="5F0D9526" w14:textId="1BA202EC" w:rsidR="006163A3" w:rsidRPr="00E84D1D" w:rsidRDefault="00AC6F9A" w:rsidP="00140127">
            <w:pPr>
              <w:spacing w:line="480" w:lineRule="auto"/>
              <w:rPr>
                <w:rFonts w:cs="Arial"/>
                <w:color w:val="000000"/>
                <w:kern w:val="24"/>
                <w:szCs w:val="22"/>
              </w:rPr>
            </w:pPr>
            <w:r>
              <w:rPr>
                <w:rFonts w:cs="Arial"/>
                <w:color w:val="000000"/>
                <w:kern w:val="24"/>
                <w:szCs w:val="22"/>
              </w:rPr>
              <w:t>0</w:t>
            </w:r>
          </w:p>
        </w:tc>
      </w:tr>
      <w:tr w:rsidR="006163A3" w:rsidRPr="00E84D1D" w14:paraId="7CD85BC3" w14:textId="271FAA2C" w:rsidTr="00092FB7">
        <w:trPr>
          <w:trHeight w:val="20"/>
          <w:jc w:val="left"/>
        </w:trPr>
        <w:tc>
          <w:tcPr>
            <w:tcW w:w="3208" w:type="dxa"/>
            <w:tcBorders>
              <w:top w:val="nil"/>
              <w:left w:val="nil"/>
              <w:right w:val="nil"/>
            </w:tcBorders>
            <w:hideMark/>
          </w:tcPr>
          <w:p w14:paraId="3D2FA1F0" w14:textId="77777777" w:rsidR="006163A3" w:rsidRPr="00E84D1D" w:rsidRDefault="006163A3" w:rsidP="00140127">
            <w:pPr>
              <w:spacing w:line="480" w:lineRule="auto"/>
              <w:rPr>
                <w:rFonts w:cs="Arial"/>
                <w:szCs w:val="22"/>
              </w:rPr>
            </w:pPr>
            <w:r w:rsidRPr="00E84D1D">
              <w:rPr>
                <w:rFonts w:cs="Arial"/>
                <w:bCs/>
                <w:color w:val="000000"/>
                <w:kern w:val="24"/>
                <w:szCs w:val="22"/>
              </w:rPr>
              <w:lastRenderedPageBreak/>
              <w:t>Symptomatic thromboembolic event</w:t>
            </w:r>
          </w:p>
        </w:tc>
        <w:tc>
          <w:tcPr>
            <w:tcW w:w="1835" w:type="dxa"/>
            <w:tcBorders>
              <w:top w:val="nil"/>
              <w:left w:val="nil"/>
              <w:bottom w:val="nil"/>
              <w:right w:val="nil"/>
            </w:tcBorders>
            <w:hideMark/>
          </w:tcPr>
          <w:p w14:paraId="67644EC6" w14:textId="4D5922B3" w:rsidR="006163A3" w:rsidRPr="00E84D1D" w:rsidRDefault="00AC6F9A" w:rsidP="00140127">
            <w:pPr>
              <w:spacing w:line="480" w:lineRule="auto"/>
              <w:rPr>
                <w:rFonts w:cs="Arial"/>
                <w:szCs w:val="22"/>
              </w:rPr>
            </w:pPr>
            <w:r>
              <w:rPr>
                <w:rFonts w:cs="Arial"/>
                <w:bCs/>
                <w:color w:val="000000"/>
                <w:kern w:val="24"/>
                <w:szCs w:val="22"/>
              </w:rPr>
              <w:t>2 (2.0)</w:t>
            </w:r>
          </w:p>
        </w:tc>
        <w:tc>
          <w:tcPr>
            <w:tcW w:w="1835" w:type="dxa"/>
            <w:tcBorders>
              <w:top w:val="nil"/>
              <w:left w:val="nil"/>
              <w:bottom w:val="nil"/>
              <w:right w:val="nil"/>
            </w:tcBorders>
          </w:tcPr>
          <w:p w14:paraId="6D3D39DA" w14:textId="6F951B3F" w:rsidR="006163A3" w:rsidRPr="00E84D1D" w:rsidRDefault="00AC6F9A" w:rsidP="00140127">
            <w:pPr>
              <w:spacing w:line="480" w:lineRule="auto"/>
              <w:rPr>
                <w:rFonts w:cs="Arial"/>
                <w:bCs/>
                <w:color w:val="000000"/>
                <w:kern w:val="24"/>
                <w:szCs w:val="22"/>
              </w:rPr>
            </w:pPr>
            <w:r>
              <w:rPr>
                <w:rFonts w:cs="Arial"/>
                <w:bCs/>
                <w:color w:val="000000"/>
                <w:kern w:val="24"/>
                <w:szCs w:val="22"/>
              </w:rPr>
              <w:t>0</w:t>
            </w:r>
          </w:p>
        </w:tc>
        <w:tc>
          <w:tcPr>
            <w:tcW w:w="1835" w:type="dxa"/>
            <w:tcBorders>
              <w:top w:val="nil"/>
              <w:left w:val="nil"/>
              <w:bottom w:val="nil"/>
              <w:right w:val="nil"/>
            </w:tcBorders>
          </w:tcPr>
          <w:p w14:paraId="0E2EF2ED" w14:textId="1A49318D" w:rsidR="006163A3" w:rsidRPr="00E84D1D" w:rsidRDefault="00283BB8" w:rsidP="00140127">
            <w:pPr>
              <w:spacing w:line="480" w:lineRule="auto"/>
              <w:rPr>
                <w:rFonts w:cs="Arial"/>
                <w:szCs w:val="22"/>
              </w:rPr>
            </w:pPr>
            <w:r>
              <w:rPr>
                <w:rFonts w:cs="Arial"/>
                <w:bCs/>
                <w:color w:val="000000"/>
                <w:kern w:val="24"/>
                <w:szCs w:val="22"/>
              </w:rPr>
              <w:t>1 (0.3</w:t>
            </w:r>
            <w:r w:rsidR="006163A3" w:rsidRPr="00E84D1D">
              <w:rPr>
                <w:rFonts w:cs="Arial"/>
                <w:bCs/>
                <w:color w:val="000000"/>
                <w:kern w:val="24"/>
                <w:szCs w:val="22"/>
              </w:rPr>
              <w:t>)</w:t>
            </w:r>
          </w:p>
        </w:tc>
        <w:tc>
          <w:tcPr>
            <w:tcW w:w="1835" w:type="dxa"/>
            <w:tcBorders>
              <w:top w:val="nil"/>
              <w:left w:val="nil"/>
              <w:bottom w:val="nil"/>
              <w:right w:val="nil"/>
            </w:tcBorders>
          </w:tcPr>
          <w:p w14:paraId="2D186B11" w14:textId="04FE9B72" w:rsidR="006163A3" w:rsidRPr="00E84D1D" w:rsidRDefault="00283BB8" w:rsidP="00140127">
            <w:pPr>
              <w:spacing w:line="480" w:lineRule="auto"/>
              <w:rPr>
                <w:rFonts w:cs="Arial"/>
                <w:bCs/>
                <w:color w:val="000000"/>
                <w:kern w:val="24"/>
                <w:szCs w:val="22"/>
              </w:rPr>
            </w:pPr>
            <w:r>
              <w:rPr>
                <w:rFonts w:cs="Arial"/>
                <w:bCs/>
                <w:color w:val="000000"/>
                <w:kern w:val="24"/>
                <w:szCs w:val="22"/>
              </w:rPr>
              <w:t>2 (1.0)</w:t>
            </w:r>
          </w:p>
        </w:tc>
        <w:tc>
          <w:tcPr>
            <w:tcW w:w="1835" w:type="dxa"/>
            <w:tcBorders>
              <w:top w:val="nil"/>
              <w:left w:val="nil"/>
              <w:bottom w:val="nil"/>
            </w:tcBorders>
            <w:hideMark/>
          </w:tcPr>
          <w:p w14:paraId="3A2A1E47" w14:textId="053E767A" w:rsidR="006163A3" w:rsidRPr="00E84D1D" w:rsidRDefault="00E660AA" w:rsidP="00140127">
            <w:pPr>
              <w:spacing w:line="480" w:lineRule="auto"/>
              <w:rPr>
                <w:rFonts w:cs="Arial"/>
                <w:szCs w:val="22"/>
              </w:rPr>
            </w:pPr>
            <w:r>
              <w:rPr>
                <w:rFonts w:cs="Arial"/>
                <w:bCs/>
                <w:color w:val="000000"/>
                <w:kern w:val="24"/>
                <w:szCs w:val="22"/>
              </w:rPr>
              <w:t>3</w:t>
            </w:r>
            <w:r w:rsidR="006163A3" w:rsidRPr="00E84D1D">
              <w:rPr>
                <w:rFonts w:cs="Arial"/>
                <w:bCs/>
                <w:color w:val="000000"/>
                <w:kern w:val="24"/>
                <w:szCs w:val="22"/>
              </w:rPr>
              <w:t xml:space="preserve"> (0.8)</w:t>
            </w:r>
          </w:p>
        </w:tc>
        <w:tc>
          <w:tcPr>
            <w:tcW w:w="1835" w:type="dxa"/>
            <w:tcBorders>
              <w:top w:val="nil"/>
              <w:left w:val="nil"/>
              <w:bottom w:val="nil"/>
            </w:tcBorders>
          </w:tcPr>
          <w:p w14:paraId="04D02BE3" w14:textId="4853D826" w:rsidR="006163A3" w:rsidRPr="00E84D1D" w:rsidRDefault="00E660AA" w:rsidP="00140127">
            <w:pPr>
              <w:spacing w:line="480" w:lineRule="auto"/>
              <w:rPr>
                <w:rFonts w:cs="Arial"/>
                <w:bCs/>
                <w:color w:val="000000"/>
                <w:kern w:val="24"/>
                <w:szCs w:val="22"/>
              </w:rPr>
            </w:pPr>
            <w:r>
              <w:rPr>
                <w:rFonts w:cs="Arial"/>
                <w:bCs/>
                <w:color w:val="000000"/>
                <w:kern w:val="24"/>
                <w:szCs w:val="22"/>
              </w:rPr>
              <w:t>2 (0.8)</w:t>
            </w:r>
          </w:p>
        </w:tc>
      </w:tr>
      <w:tr w:rsidR="006163A3" w:rsidRPr="00E84D1D" w14:paraId="06520903" w14:textId="41304508" w:rsidTr="00092FB7">
        <w:trPr>
          <w:trHeight w:val="20"/>
          <w:jc w:val="left"/>
        </w:trPr>
        <w:tc>
          <w:tcPr>
            <w:tcW w:w="3208" w:type="dxa"/>
            <w:tcBorders>
              <w:top w:val="nil"/>
              <w:left w:val="nil"/>
              <w:right w:val="nil"/>
            </w:tcBorders>
            <w:hideMark/>
          </w:tcPr>
          <w:p w14:paraId="13453D1B" w14:textId="77777777" w:rsidR="006163A3" w:rsidRPr="00E84D1D" w:rsidRDefault="006163A3" w:rsidP="00140127">
            <w:pPr>
              <w:spacing w:line="480" w:lineRule="auto"/>
              <w:ind w:left="292"/>
              <w:rPr>
                <w:rFonts w:cs="Arial"/>
                <w:szCs w:val="22"/>
              </w:rPr>
            </w:pPr>
            <w:r w:rsidRPr="00E84D1D">
              <w:rPr>
                <w:rFonts w:cs="Arial"/>
                <w:color w:val="000000"/>
                <w:kern w:val="24"/>
                <w:szCs w:val="22"/>
              </w:rPr>
              <w:t>Stroke</w:t>
            </w:r>
          </w:p>
        </w:tc>
        <w:tc>
          <w:tcPr>
            <w:tcW w:w="1835" w:type="dxa"/>
            <w:tcBorders>
              <w:top w:val="nil"/>
              <w:left w:val="nil"/>
              <w:bottom w:val="nil"/>
              <w:right w:val="nil"/>
            </w:tcBorders>
            <w:vAlign w:val="center"/>
            <w:hideMark/>
          </w:tcPr>
          <w:p w14:paraId="6245F29F" w14:textId="3BEFFAB4" w:rsidR="006163A3" w:rsidRPr="00E84D1D" w:rsidRDefault="00AC6F9A" w:rsidP="00140127">
            <w:pPr>
              <w:spacing w:line="480" w:lineRule="auto"/>
              <w:rPr>
                <w:rFonts w:cs="Arial"/>
                <w:szCs w:val="22"/>
              </w:rPr>
            </w:pPr>
            <w:r>
              <w:rPr>
                <w:rFonts w:cs="Arial"/>
                <w:color w:val="000000"/>
                <w:kern w:val="24"/>
                <w:szCs w:val="22"/>
              </w:rPr>
              <w:t>2 (2.0</w:t>
            </w:r>
            <w:r w:rsidR="006163A3" w:rsidRPr="00E84D1D">
              <w:rPr>
                <w:rFonts w:cs="Arial"/>
                <w:color w:val="000000"/>
                <w:kern w:val="24"/>
                <w:szCs w:val="22"/>
              </w:rPr>
              <w:t>)</w:t>
            </w:r>
          </w:p>
        </w:tc>
        <w:tc>
          <w:tcPr>
            <w:tcW w:w="1835" w:type="dxa"/>
            <w:tcBorders>
              <w:top w:val="nil"/>
              <w:left w:val="nil"/>
              <w:bottom w:val="nil"/>
              <w:right w:val="nil"/>
            </w:tcBorders>
            <w:vAlign w:val="center"/>
          </w:tcPr>
          <w:p w14:paraId="3FE5EA1E" w14:textId="3C5EE9B6" w:rsidR="006163A3" w:rsidRPr="00E84D1D" w:rsidRDefault="00AC6F9A" w:rsidP="00140127">
            <w:pPr>
              <w:tabs>
                <w:tab w:val="decimal" w:pos="0"/>
              </w:tabs>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nil"/>
              <w:right w:val="nil"/>
            </w:tcBorders>
            <w:vAlign w:val="center"/>
          </w:tcPr>
          <w:p w14:paraId="3079B858" w14:textId="60E1577B"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nil"/>
              <w:right w:val="nil"/>
            </w:tcBorders>
            <w:vAlign w:val="center"/>
          </w:tcPr>
          <w:p w14:paraId="7A035E01" w14:textId="16057EB4" w:rsidR="006163A3" w:rsidRPr="00E84D1D" w:rsidRDefault="00283BB8" w:rsidP="00140127">
            <w:pPr>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nil"/>
            </w:tcBorders>
            <w:vAlign w:val="center"/>
            <w:hideMark/>
          </w:tcPr>
          <w:p w14:paraId="48A1E81A" w14:textId="47AE22D6" w:rsidR="006163A3" w:rsidRPr="00E84D1D" w:rsidRDefault="00E660AA" w:rsidP="00140127">
            <w:pPr>
              <w:spacing w:line="480" w:lineRule="auto"/>
              <w:rPr>
                <w:rFonts w:cs="Arial"/>
                <w:szCs w:val="22"/>
              </w:rPr>
            </w:pPr>
            <w:r>
              <w:rPr>
                <w:rFonts w:cs="Arial"/>
                <w:color w:val="000000"/>
                <w:kern w:val="24"/>
                <w:szCs w:val="22"/>
              </w:rPr>
              <w:t>2 (0.5</w:t>
            </w:r>
            <w:r w:rsidR="006163A3" w:rsidRPr="00E84D1D">
              <w:rPr>
                <w:rFonts w:cs="Arial"/>
                <w:color w:val="000000"/>
                <w:kern w:val="24"/>
                <w:szCs w:val="22"/>
              </w:rPr>
              <w:t>)</w:t>
            </w:r>
          </w:p>
        </w:tc>
        <w:tc>
          <w:tcPr>
            <w:tcW w:w="1835" w:type="dxa"/>
            <w:tcBorders>
              <w:top w:val="nil"/>
              <w:left w:val="nil"/>
              <w:bottom w:val="nil"/>
            </w:tcBorders>
            <w:vAlign w:val="center"/>
          </w:tcPr>
          <w:p w14:paraId="73D52C21" w14:textId="20F83C77" w:rsidR="006163A3" w:rsidRPr="00E84D1D" w:rsidRDefault="00E660AA" w:rsidP="00140127">
            <w:pPr>
              <w:spacing w:line="480" w:lineRule="auto"/>
              <w:rPr>
                <w:rFonts w:cs="Arial"/>
                <w:color w:val="000000"/>
                <w:kern w:val="24"/>
                <w:szCs w:val="22"/>
              </w:rPr>
            </w:pPr>
            <w:r>
              <w:rPr>
                <w:rFonts w:cs="Arial"/>
                <w:color w:val="000000"/>
                <w:kern w:val="24"/>
                <w:szCs w:val="22"/>
              </w:rPr>
              <w:t>0</w:t>
            </w:r>
          </w:p>
        </w:tc>
      </w:tr>
      <w:tr w:rsidR="006163A3" w:rsidRPr="00E84D1D" w14:paraId="7274526F" w14:textId="540AE13A" w:rsidTr="00092FB7">
        <w:trPr>
          <w:trHeight w:val="20"/>
          <w:jc w:val="left"/>
        </w:trPr>
        <w:tc>
          <w:tcPr>
            <w:tcW w:w="3208" w:type="dxa"/>
            <w:tcBorders>
              <w:top w:val="nil"/>
              <w:left w:val="nil"/>
              <w:right w:val="nil"/>
            </w:tcBorders>
            <w:vAlign w:val="center"/>
          </w:tcPr>
          <w:p w14:paraId="14306A38" w14:textId="77777777" w:rsidR="006163A3" w:rsidRPr="00E84D1D" w:rsidRDefault="006163A3" w:rsidP="00140127">
            <w:pPr>
              <w:spacing w:line="480" w:lineRule="auto"/>
              <w:ind w:left="567"/>
              <w:rPr>
                <w:rFonts w:cs="Arial"/>
                <w:color w:val="000000" w:themeColor="text1"/>
                <w:kern w:val="24"/>
                <w:szCs w:val="22"/>
              </w:rPr>
            </w:pPr>
            <w:r w:rsidRPr="00E84D1D">
              <w:rPr>
                <w:rFonts w:cs="Arial"/>
                <w:bCs/>
                <w:color w:val="000000" w:themeColor="text1"/>
                <w:kern w:val="24"/>
                <w:szCs w:val="28"/>
              </w:rPr>
              <w:t>Primary haemorrhagic stroke</w:t>
            </w:r>
          </w:p>
        </w:tc>
        <w:tc>
          <w:tcPr>
            <w:tcW w:w="1835" w:type="dxa"/>
            <w:tcBorders>
              <w:top w:val="nil"/>
              <w:left w:val="nil"/>
              <w:bottom w:val="nil"/>
              <w:right w:val="nil"/>
            </w:tcBorders>
            <w:vAlign w:val="center"/>
          </w:tcPr>
          <w:p w14:paraId="2067ADAE" w14:textId="77777777" w:rsidR="006163A3" w:rsidRPr="00E84D1D" w:rsidRDefault="006163A3" w:rsidP="00140127">
            <w:pPr>
              <w:spacing w:line="480" w:lineRule="auto"/>
              <w:rPr>
                <w:rFonts w:cs="Arial"/>
                <w:color w:val="000000" w:themeColor="text1"/>
                <w:kern w:val="24"/>
                <w:szCs w:val="22"/>
              </w:rPr>
            </w:pPr>
            <w:r w:rsidRPr="00E84D1D">
              <w:rPr>
                <w:rFonts w:cs="Arial"/>
                <w:bCs/>
                <w:color w:val="000000" w:themeColor="text1"/>
                <w:kern w:val="24"/>
                <w:szCs w:val="28"/>
              </w:rPr>
              <w:t>0</w:t>
            </w:r>
          </w:p>
        </w:tc>
        <w:tc>
          <w:tcPr>
            <w:tcW w:w="1835" w:type="dxa"/>
            <w:tcBorders>
              <w:top w:val="nil"/>
              <w:left w:val="nil"/>
              <w:bottom w:val="nil"/>
              <w:right w:val="nil"/>
            </w:tcBorders>
            <w:vAlign w:val="center"/>
          </w:tcPr>
          <w:p w14:paraId="017C8578" w14:textId="2038C688" w:rsidR="006163A3" w:rsidRPr="00E84D1D" w:rsidRDefault="00AC6F9A" w:rsidP="00140127">
            <w:pPr>
              <w:tabs>
                <w:tab w:val="decimal" w:pos="0"/>
              </w:tabs>
              <w:spacing w:line="480" w:lineRule="auto"/>
              <w:rPr>
                <w:rFonts w:cs="Arial"/>
                <w:bCs/>
                <w:color w:val="000000" w:themeColor="text1"/>
                <w:kern w:val="24"/>
                <w:szCs w:val="28"/>
              </w:rPr>
            </w:pPr>
            <w:r>
              <w:rPr>
                <w:rFonts w:cs="Arial"/>
                <w:bCs/>
                <w:color w:val="000000" w:themeColor="text1"/>
                <w:kern w:val="24"/>
                <w:szCs w:val="28"/>
              </w:rPr>
              <w:t>0</w:t>
            </w:r>
          </w:p>
        </w:tc>
        <w:tc>
          <w:tcPr>
            <w:tcW w:w="1835" w:type="dxa"/>
            <w:tcBorders>
              <w:top w:val="nil"/>
              <w:left w:val="nil"/>
              <w:bottom w:val="nil"/>
              <w:right w:val="nil"/>
            </w:tcBorders>
            <w:vAlign w:val="center"/>
          </w:tcPr>
          <w:p w14:paraId="447E9CB1" w14:textId="725351F8" w:rsidR="006163A3" w:rsidRPr="00E84D1D" w:rsidRDefault="006163A3" w:rsidP="00140127">
            <w:pPr>
              <w:tabs>
                <w:tab w:val="decimal" w:pos="0"/>
              </w:tabs>
              <w:spacing w:line="480" w:lineRule="auto"/>
              <w:rPr>
                <w:rFonts w:cs="Arial"/>
                <w:color w:val="000000" w:themeColor="text1"/>
                <w:kern w:val="24"/>
                <w:szCs w:val="22"/>
              </w:rPr>
            </w:pPr>
            <w:r w:rsidRPr="00E84D1D">
              <w:rPr>
                <w:rFonts w:cs="Arial"/>
                <w:bCs/>
                <w:color w:val="000000" w:themeColor="text1"/>
                <w:kern w:val="24"/>
                <w:szCs w:val="28"/>
              </w:rPr>
              <w:t>0</w:t>
            </w:r>
          </w:p>
        </w:tc>
        <w:tc>
          <w:tcPr>
            <w:tcW w:w="1835" w:type="dxa"/>
            <w:tcBorders>
              <w:top w:val="nil"/>
              <w:left w:val="nil"/>
              <w:bottom w:val="nil"/>
              <w:right w:val="nil"/>
            </w:tcBorders>
            <w:vAlign w:val="center"/>
          </w:tcPr>
          <w:p w14:paraId="4E5B9FA1" w14:textId="768CE3A1" w:rsidR="006163A3" w:rsidRPr="00E84D1D" w:rsidRDefault="00283BB8" w:rsidP="00140127">
            <w:pPr>
              <w:spacing w:line="480" w:lineRule="auto"/>
              <w:rPr>
                <w:rFonts w:cs="Arial"/>
                <w:bCs/>
                <w:color w:val="000000" w:themeColor="text1"/>
                <w:kern w:val="24"/>
                <w:szCs w:val="28"/>
              </w:rPr>
            </w:pPr>
            <w:r>
              <w:rPr>
                <w:rFonts w:cs="Arial"/>
                <w:bCs/>
                <w:color w:val="000000" w:themeColor="text1"/>
                <w:kern w:val="24"/>
                <w:szCs w:val="28"/>
              </w:rPr>
              <w:t>0</w:t>
            </w:r>
          </w:p>
        </w:tc>
        <w:tc>
          <w:tcPr>
            <w:tcW w:w="1835" w:type="dxa"/>
            <w:tcBorders>
              <w:top w:val="nil"/>
              <w:left w:val="nil"/>
              <w:bottom w:val="nil"/>
            </w:tcBorders>
            <w:vAlign w:val="center"/>
          </w:tcPr>
          <w:p w14:paraId="484DF9C8" w14:textId="6E3A51A9" w:rsidR="006163A3" w:rsidRPr="00E84D1D" w:rsidRDefault="006163A3" w:rsidP="00140127">
            <w:pPr>
              <w:spacing w:line="480" w:lineRule="auto"/>
              <w:rPr>
                <w:rFonts w:cs="Arial"/>
                <w:color w:val="000000" w:themeColor="text1"/>
                <w:kern w:val="24"/>
                <w:szCs w:val="22"/>
              </w:rPr>
            </w:pPr>
            <w:r w:rsidRPr="00E84D1D">
              <w:rPr>
                <w:rFonts w:cs="Arial"/>
                <w:bCs/>
                <w:color w:val="000000" w:themeColor="text1"/>
                <w:kern w:val="24"/>
                <w:szCs w:val="28"/>
              </w:rPr>
              <w:t>0</w:t>
            </w:r>
          </w:p>
        </w:tc>
        <w:tc>
          <w:tcPr>
            <w:tcW w:w="1835" w:type="dxa"/>
            <w:tcBorders>
              <w:top w:val="nil"/>
              <w:left w:val="nil"/>
              <w:bottom w:val="nil"/>
            </w:tcBorders>
            <w:vAlign w:val="center"/>
          </w:tcPr>
          <w:p w14:paraId="406F55D9" w14:textId="6E3477B2" w:rsidR="006163A3" w:rsidRPr="00E84D1D" w:rsidRDefault="00E660AA" w:rsidP="00140127">
            <w:pPr>
              <w:spacing w:line="480" w:lineRule="auto"/>
              <w:rPr>
                <w:rFonts w:cs="Arial"/>
                <w:bCs/>
                <w:color w:val="000000" w:themeColor="text1"/>
                <w:kern w:val="24"/>
                <w:szCs w:val="28"/>
              </w:rPr>
            </w:pPr>
            <w:r>
              <w:rPr>
                <w:rFonts w:cs="Arial"/>
                <w:bCs/>
                <w:color w:val="000000" w:themeColor="text1"/>
                <w:kern w:val="24"/>
                <w:szCs w:val="28"/>
              </w:rPr>
              <w:t>0</w:t>
            </w:r>
          </w:p>
        </w:tc>
      </w:tr>
      <w:tr w:rsidR="006163A3" w:rsidRPr="00E84D1D" w14:paraId="476DFBCF" w14:textId="0A3D2F44" w:rsidTr="00092FB7">
        <w:trPr>
          <w:trHeight w:val="20"/>
          <w:jc w:val="left"/>
        </w:trPr>
        <w:tc>
          <w:tcPr>
            <w:tcW w:w="3208" w:type="dxa"/>
            <w:tcBorders>
              <w:top w:val="nil"/>
              <w:left w:val="nil"/>
              <w:bottom w:val="nil"/>
              <w:right w:val="nil"/>
            </w:tcBorders>
            <w:vAlign w:val="center"/>
          </w:tcPr>
          <w:p w14:paraId="738B51ED" w14:textId="77777777" w:rsidR="006163A3" w:rsidRPr="00E84D1D" w:rsidRDefault="006163A3" w:rsidP="00140127">
            <w:pPr>
              <w:spacing w:line="480" w:lineRule="auto"/>
              <w:ind w:left="567"/>
              <w:rPr>
                <w:rFonts w:cs="Arial"/>
                <w:color w:val="000000"/>
                <w:kern w:val="24"/>
                <w:szCs w:val="22"/>
              </w:rPr>
            </w:pPr>
            <w:r w:rsidRPr="00E84D1D">
              <w:rPr>
                <w:rFonts w:cs="Arial"/>
                <w:color w:val="000000" w:themeColor="dark1"/>
                <w:kern w:val="24"/>
                <w:szCs w:val="28"/>
              </w:rPr>
              <w:t>Primary ischaemic stroke</w:t>
            </w:r>
          </w:p>
        </w:tc>
        <w:tc>
          <w:tcPr>
            <w:tcW w:w="1835" w:type="dxa"/>
            <w:tcBorders>
              <w:top w:val="nil"/>
              <w:left w:val="nil"/>
              <w:bottom w:val="nil"/>
              <w:right w:val="nil"/>
            </w:tcBorders>
            <w:vAlign w:val="center"/>
          </w:tcPr>
          <w:p w14:paraId="42D2D6A0" w14:textId="56880CC6" w:rsidR="006163A3" w:rsidRPr="00E84D1D" w:rsidRDefault="00AC6F9A" w:rsidP="00140127">
            <w:pPr>
              <w:spacing w:line="480" w:lineRule="auto"/>
              <w:rPr>
                <w:rFonts w:cs="Arial"/>
                <w:color w:val="000000"/>
                <w:kern w:val="24"/>
                <w:szCs w:val="22"/>
              </w:rPr>
            </w:pPr>
            <w:r>
              <w:rPr>
                <w:rFonts w:cs="Arial"/>
                <w:color w:val="000000" w:themeColor="dark1"/>
                <w:kern w:val="24"/>
                <w:szCs w:val="28"/>
              </w:rPr>
              <w:t>2 (2.0</w:t>
            </w:r>
            <w:r w:rsidR="006163A3" w:rsidRPr="00E84D1D">
              <w:rPr>
                <w:rFonts w:cs="Arial"/>
                <w:color w:val="000000" w:themeColor="dark1"/>
                <w:kern w:val="24"/>
                <w:szCs w:val="28"/>
              </w:rPr>
              <w:t>)</w:t>
            </w:r>
          </w:p>
        </w:tc>
        <w:tc>
          <w:tcPr>
            <w:tcW w:w="1835" w:type="dxa"/>
            <w:tcBorders>
              <w:top w:val="nil"/>
              <w:left w:val="nil"/>
              <w:bottom w:val="nil"/>
              <w:right w:val="nil"/>
            </w:tcBorders>
            <w:vAlign w:val="center"/>
          </w:tcPr>
          <w:p w14:paraId="549AE170" w14:textId="3D2519F6" w:rsidR="006163A3" w:rsidRPr="00E84D1D" w:rsidRDefault="00AC6F9A" w:rsidP="00140127">
            <w:pPr>
              <w:tabs>
                <w:tab w:val="decimal" w:pos="0"/>
              </w:tabs>
              <w:spacing w:line="480" w:lineRule="auto"/>
              <w:rPr>
                <w:rFonts w:cs="Arial"/>
                <w:color w:val="000000" w:themeColor="dark1"/>
                <w:kern w:val="24"/>
                <w:szCs w:val="28"/>
              </w:rPr>
            </w:pPr>
            <w:r>
              <w:rPr>
                <w:rFonts w:cs="Arial"/>
                <w:color w:val="000000" w:themeColor="dark1"/>
                <w:kern w:val="24"/>
                <w:szCs w:val="28"/>
              </w:rPr>
              <w:t>0</w:t>
            </w:r>
          </w:p>
        </w:tc>
        <w:tc>
          <w:tcPr>
            <w:tcW w:w="1835" w:type="dxa"/>
            <w:tcBorders>
              <w:top w:val="nil"/>
              <w:left w:val="nil"/>
              <w:bottom w:val="nil"/>
              <w:right w:val="nil"/>
            </w:tcBorders>
            <w:vAlign w:val="center"/>
          </w:tcPr>
          <w:p w14:paraId="2D8096C3" w14:textId="2118EF23" w:rsidR="006163A3" w:rsidRPr="00E84D1D" w:rsidRDefault="006163A3" w:rsidP="00140127">
            <w:pPr>
              <w:tabs>
                <w:tab w:val="decimal" w:pos="0"/>
              </w:tabs>
              <w:spacing w:line="480" w:lineRule="auto"/>
              <w:rPr>
                <w:rFonts w:cs="Arial"/>
                <w:color w:val="000000"/>
                <w:kern w:val="24"/>
                <w:szCs w:val="22"/>
              </w:rPr>
            </w:pPr>
            <w:r w:rsidRPr="00E84D1D">
              <w:rPr>
                <w:rFonts w:cs="Arial"/>
                <w:color w:val="000000" w:themeColor="dark1"/>
                <w:kern w:val="24"/>
                <w:szCs w:val="28"/>
              </w:rPr>
              <w:t>0</w:t>
            </w:r>
          </w:p>
        </w:tc>
        <w:tc>
          <w:tcPr>
            <w:tcW w:w="1835" w:type="dxa"/>
            <w:tcBorders>
              <w:top w:val="nil"/>
              <w:left w:val="nil"/>
              <w:bottom w:val="nil"/>
              <w:right w:val="nil"/>
            </w:tcBorders>
            <w:vAlign w:val="center"/>
          </w:tcPr>
          <w:p w14:paraId="3F3399FB" w14:textId="3020D4B5" w:rsidR="006163A3" w:rsidRPr="00E84D1D" w:rsidRDefault="00283BB8" w:rsidP="00140127">
            <w:pPr>
              <w:spacing w:line="480" w:lineRule="auto"/>
              <w:rPr>
                <w:rFonts w:cs="Arial"/>
                <w:color w:val="000000" w:themeColor="dark1"/>
                <w:kern w:val="24"/>
                <w:szCs w:val="28"/>
              </w:rPr>
            </w:pPr>
            <w:r>
              <w:rPr>
                <w:rFonts w:cs="Arial"/>
                <w:color w:val="000000" w:themeColor="dark1"/>
                <w:kern w:val="24"/>
                <w:szCs w:val="28"/>
              </w:rPr>
              <w:t>0</w:t>
            </w:r>
          </w:p>
        </w:tc>
        <w:tc>
          <w:tcPr>
            <w:tcW w:w="1835" w:type="dxa"/>
            <w:tcBorders>
              <w:top w:val="nil"/>
              <w:left w:val="nil"/>
              <w:bottom w:val="nil"/>
            </w:tcBorders>
            <w:vAlign w:val="center"/>
          </w:tcPr>
          <w:p w14:paraId="39247A20" w14:textId="1BBC1817" w:rsidR="006163A3" w:rsidRPr="00E84D1D" w:rsidRDefault="00E660AA" w:rsidP="00140127">
            <w:pPr>
              <w:spacing w:line="480" w:lineRule="auto"/>
              <w:rPr>
                <w:rFonts w:cs="Arial"/>
                <w:color w:val="000000"/>
                <w:kern w:val="24"/>
                <w:szCs w:val="22"/>
              </w:rPr>
            </w:pPr>
            <w:r>
              <w:rPr>
                <w:rFonts w:cs="Arial"/>
                <w:color w:val="000000" w:themeColor="dark1"/>
                <w:kern w:val="24"/>
                <w:szCs w:val="28"/>
              </w:rPr>
              <w:t>2 (0.5</w:t>
            </w:r>
            <w:r w:rsidR="006163A3" w:rsidRPr="00E84D1D">
              <w:rPr>
                <w:rFonts w:cs="Arial"/>
                <w:color w:val="000000" w:themeColor="dark1"/>
                <w:kern w:val="24"/>
                <w:szCs w:val="28"/>
              </w:rPr>
              <w:t>)</w:t>
            </w:r>
          </w:p>
        </w:tc>
        <w:tc>
          <w:tcPr>
            <w:tcW w:w="1835" w:type="dxa"/>
            <w:tcBorders>
              <w:top w:val="nil"/>
              <w:left w:val="nil"/>
              <w:bottom w:val="nil"/>
            </w:tcBorders>
            <w:vAlign w:val="center"/>
          </w:tcPr>
          <w:p w14:paraId="684AF77A" w14:textId="38989826" w:rsidR="006163A3" w:rsidRPr="00E84D1D" w:rsidRDefault="00E660AA" w:rsidP="00140127">
            <w:pPr>
              <w:spacing w:line="480" w:lineRule="auto"/>
              <w:rPr>
                <w:rFonts w:cs="Arial"/>
                <w:color w:val="000000" w:themeColor="dark1"/>
                <w:kern w:val="24"/>
                <w:szCs w:val="28"/>
              </w:rPr>
            </w:pPr>
            <w:r>
              <w:rPr>
                <w:rFonts w:cs="Arial"/>
                <w:color w:val="000000" w:themeColor="dark1"/>
                <w:kern w:val="24"/>
                <w:szCs w:val="28"/>
              </w:rPr>
              <w:t>0</w:t>
            </w:r>
          </w:p>
        </w:tc>
      </w:tr>
      <w:tr w:rsidR="006163A3" w:rsidRPr="00E84D1D" w14:paraId="10F29AD3" w14:textId="1F04F0DE" w:rsidTr="00092FB7">
        <w:trPr>
          <w:trHeight w:val="20"/>
          <w:jc w:val="left"/>
        </w:trPr>
        <w:tc>
          <w:tcPr>
            <w:tcW w:w="3208" w:type="dxa"/>
            <w:tcBorders>
              <w:top w:val="nil"/>
              <w:left w:val="nil"/>
              <w:bottom w:val="nil"/>
              <w:right w:val="nil"/>
            </w:tcBorders>
            <w:hideMark/>
          </w:tcPr>
          <w:p w14:paraId="61621A66" w14:textId="77777777" w:rsidR="006163A3" w:rsidRPr="00E84D1D" w:rsidRDefault="006163A3" w:rsidP="00140127">
            <w:pPr>
              <w:spacing w:line="480" w:lineRule="auto"/>
              <w:ind w:left="292"/>
              <w:rPr>
                <w:rFonts w:cs="Arial"/>
                <w:szCs w:val="22"/>
              </w:rPr>
            </w:pPr>
            <w:r w:rsidRPr="00E84D1D">
              <w:rPr>
                <w:rFonts w:cs="Arial"/>
                <w:color w:val="000000"/>
                <w:kern w:val="24"/>
                <w:szCs w:val="22"/>
              </w:rPr>
              <w:t>Non-CNS embolism</w:t>
            </w:r>
          </w:p>
        </w:tc>
        <w:tc>
          <w:tcPr>
            <w:tcW w:w="1835" w:type="dxa"/>
            <w:tcBorders>
              <w:top w:val="nil"/>
              <w:left w:val="nil"/>
              <w:bottom w:val="nil"/>
              <w:right w:val="nil"/>
            </w:tcBorders>
            <w:vAlign w:val="center"/>
            <w:hideMark/>
          </w:tcPr>
          <w:p w14:paraId="0B9BB1F8" w14:textId="77777777"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nil"/>
              <w:right w:val="nil"/>
            </w:tcBorders>
            <w:vAlign w:val="center"/>
          </w:tcPr>
          <w:p w14:paraId="02E8BA51" w14:textId="5361C1F1" w:rsidR="006163A3" w:rsidRPr="00E84D1D" w:rsidRDefault="00AC6F9A" w:rsidP="00140127">
            <w:pPr>
              <w:tabs>
                <w:tab w:val="decimal" w:pos="0"/>
              </w:tabs>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nil"/>
              <w:right w:val="nil"/>
            </w:tcBorders>
            <w:vAlign w:val="center"/>
          </w:tcPr>
          <w:p w14:paraId="6F0734AF" w14:textId="54C77538"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nil"/>
              <w:right w:val="nil"/>
            </w:tcBorders>
            <w:vAlign w:val="center"/>
          </w:tcPr>
          <w:p w14:paraId="5A344074" w14:textId="2DBFBF76" w:rsidR="006163A3" w:rsidRPr="00E84D1D" w:rsidRDefault="00283BB8" w:rsidP="00140127">
            <w:pPr>
              <w:tabs>
                <w:tab w:val="decimal" w:pos="0"/>
              </w:tabs>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nil"/>
            </w:tcBorders>
            <w:vAlign w:val="center"/>
            <w:hideMark/>
          </w:tcPr>
          <w:p w14:paraId="027D0342" w14:textId="39A71743"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nil"/>
            </w:tcBorders>
            <w:vAlign w:val="center"/>
          </w:tcPr>
          <w:p w14:paraId="1B993D8E" w14:textId="5111C8BD" w:rsidR="006163A3" w:rsidRPr="00E84D1D" w:rsidRDefault="00E660AA" w:rsidP="00140127">
            <w:pPr>
              <w:tabs>
                <w:tab w:val="decimal" w:pos="0"/>
              </w:tabs>
              <w:spacing w:line="480" w:lineRule="auto"/>
              <w:rPr>
                <w:rFonts w:cs="Arial"/>
                <w:color w:val="000000"/>
                <w:kern w:val="24"/>
                <w:szCs w:val="22"/>
              </w:rPr>
            </w:pPr>
            <w:r>
              <w:rPr>
                <w:rFonts w:cs="Arial"/>
                <w:color w:val="000000"/>
                <w:kern w:val="24"/>
                <w:szCs w:val="22"/>
              </w:rPr>
              <w:t>0</w:t>
            </w:r>
          </w:p>
        </w:tc>
      </w:tr>
      <w:tr w:rsidR="006163A3" w:rsidRPr="00E84D1D" w14:paraId="28D85B29" w14:textId="60DB404F" w:rsidTr="00092FB7">
        <w:trPr>
          <w:trHeight w:val="20"/>
          <w:jc w:val="left"/>
        </w:trPr>
        <w:tc>
          <w:tcPr>
            <w:tcW w:w="3208" w:type="dxa"/>
            <w:tcBorders>
              <w:top w:val="nil"/>
              <w:left w:val="nil"/>
              <w:right w:val="nil"/>
            </w:tcBorders>
            <w:hideMark/>
          </w:tcPr>
          <w:p w14:paraId="462A4BB3" w14:textId="77777777" w:rsidR="006163A3" w:rsidRPr="00E84D1D" w:rsidRDefault="006163A3" w:rsidP="00140127">
            <w:pPr>
              <w:spacing w:line="480" w:lineRule="auto"/>
              <w:ind w:left="292"/>
              <w:rPr>
                <w:rFonts w:cs="Arial"/>
                <w:szCs w:val="22"/>
              </w:rPr>
            </w:pPr>
            <w:r w:rsidRPr="00E84D1D">
              <w:rPr>
                <w:rFonts w:cs="Arial"/>
                <w:color w:val="000000"/>
                <w:kern w:val="24"/>
                <w:szCs w:val="22"/>
              </w:rPr>
              <w:t>TIA</w:t>
            </w:r>
          </w:p>
        </w:tc>
        <w:tc>
          <w:tcPr>
            <w:tcW w:w="1835" w:type="dxa"/>
            <w:tcBorders>
              <w:top w:val="nil"/>
              <w:left w:val="nil"/>
              <w:bottom w:val="nil"/>
              <w:right w:val="nil"/>
            </w:tcBorders>
            <w:vAlign w:val="center"/>
            <w:hideMark/>
          </w:tcPr>
          <w:p w14:paraId="5FA6E199" w14:textId="77777777"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nil"/>
              <w:right w:val="nil"/>
            </w:tcBorders>
            <w:vAlign w:val="center"/>
          </w:tcPr>
          <w:p w14:paraId="02E878E4" w14:textId="685A10A4" w:rsidR="006163A3" w:rsidRPr="00E84D1D" w:rsidRDefault="00AC6F9A" w:rsidP="00140127">
            <w:pPr>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nil"/>
              <w:right w:val="nil"/>
            </w:tcBorders>
            <w:vAlign w:val="center"/>
          </w:tcPr>
          <w:p w14:paraId="2029A70A" w14:textId="70497DF9" w:rsidR="006163A3" w:rsidRPr="00E84D1D" w:rsidRDefault="00283BB8" w:rsidP="00140127">
            <w:pPr>
              <w:spacing w:line="480" w:lineRule="auto"/>
              <w:rPr>
                <w:rFonts w:cs="Arial"/>
                <w:szCs w:val="22"/>
              </w:rPr>
            </w:pPr>
            <w:r>
              <w:rPr>
                <w:rFonts w:cs="Arial"/>
                <w:color w:val="000000"/>
                <w:kern w:val="24"/>
                <w:szCs w:val="22"/>
              </w:rPr>
              <w:t>1 (0.3</w:t>
            </w:r>
            <w:r w:rsidR="006163A3" w:rsidRPr="00E84D1D">
              <w:rPr>
                <w:rFonts w:cs="Arial"/>
                <w:color w:val="000000"/>
                <w:kern w:val="24"/>
                <w:szCs w:val="22"/>
              </w:rPr>
              <w:t>)</w:t>
            </w:r>
          </w:p>
        </w:tc>
        <w:tc>
          <w:tcPr>
            <w:tcW w:w="1835" w:type="dxa"/>
            <w:tcBorders>
              <w:top w:val="nil"/>
              <w:left w:val="nil"/>
              <w:bottom w:val="nil"/>
              <w:right w:val="nil"/>
            </w:tcBorders>
            <w:vAlign w:val="center"/>
          </w:tcPr>
          <w:p w14:paraId="177E2623" w14:textId="22ED32B2" w:rsidR="006163A3" w:rsidRPr="00E84D1D" w:rsidRDefault="00283BB8" w:rsidP="00140127">
            <w:pPr>
              <w:spacing w:line="480" w:lineRule="auto"/>
              <w:rPr>
                <w:rFonts w:cs="Arial"/>
                <w:color w:val="000000"/>
                <w:kern w:val="24"/>
                <w:szCs w:val="22"/>
              </w:rPr>
            </w:pPr>
            <w:r>
              <w:rPr>
                <w:rFonts w:cs="Arial"/>
                <w:color w:val="000000"/>
                <w:kern w:val="24"/>
                <w:szCs w:val="22"/>
              </w:rPr>
              <w:t>2 (1.0)</w:t>
            </w:r>
          </w:p>
        </w:tc>
        <w:tc>
          <w:tcPr>
            <w:tcW w:w="1835" w:type="dxa"/>
            <w:tcBorders>
              <w:top w:val="nil"/>
              <w:left w:val="nil"/>
              <w:bottom w:val="nil"/>
            </w:tcBorders>
            <w:vAlign w:val="center"/>
            <w:hideMark/>
          </w:tcPr>
          <w:p w14:paraId="78F9F928" w14:textId="3785BEDF" w:rsidR="006163A3" w:rsidRPr="00E84D1D" w:rsidRDefault="00E660AA" w:rsidP="00140127">
            <w:pPr>
              <w:spacing w:line="480" w:lineRule="auto"/>
              <w:rPr>
                <w:rFonts w:cs="Arial"/>
                <w:szCs w:val="22"/>
              </w:rPr>
            </w:pPr>
            <w:r>
              <w:rPr>
                <w:rFonts w:cs="Arial"/>
                <w:color w:val="000000"/>
                <w:kern w:val="24"/>
                <w:szCs w:val="22"/>
              </w:rPr>
              <w:t>1 (0.3</w:t>
            </w:r>
            <w:r w:rsidR="006163A3" w:rsidRPr="00E84D1D">
              <w:rPr>
                <w:rFonts w:cs="Arial"/>
                <w:color w:val="000000"/>
                <w:kern w:val="24"/>
                <w:szCs w:val="22"/>
              </w:rPr>
              <w:t>)</w:t>
            </w:r>
          </w:p>
        </w:tc>
        <w:tc>
          <w:tcPr>
            <w:tcW w:w="1835" w:type="dxa"/>
            <w:tcBorders>
              <w:top w:val="nil"/>
              <w:left w:val="nil"/>
              <w:bottom w:val="nil"/>
            </w:tcBorders>
            <w:vAlign w:val="center"/>
          </w:tcPr>
          <w:p w14:paraId="563EFABA" w14:textId="16071AFE" w:rsidR="006163A3" w:rsidRPr="00E84D1D" w:rsidRDefault="00E660AA" w:rsidP="00140127">
            <w:pPr>
              <w:spacing w:line="480" w:lineRule="auto"/>
              <w:rPr>
                <w:rFonts w:cs="Arial"/>
                <w:color w:val="000000"/>
                <w:kern w:val="24"/>
                <w:szCs w:val="22"/>
              </w:rPr>
            </w:pPr>
            <w:r>
              <w:rPr>
                <w:rFonts w:cs="Arial"/>
                <w:color w:val="000000"/>
                <w:kern w:val="24"/>
                <w:szCs w:val="22"/>
              </w:rPr>
              <w:t>2 (0.8)</w:t>
            </w:r>
          </w:p>
        </w:tc>
      </w:tr>
      <w:tr w:rsidR="006163A3" w:rsidRPr="00E84D1D" w14:paraId="4C2327FA" w14:textId="49259E37" w:rsidTr="00092FB7">
        <w:trPr>
          <w:trHeight w:val="20"/>
          <w:jc w:val="left"/>
        </w:trPr>
        <w:tc>
          <w:tcPr>
            <w:tcW w:w="3208" w:type="dxa"/>
            <w:tcBorders>
              <w:top w:val="nil"/>
              <w:left w:val="nil"/>
              <w:right w:val="nil"/>
            </w:tcBorders>
            <w:shd w:val="clear" w:color="auto" w:fill="auto"/>
            <w:hideMark/>
          </w:tcPr>
          <w:p w14:paraId="0F2DEF77" w14:textId="77777777" w:rsidR="006163A3" w:rsidRPr="00E84D1D" w:rsidRDefault="006163A3" w:rsidP="00140127">
            <w:pPr>
              <w:spacing w:line="480" w:lineRule="auto"/>
              <w:ind w:left="292"/>
              <w:rPr>
                <w:rFonts w:cs="Arial"/>
                <w:szCs w:val="22"/>
              </w:rPr>
            </w:pPr>
            <w:r w:rsidRPr="00572E41">
              <w:rPr>
                <w:rFonts w:cs="Arial"/>
                <w:color w:val="000000"/>
                <w:kern w:val="24"/>
                <w:szCs w:val="22"/>
              </w:rPr>
              <w:t>M</w:t>
            </w:r>
            <w:r w:rsidRPr="00E84D1D">
              <w:rPr>
                <w:rFonts w:cs="Arial"/>
                <w:color w:val="000000"/>
                <w:kern w:val="24"/>
                <w:szCs w:val="22"/>
              </w:rPr>
              <w:t>I</w:t>
            </w:r>
          </w:p>
        </w:tc>
        <w:tc>
          <w:tcPr>
            <w:tcW w:w="1835" w:type="dxa"/>
            <w:tcBorders>
              <w:top w:val="nil"/>
              <w:left w:val="nil"/>
              <w:bottom w:val="single" w:sz="4" w:space="0" w:color="auto"/>
              <w:right w:val="nil"/>
            </w:tcBorders>
            <w:vAlign w:val="center"/>
            <w:hideMark/>
          </w:tcPr>
          <w:p w14:paraId="70486B37" w14:textId="77777777"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single" w:sz="4" w:space="0" w:color="auto"/>
              <w:right w:val="nil"/>
            </w:tcBorders>
            <w:vAlign w:val="center"/>
          </w:tcPr>
          <w:p w14:paraId="5F401662" w14:textId="623D5877" w:rsidR="006163A3" w:rsidRPr="00E84D1D" w:rsidRDefault="00AC6F9A" w:rsidP="00140127">
            <w:pPr>
              <w:tabs>
                <w:tab w:val="decimal" w:pos="0"/>
              </w:tabs>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single" w:sz="4" w:space="0" w:color="auto"/>
              <w:right w:val="nil"/>
            </w:tcBorders>
            <w:vAlign w:val="center"/>
          </w:tcPr>
          <w:p w14:paraId="254605A8" w14:textId="2B726958"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single" w:sz="4" w:space="0" w:color="auto"/>
              <w:right w:val="nil"/>
            </w:tcBorders>
            <w:vAlign w:val="center"/>
          </w:tcPr>
          <w:p w14:paraId="07D5B287" w14:textId="00BEAB56" w:rsidR="006163A3" w:rsidRPr="00E84D1D" w:rsidRDefault="00283BB8" w:rsidP="00140127">
            <w:pPr>
              <w:tabs>
                <w:tab w:val="decimal" w:pos="0"/>
              </w:tabs>
              <w:spacing w:line="480" w:lineRule="auto"/>
              <w:rPr>
                <w:rFonts w:cs="Arial"/>
                <w:color w:val="000000"/>
                <w:kern w:val="24"/>
                <w:szCs w:val="22"/>
              </w:rPr>
            </w:pPr>
            <w:r>
              <w:rPr>
                <w:rFonts w:cs="Arial"/>
                <w:color w:val="000000"/>
                <w:kern w:val="24"/>
                <w:szCs w:val="22"/>
              </w:rPr>
              <w:t>0</w:t>
            </w:r>
          </w:p>
        </w:tc>
        <w:tc>
          <w:tcPr>
            <w:tcW w:w="1835" w:type="dxa"/>
            <w:tcBorders>
              <w:top w:val="nil"/>
              <w:left w:val="nil"/>
              <w:bottom w:val="single" w:sz="4" w:space="0" w:color="auto"/>
            </w:tcBorders>
            <w:vAlign w:val="center"/>
            <w:hideMark/>
          </w:tcPr>
          <w:p w14:paraId="0A53CE6F" w14:textId="5D89BAF2" w:rsidR="006163A3" w:rsidRPr="00E84D1D" w:rsidRDefault="006163A3" w:rsidP="00140127">
            <w:pPr>
              <w:tabs>
                <w:tab w:val="decimal" w:pos="0"/>
              </w:tabs>
              <w:spacing w:line="480" w:lineRule="auto"/>
              <w:rPr>
                <w:rFonts w:cs="Arial"/>
                <w:szCs w:val="22"/>
              </w:rPr>
            </w:pPr>
            <w:r w:rsidRPr="00E84D1D">
              <w:rPr>
                <w:rFonts w:cs="Arial"/>
                <w:color w:val="000000"/>
                <w:kern w:val="24"/>
                <w:szCs w:val="22"/>
              </w:rPr>
              <w:t>0</w:t>
            </w:r>
          </w:p>
        </w:tc>
        <w:tc>
          <w:tcPr>
            <w:tcW w:w="1835" w:type="dxa"/>
            <w:tcBorders>
              <w:top w:val="nil"/>
              <w:left w:val="nil"/>
              <w:bottom w:val="single" w:sz="4" w:space="0" w:color="auto"/>
            </w:tcBorders>
            <w:vAlign w:val="center"/>
          </w:tcPr>
          <w:p w14:paraId="43338C5B" w14:textId="29A3439D" w:rsidR="006163A3" w:rsidRPr="00E84D1D" w:rsidRDefault="00E660AA" w:rsidP="00140127">
            <w:pPr>
              <w:tabs>
                <w:tab w:val="decimal" w:pos="0"/>
              </w:tabs>
              <w:spacing w:line="480" w:lineRule="auto"/>
              <w:rPr>
                <w:rFonts w:cs="Arial"/>
                <w:color w:val="000000"/>
                <w:kern w:val="24"/>
                <w:szCs w:val="22"/>
              </w:rPr>
            </w:pPr>
            <w:r>
              <w:rPr>
                <w:rFonts w:cs="Arial"/>
                <w:color w:val="000000"/>
                <w:kern w:val="24"/>
                <w:szCs w:val="22"/>
              </w:rPr>
              <w:t>0</w:t>
            </w:r>
          </w:p>
        </w:tc>
      </w:tr>
    </w:tbl>
    <w:p w14:paraId="4BB43168" w14:textId="77777777" w:rsidR="006163A3" w:rsidRPr="00E84D1D" w:rsidRDefault="006163A3" w:rsidP="006163A3">
      <w:pPr>
        <w:pStyle w:val="Text"/>
      </w:pPr>
      <w:r w:rsidRPr="00E84D1D">
        <w:t>CNS, central nervous system; MI, myocardial infarction; TIA, transient ischaemic attack.</w:t>
      </w:r>
    </w:p>
    <w:p w14:paraId="254C79C9" w14:textId="01E8D42A" w:rsidR="00FD541D" w:rsidRDefault="00FD541D" w:rsidP="00DD5B0A">
      <w:pPr>
        <w:tabs>
          <w:tab w:val="right" w:pos="360"/>
          <w:tab w:val="left" w:pos="540"/>
        </w:tabs>
        <w:spacing w:line="480" w:lineRule="auto"/>
        <w:ind w:left="540" w:hanging="540"/>
        <w:rPr>
          <w:b/>
        </w:rPr>
      </w:pPr>
    </w:p>
    <w:p w14:paraId="5C1FEEF3" w14:textId="77777777" w:rsidR="006163A3" w:rsidRDefault="006163A3" w:rsidP="00DD5B0A">
      <w:pPr>
        <w:tabs>
          <w:tab w:val="right" w:pos="360"/>
          <w:tab w:val="left" w:pos="540"/>
        </w:tabs>
        <w:spacing w:line="480" w:lineRule="auto"/>
        <w:ind w:left="540" w:hanging="540"/>
        <w:rPr>
          <w:b/>
        </w:rPr>
      </w:pPr>
    </w:p>
    <w:p w14:paraId="501EDA1D" w14:textId="44638BB6" w:rsidR="006163A3" w:rsidRPr="00E130D7" w:rsidRDefault="006163A3" w:rsidP="006163A3">
      <w:pPr>
        <w:tabs>
          <w:tab w:val="right" w:pos="360"/>
          <w:tab w:val="left" w:pos="540"/>
        </w:tabs>
        <w:spacing w:line="480" w:lineRule="auto"/>
        <w:ind w:left="540" w:hanging="540"/>
        <w:rPr>
          <w:b/>
        </w:rPr>
      </w:pPr>
    </w:p>
    <w:sectPr w:rsidR="006163A3" w:rsidRPr="00E130D7" w:rsidSect="006163A3">
      <w:pgSz w:w="16838" w:h="11906" w:orient="landscape" w:code="9"/>
      <w:pgMar w:top="1418" w:right="1418" w:bottom="1418" w:left="1418"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88B1" w14:textId="77777777" w:rsidR="002A68C8" w:rsidRDefault="002A68C8" w:rsidP="00B03176">
      <w:pPr>
        <w:pStyle w:val="Instructions"/>
      </w:pPr>
      <w:r>
        <w:separator/>
      </w:r>
    </w:p>
  </w:endnote>
  <w:endnote w:type="continuationSeparator" w:id="0">
    <w:p w14:paraId="4565CA22" w14:textId="77777777" w:rsidR="002A68C8" w:rsidRDefault="002A68C8" w:rsidP="00B03176">
      <w:pPr>
        <w:pStyle w:val="Instructions"/>
      </w:pPr>
      <w:r>
        <w:continuationSeparator/>
      </w:r>
    </w:p>
  </w:endnote>
  <w:endnote w:type="continuationNotice" w:id="1">
    <w:p w14:paraId="7378CEA2" w14:textId="77777777" w:rsidR="002A68C8" w:rsidRDefault="002A68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E54A" w14:textId="77777777" w:rsidR="00CD58F1" w:rsidRDefault="00CD58F1"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329F6" w14:textId="77777777" w:rsidR="00CD58F1" w:rsidRDefault="00CD58F1" w:rsidP="0022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1C1A" w14:textId="2CB5A6FE" w:rsidR="00CD58F1" w:rsidRDefault="00CD58F1"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613">
      <w:rPr>
        <w:rStyle w:val="PageNumber"/>
        <w:noProof/>
      </w:rPr>
      <w:t>37</w:t>
    </w:r>
    <w:r>
      <w:rPr>
        <w:rStyle w:val="PageNumber"/>
      </w:rPr>
      <w:fldChar w:fldCharType="end"/>
    </w:r>
  </w:p>
  <w:bookmarkStart w:id="7" w:name="OLE_LINK1"/>
  <w:bookmarkStart w:id="8" w:name="OLE_LINK2"/>
  <w:bookmarkStart w:id="9" w:name="_Hlk297191403"/>
  <w:p w14:paraId="754AE284" w14:textId="3DAC9E81" w:rsidR="00CD58F1" w:rsidRDefault="00CD58F1" w:rsidP="00393591">
    <w:pPr>
      <w:pStyle w:val="Footer"/>
      <w:ind w:right="360"/>
    </w:pPr>
    <w:r>
      <w:fldChar w:fldCharType="begin"/>
    </w:r>
    <w:r>
      <w:instrText xml:space="preserve"> FILENAME   \* MERGEFORMAT </w:instrText>
    </w:r>
    <w:r>
      <w:fldChar w:fldCharType="separate"/>
    </w:r>
    <w:r>
      <w:rPr>
        <w:noProof/>
      </w:rPr>
      <w:t>161213-M-Camm Ablation Cardioversion Rivaroxaban draft 9.docx</w:t>
    </w:r>
    <w:r>
      <w:fldChar w:fldCharType="end"/>
    </w:r>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C77F" w14:textId="77777777" w:rsidR="002A68C8" w:rsidRDefault="002A68C8" w:rsidP="00B03176">
      <w:pPr>
        <w:pStyle w:val="Instructions"/>
      </w:pPr>
      <w:r>
        <w:separator/>
      </w:r>
    </w:p>
  </w:footnote>
  <w:footnote w:type="continuationSeparator" w:id="0">
    <w:p w14:paraId="13B833D4" w14:textId="77777777" w:rsidR="002A68C8" w:rsidRDefault="002A68C8" w:rsidP="00B03176">
      <w:pPr>
        <w:pStyle w:val="Instructions"/>
      </w:pPr>
      <w:r>
        <w:continuationSeparator/>
      </w:r>
    </w:p>
  </w:footnote>
  <w:footnote w:type="continuationNotice" w:id="1">
    <w:p w14:paraId="1C1EC246" w14:textId="77777777" w:rsidR="002A68C8" w:rsidRDefault="002A68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F45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28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61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C0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A7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ED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8C5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4484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01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AC0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53457"/>
    <w:multiLevelType w:val="hybridMultilevel"/>
    <w:tmpl w:val="3998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301ECA"/>
    <w:multiLevelType w:val="hybridMultilevel"/>
    <w:tmpl w:val="28F0C5CA"/>
    <w:lvl w:ilvl="0" w:tplc="B1D014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E7B78"/>
    <w:multiLevelType w:val="multilevel"/>
    <w:tmpl w:val="FE22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A58C1"/>
    <w:multiLevelType w:val="hybridMultilevel"/>
    <w:tmpl w:val="36F017E0"/>
    <w:lvl w:ilvl="0" w:tplc="E3688C74">
      <w:start w:val="1"/>
      <w:numFmt w:val="bullet"/>
      <w:lvlText w:val=""/>
      <w:lvlJc w:val="left"/>
      <w:pPr>
        <w:tabs>
          <w:tab w:val="num" w:pos="643"/>
        </w:tabs>
        <w:ind w:left="64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26815"/>
    <w:multiLevelType w:val="hybridMultilevel"/>
    <w:tmpl w:val="D7A09F9E"/>
    <w:lvl w:ilvl="0" w:tplc="D63402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C06E3"/>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6" w15:restartNumberingAfterBreak="0">
    <w:nsid w:val="15341264"/>
    <w:multiLevelType w:val="multilevel"/>
    <w:tmpl w:val="143A40E2"/>
    <w:numStyleLink w:val="Bulletlist"/>
  </w:abstractNum>
  <w:abstractNum w:abstractNumId="17" w15:restartNumberingAfterBreak="0">
    <w:nsid w:val="16F730DE"/>
    <w:multiLevelType w:val="hybridMultilevel"/>
    <w:tmpl w:val="036E0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7B06F2"/>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9" w15:restartNumberingAfterBreak="0">
    <w:nsid w:val="23442EBD"/>
    <w:multiLevelType w:val="multilevel"/>
    <w:tmpl w:val="343A0F8E"/>
    <w:styleLink w:val="Bulletlist0"/>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20" w15:restartNumberingAfterBreak="0">
    <w:nsid w:val="236E6673"/>
    <w:multiLevelType w:val="multilevel"/>
    <w:tmpl w:val="143A40E2"/>
    <w:styleLink w:val="Bulletlist"/>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21" w15:restartNumberingAfterBreak="0">
    <w:nsid w:val="2D1F31E7"/>
    <w:multiLevelType w:val="hybridMultilevel"/>
    <w:tmpl w:val="0CA8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850A4"/>
    <w:multiLevelType w:val="multilevel"/>
    <w:tmpl w:val="343A0F8E"/>
    <w:numStyleLink w:val="Bulletlist0"/>
  </w:abstractNum>
  <w:abstractNum w:abstractNumId="23" w15:restartNumberingAfterBreak="0">
    <w:nsid w:val="3B060537"/>
    <w:multiLevelType w:val="hybridMultilevel"/>
    <w:tmpl w:val="6854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74846"/>
    <w:multiLevelType w:val="multilevel"/>
    <w:tmpl w:val="143A40E2"/>
    <w:numStyleLink w:val="Bulletlist"/>
  </w:abstractNum>
  <w:abstractNum w:abstractNumId="25" w15:restartNumberingAfterBreak="0">
    <w:nsid w:val="42D35A5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C971292"/>
    <w:multiLevelType w:val="hybridMultilevel"/>
    <w:tmpl w:val="7F02CCD8"/>
    <w:lvl w:ilvl="0" w:tplc="08090001">
      <w:start w:val="1"/>
      <w:numFmt w:val="bullet"/>
      <w:lvlText w:val=""/>
      <w:lvlJc w:val="left"/>
      <w:pPr>
        <w:ind w:left="720" w:hanging="360"/>
      </w:pPr>
      <w:rPr>
        <w:rFonts w:ascii="Symbol" w:hAnsi="Symbol" w:hint="default"/>
      </w:rPr>
    </w:lvl>
    <w:lvl w:ilvl="1" w:tplc="C518BCCC">
      <w:start w:val="1"/>
      <w:numFmt w:val="bullet"/>
      <w:lvlText w:val="–"/>
      <w:lvlJc w:val="left"/>
      <w:pPr>
        <w:ind w:left="1440" w:hanging="360"/>
      </w:pPr>
      <w:rPr>
        <w:rFonts w:ascii="Arial" w:hAnsi="Arial"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F559C"/>
    <w:multiLevelType w:val="multilevel"/>
    <w:tmpl w:val="CE36854E"/>
    <w:styleLink w:val="List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14" w:hanging="354"/>
      </w:pPr>
      <w:rPr>
        <w:rFonts w:ascii="Arial" w:hAnsi="Aria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pStyle w:val="ListBullet4"/>
      <w:lvlText w:val="–"/>
      <w:lvlJc w:val="left"/>
      <w:pPr>
        <w:ind w:left="1429" w:hanging="357"/>
      </w:pPr>
      <w:rPr>
        <w:rFonts w:ascii="Arial" w:hAnsi="Arial" w:hint="default"/>
        <w:color w:val="auto"/>
      </w:rPr>
    </w:lvl>
    <w:lvl w:ilvl="4">
      <w:start w:val="1"/>
      <w:numFmt w:val="bullet"/>
      <w:pStyle w:val="ListBullet5"/>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F02479"/>
    <w:multiLevelType w:val="multilevel"/>
    <w:tmpl w:val="AE1021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A75696"/>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0" w15:restartNumberingAfterBreak="0">
    <w:nsid w:val="64210099"/>
    <w:multiLevelType w:val="multilevel"/>
    <w:tmpl w:val="143A40E2"/>
    <w:numStyleLink w:val="Bulletlist"/>
  </w:abstractNum>
  <w:abstractNum w:abstractNumId="31" w15:restartNumberingAfterBreak="0">
    <w:nsid w:val="648802B1"/>
    <w:multiLevelType w:val="multilevel"/>
    <w:tmpl w:val="CE36854E"/>
    <w:numStyleLink w:val="ListBullets"/>
  </w:abstractNum>
  <w:abstractNum w:abstractNumId="32" w15:restartNumberingAfterBreak="0">
    <w:nsid w:val="65025C4A"/>
    <w:multiLevelType w:val="multilevel"/>
    <w:tmpl w:val="143A40E2"/>
    <w:numStyleLink w:val="Bulletlist"/>
  </w:abstractNum>
  <w:abstractNum w:abstractNumId="33" w15:restartNumberingAfterBreak="0">
    <w:nsid w:val="695B1194"/>
    <w:multiLevelType w:val="hybridMultilevel"/>
    <w:tmpl w:val="E7928AA0"/>
    <w:lvl w:ilvl="0" w:tplc="F3083E6A">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4" w15:restartNumberingAfterBreak="0">
    <w:nsid w:val="6E8E0C7B"/>
    <w:multiLevelType w:val="multilevel"/>
    <w:tmpl w:val="CE36854E"/>
    <w:numStyleLink w:val="ListBullets"/>
  </w:abstractNum>
  <w:abstractNum w:abstractNumId="35" w15:restartNumberingAfterBreak="0">
    <w:nsid w:val="70263B64"/>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6" w15:restartNumberingAfterBreak="0">
    <w:nsid w:val="78C02543"/>
    <w:multiLevelType w:val="hybridMultilevel"/>
    <w:tmpl w:val="6652D4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B418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BAA058A"/>
    <w:multiLevelType w:val="multilevel"/>
    <w:tmpl w:val="CE36854E"/>
    <w:numStyleLink w:val="ListBullets"/>
  </w:abstractNum>
  <w:num w:numId="1">
    <w:abstractNumId w:val="36"/>
  </w:num>
  <w:num w:numId="2">
    <w:abstractNumId w:val="37"/>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29"/>
  </w:num>
  <w:num w:numId="17">
    <w:abstractNumId w:val="15"/>
  </w:num>
  <w:num w:numId="18">
    <w:abstractNumId w:val="18"/>
  </w:num>
  <w:num w:numId="19">
    <w:abstractNumId w:val="35"/>
  </w:num>
  <w:num w:numId="20">
    <w:abstractNumId w:val="13"/>
  </w:num>
  <w:num w:numId="21">
    <w:abstractNumId w:val="20"/>
  </w:num>
  <w:num w:numId="22">
    <w:abstractNumId w:val="24"/>
  </w:num>
  <w:num w:numId="23">
    <w:abstractNumId w:val="32"/>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 w:numId="24">
    <w:abstractNumId w:val="16"/>
  </w:num>
  <w:num w:numId="25">
    <w:abstractNumId w:val="30"/>
  </w:num>
  <w:num w:numId="26">
    <w:abstractNumId w:val="27"/>
  </w:num>
  <w:num w:numId="27">
    <w:abstractNumId w:val="34"/>
  </w:num>
  <w:num w:numId="28">
    <w:abstractNumId w:val="28"/>
  </w:num>
  <w:num w:numId="29">
    <w:abstractNumId w:val="31"/>
  </w:num>
  <w:num w:numId="30">
    <w:abstractNumId w:val="38"/>
  </w:num>
  <w:num w:numId="31">
    <w:abstractNumId w:val="23"/>
  </w:num>
  <w:num w:numId="32">
    <w:abstractNumId w:val="26"/>
  </w:num>
  <w:num w:numId="33">
    <w:abstractNumId w:val="17"/>
  </w:num>
  <w:num w:numId="34">
    <w:abstractNumId w:val="33"/>
  </w:num>
  <w:num w:numId="35">
    <w:abstractNumId w:val="21"/>
  </w:num>
  <w:num w:numId="36">
    <w:abstractNumId w:val="12"/>
  </w:num>
  <w:num w:numId="37">
    <w:abstractNumId w:val="10"/>
  </w:num>
  <w:num w:numId="38">
    <w:abstractNumId w:val="14"/>
  </w:num>
  <w:num w:numId="39">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Camm">
    <w15:presenceInfo w15:providerId="Windows Live" w15:userId="bfd74494a5583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5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T:\Reference Manager 10 Network\Program\Styles\EuroPace 150106.os&lt;/StartingRefnum&gt;&lt;FontName&gt;Arial&lt;/FontName&gt;&lt;FontSize&gt;11&lt;/FontSize&gt;&lt;ReflistTitle&gt;&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amp;#xA;&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ayerf~1&lt;/item&gt;&lt;/Libraries&gt;&lt;/Databases&gt;"/>
  </w:docVars>
  <w:rsids>
    <w:rsidRoot w:val="00ED4320"/>
    <w:rsid w:val="0000495D"/>
    <w:rsid w:val="00006031"/>
    <w:rsid w:val="000102BD"/>
    <w:rsid w:val="00010DFF"/>
    <w:rsid w:val="00011060"/>
    <w:rsid w:val="00014B7A"/>
    <w:rsid w:val="00014D9A"/>
    <w:rsid w:val="00015521"/>
    <w:rsid w:val="00020DF8"/>
    <w:rsid w:val="00021CC9"/>
    <w:rsid w:val="000222A5"/>
    <w:rsid w:val="00027661"/>
    <w:rsid w:val="0003068E"/>
    <w:rsid w:val="00030FA7"/>
    <w:rsid w:val="0003264F"/>
    <w:rsid w:val="000337D6"/>
    <w:rsid w:val="00036499"/>
    <w:rsid w:val="0003782D"/>
    <w:rsid w:val="000378F8"/>
    <w:rsid w:val="00037EA7"/>
    <w:rsid w:val="00041243"/>
    <w:rsid w:val="00042893"/>
    <w:rsid w:val="00042D42"/>
    <w:rsid w:val="0004529D"/>
    <w:rsid w:val="00045E16"/>
    <w:rsid w:val="000461A2"/>
    <w:rsid w:val="0004691E"/>
    <w:rsid w:val="0005083F"/>
    <w:rsid w:val="00051C0F"/>
    <w:rsid w:val="00052057"/>
    <w:rsid w:val="000522A1"/>
    <w:rsid w:val="00052F54"/>
    <w:rsid w:val="000538E2"/>
    <w:rsid w:val="000568B9"/>
    <w:rsid w:val="00057448"/>
    <w:rsid w:val="00057453"/>
    <w:rsid w:val="0006202A"/>
    <w:rsid w:val="0007218B"/>
    <w:rsid w:val="000735A8"/>
    <w:rsid w:val="00075760"/>
    <w:rsid w:val="00081B3B"/>
    <w:rsid w:val="0008392C"/>
    <w:rsid w:val="00085273"/>
    <w:rsid w:val="00087C0B"/>
    <w:rsid w:val="000902DD"/>
    <w:rsid w:val="00092FB7"/>
    <w:rsid w:val="00094790"/>
    <w:rsid w:val="00095710"/>
    <w:rsid w:val="00096D1D"/>
    <w:rsid w:val="00097067"/>
    <w:rsid w:val="000B0469"/>
    <w:rsid w:val="000B1B88"/>
    <w:rsid w:val="000B4D35"/>
    <w:rsid w:val="000B53E9"/>
    <w:rsid w:val="000B7956"/>
    <w:rsid w:val="000C1C04"/>
    <w:rsid w:val="000C2464"/>
    <w:rsid w:val="000C3B8B"/>
    <w:rsid w:val="000C3C1A"/>
    <w:rsid w:val="000C4B24"/>
    <w:rsid w:val="000C7905"/>
    <w:rsid w:val="000D0804"/>
    <w:rsid w:val="000D203B"/>
    <w:rsid w:val="000D4358"/>
    <w:rsid w:val="000D5C81"/>
    <w:rsid w:val="000D73D9"/>
    <w:rsid w:val="000E6378"/>
    <w:rsid w:val="000F0A11"/>
    <w:rsid w:val="000F102C"/>
    <w:rsid w:val="000F12E4"/>
    <w:rsid w:val="000F1341"/>
    <w:rsid w:val="000F1CAD"/>
    <w:rsid w:val="000F3AFE"/>
    <w:rsid w:val="000F41CC"/>
    <w:rsid w:val="000F5C50"/>
    <w:rsid w:val="001039F2"/>
    <w:rsid w:val="001057EF"/>
    <w:rsid w:val="00107A2D"/>
    <w:rsid w:val="00115693"/>
    <w:rsid w:val="00115E81"/>
    <w:rsid w:val="0012136E"/>
    <w:rsid w:val="001215E3"/>
    <w:rsid w:val="001230E5"/>
    <w:rsid w:val="00123AD8"/>
    <w:rsid w:val="00124D3F"/>
    <w:rsid w:val="00132C74"/>
    <w:rsid w:val="001348C0"/>
    <w:rsid w:val="0013637B"/>
    <w:rsid w:val="00136A2F"/>
    <w:rsid w:val="00136B2B"/>
    <w:rsid w:val="00136F4E"/>
    <w:rsid w:val="00140127"/>
    <w:rsid w:val="001435EB"/>
    <w:rsid w:val="001458BD"/>
    <w:rsid w:val="00146B5C"/>
    <w:rsid w:val="001508C8"/>
    <w:rsid w:val="001512DD"/>
    <w:rsid w:val="00151DDF"/>
    <w:rsid w:val="00153BE3"/>
    <w:rsid w:val="00155515"/>
    <w:rsid w:val="00156522"/>
    <w:rsid w:val="00160E26"/>
    <w:rsid w:val="00164693"/>
    <w:rsid w:val="00165263"/>
    <w:rsid w:val="00171191"/>
    <w:rsid w:val="001735D7"/>
    <w:rsid w:val="00174B09"/>
    <w:rsid w:val="001764C6"/>
    <w:rsid w:val="00180A48"/>
    <w:rsid w:val="00181B42"/>
    <w:rsid w:val="00182892"/>
    <w:rsid w:val="00185CC1"/>
    <w:rsid w:val="00190F41"/>
    <w:rsid w:val="00191E64"/>
    <w:rsid w:val="00193263"/>
    <w:rsid w:val="00195572"/>
    <w:rsid w:val="00197A8B"/>
    <w:rsid w:val="00197CCE"/>
    <w:rsid w:val="001A0032"/>
    <w:rsid w:val="001A46EE"/>
    <w:rsid w:val="001A6A52"/>
    <w:rsid w:val="001A6DF8"/>
    <w:rsid w:val="001B0982"/>
    <w:rsid w:val="001B53F5"/>
    <w:rsid w:val="001B5A4A"/>
    <w:rsid w:val="001B7D76"/>
    <w:rsid w:val="001C176C"/>
    <w:rsid w:val="001C1C04"/>
    <w:rsid w:val="001C213C"/>
    <w:rsid w:val="001C3037"/>
    <w:rsid w:val="001C3605"/>
    <w:rsid w:val="001C5DDD"/>
    <w:rsid w:val="001D0916"/>
    <w:rsid w:val="001D350D"/>
    <w:rsid w:val="001D578A"/>
    <w:rsid w:val="001D62D6"/>
    <w:rsid w:val="001D6C65"/>
    <w:rsid w:val="001D73FF"/>
    <w:rsid w:val="001D7528"/>
    <w:rsid w:val="001E5743"/>
    <w:rsid w:val="001E5D49"/>
    <w:rsid w:val="001E703D"/>
    <w:rsid w:val="001F6884"/>
    <w:rsid w:val="001F77F5"/>
    <w:rsid w:val="001F7CA2"/>
    <w:rsid w:val="002052B6"/>
    <w:rsid w:val="00206D4F"/>
    <w:rsid w:val="00207205"/>
    <w:rsid w:val="00212843"/>
    <w:rsid w:val="00212EDE"/>
    <w:rsid w:val="00213E78"/>
    <w:rsid w:val="00216F35"/>
    <w:rsid w:val="002226DB"/>
    <w:rsid w:val="00223156"/>
    <w:rsid w:val="0022414E"/>
    <w:rsid w:val="0022461D"/>
    <w:rsid w:val="00235607"/>
    <w:rsid w:val="00237DB2"/>
    <w:rsid w:val="00241797"/>
    <w:rsid w:val="002419F9"/>
    <w:rsid w:val="0024212A"/>
    <w:rsid w:val="002443CC"/>
    <w:rsid w:val="00244742"/>
    <w:rsid w:val="002469B2"/>
    <w:rsid w:val="00246C50"/>
    <w:rsid w:val="00246F62"/>
    <w:rsid w:val="002521F9"/>
    <w:rsid w:val="00256B87"/>
    <w:rsid w:val="00257977"/>
    <w:rsid w:val="0026037B"/>
    <w:rsid w:val="002609F3"/>
    <w:rsid w:val="00262097"/>
    <w:rsid w:val="0026427B"/>
    <w:rsid w:val="00264FE6"/>
    <w:rsid w:val="002650F7"/>
    <w:rsid w:val="002668AF"/>
    <w:rsid w:val="00270C31"/>
    <w:rsid w:val="0027788F"/>
    <w:rsid w:val="00280123"/>
    <w:rsid w:val="00280758"/>
    <w:rsid w:val="00280797"/>
    <w:rsid w:val="00281982"/>
    <w:rsid w:val="00282C6C"/>
    <w:rsid w:val="00283BB8"/>
    <w:rsid w:val="00286412"/>
    <w:rsid w:val="00286A5B"/>
    <w:rsid w:val="00291426"/>
    <w:rsid w:val="00294E11"/>
    <w:rsid w:val="002A1250"/>
    <w:rsid w:val="002A13D8"/>
    <w:rsid w:val="002A1A20"/>
    <w:rsid w:val="002A61D6"/>
    <w:rsid w:val="002A68C8"/>
    <w:rsid w:val="002B02A9"/>
    <w:rsid w:val="002B0971"/>
    <w:rsid w:val="002C2888"/>
    <w:rsid w:val="002C4205"/>
    <w:rsid w:val="002C5AC5"/>
    <w:rsid w:val="002C67DF"/>
    <w:rsid w:val="002D22EB"/>
    <w:rsid w:val="002D2C55"/>
    <w:rsid w:val="002D3858"/>
    <w:rsid w:val="002D3CD4"/>
    <w:rsid w:val="002D44F6"/>
    <w:rsid w:val="002D5146"/>
    <w:rsid w:val="002E0D33"/>
    <w:rsid w:val="002E1835"/>
    <w:rsid w:val="002E2CD5"/>
    <w:rsid w:val="002E439F"/>
    <w:rsid w:val="002E6247"/>
    <w:rsid w:val="002F0782"/>
    <w:rsid w:val="002F11C3"/>
    <w:rsid w:val="002F2195"/>
    <w:rsid w:val="002F394F"/>
    <w:rsid w:val="002F4D28"/>
    <w:rsid w:val="003032EC"/>
    <w:rsid w:val="00310525"/>
    <w:rsid w:val="00315172"/>
    <w:rsid w:val="00317560"/>
    <w:rsid w:val="00320C4B"/>
    <w:rsid w:val="00321CFA"/>
    <w:rsid w:val="003228D2"/>
    <w:rsid w:val="00323A0B"/>
    <w:rsid w:val="00325444"/>
    <w:rsid w:val="00331E80"/>
    <w:rsid w:val="003330B8"/>
    <w:rsid w:val="00336074"/>
    <w:rsid w:val="00337B6A"/>
    <w:rsid w:val="00341310"/>
    <w:rsid w:val="00342238"/>
    <w:rsid w:val="00342432"/>
    <w:rsid w:val="00342DC7"/>
    <w:rsid w:val="0034369E"/>
    <w:rsid w:val="003445B2"/>
    <w:rsid w:val="00345135"/>
    <w:rsid w:val="00350147"/>
    <w:rsid w:val="003524DB"/>
    <w:rsid w:val="003531A0"/>
    <w:rsid w:val="0035432E"/>
    <w:rsid w:val="00357183"/>
    <w:rsid w:val="0035721E"/>
    <w:rsid w:val="00357247"/>
    <w:rsid w:val="0036519E"/>
    <w:rsid w:val="0036666E"/>
    <w:rsid w:val="00366925"/>
    <w:rsid w:val="00366B11"/>
    <w:rsid w:val="00367D83"/>
    <w:rsid w:val="003702CD"/>
    <w:rsid w:val="00370F74"/>
    <w:rsid w:val="003726CA"/>
    <w:rsid w:val="0037532D"/>
    <w:rsid w:val="00377F58"/>
    <w:rsid w:val="00383D05"/>
    <w:rsid w:val="00386A9D"/>
    <w:rsid w:val="0039072B"/>
    <w:rsid w:val="00391604"/>
    <w:rsid w:val="003929CE"/>
    <w:rsid w:val="00392D68"/>
    <w:rsid w:val="00393275"/>
    <w:rsid w:val="00393591"/>
    <w:rsid w:val="0039747F"/>
    <w:rsid w:val="00397C9D"/>
    <w:rsid w:val="003A1AAA"/>
    <w:rsid w:val="003A397D"/>
    <w:rsid w:val="003A7A71"/>
    <w:rsid w:val="003A7CEB"/>
    <w:rsid w:val="003B12DD"/>
    <w:rsid w:val="003B143D"/>
    <w:rsid w:val="003B154E"/>
    <w:rsid w:val="003B5544"/>
    <w:rsid w:val="003B57DE"/>
    <w:rsid w:val="003B6CF0"/>
    <w:rsid w:val="003C04BB"/>
    <w:rsid w:val="003C28C4"/>
    <w:rsid w:val="003C4D1A"/>
    <w:rsid w:val="003C709C"/>
    <w:rsid w:val="003D0790"/>
    <w:rsid w:val="003D6C0E"/>
    <w:rsid w:val="003D7793"/>
    <w:rsid w:val="003E0405"/>
    <w:rsid w:val="003E48EA"/>
    <w:rsid w:val="003E5A60"/>
    <w:rsid w:val="003E5DB9"/>
    <w:rsid w:val="003E5E92"/>
    <w:rsid w:val="003E65FE"/>
    <w:rsid w:val="003E6C6E"/>
    <w:rsid w:val="003E7A40"/>
    <w:rsid w:val="003F1B81"/>
    <w:rsid w:val="003F1FAA"/>
    <w:rsid w:val="003F4851"/>
    <w:rsid w:val="003F6868"/>
    <w:rsid w:val="003F7C0B"/>
    <w:rsid w:val="00400454"/>
    <w:rsid w:val="0040167E"/>
    <w:rsid w:val="00404172"/>
    <w:rsid w:val="004051A7"/>
    <w:rsid w:val="004112A6"/>
    <w:rsid w:val="00411DE2"/>
    <w:rsid w:val="0041745E"/>
    <w:rsid w:val="00420FD3"/>
    <w:rsid w:val="00422A37"/>
    <w:rsid w:val="00425630"/>
    <w:rsid w:val="004267B5"/>
    <w:rsid w:val="00427D83"/>
    <w:rsid w:val="00430135"/>
    <w:rsid w:val="00432221"/>
    <w:rsid w:val="00434322"/>
    <w:rsid w:val="0043445B"/>
    <w:rsid w:val="00436E0D"/>
    <w:rsid w:val="004421F4"/>
    <w:rsid w:val="00442AE2"/>
    <w:rsid w:val="00442F6F"/>
    <w:rsid w:val="004445DA"/>
    <w:rsid w:val="00444B6A"/>
    <w:rsid w:val="004534EB"/>
    <w:rsid w:val="0045749E"/>
    <w:rsid w:val="004575EA"/>
    <w:rsid w:val="0046128C"/>
    <w:rsid w:val="004635AA"/>
    <w:rsid w:val="00465856"/>
    <w:rsid w:val="00465868"/>
    <w:rsid w:val="00467A7B"/>
    <w:rsid w:val="00467D27"/>
    <w:rsid w:val="004701DE"/>
    <w:rsid w:val="00470300"/>
    <w:rsid w:val="00470347"/>
    <w:rsid w:val="00470BF2"/>
    <w:rsid w:val="004738C6"/>
    <w:rsid w:val="00480958"/>
    <w:rsid w:val="00481658"/>
    <w:rsid w:val="00482AB3"/>
    <w:rsid w:val="00483ACF"/>
    <w:rsid w:val="00487D78"/>
    <w:rsid w:val="00487DE1"/>
    <w:rsid w:val="00493498"/>
    <w:rsid w:val="00497B1B"/>
    <w:rsid w:val="004A19A9"/>
    <w:rsid w:val="004A2A7B"/>
    <w:rsid w:val="004A3CCF"/>
    <w:rsid w:val="004A533D"/>
    <w:rsid w:val="004A5390"/>
    <w:rsid w:val="004A5A1B"/>
    <w:rsid w:val="004A7269"/>
    <w:rsid w:val="004B00D1"/>
    <w:rsid w:val="004B22B8"/>
    <w:rsid w:val="004B3AB9"/>
    <w:rsid w:val="004B602D"/>
    <w:rsid w:val="004C2459"/>
    <w:rsid w:val="004C4D25"/>
    <w:rsid w:val="004C5BEC"/>
    <w:rsid w:val="004C5EA4"/>
    <w:rsid w:val="004C749A"/>
    <w:rsid w:val="004D055F"/>
    <w:rsid w:val="004D2579"/>
    <w:rsid w:val="004D3228"/>
    <w:rsid w:val="004D3B7B"/>
    <w:rsid w:val="004D44B6"/>
    <w:rsid w:val="004D715D"/>
    <w:rsid w:val="004E05AC"/>
    <w:rsid w:val="004E0651"/>
    <w:rsid w:val="004E15F8"/>
    <w:rsid w:val="004E1687"/>
    <w:rsid w:val="004E2A65"/>
    <w:rsid w:val="004E3290"/>
    <w:rsid w:val="004E469A"/>
    <w:rsid w:val="004E4A7F"/>
    <w:rsid w:val="004E5679"/>
    <w:rsid w:val="004E6C37"/>
    <w:rsid w:val="004F0BB1"/>
    <w:rsid w:val="004F1E36"/>
    <w:rsid w:val="004F2040"/>
    <w:rsid w:val="004F20C4"/>
    <w:rsid w:val="004F2ADB"/>
    <w:rsid w:val="004F2E25"/>
    <w:rsid w:val="004F3F1B"/>
    <w:rsid w:val="004F499C"/>
    <w:rsid w:val="004F6777"/>
    <w:rsid w:val="004F7523"/>
    <w:rsid w:val="00502A97"/>
    <w:rsid w:val="00502C6F"/>
    <w:rsid w:val="0050553F"/>
    <w:rsid w:val="00505584"/>
    <w:rsid w:val="00507088"/>
    <w:rsid w:val="00507DA2"/>
    <w:rsid w:val="0051397A"/>
    <w:rsid w:val="005206DE"/>
    <w:rsid w:val="00524736"/>
    <w:rsid w:val="00524827"/>
    <w:rsid w:val="0052513A"/>
    <w:rsid w:val="0052557E"/>
    <w:rsid w:val="005255B6"/>
    <w:rsid w:val="00526CDF"/>
    <w:rsid w:val="005347A3"/>
    <w:rsid w:val="00535391"/>
    <w:rsid w:val="00541588"/>
    <w:rsid w:val="005431BB"/>
    <w:rsid w:val="005446DD"/>
    <w:rsid w:val="005505F2"/>
    <w:rsid w:val="00553C40"/>
    <w:rsid w:val="00553CAF"/>
    <w:rsid w:val="00553FCC"/>
    <w:rsid w:val="005542D1"/>
    <w:rsid w:val="0055510E"/>
    <w:rsid w:val="00556074"/>
    <w:rsid w:val="00557208"/>
    <w:rsid w:val="005612D0"/>
    <w:rsid w:val="00567A71"/>
    <w:rsid w:val="005709FB"/>
    <w:rsid w:val="005714B6"/>
    <w:rsid w:val="00572E41"/>
    <w:rsid w:val="0057503E"/>
    <w:rsid w:val="00575B34"/>
    <w:rsid w:val="00580717"/>
    <w:rsid w:val="00581D83"/>
    <w:rsid w:val="0058599D"/>
    <w:rsid w:val="00586065"/>
    <w:rsid w:val="0059193D"/>
    <w:rsid w:val="005957B0"/>
    <w:rsid w:val="0059761E"/>
    <w:rsid w:val="005A0B93"/>
    <w:rsid w:val="005A2617"/>
    <w:rsid w:val="005A29A2"/>
    <w:rsid w:val="005A3BD7"/>
    <w:rsid w:val="005B332D"/>
    <w:rsid w:val="005B3E84"/>
    <w:rsid w:val="005B41B4"/>
    <w:rsid w:val="005C07E4"/>
    <w:rsid w:val="005C140F"/>
    <w:rsid w:val="005C5E87"/>
    <w:rsid w:val="005C5FD3"/>
    <w:rsid w:val="005C6F59"/>
    <w:rsid w:val="005D72D0"/>
    <w:rsid w:val="005E1C4C"/>
    <w:rsid w:val="005E1FFC"/>
    <w:rsid w:val="005E6D67"/>
    <w:rsid w:val="005F047D"/>
    <w:rsid w:val="005F0AD7"/>
    <w:rsid w:val="005F47B0"/>
    <w:rsid w:val="005F50A3"/>
    <w:rsid w:val="005F7094"/>
    <w:rsid w:val="00600A07"/>
    <w:rsid w:val="006033DE"/>
    <w:rsid w:val="00611626"/>
    <w:rsid w:val="006139A1"/>
    <w:rsid w:val="006163A3"/>
    <w:rsid w:val="00616613"/>
    <w:rsid w:val="006226B8"/>
    <w:rsid w:val="00623CFC"/>
    <w:rsid w:val="00624D95"/>
    <w:rsid w:val="006269C1"/>
    <w:rsid w:val="00627CCD"/>
    <w:rsid w:val="006439B2"/>
    <w:rsid w:val="00644764"/>
    <w:rsid w:val="0065378D"/>
    <w:rsid w:val="00667E11"/>
    <w:rsid w:val="00667FC7"/>
    <w:rsid w:val="00670A50"/>
    <w:rsid w:val="00670AEA"/>
    <w:rsid w:val="00672142"/>
    <w:rsid w:val="00673DC4"/>
    <w:rsid w:val="006740D6"/>
    <w:rsid w:val="00675132"/>
    <w:rsid w:val="0067664A"/>
    <w:rsid w:val="00676B3B"/>
    <w:rsid w:val="00676D7D"/>
    <w:rsid w:val="00681070"/>
    <w:rsid w:val="00681323"/>
    <w:rsid w:val="006829AA"/>
    <w:rsid w:val="00683045"/>
    <w:rsid w:val="00683331"/>
    <w:rsid w:val="006906D4"/>
    <w:rsid w:val="00692AE6"/>
    <w:rsid w:val="00692C6B"/>
    <w:rsid w:val="00692FC0"/>
    <w:rsid w:val="00693265"/>
    <w:rsid w:val="00694BFF"/>
    <w:rsid w:val="006A051A"/>
    <w:rsid w:val="006A3370"/>
    <w:rsid w:val="006A439D"/>
    <w:rsid w:val="006A5E83"/>
    <w:rsid w:val="006A6562"/>
    <w:rsid w:val="006A6F02"/>
    <w:rsid w:val="006A74DC"/>
    <w:rsid w:val="006B1A95"/>
    <w:rsid w:val="006B3B93"/>
    <w:rsid w:val="006B3CDE"/>
    <w:rsid w:val="006B40B1"/>
    <w:rsid w:val="006C23A5"/>
    <w:rsid w:val="006C46FF"/>
    <w:rsid w:val="006C74F8"/>
    <w:rsid w:val="006D139D"/>
    <w:rsid w:val="006D3974"/>
    <w:rsid w:val="006D448F"/>
    <w:rsid w:val="006E592B"/>
    <w:rsid w:val="006E7ED0"/>
    <w:rsid w:val="006F1D94"/>
    <w:rsid w:val="006F398A"/>
    <w:rsid w:val="006F455F"/>
    <w:rsid w:val="006F56F6"/>
    <w:rsid w:val="006F57A9"/>
    <w:rsid w:val="006F772C"/>
    <w:rsid w:val="0070105F"/>
    <w:rsid w:val="007026A6"/>
    <w:rsid w:val="00704CB6"/>
    <w:rsid w:val="00704F78"/>
    <w:rsid w:val="007103F7"/>
    <w:rsid w:val="00711298"/>
    <w:rsid w:val="0071244E"/>
    <w:rsid w:val="0071346F"/>
    <w:rsid w:val="00713B5B"/>
    <w:rsid w:val="00714287"/>
    <w:rsid w:val="00715AFC"/>
    <w:rsid w:val="00721562"/>
    <w:rsid w:val="0072343B"/>
    <w:rsid w:val="00723793"/>
    <w:rsid w:val="00723ED8"/>
    <w:rsid w:val="00725D72"/>
    <w:rsid w:val="0073194D"/>
    <w:rsid w:val="00732F7F"/>
    <w:rsid w:val="00733678"/>
    <w:rsid w:val="007357AC"/>
    <w:rsid w:val="00740192"/>
    <w:rsid w:val="007419CB"/>
    <w:rsid w:val="00741BF5"/>
    <w:rsid w:val="007423AD"/>
    <w:rsid w:val="00743E69"/>
    <w:rsid w:val="00744621"/>
    <w:rsid w:val="00746DF2"/>
    <w:rsid w:val="00746EB4"/>
    <w:rsid w:val="00750AE3"/>
    <w:rsid w:val="007532F8"/>
    <w:rsid w:val="00755C58"/>
    <w:rsid w:val="00760FED"/>
    <w:rsid w:val="00763D58"/>
    <w:rsid w:val="00764451"/>
    <w:rsid w:val="00764DBB"/>
    <w:rsid w:val="007654DA"/>
    <w:rsid w:val="007721B2"/>
    <w:rsid w:val="00774AC9"/>
    <w:rsid w:val="007757A3"/>
    <w:rsid w:val="00776164"/>
    <w:rsid w:val="007844B5"/>
    <w:rsid w:val="00785CB3"/>
    <w:rsid w:val="00787861"/>
    <w:rsid w:val="00790AF3"/>
    <w:rsid w:val="00791D52"/>
    <w:rsid w:val="00792F41"/>
    <w:rsid w:val="007936C4"/>
    <w:rsid w:val="007940D5"/>
    <w:rsid w:val="007948CF"/>
    <w:rsid w:val="00794F77"/>
    <w:rsid w:val="00796F41"/>
    <w:rsid w:val="00797313"/>
    <w:rsid w:val="0079741D"/>
    <w:rsid w:val="007A08FF"/>
    <w:rsid w:val="007A5F02"/>
    <w:rsid w:val="007A6CE6"/>
    <w:rsid w:val="007B56C9"/>
    <w:rsid w:val="007B6394"/>
    <w:rsid w:val="007B6C73"/>
    <w:rsid w:val="007B6F11"/>
    <w:rsid w:val="007B7D13"/>
    <w:rsid w:val="007C1DF1"/>
    <w:rsid w:val="007C5260"/>
    <w:rsid w:val="007C65EE"/>
    <w:rsid w:val="007D159A"/>
    <w:rsid w:val="007D18F6"/>
    <w:rsid w:val="007D2417"/>
    <w:rsid w:val="007D2A0A"/>
    <w:rsid w:val="007D4408"/>
    <w:rsid w:val="007E0C60"/>
    <w:rsid w:val="007E3879"/>
    <w:rsid w:val="007F1ADD"/>
    <w:rsid w:val="007F57F3"/>
    <w:rsid w:val="007F65D9"/>
    <w:rsid w:val="008008D0"/>
    <w:rsid w:val="00800F94"/>
    <w:rsid w:val="00802CA5"/>
    <w:rsid w:val="008031DA"/>
    <w:rsid w:val="00803BAB"/>
    <w:rsid w:val="0080515A"/>
    <w:rsid w:val="0080628D"/>
    <w:rsid w:val="0080759C"/>
    <w:rsid w:val="0081031F"/>
    <w:rsid w:val="0081357E"/>
    <w:rsid w:val="0081438C"/>
    <w:rsid w:val="0081483A"/>
    <w:rsid w:val="00816550"/>
    <w:rsid w:val="00816F4C"/>
    <w:rsid w:val="0082036A"/>
    <w:rsid w:val="00821558"/>
    <w:rsid w:val="00821A1D"/>
    <w:rsid w:val="00824316"/>
    <w:rsid w:val="00825723"/>
    <w:rsid w:val="00827C71"/>
    <w:rsid w:val="00831FBA"/>
    <w:rsid w:val="008331FA"/>
    <w:rsid w:val="00836F68"/>
    <w:rsid w:val="0083775A"/>
    <w:rsid w:val="008457DF"/>
    <w:rsid w:val="008459DD"/>
    <w:rsid w:val="00853722"/>
    <w:rsid w:val="008544CD"/>
    <w:rsid w:val="0085455E"/>
    <w:rsid w:val="008565E7"/>
    <w:rsid w:val="00857089"/>
    <w:rsid w:val="008570E8"/>
    <w:rsid w:val="00857D67"/>
    <w:rsid w:val="00860337"/>
    <w:rsid w:val="00861F6A"/>
    <w:rsid w:val="00863C3F"/>
    <w:rsid w:val="00866813"/>
    <w:rsid w:val="008668AF"/>
    <w:rsid w:val="00866CFE"/>
    <w:rsid w:val="0086706A"/>
    <w:rsid w:val="00870CFC"/>
    <w:rsid w:val="00871A68"/>
    <w:rsid w:val="008724C0"/>
    <w:rsid w:val="00876129"/>
    <w:rsid w:val="00882CBB"/>
    <w:rsid w:val="008832BE"/>
    <w:rsid w:val="008847EC"/>
    <w:rsid w:val="00887546"/>
    <w:rsid w:val="0089170C"/>
    <w:rsid w:val="0089391D"/>
    <w:rsid w:val="00894423"/>
    <w:rsid w:val="00895061"/>
    <w:rsid w:val="00895833"/>
    <w:rsid w:val="008A1266"/>
    <w:rsid w:val="008A167C"/>
    <w:rsid w:val="008A2919"/>
    <w:rsid w:val="008A3640"/>
    <w:rsid w:val="008A5C9C"/>
    <w:rsid w:val="008A7FBB"/>
    <w:rsid w:val="008B048E"/>
    <w:rsid w:val="008B30D1"/>
    <w:rsid w:val="008B3D50"/>
    <w:rsid w:val="008B7B9B"/>
    <w:rsid w:val="008C33AA"/>
    <w:rsid w:val="008D0EED"/>
    <w:rsid w:val="008D1492"/>
    <w:rsid w:val="008D16C5"/>
    <w:rsid w:val="008D2053"/>
    <w:rsid w:val="008D5F63"/>
    <w:rsid w:val="008D7AEE"/>
    <w:rsid w:val="008E1999"/>
    <w:rsid w:val="008E50F7"/>
    <w:rsid w:val="008F3BB1"/>
    <w:rsid w:val="008F3E30"/>
    <w:rsid w:val="008F6291"/>
    <w:rsid w:val="008F729A"/>
    <w:rsid w:val="00903AAA"/>
    <w:rsid w:val="00903D7D"/>
    <w:rsid w:val="00906FAD"/>
    <w:rsid w:val="00912155"/>
    <w:rsid w:val="00914D8E"/>
    <w:rsid w:val="00914EAF"/>
    <w:rsid w:val="009154C2"/>
    <w:rsid w:val="0091773D"/>
    <w:rsid w:val="0091779D"/>
    <w:rsid w:val="00917858"/>
    <w:rsid w:val="00923D23"/>
    <w:rsid w:val="00927758"/>
    <w:rsid w:val="00927F0B"/>
    <w:rsid w:val="0093411A"/>
    <w:rsid w:val="00935D7F"/>
    <w:rsid w:val="0093705E"/>
    <w:rsid w:val="00937ACC"/>
    <w:rsid w:val="00942085"/>
    <w:rsid w:val="00942EE2"/>
    <w:rsid w:val="00943D38"/>
    <w:rsid w:val="0094689C"/>
    <w:rsid w:val="00953261"/>
    <w:rsid w:val="00956631"/>
    <w:rsid w:val="00960932"/>
    <w:rsid w:val="00960A7A"/>
    <w:rsid w:val="009636DD"/>
    <w:rsid w:val="009643E0"/>
    <w:rsid w:val="0096447C"/>
    <w:rsid w:val="00971086"/>
    <w:rsid w:val="009731C2"/>
    <w:rsid w:val="009811CC"/>
    <w:rsid w:val="00981C6C"/>
    <w:rsid w:val="00983491"/>
    <w:rsid w:val="009902D4"/>
    <w:rsid w:val="00990872"/>
    <w:rsid w:val="00994F42"/>
    <w:rsid w:val="0099627B"/>
    <w:rsid w:val="009A0D93"/>
    <w:rsid w:val="009A15D6"/>
    <w:rsid w:val="009A1694"/>
    <w:rsid w:val="009A1985"/>
    <w:rsid w:val="009A3676"/>
    <w:rsid w:val="009A49D9"/>
    <w:rsid w:val="009A6D42"/>
    <w:rsid w:val="009B2198"/>
    <w:rsid w:val="009B3B33"/>
    <w:rsid w:val="009B4473"/>
    <w:rsid w:val="009C2065"/>
    <w:rsid w:val="009C2CE3"/>
    <w:rsid w:val="009C41BF"/>
    <w:rsid w:val="009C45F8"/>
    <w:rsid w:val="009D075D"/>
    <w:rsid w:val="009D528A"/>
    <w:rsid w:val="009D7A5A"/>
    <w:rsid w:val="009E011A"/>
    <w:rsid w:val="009E04A0"/>
    <w:rsid w:val="009E0899"/>
    <w:rsid w:val="009E47B4"/>
    <w:rsid w:val="009E5CF2"/>
    <w:rsid w:val="009F05A5"/>
    <w:rsid w:val="009F2277"/>
    <w:rsid w:val="009F3D9C"/>
    <w:rsid w:val="009F55B4"/>
    <w:rsid w:val="009F5F18"/>
    <w:rsid w:val="00A00765"/>
    <w:rsid w:val="00A01E79"/>
    <w:rsid w:val="00A01F40"/>
    <w:rsid w:val="00A03156"/>
    <w:rsid w:val="00A04738"/>
    <w:rsid w:val="00A06B62"/>
    <w:rsid w:val="00A110E9"/>
    <w:rsid w:val="00A1777B"/>
    <w:rsid w:val="00A17D62"/>
    <w:rsid w:val="00A20D4C"/>
    <w:rsid w:val="00A23243"/>
    <w:rsid w:val="00A234E9"/>
    <w:rsid w:val="00A2351D"/>
    <w:rsid w:val="00A23534"/>
    <w:rsid w:val="00A26100"/>
    <w:rsid w:val="00A31858"/>
    <w:rsid w:val="00A33755"/>
    <w:rsid w:val="00A355C1"/>
    <w:rsid w:val="00A363A7"/>
    <w:rsid w:val="00A3722F"/>
    <w:rsid w:val="00A37B7A"/>
    <w:rsid w:val="00A4089C"/>
    <w:rsid w:val="00A40F87"/>
    <w:rsid w:val="00A4249D"/>
    <w:rsid w:val="00A42795"/>
    <w:rsid w:val="00A44288"/>
    <w:rsid w:val="00A44498"/>
    <w:rsid w:val="00A4491B"/>
    <w:rsid w:val="00A44DA7"/>
    <w:rsid w:val="00A451C1"/>
    <w:rsid w:val="00A4623D"/>
    <w:rsid w:val="00A468A0"/>
    <w:rsid w:val="00A47753"/>
    <w:rsid w:val="00A52362"/>
    <w:rsid w:val="00A5267D"/>
    <w:rsid w:val="00A54CE5"/>
    <w:rsid w:val="00A551CB"/>
    <w:rsid w:val="00A555E8"/>
    <w:rsid w:val="00A5680E"/>
    <w:rsid w:val="00A56FAF"/>
    <w:rsid w:val="00A57B60"/>
    <w:rsid w:val="00A63DC4"/>
    <w:rsid w:val="00A6555D"/>
    <w:rsid w:val="00A65654"/>
    <w:rsid w:val="00A662AB"/>
    <w:rsid w:val="00A666BF"/>
    <w:rsid w:val="00A73713"/>
    <w:rsid w:val="00A7436A"/>
    <w:rsid w:val="00A775F3"/>
    <w:rsid w:val="00A8030E"/>
    <w:rsid w:val="00A8429D"/>
    <w:rsid w:val="00A860E1"/>
    <w:rsid w:val="00A91372"/>
    <w:rsid w:val="00A9177F"/>
    <w:rsid w:val="00A919FE"/>
    <w:rsid w:val="00A94A6A"/>
    <w:rsid w:val="00A958F5"/>
    <w:rsid w:val="00AA0374"/>
    <w:rsid w:val="00AA1BFE"/>
    <w:rsid w:val="00AA3483"/>
    <w:rsid w:val="00AA7492"/>
    <w:rsid w:val="00AA79A3"/>
    <w:rsid w:val="00AB0C3C"/>
    <w:rsid w:val="00AB4648"/>
    <w:rsid w:val="00AB6212"/>
    <w:rsid w:val="00AB7147"/>
    <w:rsid w:val="00AC10AA"/>
    <w:rsid w:val="00AC4F43"/>
    <w:rsid w:val="00AC526D"/>
    <w:rsid w:val="00AC6F9A"/>
    <w:rsid w:val="00AD0601"/>
    <w:rsid w:val="00AD46AE"/>
    <w:rsid w:val="00AD59B7"/>
    <w:rsid w:val="00AD6512"/>
    <w:rsid w:val="00AD6792"/>
    <w:rsid w:val="00AD72BD"/>
    <w:rsid w:val="00AE0C62"/>
    <w:rsid w:val="00AE1802"/>
    <w:rsid w:val="00AE19C2"/>
    <w:rsid w:val="00AE281E"/>
    <w:rsid w:val="00AE32DE"/>
    <w:rsid w:val="00AE4C51"/>
    <w:rsid w:val="00AE508A"/>
    <w:rsid w:val="00AE610D"/>
    <w:rsid w:val="00AF0A00"/>
    <w:rsid w:val="00AF1095"/>
    <w:rsid w:val="00AF3240"/>
    <w:rsid w:val="00AF4CDD"/>
    <w:rsid w:val="00AF53AC"/>
    <w:rsid w:val="00B007B8"/>
    <w:rsid w:val="00B00BB7"/>
    <w:rsid w:val="00B00F1D"/>
    <w:rsid w:val="00B02029"/>
    <w:rsid w:val="00B02227"/>
    <w:rsid w:val="00B03176"/>
    <w:rsid w:val="00B0346B"/>
    <w:rsid w:val="00B03CE4"/>
    <w:rsid w:val="00B06B14"/>
    <w:rsid w:val="00B06DFF"/>
    <w:rsid w:val="00B10955"/>
    <w:rsid w:val="00B10C2F"/>
    <w:rsid w:val="00B11FEB"/>
    <w:rsid w:val="00B13DFA"/>
    <w:rsid w:val="00B160C5"/>
    <w:rsid w:val="00B2087D"/>
    <w:rsid w:val="00B21C45"/>
    <w:rsid w:val="00B2697E"/>
    <w:rsid w:val="00B2786D"/>
    <w:rsid w:val="00B35340"/>
    <w:rsid w:val="00B35731"/>
    <w:rsid w:val="00B35E08"/>
    <w:rsid w:val="00B35FFB"/>
    <w:rsid w:val="00B37E91"/>
    <w:rsid w:val="00B42895"/>
    <w:rsid w:val="00B45555"/>
    <w:rsid w:val="00B45945"/>
    <w:rsid w:val="00B46121"/>
    <w:rsid w:val="00B4759A"/>
    <w:rsid w:val="00B47C1C"/>
    <w:rsid w:val="00B50510"/>
    <w:rsid w:val="00B505CD"/>
    <w:rsid w:val="00B5440D"/>
    <w:rsid w:val="00B56FB8"/>
    <w:rsid w:val="00B577C5"/>
    <w:rsid w:val="00B6125A"/>
    <w:rsid w:val="00B621C3"/>
    <w:rsid w:val="00B64398"/>
    <w:rsid w:val="00B66586"/>
    <w:rsid w:val="00B673E7"/>
    <w:rsid w:val="00B679B4"/>
    <w:rsid w:val="00B70E3C"/>
    <w:rsid w:val="00B72CE7"/>
    <w:rsid w:val="00B734BB"/>
    <w:rsid w:val="00B735CA"/>
    <w:rsid w:val="00B73701"/>
    <w:rsid w:val="00B80ADE"/>
    <w:rsid w:val="00B8634C"/>
    <w:rsid w:val="00B869C9"/>
    <w:rsid w:val="00B91AC4"/>
    <w:rsid w:val="00B92766"/>
    <w:rsid w:val="00B97A9E"/>
    <w:rsid w:val="00BA0E3C"/>
    <w:rsid w:val="00BA1E05"/>
    <w:rsid w:val="00BA4B2A"/>
    <w:rsid w:val="00BA5E15"/>
    <w:rsid w:val="00BB0E06"/>
    <w:rsid w:val="00BB0FE1"/>
    <w:rsid w:val="00BB1E07"/>
    <w:rsid w:val="00BB238F"/>
    <w:rsid w:val="00BB26C2"/>
    <w:rsid w:val="00BB3E20"/>
    <w:rsid w:val="00BB5932"/>
    <w:rsid w:val="00BB5F74"/>
    <w:rsid w:val="00BB6394"/>
    <w:rsid w:val="00BB67CA"/>
    <w:rsid w:val="00BB7682"/>
    <w:rsid w:val="00BC0F79"/>
    <w:rsid w:val="00BC271A"/>
    <w:rsid w:val="00BC3390"/>
    <w:rsid w:val="00BC42EC"/>
    <w:rsid w:val="00BC5B28"/>
    <w:rsid w:val="00BD1359"/>
    <w:rsid w:val="00BD3629"/>
    <w:rsid w:val="00BD6574"/>
    <w:rsid w:val="00BE03F3"/>
    <w:rsid w:val="00BE2F05"/>
    <w:rsid w:val="00BE4645"/>
    <w:rsid w:val="00BF177E"/>
    <w:rsid w:val="00BF3486"/>
    <w:rsid w:val="00BF619E"/>
    <w:rsid w:val="00BF704B"/>
    <w:rsid w:val="00C00B61"/>
    <w:rsid w:val="00C01C69"/>
    <w:rsid w:val="00C02B6E"/>
    <w:rsid w:val="00C03B99"/>
    <w:rsid w:val="00C05CB6"/>
    <w:rsid w:val="00C11A4E"/>
    <w:rsid w:val="00C13193"/>
    <w:rsid w:val="00C14117"/>
    <w:rsid w:val="00C14C04"/>
    <w:rsid w:val="00C166A8"/>
    <w:rsid w:val="00C20107"/>
    <w:rsid w:val="00C216E9"/>
    <w:rsid w:val="00C21D8C"/>
    <w:rsid w:val="00C22B5C"/>
    <w:rsid w:val="00C23EA4"/>
    <w:rsid w:val="00C25741"/>
    <w:rsid w:val="00C26A07"/>
    <w:rsid w:val="00C312D3"/>
    <w:rsid w:val="00C32BF3"/>
    <w:rsid w:val="00C35529"/>
    <w:rsid w:val="00C36B0A"/>
    <w:rsid w:val="00C3721C"/>
    <w:rsid w:val="00C40449"/>
    <w:rsid w:val="00C40A3F"/>
    <w:rsid w:val="00C41646"/>
    <w:rsid w:val="00C4278A"/>
    <w:rsid w:val="00C43BEC"/>
    <w:rsid w:val="00C43F58"/>
    <w:rsid w:val="00C4547B"/>
    <w:rsid w:val="00C5058D"/>
    <w:rsid w:val="00C51A7E"/>
    <w:rsid w:val="00C53237"/>
    <w:rsid w:val="00C54379"/>
    <w:rsid w:val="00C5450E"/>
    <w:rsid w:val="00C54A1E"/>
    <w:rsid w:val="00C568F1"/>
    <w:rsid w:val="00C5743C"/>
    <w:rsid w:val="00C6008E"/>
    <w:rsid w:val="00C63573"/>
    <w:rsid w:val="00C6555F"/>
    <w:rsid w:val="00C74D8C"/>
    <w:rsid w:val="00C75919"/>
    <w:rsid w:val="00C75E29"/>
    <w:rsid w:val="00C817D5"/>
    <w:rsid w:val="00C81F52"/>
    <w:rsid w:val="00C8265F"/>
    <w:rsid w:val="00C82970"/>
    <w:rsid w:val="00C84ED0"/>
    <w:rsid w:val="00C90286"/>
    <w:rsid w:val="00C902AA"/>
    <w:rsid w:val="00C90B42"/>
    <w:rsid w:val="00C927DE"/>
    <w:rsid w:val="00C92982"/>
    <w:rsid w:val="00C94489"/>
    <w:rsid w:val="00C94B53"/>
    <w:rsid w:val="00C94F59"/>
    <w:rsid w:val="00C955F0"/>
    <w:rsid w:val="00C9622D"/>
    <w:rsid w:val="00CB081B"/>
    <w:rsid w:val="00CB28CA"/>
    <w:rsid w:val="00CB4FAA"/>
    <w:rsid w:val="00CB56DA"/>
    <w:rsid w:val="00CB5719"/>
    <w:rsid w:val="00CB7681"/>
    <w:rsid w:val="00CC071D"/>
    <w:rsid w:val="00CC154E"/>
    <w:rsid w:val="00CC3595"/>
    <w:rsid w:val="00CC57D9"/>
    <w:rsid w:val="00CC6308"/>
    <w:rsid w:val="00CC746E"/>
    <w:rsid w:val="00CD240D"/>
    <w:rsid w:val="00CD4E17"/>
    <w:rsid w:val="00CD58F1"/>
    <w:rsid w:val="00CE02E6"/>
    <w:rsid w:val="00CE1E89"/>
    <w:rsid w:val="00CE54D4"/>
    <w:rsid w:val="00CF05BB"/>
    <w:rsid w:val="00CF1369"/>
    <w:rsid w:val="00CF313F"/>
    <w:rsid w:val="00CF5BD4"/>
    <w:rsid w:val="00CF6D54"/>
    <w:rsid w:val="00CF7564"/>
    <w:rsid w:val="00CF7A39"/>
    <w:rsid w:val="00D0139D"/>
    <w:rsid w:val="00D01445"/>
    <w:rsid w:val="00D029CE"/>
    <w:rsid w:val="00D02C23"/>
    <w:rsid w:val="00D0402D"/>
    <w:rsid w:val="00D06113"/>
    <w:rsid w:val="00D10B4B"/>
    <w:rsid w:val="00D11992"/>
    <w:rsid w:val="00D154F1"/>
    <w:rsid w:val="00D15C05"/>
    <w:rsid w:val="00D17C11"/>
    <w:rsid w:val="00D20CD0"/>
    <w:rsid w:val="00D2155A"/>
    <w:rsid w:val="00D22389"/>
    <w:rsid w:val="00D241B0"/>
    <w:rsid w:val="00D2748B"/>
    <w:rsid w:val="00D276DC"/>
    <w:rsid w:val="00D30825"/>
    <w:rsid w:val="00D30DD8"/>
    <w:rsid w:val="00D31779"/>
    <w:rsid w:val="00D332D6"/>
    <w:rsid w:val="00D3362E"/>
    <w:rsid w:val="00D34364"/>
    <w:rsid w:val="00D3505B"/>
    <w:rsid w:val="00D405D1"/>
    <w:rsid w:val="00D41A16"/>
    <w:rsid w:val="00D42835"/>
    <w:rsid w:val="00D4606D"/>
    <w:rsid w:val="00D46A74"/>
    <w:rsid w:val="00D500B7"/>
    <w:rsid w:val="00D51644"/>
    <w:rsid w:val="00D53DF4"/>
    <w:rsid w:val="00D5597B"/>
    <w:rsid w:val="00D5799C"/>
    <w:rsid w:val="00D61D77"/>
    <w:rsid w:val="00D64945"/>
    <w:rsid w:val="00D66FF2"/>
    <w:rsid w:val="00D67D38"/>
    <w:rsid w:val="00D710A8"/>
    <w:rsid w:val="00D71F51"/>
    <w:rsid w:val="00D725BD"/>
    <w:rsid w:val="00D72FC7"/>
    <w:rsid w:val="00D76042"/>
    <w:rsid w:val="00D77474"/>
    <w:rsid w:val="00D81F0F"/>
    <w:rsid w:val="00D865AF"/>
    <w:rsid w:val="00D907FF"/>
    <w:rsid w:val="00D90822"/>
    <w:rsid w:val="00D90C67"/>
    <w:rsid w:val="00D95CE6"/>
    <w:rsid w:val="00D97BFB"/>
    <w:rsid w:val="00DA78E6"/>
    <w:rsid w:val="00DB12A1"/>
    <w:rsid w:val="00DB1CC6"/>
    <w:rsid w:val="00DB4328"/>
    <w:rsid w:val="00DB79C9"/>
    <w:rsid w:val="00DB7FF4"/>
    <w:rsid w:val="00DC130F"/>
    <w:rsid w:val="00DC16E1"/>
    <w:rsid w:val="00DC2C85"/>
    <w:rsid w:val="00DC3180"/>
    <w:rsid w:val="00DC47B3"/>
    <w:rsid w:val="00DC49AC"/>
    <w:rsid w:val="00DC7656"/>
    <w:rsid w:val="00DD0631"/>
    <w:rsid w:val="00DD36C3"/>
    <w:rsid w:val="00DD5B0A"/>
    <w:rsid w:val="00DE09C7"/>
    <w:rsid w:val="00DE0CD8"/>
    <w:rsid w:val="00DE123F"/>
    <w:rsid w:val="00DE3338"/>
    <w:rsid w:val="00DE6146"/>
    <w:rsid w:val="00DE6F87"/>
    <w:rsid w:val="00DE7392"/>
    <w:rsid w:val="00DE7960"/>
    <w:rsid w:val="00DE7A1F"/>
    <w:rsid w:val="00DF0005"/>
    <w:rsid w:val="00DF0A5B"/>
    <w:rsid w:val="00DF43CC"/>
    <w:rsid w:val="00DF758F"/>
    <w:rsid w:val="00E0617D"/>
    <w:rsid w:val="00E0786E"/>
    <w:rsid w:val="00E10E61"/>
    <w:rsid w:val="00E11D30"/>
    <w:rsid w:val="00E12E73"/>
    <w:rsid w:val="00E130D7"/>
    <w:rsid w:val="00E13353"/>
    <w:rsid w:val="00E22C8E"/>
    <w:rsid w:val="00E24ADF"/>
    <w:rsid w:val="00E26684"/>
    <w:rsid w:val="00E26FC0"/>
    <w:rsid w:val="00E30AD5"/>
    <w:rsid w:val="00E35AA3"/>
    <w:rsid w:val="00E36E66"/>
    <w:rsid w:val="00E40B3A"/>
    <w:rsid w:val="00E53D63"/>
    <w:rsid w:val="00E54511"/>
    <w:rsid w:val="00E54A08"/>
    <w:rsid w:val="00E54C05"/>
    <w:rsid w:val="00E56B7B"/>
    <w:rsid w:val="00E5720C"/>
    <w:rsid w:val="00E57822"/>
    <w:rsid w:val="00E579F4"/>
    <w:rsid w:val="00E63D6A"/>
    <w:rsid w:val="00E660AA"/>
    <w:rsid w:val="00E67711"/>
    <w:rsid w:val="00E71230"/>
    <w:rsid w:val="00E72F4A"/>
    <w:rsid w:val="00E734D5"/>
    <w:rsid w:val="00E743F6"/>
    <w:rsid w:val="00E80CFB"/>
    <w:rsid w:val="00E839BA"/>
    <w:rsid w:val="00E83D7A"/>
    <w:rsid w:val="00E8431E"/>
    <w:rsid w:val="00E84D1D"/>
    <w:rsid w:val="00EA0008"/>
    <w:rsid w:val="00EA06EA"/>
    <w:rsid w:val="00EA75CF"/>
    <w:rsid w:val="00EB6FA9"/>
    <w:rsid w:val="00EB7B27"/>
    <w:rsid w:val="00EC17D9"/>
    <w:rsid w:val="00EC300C"/>
    <w:rsid w:val="00EC39BA"/>
    <w:rsid w:val="00EC49B8"/>
    <w:rsid w:val="00ED019B"/>
    <w:rsid w:val="00ED2AC5"/>
    <w:rsid w:val="00ED2BD1"/>
    <w:rsid w:val="00ED3F73"/>
    <w:rsid w:val="00ED4320"/>
    <w:rsid w:val="00ED6132"/>
    <w:rsid w:val="00ED63AB"/>
    <w:rsid w:val="00ED6D0F"/>
    <w:rsid w:val="00EE4A54"/>
    <w:rsid w:val="00EE7852"/>
    <w:rsid w:val="00EF00E2"/>
    <w:rsid w:val="00EF06D3"/>
    <w:rsid w:val="00EF08A6"/>
    <w:rsid w:val="00EF1DF3"/>
    <w:rsid w:val="00EF1F8A"/>
    <w:rsid w:val="00EF4544"/>
    <w:rsid w:val="00EF4A1A"/>
    <w:rsid w:val="00EF50D5"/>
    <w:rsid w:val="00EF533E"/>
    <w:rsid w:val="00EF5917"/>
    <w:rsid w:val="00EF60E5"/>
    <w:rsid w:val="00F004F1"/>
    <w:rsid w:val="00F00EA2"/>
    <w:rsid w:val="00F03420"/>
    <w:rsid w:val="00F1070E"/>
    <w:rsid w:val="00F11E86"/>
    <w:rsid w:val="00F1460B"/>
    <w:rsid w:val="00F1489C"/>
    <w:rsid w:val="00F17B89"/>
    <w:rsid w:val="00F20283"/>
    <w:rsid w:val="00F2354D"/>
    <w:rsid w:val="00F23C03"/>
    <w:rsid w:val="00F23F83"/>
    <w:rsid w:val="00F2457E"/>
    <w:rsid w:val="00F249FA"/>
    <w:rsid w:val="00F24B94"/>
    <w:rsid w:val="00F25AE9"/>
    <w:rsid w:val="00F25CFF"/>
    <w:rsid w:val="00F33255"/>
    <w:rsid w:val="00F33A79"/>
    <w:rsid w:val="00F34177"/>
    <w:rsid w:val="00F34B40"/>
    <w:rsid w:val="00F41458"/>
    <w:rsid w:val="00F44954"/>
    <w:rsid w:val="00F45C50"/>
    <w:rsid w:val="00F5034C"/>
    <w:rsid w:val="00F506EF"/>
    <w:rsid w:val="00F51722"/>
    <w:rsid w:val="00F53B2F"/>
    <w:rsid w:val="00F558D9"/>
    <w:rsid w:val="00F61992"/>
    <w:rsid w:val="00F66C75"/>
    <w:rsid w:val="00F719D0"/>
    <w:rsid w:val="00F73729"/>
    <w:rsid w:val="00F836E6"/>
    <w:rsid w:val="00F876D3"/>
    <w:rsid w:val="00F908E8"/>
    <w:rsid w:val="00F933E3"/>
    <w:rsid w:val="00F96525"/>
    <w:rsid w:val="00FA09B0"/>
    <w:rsid w:val="00FA321B"/>
    <w:rsid w:val="00FA33E3"/>
    <w:rsid w:val="00FA3E90"/>
    <w:rsid w:val="00FA4CAC"/>
    <w:rsid w:val="00FA680A"/>
    <w:rsid w:val="00FA77CF"/>
    <w:rsid w:val="00FB2507"/>
    <w:rsid w:val="00FB285C"/>
    <w:rsid w:val="00FB3064"/>
    <w:rsid w:val="00FB3E98"/>
    <w:rsid w:val="00FB5D4E"/>
    <w:rsid w:val="00FC040D"/>
    <w:rsid w:val="00FC1616"/>
    <w:rsid w:val="00FC18C6"/>
    <w:rsid w:val="00FC2678"/>
    <w:rsid w:val="00FC66D8"/>
    <w:rsid w:val="00FC704C"/>
    <w:rsid w:val="00FC7583"/>
    <w:rsid w:val="00FD3879"/>
    <w:rsid w:val="00FD541D"/>
    <w:rsid w:val="00FD58DD"/>
    <w:rsid w:val="00FD6194"/>
    <w:rsid w:val="00FE269D"/>
    <w:rsid w:val="00FE3DA1"/>
    <w:rsid w:val="00FE47C6"/>
    <w:rsid w:val="00FE693B"/>
    <w:rsid w:val="00FE744B"/>
    <w:rsid w:val="00FF05C3"/>
    <w:rsid w:val="00FF1896"/>
    <w:rsid w:val="00FF3DD4"/>
    <w:rsid w:val="00FF7C0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DCB07"/>
  <w15:docId w15:val="{604FEBEB-713F-4A99-934D-6BA425B1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693B"/>
    <w:pPr>
      <w:spacing w:line="360" w:lineRule="auto"/>
    </w:pPr>
    <w:rPr>
      <w:rFonts w:ascii="Arial" w:hAnsi="Arial"/>
      <w:sz w:val="22"/>
      <w:lang w:val="en-GB" w:eastAsia="en-GB"/>
    </w:rPr>
  </w:style>
  <w:style w:type="paragraph" w:styleId="Heading1">
    <w:name w:val="heading 1"/>
    <w:basedOn w:val="Normal"/>
    <w:next w:val="Normal"/>
    <w:semiHidden/>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sz w:val="24"/>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semiHidden/>
    <w:rsid w:val="00C3721C"/>
    <w:pPr>
      <w:tabs>
        <w:tab w:val="center" w:pos="4536"/>
        <w:tab w:val="right" w:pos="9072"/>
      </w:tabs>
    </w:pPr>
    <w:rPr>
      <w:sz w:val="20"/>
    </w:rPr>
  </w:style>
  <w:style w:type="paragraph" w:styleId="Footer">
    <w:name w:val="footer"/>
    <w:basedOn w:val="Normal"/>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C28C4"/>
    <w:rPr>
      <w:rFonts w:ascii="Tahoma" w:hAnsi="Tahoma"/>
      <w:sz w:val="16"/>
      <w:szCs w:val="16"/>
    </w:rPr>
  </w:style>
  <w:style w:type="numbering" w:customStyle="1" w:styleId="Bulletlist">
    <w:name w:val="Bullet list"/>
    <w:basedOn w:val="NoList"/>
    <w:semiHidden/>
    <w:rsid w:val="002E6247"/>
    <w:pPr>
      <w:numPr>
        <w:numId w:val="21"/>
      </w:numPr>
    </w:pPr>
  </w:style>
  <w:style w:type="numbering" w:customStyle="1" w:styleId="Bulletlist0">
    <w:name w:val="*Bullet list"/>
    <w:semiHidden/>
    <w:rsid w:val="004B602D"/>
    <w:pPr>
      <w:numPr>
        <w:numId w:val="14"/>
      </w:numPr>
    </w:pPr>
  </w:style>
  <w:style w:type="paragraph" w:customStyle="1" w:styleId="Text">
    <w:name w:val="Text"/>
    <w:basedOn w:val="Normal"/>
    <w:link w:val="TextChar"/>
    <w:uiPriority w:val="99"/>
    <w:rsid w:val="00241797"/>
    <w:pPr>
      <w:spacing w:line="480" w:lineRule="auto"/>
    </w:pPr>
    <w:rPr>
      <w:lang w:eastAsia="en-US"/>
    </w:rPr>
  </w:style>
  <w:style w:type="table" w:styleId="TableGrid">
    <w:name w:val="Table Grid"/>
    <w:basedOn w:val="TableNormal"/>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semiHidden/>
    <w:rsid w:val="00A666BF"/>
    <w:pPr>
      <w:tabs>
        <w:tab w:val="clear" w:pos="851"/>
        <w:tab w:val="num" w:pos="284"/>
      </w:tabs>
      <w:ind w:left="284"/>
    </w:pPr>
  </w:style>
  <w:style w:type="paragraph" w:customStyle="1" w:styleId="Bulletlevel2">
    <w:name w:val="Bullet level 2"/>
    <w:basedOn w:val="Text"/>
    <w:semiHidden/>
    <w:rsid w:val="0059761E"/>
    <w:pPr>
      <w:numPr>
        <w:ilvl w:val="1"/>
        <w:numId w:val="23"/>
      </w:numPr>
    </w:pPr>
    <w:rPr>
      <w:lang w:eastAsia="en-GB"/>
    </w:rPr>
  </w:style>
  <w:style w:type="paragraph" w:customStyle="1" w:styleId="Bulletlevel3">
    <w:name w:val="Bullet level 3"/>
    <w:basedOn w:val="Text"/>
    <w:semiHidden/>
    <w:rsid w:val="0059761E"/>
    <w:pPr>
      <w:numPr>
        <w:ilvl w:val="2"/>
        <w:numId w:val="23"/>
      </w:numPr>
    </w:pPr>
  </w:style>
  <w:style w:type="paragraph" w:customStyle="1" w:styleId="Bulletlevel4">
    <w:name w:val="Bullet level 4"/>
    <w:basedOn w:val="Text"/>
    <w:semiHidden/>
    <w:rsid w:val="00A1777B"/>
    <w:pPr>
      <w:numPr>
        <w:ilvl w:val="3"/>
        <w:numId w:val="23"/>
      </w:numPr>
      <w:ind w:left="1135" w:hanging="284"/>
    </w:pPr>
  </w:style>
  <w:style w:type="paragraph" w:customStyle="1" w:styleId="Bulletlevel5">
    <w:name w:val="*Bullet level 5"/>
    <w:basedOn w:val="Normal"/>
    <w:semiHidden/>
    <w:rsid w:val="004B602D"/>
    <w:pPr>
      <w:numPr>
        <w:ilvl w:val="4"/>
        <w:numId w:val="15"/>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241797"/>
    <w:pPr>
      <w:spacing w:line="480" w:lineRule="auto"/>
    </w:pPr>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241797"/>
    <w:pPr>
      <w:spacing w:before="240" w:after="60" w:line="480" w:lineRule="auto"/>
      <w:jc w:val="left"/>
    </w:pPr>
    <w:rPr>
      <w:rFonts w:ascii="Arial" w:hAnsi="Arial" w:cs="Arial"/>
      <w:bCs/>
      <w:sz w:val="28"/>
      <w:szCs w:val="24"/>
      <w:lang w:val="en-US" w:eastAsia="en-US"/>
    </w:rPr>
  </w:style>
  <w:style w:type="paragraph" w:customStyle="1" w:styleId="Manuscriptheading3">
    <w:name w:val="Manuscript heading 3"/>
    <w:basedOn w:val="Heading3"/>
    <w:next w:val="Text"/>
    <w:rsid w:val="00241797"/>
    <w:pPr>
      <w:spacing w:before="240" w:after="60" w:line="480" w:lineRule="auto"/>
    </w:pPr>
    <w:rPr>
      <w:rFonts w:ascii="Arial" w:hAnsi="Arial" w:cs="Arial"/>
      <w:b/>
      <w:bCs/>
      <w:i w:val="0"/>
      <w:sz w:val="24"/>
      <w:szCs w:val="24"/>
      <w:lang w:val="en-US" w:eastAsia="en-US"/>
    </w:rPr>
  </w:style>
  <w:style w:type="character" w:customStyle="1" w:styleId="TextChar">
    <w:name w:val="Text Char"/>
    <w:basedOn w:val="DefaultParagraphFont"/>
    <w:link w:val="Text"/>
    <w:uiPriority w:val="99"/>
    <w:rsid w:val="00241797"/>
    <w:rPr>
      <w:rFonts w:ascii="Arial" w:hAnsi="Arial"/>
      <w:sz w:val="22"/>
      <w:lang w:val="en-GB"/>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241797"/>
    <w:rPr>
      <w:rFonts w:ascii="Arial" w:hAnsi="Arial" w:cs="Arial"/>
      <w:b/>
      <w:bCs/>
      <w:sz w:val="28"/>
      <w:szCs w:val="24"/>
      <w:lang w:val="en-GB" w:eastAsia="en-GB"/>
    </w:rPr>
  </w:style>
  <w:style w:type="paragraph" w:customStyle="1" w:styleId="Manuscriptheading4">
    <w:name w:val="Manuscript heading 4"/>
    <w:basedOn w:val="Heading4"/>
    <w:next w:val="Text"/>
    <w:rsid w:val="005255B6"/>
    <w:pPr>
      <w:spacing w:before="240" w:after="60"/>
      <w:jc w:val="left"/>
    </w:pPr>
  </w:style>
  <w:style w:type="paragraph" w:styleId="ListBullet">
    <w:name w:val="List Bullet"/>
    <w:basedOn w:val="Normal"/>
    <w:rsid w:val="008724C0"/>
    <w:pPr>
      <w:numPr>
        <w:numId w:val="30"/>
      </w:numPr>
      <w:contextualSpacing/>
    </w:p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26"/>
      </w:numPr>
    </w:pPr>
  </w:style>
  <w:style w:type="paragraph" w:styleId="ListBullet2">
    <w:name w:val="List Bullet 2"/>
    <w:basedOn w:val="Normal"/>
    <w:rsid w:val="008724C0"/>
    <w:pPr>
      <w:numPr>
        <w:ilvl w:val="1"/>
        <w:numId w:val="30"/>
      </w:numPr>
      <w:contextualSpacing/>
    </w:pPr>
  </w:style>
  <w:style w:type="paragraph" w:styleId="ListBullet3">
    <w:name w:val="List Bullet 3"/>
    <w:basedOn w:val="Normal"/>
    <w:rsid w:val="008724C0"/>
    <w:pPr>
      <w:numPr>
        <w:ilvl w:val="2"/>
        <w:numId w:val="30"/>
      </w:numPr>
      <w:contextualSpacing/>
    </w:pPr>
  </w:style>
  <w:style w:type="paragraph" w:styleId="ListBullet4">
    <w:name w:val="List Bullet 4"/>
    <w:basedOn w:val="Normal"/>
    <w:rsid w:val="008724C0"/>
    <w:pPr>
      <w:numPr>
        <w:ilvl w:val="3"/>
        <w:numId w:val="30"/>
      </w:numPr>
      <w:contextualSpacing/>
    </w:pPr>
  </w:style>
  <w:style w:type="paragraph" w:styleId="ListBullet5">
    <w:name w:val="List Bullet 5"/>
    <w:basedOn w:val="Normal"/>
    <w:rsid w:val="008724C0"/>
    <w:pPr>
      <w:numPr>
        <w:ilvl w:val="4"/>
        <w:numId w:val="30"/>
      </w:numPr>
      <w:contextualSpacing/>
    </w:pPr>
  </w:style>
  <w:style w:type="paragraph" w:styleId="ListParagraph">
    <w:name w:val="List Paragraph"/>
    <w:basedOn w:val="Normal"/>
    <w:uiPriority w:val="34"/>
    <w:qFormat/>
    <w:rsid w:val="005D72D0"/>
    <w:pPr>
      <w:spacing w:after="200" w:line="276" w:lineRule="auto"/>
      <w:ind w:left="720"/>
      <w:contextualSpacing/>
    </w:pPr>
    <w:rPr>
      <w:rFonts w:asciiTheme="minorHAnsi" w:eastAsiaTheme="minorEastAsia" w:hAnsiTheme="minorHAnsi" w:cstheme="minorBidi"/>
      <w:szCs w:val="22"/>
      <w:lang w:val="en-US" w:eastAsia="zh-CN"/>
    </w:rPr>
  </w:style>
  <w:style w:type="character" w:styleId="CommentReference">
    <w:name w:val="annotation reference"/>
    <w:basedOn w:val="DefaultParagraphFont"/>
    <w:rsid w:val="00FD58DD"/>
    <w:rPr>
      <w:sz w:val="16"/>
      <w:szCs w:val="16"/>
    </w:rPr>
  </w:style>
  <w:style w:type="paragraph" w:styleId="CommentText">
    <w:name w:val="annotation text"/>
    <w:basedOn w:val="Normal"/>
    <w:link w:val="CommentTextChar"/>
    <w:uiPriority w:val="99"/>
    <w:rsid w:val="00FE693B"/>
    <w:pPr>
      <w:spacing w:line="240" w:lineRule="auto"/>
    </w:pPr>
    <w:rPr>
      <w:sz w:val="36"/>
    </w:rPr>
  </w:style>
  <w:style w:type="character" w:customStyle="1" w:styleId="CommentTextChar">
    <w:name w:val="Comment Text Char"/>
    <w:basedOn w:val="DefaultParagraphFont"/>
    <w:link w:val="CommentText"/>
    <w:uiPriority w:val="99"/>
    <w:rsid w:val="00FE693B"/>
    <w:rPr>
      <w:rFonts w:ascii="Arial" w:hAnsi="Arial"/>
      <w:sz w:val="36"/>
      <w:lang w:val="en-GB" w:eastAsia="en-GB"/>
    </w:rPr>
  </w:style>
  <w:style w:type="paragraph" w:styleId="NormalWeb">
    <w:name w:val="Normal (Web)"/>
    <w:basedOn w:val="Normal"/>
    <w:uiPriority w:val="99"/>
    <w:unhideWhenUsed/>
    <w:rsid w:val="000F1CA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733678"/>
    <w:rPr>
      <w:color w:val="0000FF" w:themeColor="hyperlink"/>
      <w:u w:val="single"/>
    </w:rPr>
  </w:style>
  <w:style w:type="paragraph" w:styleId="Revision">
    <w:name w:val="Revision"/>
    <w:hidden/>
    <w:uiPriority w:val="99"/>
    <w:semiHidden/>
    <w:rsid w:val="00432221"/>
    <w:rPr>
      <w:rFonts w:ascii="Arial" w:hAnsi="Arial"/>
      <w:sz w:val="22"/>
      <w:lang w:val="en-GB" w:eastAsia="en-GB"/>
    </w:rPr>
  </w:style>
  <w:style w:type="character" w:styleId="IntenseEmphasis">
    <w:name w:val="Intense Emphasis"/>
    <w:basedOn w:val="DefaultParagraphFont"/>
    <w:uiPriority w:val="21"/>
    <w:qFormat/>
    <w:rsid w:val="00B06DFF"/>
    <w:rPr>
      <w:b/>
      <w:bCs/>
      <w:i/>
      <w:iCs/>
      <w:color w:val="4F81BD" w:themeColor="accent1"/>
    </w:rPr>
  </w:style>
  <w:style w:type="paragraph" w:styleId="NoSpacing">
    <w:name w:val="No Spacing"/>
    <w:uiPriority w:val="1"/>
    <w:qFormat/>
    <w:rsid w:val="000C2464"/>
    <w:rPr>
      <w:rFonts w:ascii="Arial" w:hAnsi="Arial"/>
      <w:sz w:val="22"/>
      <w:lang w:val="en-GB" w:eastAsia="en-GB"/>
    </w:rPr>
  </w:style>
  <w:style w:type="paragraph" w:styleId="CommentSubject">
    <w:name w:val="annotation subject"/>
    <w:basedOn w:val="CommentText"/>
    <w:next w:val="CommentText"/>
    <w:link w:val="CommentSubjectChar"/>
    <w:semiHidden/>
    <w:unhideWhenUsed/>
    <w:rsid w:val="00BB0E06"/>
    <w:rPr>
      <w:b/>
      <w:bCs/>
      <w:sz w:val="20"/>
    </w:rPr>
  </w:style>
  <w:style w:type="character" w:customStyle="1" w:styleId="CommentSubjectChar">
    <w:name w:val="Comment Subject Char"/>
    <w:basedOn w:val="CommentTextChar"/>
    <w:link w:val="CommentSubject"/>
    <w:semiHidden/>
    <w:rsid w:val="00BB0E06"/>
    <w:rPr>
      <w:rFonts w:ascii="Arial" w:hAnsi="Arial"/>
      <w:b/>
      <w:bCs/>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2468">
      <w:bodyDiv w:val="1"/>
      <w:marLeft w:val="0"/>
      <w:marRight w:val="0"/>
      <w:marTop w:val="0"/>
      <w:marBottom w:val="0"/>
      <w:divBdr>
        <w:top w:val="none" w:sz="0" w:space="0" w:color="auto"/>
        <w:left w:val="none" w:sz="0" w:space="0" w:color="auto"/>
        <w:bottom w:val="none" w:sz="0" w:space="0" w:color="auto"/>
        <w:right w:val="none" w:sz="0" w:space="0" w:color="auto"/>
      </w:divBdr>
    </w:div>
    <w:div w:id="221719115">
      <w:bodyDiv w:val="1"/>
      <w:marLeft w:val="0"/>
      <w:marRight w:val="0"/>
      <w:marTop w:val="0"/>
      <w:marBottom w:val="0"/>
      <w:divBdr>
        <w:top w:val="none" w:sz="0" w:space="0" w:color="auto"/>
        <w:left w:val="none" w:sz="0" w:space="0" w:color="auto"/>
        <w:bottom w:val="none" w:sz="0" w:space="0" w:color="auto"/>
        <w:right w:val="none" w:sz="0" w:space="0" w:color="auto"/>
      </w:divBdr>
    </w:div>
    <w:div w:id="285087693">
      <w:bodyDiv w:val="1"/>
      <w:marLeft w:val="0"/>
      <w:marRight w:val="0"/>
      <w:marTop w:val="0"/>
      <w:marBottom w:val="0"/>
      <w:divBdr>
        <w:top w:val="none" w:sz="0" w:space="0" w:color="auto"/>
        <w:left w:val="none" w:sz="0" w:space="0" w:color="auto"/>
        <w:bottom w:val="none" w:sz="0" w:space="0" w:color="auto"/>
        <w:right w:val="none" w:sz="0" w:space="0" w:color="auto"/>
      </w:divBdr>
    </w:div>
    <w:div w:id="320935699">
      <w:bodyDiv w:val="1"/>
      <w:marLeft w:val="0"/>
      <w:marRight w:val="0"/>
      <w:marTop w:val="0"/>
      <w:marBottom w:val="0"/>
      <w:divBdr>
        <w:top w:val="none" w:sz="0" w:space="0" w:color="auto"/>
        <w:left w:val="none" w:sz="0" w:space="0" w:color="auto"/>
        <w:bottom w:val="none" w:sz="0" w:space="0" w:color="auto"/>
        <w:right w:val="none" w:sz="0" w:space="0" w:color="auto"/>
      </w:divBdr>
    </w:div>
    <w:div w:id="401218011">
      <w:bodyDiv w:val="1"/>
      <w:marLeft w:val="0"/>
      <w:marRight w:val="0"/>
      <w:marTop w:val="0"/>
      <w:marBottom w:val="0"/>
      <w:divBdr>
        <w:top w:val="none" w:sz="0" w:space="0" w:color="auto"/>
        <w:left w:val="none" w:sz="0" w:space="0" w:color="auto"/>
        <w:bottom w:val="none" w:sz="0" w:space="0" w:color="auto"/>
        <w:right w:val="none" w:sz="0" w:space="0" w:color="auto"/>
      </w:divBdr>
    </w:div>
    <w:div w:id="531570996">
      <w:bodyDiv w:val="1"/>
      <w:marLeft w:val="0"/>
      <w:marRight w:val="0"/>
      <w:marTop w:val="0"/>
      <w:marBottom w:val="0"/>
      <w:divBdr>
        <w:top w:val="none" w:sz="0" w:space="0" w:color="auto"/>
        <w:left w:val="none" w:sz="0" w:space="0" w:color="auto"/>
        <w:bottom w:val="none" w:sz="0" w:space="0" w:color="auto"/>
        <w:right w:val="none" w:sz="0" w:space="0" w:color="auto"/>
      </w:divBdr>
    </w:div>
    <w:div w:id="537426041">
      <w:bodyDiv w:val="1"/>
      <w:marLeft w:val="0"/>
      <w:marRight w:val="0"/>
      <w:marTop w:val="0"/>
      <w:marBottom w:val="0"/>
      <w:divBdr>
        <w:top w:val="none" w:sz="0" w:space="0" w:color="auto"/>
        <w:left w:val="none" w:sz="0" w:space="0" w:color="auto"/>
        <w:bottom w:val="none" w:sz="0" w:space="0" w:color="auto"/>
        <w:right w:val="none" w:sz="0" w:space="0" w:color="auto"/>
      </w:divBdr>
    </w:div>
    <w:div w:id="600793886">
      <w:bodyDiv w:val="1"/>
      <w:marLeft w:val="0"/>
      <w:marRight w:val="0"/>
      <w:marTop w:val="0"/>
      <w:marBottom w:val="0"/>
      <w:divBdr>
        <w:top w:val="none" w:sz="0" w:space="0" w:color="auto"/>
        <w:left w:val="none" w:sz="0" w:space="0" w:color="auto"/>
        <w:bottom w:val="none" w:sz="0" w:space="0" w:color="auto"/>
        <w:right w:val="none" w:sz="0" w:space="0" w:color="auto"/>
      </w:divBdr>
    </w:div>
    <w:div w:id="601301644">
      <w:bodyDiv w:val="1"/>
      <w:marLeft w:val="0"/>
      <w:marRight w:val="0"/>
      <w:marTop w:val="0"/>
      <w:marBottom w:val="0"/>
      <w:divBdr>
        <w:top w:val="none" w:sz="0" w:space="0" w:color="auto"/>
        <w:left w:val="none" w:sz="0" w:space="0" w:color="auto"/>
        <w:bottom w:val="none" w:sz="0" w:space="0" w:color="auto"/>
        <w:right w:val="none" w:sz="0" w:space="0" w:color="auto"/>
      </w:divBdr>
      <w:divsChild>
        <w:div w:id="384646980">
          <w:marLeft w:val="864"/>
          <w:marRight w:val="0"/>
          <w:marTop w:val="96"/>
          <w:marBottom w:val="0"/>
          <w:divBdr>
            <w:top w:val="none" w:sz="0" w:space="0" w:color="auto"/>
            <w:left w:val="none" w:sz="0" w:space="0" w:color="auto"/>
            <w:bottom w:val="none" w:sz="0" w:space="0" w:color="auto"/>
            <w:right w:val="none" w:sz="0" w:space="0" w:color="auto"/>
          </w:divBdr>
        </w:div>
      </w:divsChild>
    </w:div>
    <w:div w:id="678048891">
      <w:bodyDiv w:val="1"/>
      <w:marLeft w:val="0"/>
      <w:marRight w:val="0"/>
      <w:marTop w:val="0"/>
      <w:marBottom w:val="0"/>
      <w:divBdr>
        <w:top w:val="none" w:sz="0" w:space="0" w:color="auto"/>
        <w:left w:val="none" w:sz="0" w:space="0" w:color="auto"/>
        <w:bottom w:val="none" w:sz="0" w:space="0" w:color="auto"/>
        <w:right w:val="none" w:sz="0" w:space="0" w:color="auto"/>
      </w:divBdr>
    </w:div>
    <w:div w:id="686717399">
      <w:bodyDiv w:val="1"/>
      <w:marLeft w:val="0"/>
      <w:marRight w:val="0"/>
      <w:marTop w:val="0"/>
      <w:marBottom w:val="0"/>
      <w:divBdr>
        <w:top w:val="none" w:sz="0" w:space="0" w:color="auto"/>
        <w:left w:val="none" w:sz="0" w:space="0" w:color="auto"/>
        <w:bottom w:val="none" w:sz="0" w:space="0" w:color="auto"/>
        <w:right w:val="none" w:sz="0" w:space="0" w:color="auto"/>
      </w:divBdr>
    </w:div>
    <w:div w:id="786437325">
      <w:bodyDiv w:val="1"/>
      <w:marLeft w:val="0"/>
      <w:marRight w:val="0"/>
      <w:marTop w:val="0"/>
      <w:marBottom w:val="0"/>
      <w:divBdr>
        <w:top w:val="none" w:sz="0" w:space="0" w:color="auto"/>
        <w:left w:val="none" w:sz="0" w:space="0" w:color="auto"/>
        <w:bottom w:val="none" w:sz="0" w:space="0" w:color="auto"/>
        <w:right w:val="none" w:sz="0" w:space="0" w:color="auto"/>
      </w:divBdr>
      <w:divsChild>
        <w:div w:id="508518784">
          <w:marLeft w:val="418"/>
          <w:marRight w:val="0"/>
          <w:marTop w:val="108"/>
          <w:marBottom w:val="0"/>
          <w:divBdr>
            <w:top w:val="none" w:sz="0" w:space="0" w:color="auto"/>
            <w:left w:val="none" w:sz="0" w:space="0" w:color="auto"/>
            <w:bottom w:val="none" w:sz="0" w:space="0" w:color="auto"/>
            <w:right w:val="none" w:sz="0" w:space="0" w:color="auto"/>
          </w:divBdr>
        </w:div>
        <w:div w:id="514198850">
          <w:marLeft w:val="864"/>
          <w:marRight w:val="0"/>
          <w:marTop w:val="96"/>
          <w:marBottom w:val="0"/>
          <w:divBdr>
            <w:top w:val="none" w:sz="0" w:space="0" w:color="auto"/>
            <w:left w:val="none" w:sz="0" w:space="0" w:color="auto"/>
            <w:bottom w:val="none" w:sz="0" w:space="0" w:color="auto"/>
            <w:right w:val="none" w:sz="0" w:space="0" w:color="auto"/>
          </w:divBdr>
        </w:div>
      </w:divsChild>
    </w:div>
    <w:div w:id="846596385">
      <w:bodyDiv w:val="1"/>
      <w:marLeft w:val="0"/>
      <w:marRight w:val="0"/>
      <w:marTop w:val="0"/>
      <w:marBottom w:val="0"/>
      <w:divBdr>
        <w:top w:val="none" w:sz="0" w:space="0" w:color="auto"/>
        <w:left w:val="none" w:sz="0" w:space="0" w:color="auto"/>
        <w:bottom w:val="none" w:sz="0" w:space="0" w:color="auto"/>
        <w:right w:val="none" w:sz="0" w:space="0" w:color="auto"/>
      </w:divBdr>
    </w:div>
    <w:div w:id="983896476">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150560295">
      <w:bodyDiv w:val="1"/>
      <w:marLeft w:val="0"/>
      <w:marRight w:val="0"/>
      <w:marTop w:val="0"/>
      <w:marBottom w:val="0"/>
      <w:divBdr>
        <w:top w:val="none" w:sz="0" w:space="0" w:color="auto"/>
        <w:left w:val="none" w:sz="0" w:space="0" w:color="auto"/>
        <w:bottom w:val="none" w:sz="0" w:space="0" w:color="auto"/>
        <w:right w:val="none" w:sz="0" w:space="0" w:color="auto"/>
      </w:divBdr>
    </w:div>
    <w:div w:id="1165047742">
      <w:bodyDiv w:val="1"/>
      <w:marLeft w:val="0"/>
      <w:marRight w:val="0"/>
      <w:marTop w:val="0"/>
      <w:marBottom w:val="0"/>
      <w:divBdr>
        <w:top w:val="none" w:sz="0" w:space="0" w:color="auto"/>
        <w:left w:val="none" w:sz="0" w:space="0" w:color="auto"/>
        <w:bottom w:val="none" w:sz="0" w:space="0" w:color="auto"/>
        <w:right w:val="none" w:sz="0" w:space="0" w:color="auto"/>
      </w:divBdr>
    </w:div>
    <w:div w:id="1251114097">
      <w:bodyDiv w:val="1"/>
      <w:marLeft w:val="0"/>
      <w:marRight w:val="0"/>
      <w:marTop w:val="0"/>
      <w:marBottom w:val="0"/>
      <w:divBdr>
        <w:top w:val="none" w:sz="0" w:space="0" w:color="auto"/>
        <w:left w:val="none" w:sz="0" w:space="0" w:color="auto"/>
        <w:bottom w:val="none" w:sz="0" w:space="0" w:color="auto"/>
        <w:right w:val="none" w:sz="0" w:space="0" w:color="auto"/>
      </w:divBdr>
    </w:div>
    <w:div w:id="1403024759">
      <w:bodyDiv w:val="1"/>
      <w:marLeft w:val="0"/>
      <w:marRight w:val="0"/>
      <w:marTop w:val="0"/>
      <w:marBottom w:val="0"/>
      <w:divBdr>
        <w:top w:val="none" w:sz="0" w:space="0" w:color="auto"/>
        <w:left w:val="none" w:sz="0" w:space="0" w:color="auto"/>
        <w:bottom w:val="none" w:sz="0" w:space="0" w:color="auto"/>
        <w:right w:val="none" w:sz="0" w:space="0" w:color="auto"/>
      </w:divBdr>
    </w:div>
    <w:div w:id="1688022870">
      <w:bodyDiv w:val="1"/>
      <w:marLeft w:val="0"/>
      <w:marRight w:val="0"/>
      <w:marTop w:val="0"/>
      <w:marBottom w:val="0"/>
      <w:divBdr>
        <w:top w:val="none" w:sz="0" w:space="0" w:color="auto"/>
        <w:left w:val="none" w:sz="0" w:space="0" w:color="auto"/>
        <w:bottom w:val="none" w:sz="0" w:space="0" w:color="auto"/>
        <w:right w:val="none" w:sz="0" w:space="0" w:color="auto"/>
      </w:divBdr>
    </w:div>
    <w:div w:id="1736007377">
      <w:bodyDiv w:val="1"/>
      <w:marLeft w:val="0"/>
      <w:marRight w:val="0"/>
      <w:marTop w:val="0"/>
      <w:marBottom w:val="0"/>
      <w:divBdr>
        <w:top w:val="none" w:sz="0" w:space="0" w:color="auto"/>
        <w:left w:val="none" w:sz="0" w:space="0" w:color="auto"/>
        <w:bottom w:val="none" w:sz="0" w:space="0" w:color="auto"/>
        <w:right w:val="none" w:sz="0" w:space="0" w:color="auto"/>
      </w:divBdr>
    </w:div>
    <w:div w:id="1838836868">
      <w:bodyDiv w:val="1"/>
      <w:marLeft w:val="0"/>
      <w:marRight w:val="0"/>
      <w:marTop w:val="0"/>
      <w:marBottom w:val="0"/>
      <w:divBdr>
        <w:top w:val="none" w:sz="0" w:space="0" w:color="auto"/>
        <w:left w:val="none" w:sz="0" w:space="0" w:color="auto"/>
        <w:bottom w:val="none" w:sz="0" w:space="0" w:color="auto"/>
        <w:right w:val="none" w:sz="0" w:space="0" w:color="auto"/>
      </w:divBdr>
    </w:div>
    <w:div w:id="1843204104">
      <w:bodyDiv w:val="1"/>
      <w:marLeft w:val="0"/>
      <w:marRight w:val="0"/>
      <w:marTop w:val="0"/>
      <w:marBottom w:val="0"/>
      <w:divBdr>
        <w:top w:val="none" w:sz="0" w:space="0" w:color="auto"/>
        <w:left w:val="none" w:sz="0" w:space="0" w:color="auto"/>
        <w:bottom w:val="none" w:sz="0" w:space="0" w:color="auto"/>
        <w:right w:val="none" w:sz="0" w:space="0" w:color="auto"/>
      </w:divBdr>
    </w:div>
    <w:div w:id="1888645152">
      <w:bodyDiv w:val="1"/>
      <w:marLeft w:val="0"/>
      <w:marRight w:val="0"/>
      <w:marTop w:val="0"/>
      <w:marBottom w:val="0"/>
      <w:divBdr>
        <w:top w:val="none" w:sz="0" w:space="0" w:color="auto"/>
        <w:left w:val="none" w:sz="0" w:space="0" w:color="auto"/>
        <w:bottom w:val="none" w:sz="0" w:space="0" w:color="auto"/>
        <w:right w:val="none" w:sz="0" w:space="0" w:color="auto"/>
      </w:divBdr>
    </w:div>
    <w:div w:id="1904101594">
      <w:bodyDiv w:val="1"/>
      <w:marLeft w:val="0"/>
      <w:marRight w:val="0"/>
      <w:marTop w:val="0"/>
      <w:marBottom w:val="0"/>
      <w:divBdr>
        <w:top w:val="none" w:sz="0" w:space="0" w:color="auto"/>
        <w:left w:val="none" w:sz="0" w:space="0" w:color="auto"/>
        <w:bottom w:val="none" w:sz="0" w:space="0" w:color="auto"/>
        <w:right w:val="none" w:sz="0" w:space="0" w:color="auto"/>
      </w:divBdr>
    </w:div>
    <w:div w:id="1976401049">
      <w:bodyDiv w:val="1"/>
      <w:marLeft w:val="0"/>
      <w:marRight w:val="0"/>
      <w:marTop w:val="0"/>
      <w:marBottom w:val="0"/>
      <w:divBdr>
        <w:top w:val="none" w:sz="0" w:space="0" w:color="auto"/>
        <w:left w:val="none" w:sz="0" w:space="0" w:color="auto"/>
        <w:bottom w:val="none" w:sz="0" w:space="0" w:color="auto"/>
        <w:right w:val="none" w:sz="0" w:space="0" w:color="auto"/>
      </w:divBdr>
    </w:div>
    <w:div w:id="19972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5C76-DCD4-42CC-B0E2-83732082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31156</Words>
  <Characters>177590</Characters>
  <Application>Microsoft Office Word</Application>
  <DocSecurity>0</DocSecurity>
  <Lines>1479</Lines>
  <Paragraphs>416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Chameleon Communications International</Company>
  <LinksUpToDate>false</LinksUpToDate>
  <CharactersWithSpaces>208330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Whitford</dc:creator>
  <cp:lastModifiedBy>John Camm</cp:lastModifiedBy>
  <cp:revision>2</cp:revision>
  <cp:lastPrinted>2010-03-29T13:11:00Z</cp:lastPrinted>
  <dcterms:created xsi:type="dcterms:W3CDTF">2017-02-05T13:35:00Z</dcterms:created>
  <dcterms:modified xsi:type="dcterms:W3CDTF">2017-02-05T13:35:00Z</dcterms:modified>
</cp:coreProperties>
</file>